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1060" w:line="240" w:lineRule="auto"/>
        <w:ind w:left="0" w:right="0" w:firstLine="0"/>
        <w:jc w:val="center"/>
      </w:pPr>
      <w:r>
        <w:rPr>
          <w:color w:val="000000"/>
          <w:spacing w:val="0"/>
          <w:w w:val="100"/>
          <w:position w:val="0"/>
        </w:rPr>
        <w:t>苏宁易购集团股份有限公司</w:t>
      </w:r>
    </w:p>
    <w:p>
      <w:pPr>
        <w:pStyle w:val="Style6"/>
        <w:keepNext w:val="0"/>
        <w:keepLines w:val="0"/>
        <w:widowControl w:val="0"/>
        <w:shd w:val="clear" w:color="auto" w:fill="auto"/>
        <w:bidi w:val="0"/>
        <w:spacing w:before="0" w:after="120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9"/>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bCs/>
          <w:color w:val="000000"/>
          <w:spacing w:val="0"/>
          <w:w w:val="100"/>
          <w:position w:val="0"/>
          <w:sz w:val="40"/>
          <w:szCs w:val="40"/>
        </w:rPr>
        <w:t>J</w:t>
      </w:r>
      <w:r>
        <w:rPr>
          <w:color w:val="000000"/>
          <w:spacing w:val="0"/>
          <w:w w:val="100"/>
          <w:position w:val="0"/>
        </w:rPr>
        <w:t>苏宁舄购</w:t>
      </w:r>
    </w:p>
    <w:p>
      <w:pPr>
        <w:pStyle w:val="Style1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223" w:right="1109" w:bottom="2223" w:left="1109"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5"/>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w:t>
      </w:r>
      <w:bookmarkEnd w:id="0"/>
      <w:bookmarkEnd w:id="1"/>
      <w:bookmarkEnd w:id="2"/>
    </w:p>
    <w:p>
      <w:pPr>
        <w:pStyle w:val="Style17"/>
        <w:keepNext w:val="0"/>
        <w:keepLines w:val="0"/>
        <w:widowControl w:val="0"/>
        <w:shd w:val="clear" w:color="auto" w:fill="auto"/>
        <w:tabs>
          <w:tab w:pos="814" w:val="left"/>
        </w:tabs>
        <w:bidi w:val="0"/>
        <w:spacing w:before="0" w:after="0" w:line="475" w:lineRule="exact"/>
        <w:ind w:left="0" w:right="0" w:firstLine="460"/>
        <w:jc w:val="both"/>
      </w:pPr>
      <w:bookmarkStart w:id="3" w:name="bookmark3"/>
      <w:bookmarkStart w:id="4" w:name="bookmark4"/>
      <w:r>
        <w:rPr>
          <w:rFonts w:ascii="Times New Roman" w:eastAsia="Times New Roman" w:hAnsi="Times New Roman" w:cs="Times New Roman"/>
          <w:color w:val="000000"/>
          <w:spacing w:val="0"/>
          <w:w w:val="100"/>
          <w:position w:val="0"/>
          <w:sz w:val="22"/>
          <w:szCs w:val="22"/>
        </w:rPr>
        <w:t>1</w:t>
      </w:r>
      <w:bookmarkEnd w:id="4"/>
      <w:r>
        <w:rPr>
          <w:color w:val="000000"/>
          <w:spacing w:val="0"/>
          <w:w w:val="100"/>
          <w:position w:val="0"/>
        </w:rPr>
        <w:t>、</w:t>
        <w:tab/>
        <w:t>公司董事会、监事会及董事、监事、高级管理人员保证年度报告内容的真实、准确、完整， 不存在虚假记载、误导性陈述或重大遗漏，并承担个别和连带的法律责任。</w:t>
      </w:r>
      <w:bookmarkEnd w:id="3"/>
    </w:p>
    <w:p>
      <w:pPr>
        <w:pStyle w:val="Style17"/>
        <w:keepNext w:val="0"/>
        <w:keepLines w:val="0"/>
        <w:widowControl w:val="0"/>
        <w:shd w:val="clear" w:color="auto" w:fill="auto"/>
        <w:tabs>
          <w:tab w:pos="814" w:val="left"/>
        </w:tabs>
        <w:bidi w:val="0"/>
        <w:spacing w:before="0" w:after="0" w:line="480" w:lineRule="exact"/>
        <w:ind w:left="0" w:right="0" w:firstLine="460"/>
        <w:jc w:val="both"/>
      </w:pPr>
      <w:bookmarkStart w:id="5" w:name="bookmark5"/>
      <w:r>
        <w:rPr>
          <w:rFonts w:ascii="Times New Roman" w:eastAsia="Times New Roman" w:hAnsi="Times New Roman" w:cs="Times New Roman"/>
          <w:color w:val="000000"/>
          <w:spacing w:val="0"/>
          <w:w w:val="100"/>
          <w:position w:val="0"/>
          <w:sz w:val="22"/>
          <w:szCs w:val="22"/>
        </w:rPr>
        <w:t>2</w:t>
      </w:r>
      <w:bookmarkEnd w:id="5"/>
      <w:r>
        <w:rPr>
          <w:color w:val="000000"/>
          <w:spacing w:val="0"/>
          <w:w w:val="100"/>
          <w:position w:val="0"/>
        </w:rPr>
        <w:t>、</w:t>
        <w:tab/>
        <w:t>公司负责人任峻先生、主管会计工作负责人黄巍女士及会计机构负责人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华志松 先生声明：保证本年度报告中财务报告的真实、准确、完整。</w:t>
      </w:r>
    </w:p>
    <w:p>
      <w:pPr>
        <w:pStyle w:val="Style17"/>
        <w:keepNext w:val="0"/>
        <w:keepLines w:val="0"/>
        <w:widowControl w:val="0"/>
        <w:shd w:val="clear" w:color="auto" w:fill="auto"/>
        <w:tabs>
          <w:tab w:pos="842" w:val="left"/>
        </w:tabs>
        <w:bidi w:val="0"/>
        <w:spacing w:before="0" w:after="0" w:line="480" w:lineRule="exact"/>
        <w:ind w:left="0" w:right="0" w:firstLine="460"/>
        <w:jc w:val="both"/>
      </w:pPr>
      <w:bookmarkStart w:id="6" w:name="bookmark6"/>
      <w:r>
        <w:rPr>
          <w:rFonts w:ascii="Times New Roman" w:eastAsia="Times New Roman" w:hAnsi="Times New Roman" w:cs="Times New Roman"/>
          <w:color w:val="000000"/>
          <w:spacing w:val="0"/>
          <w:w w:val="100"/>
          <w:position w:val="0"/>
          <w:sz w:val="22"/>
          <w:szCs w:val="22"/>
        </w:rPr>
        <w:t>3</w:t>
      </w:r>
      <w:bookmarkEnd w:id="6"/>
      <w:r>
        <w:rPr>
          <w:color w:val="000000"/>
          <w:spacing w:val="0"/>
          <w:w w:val="100"/>
          <w:position w:val="0"/>
        </w:rPr>
        <w:t>、</w:t>
        <w:tab/>
        <w:t>所有董事均已出席了审议本报告的董事会会议。</w:t>
      </w:r>
    </w:p>
    <w:p>
      <w:pPr>
        <w:pStyle w:val="Style17"/>
        <w:keepNext w:val="0"/>
        <w:keepLines w:val="0"/>
        <w:widowControl w:val="0"/>
        <w:shd w:val="clear" w:color="auto" w:fill="auto"/>
        <w:tabs>
          <w:tab w:pos="819" w:val="left"/>
        </w:tabs>
        <w:bidi w:val="0"/>
        <w:spacing w:before="0" w:after="0" w:line="480" w:lineRule="exact"/>
        <w:ind w:left="0" w:right="0" w:firstLine="460"/>
        <w:jc w:val="both"/>
      </w:pPr>
      <w:bookmarkStart w:id="7" w:name="bookmark7"/>
      <w:r>
        <w:rPr>
          <w:rFonts w:ascii="Times New Roman" w:eastAsia="Times New Roman" w:hAnsi="Times New Roman" w:cs="Times New Roman"/>
          <w:color w:val="000000"/>
          <w:spacing w:val="0"/>
          <w:w w:val="100"/>
          <w:position w:val="0"/>
          <w:sz w:val="22"/>
          <w:szCs w:val="22"/>
        </w:rPr>
        <w:t>4</w:t>
      </w:r>
      <w:bookmarkEnd w:id="7"/>
      <w:r>
        <w:rPr>
          <w:color w:val="000000"/>
          <w:spacing w:val="0"/>
          <w:w w:val="100"/>
          <w:position w:val="0"/>
        </w:rPr>
        <w:t>、</w:t>
        <w:tab/>
        <w:t>普华永道中天会计师事务所（特殊普通合伙）为公司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年年度财务报告出具了带与持续经 营相关的重大不确定性段落的无保留意见审计报告。本公司董事会、监事会、独立董事对相关事项已 有详细说明，请投资者注意阅读。</w:t>
      </w:r>
    </w:p>
    <w:p>
      <w:pPr>
        <w:pStyle w:val="Style17"/>
        <w:keepNext w:val="0"/>
        <w:keepLines w:val="0"/>
        <w:widowControl w:val="0"/>
        <w:shd w:val="clear" w:color="auto" w:fill="auto"/>
        <w:tabs>
          <w:tab w:pos="842" w:val="left"/>
        </w:tabs>
        <w:bidi w:val="0"/>
        <w:spacing w:before="0" w:after="200" w:line="475" w:lineRule="exact"/>
        <w:ind w:left="0" w:right="0" w:firstLine="460"/>
        <w:jc w:val="both"/>
      </w:pPr>
      <w:bookmarkStart w:id="8" w:name="bookmark8"/>
      <w:r>
        <w:rPr>
          <w:rFonts w:ascii="Times New Roman" w:eastAsia="Times New Roman" w:hAnsi="Times New Roman" w:cs="Times New Roman"/>
          <w:color w:val="000000"/>
          <w:spacing w:val="0"/>
          <w:w w:val="100"/>
          <w:position w:val="0"/>
          <w:sz w:val="22"/>
          <w:szCs w:val="22"/>
        </w:rPr>
        <w:t>5</w:t>
      </w:r>
      <w:bookmarkEnd w:id="8"/>
      <w:r>
        <w:rPr>
          <w:color w:val="000000"/>
          <w:spacing w:val="0"/>
          <w:w w:val="100"/>
          <w:position w:val="0"/>
        </w:rPr>
        <w:t>、</w:t>
        <w:tab/>
        <w:t>内部控制重大缺陷提示</w:t>
      </w:r>
    </w:p>
    <w:p>
      <w:pPr>
        <w:pStyle w:val="Style17"/>
        <w:keepNext w:val="0"/>
        <w:keepLines w:val="0"/>
        <w:widowControl w:val="0"/>
        <w:shd w:val="clear" w:color="auto" w:fill="auto"/>
        <w:bidi w:val="0"/>
        <w:spacing w:before="0" w:after="0" w:line="451"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tabs>
          <w:tab w:pos="838" w:val="left"/>
        </w:tabs>
        <w:bidi w:val="0"/>
        <w:spacing w:before="0" w:after="200" w:line="475" w:lineRule="exact"/>
        <w:ind w:left="0" w:right="0" w:firstLine="460"/>
        <w:jc w:val="both"/>
      </w:pPr>
      <w:bookmarkStart w:id="9" w:name="bookmark9"/>
      <w:r>
        <w:rPr>
          <w:rFonts w:ascii="Times New Roman" w:eastAsia="Times New Roman" w:hAnsi="Times New Roman" w:cs="Times New Roman"/>
          <w:color w:val="000000"/>
          <w:spacing w:val="0"/>
          <w:w w:val="100"/>
          <w:position w:val="0"/>
          <w:sz w:val="22"/>
          <w:szCs w:val="22"/>
        </w:rPr>
        <w:t>6</w:t>
      </w:r>
      <w:bookmarkEnd w:id="9"/>
      <w:r>
        <w:rPr>
          <w:color w:val="000000"/>
          <w:spacing w:val="0"/>
          <w:w w:val="100"/>
          <w:position w:val="0"/>
        </w:rPr>
        <w:t>、</w:t>
        <w:tab/>
        <w:t>对年度报告涉及未来计划等前瞻性陈述的风险提示</w:t>
      </w:r>
    </w:p>
    <w:p>
      <w:pPr>
        <w:pStyle w:val="Style17"/>
        <w:keepNext w:val="0"/>
        <w:keepLines w:val="0"/>
        <w:widowControl w:val="0"/>
        <w:shd w:val="clear" w:color="auto" w:fill="auto"/>
        <w:bidi w:val="0"/>
        <w:spacing w:before="0" w:after="0" w:line="451"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0" w:line="475" w:lineRule="exact"/>
        <w:ind w:left="0" w:right="0" w:firstLine="460"/>
        <w:jc w:val="both"/>
      </w:pPr>
      <w:r>
        <w:rPr>
          <w:color w:val="000000"/>
          <w:spacing w:val="0"/>
          <w:w w:val="100"/>
          <w:position w:val="0"/>
        </w:rPr>
        <w:t>本公司请投资者认真阅读本年度报告全文，并特别注意下列风险因素。</w:t>
      </w:r>
    </w:p>
    <w:p>
      <w:pPr>
        <w:pStyle w:val="Style17"/>
        <w:keepNext w:val="0"/>
        <w:keepLines w:val="0"/>
        <w:widowControl w:val="0"/>
        <w:shd w:val="clear" w:color="auto" w:fill="auto"/>
        <w:bidi w:val="0"/>
        <w:spacing w:before="0" w:after="0" w:line="475" w:lineRule="exact"/>
        <w:ind w:left="0" w:right="0" w:firstLine="460"/>
        <w:jc w:val="both"/>
      </w:pPr>
      <w:r>
        <w:rPr>
          <w:color w:val="000000"/>
          <w:spacing w:val="0"/>
          <w:w w:val="100"/>
          <w:position w:val="0"/>
        </w:rPr>
        <w:t>根据《深圳证券交易所股票上市规则（</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年修订）</w:t>
      </w:r>
      <w:r>
        <w:rPr>
          <w:rFonts w:ascii="Times New Roman" w:eastAsia="Times New Roman" w:hAnsi="Times New Roman" w:cs="Times New Roman"/>
          <w:color w:val="000000"/>
          <w:spacing w:val="0"/>
          <w:w w:val="100"/>
          <w:position w:val="0"/>
          <w:sz w:val="22"/>
          <w:szCs w:val="22"/>
        </w:rPr>
        <w:t>9.8.1</w:t>
      </w:r>
      <w:r>
        <w:rPr>
          <w:color w:val="000000"/>
          <w:spacing w:val="0"/>
          <w:w w:val="100"/>
          <w:position w:val="0"/>
        </w:rPr>
        <w:t>相关规定，公司股票触及其他风险警 示情形，请投资者特别关注，注意投资风险。</w:t>
      </w:r>
    </w:p>
    <w:p>
      <w:pPr>
        <w:pStyle w:val="Style17"/>
        <w:keepNext w:val="0"/>
        <w:keepLines w:val="0"/>
        <w:widowControl w:val="0"/>
        <w:shd w:val="clear" w:color="auto" w:fill="auto"/>
        <w:tabs>
          <w:tab w:pos="838" w:val="left"/>
        </w:tabs>
        <w:bidi w:val="0"/>
        <w:spacing w:before="0" w:after="0" w:line="475" w:lineRule="exact"/>
        <w:ind w:left="0" w:right="0" w:firstLine="460"/>
        <w:jc w:val="both"/>
      </w:pPr>
      <w:bookmarkStart w:id="10" w:name="bookmark10"/>
      <w:r>
        <w:rPr>
          <w:rFonts w:ascii="Times New Roman" w:eastAsia="Times New Roman" w:hAnsi="Times New Roman" w:cs="Times New Roman"/>
          <w:color w:val="000000"/>
          <w:spacing w:val="0"/>
          <w:w w:val="100"/>
          <w:position w:val="0"/>
          <w:sz w:val="22"/>
          <w:szCs w:val="22"/>
        </w:rPr>
        <w:t>7</w:t>
      </w:r>
      <w:bookmarkEnd w:id="10"/>
      <w:r>
        <w:rPr>
          <w:color w:val="000000"/>
          <w:spacing w:val="0"/>
          <w:w w:val="100"/>
          <w:position w:val="0"/>
        </w:rPr>
        <w:t>、</w:t>
        <w:tab/>
        <w:t>公司是否需要遵守特殊行业的披露要求</w:t>
      </w:r>
    </w:p>
    <w:p>
      <w:pPr>
        <w:pStyle w:val="Style17"/>
        <w:keepNext w:val="0"/>
        <w:keepLines w:val="0"/>
        <w:widowControl w:val="0"/>
        <w:shd w:val="clear" w:color="auto" w:fill="auto"/>
        <w:bidi w:val="0"/>
        <w:spacing w:before="0" w:after="0" w:line="475" w:lineRule="exact"/>
        <w:ind w:left="0" w:right="0" w:firstLine="460"/>
        <w:jc w:val="both"/>
      </w:pPr>
      <w:r>
        <w:rPr>
          <w:color w:val="000000"/>
          <w:spacing w:val="0"/>
          <w:w w:val="100"/>
          <w:position w:val="0"/>
        </w:rPr>
        <w:t>是</w:t>
      </w:r>
    </w:p>
    <w:p>
      <w:pPr>
        <w:pStyle w:val="Style17"/>
        <w:keepNext w:val="0"/>
        <w:keepLines w:val="0"/>
        <w:widowControl w:val="0"/>
        <w:shd w:val="clear" w:color="auto" w:fill="auto"/>
        <w:bidi w:val="0"/>
        <w:spacing w:before="0" w:after="0" w:line="475" w:lineRule="exact"/>
        <w:ind w:left="0" w:right="0" w:firstLine="460"/>
        <w:jc w:val="both"/>
      </w:pPr>
      <w:r>
        <w:rPr>
          <w:color w:val="000000"/>
          <w:spacing w:val="0"/>
          <w:w w:val="100"/>
          <w:position w:val="0"/>
        </w:rPr>
        <w:t>零售相关业</w:t>
      </w:r>
    </w:p>
    <w:p>
      <w:pPr>
        <w:pStyle w:val="Style17"/>
        <w:keepNext w:val="0"/>
        <w:keepLines w:val="0"/>
        <w:widowControl w:val="0"/>
        <w:shd w:val="clear" w:color="auto" w:fill="auto"/>
        <w:tabs>
          <w:tab w:pos="838" w:val="left"/>
        </w:tabs>
        <w:bidi w:val="0"/>
        <w:spacing w:before="0" w:after="320" w:line="475" w:lineRule="exact"/>
        <w:ind w:left="0" w:right="0" w:firstLine="460"/>
        <w:jc w:val="both"/>
        <w:sectPr>
          <w:footnotePr>
            <w:pos w:val="pageBottom"/>
            <w:numFmt w:val="decimal"/>
            <w:numRestart w:val="continuous"/>
          </w:footnotePr>
          <w:pgSz w:w="11900" w:h="16840"/>
          <w:pgMar w:top="1930" w:right="1109" w:bottom="1930" w:left="1109" w:header="0" w:footer="3" w:gutter="0"/>
          <w:cols w:space="720"/>
          <w:noEndnote/>
          <w:rtlGutter w:val="0"/>
          <w:docGrid w:linePitch="360"/>
        </w:sectPr>
      </w:pPr>
      <w:bookmarkStart w:id="11" w:name="bookmark11"/>
      <w:r>
        <w:rPr>
          <w:rFonts w:ascii="Times New Roman" w:eastAsia="Times New Roman" w:hAnsi="Times New Roman" w:cs="Times New Roman"/>
          <w:color w:val="000000"/>
          <w:spacing w:val="0"/>
          <w:w w:val="100"/>
          <w:position w:val="0"/>
          <w:sz w:val="22"/>
          <w:szCs w:val="22"/>
        </w:rPr>
        <w:t>8</w:t>
      </w:r>
      <w:bookmarkEnd w:id="11"/>
      <w:r>
        <w:rPr>
          <w:color w:val="000000"/>
          <w:spacing w:val="0"/>
          <w:w w:val="100"/>
          <w:position w:val="0"/>
        </w:rPr>
        <w:t>、</w:t>
        <w:tab/>
        <w:t>公司计划不派发现金红利，不送红股，不以公积金转增股本。</w:t>
      </w:r>
    </w:p>
    <w:p>
      <w:pPr>
        <w:pStyle w:val="Style21"/>
        <w:keepNext w:val="0"/>
        <w:keepLines w:val="0"/>
        <w:widowControl w:val="0"/>
        <w:shd w:val="clear" w:color="auto" w:fill="auto"/>
        <w:tabs>
          <w:tab w:leader="dot" w:pos="9605"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1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51"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1"/>
        <w:keepNext w:val="0"/>
        <w:keepLines w:val="0"/>
        <w:widowControl w:val="0"/>
        <w:shd w:val="clear" w:color="auto" w:fill="auto"/>
        <w:tabs>
          <w:tab w:pos="901" w:val="left"/>
          <w:tab w:leader="dot" w:pos="9605" w:val="right"/>
        </w:tabs>
        <w:bidi w:val="0"/>
        <w:spacing w:before="0" w:line="240" w:lineRule="auto"/>
        <w:ind w:left="0" w:right="0" w:firstLine="0"/>
        <w:jc w:val="both"/>
      </w:pPr>
      <w:hyperlink w:anchor="bookmark224" w:tooltip="Current Document">
        <w:r>
          <w:rPr>
            <w:color w:val="000000"/>
            <w:spacing w:val="0"/>
            <w:w w:val="100"/>
            <w:position w:val="0"/>
            <w:sz w:val="24"/>
            <w:szCs w:val="24"/>
          </w:rPr>
          <w:t>第四节</w:t>
          <w:tab/>
          <w:t>公司未来发展展望</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251" w:tooltip="Current Document">
        <w:r>
          <w:rPr>
            <w:color w:val="000000"/>
            <w:spacing w:val="0"/>
            <w:w w:val="100"/>
            <w:position w:val="0"/>
            <w:sz w:val="24"/>
            <w:szCs w:val="24"/>
          </w:rPr>
          <w:t>第五节公司治理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419" w:tooltip="Current Document">
        <w:r>
          <w:rPr>
            <w:color w:val="000000"/>
            <w:spacing w:val="0"/>
            <w:w w:val="100"/>
            <w:position w:val="0"/>
            <w:sz w:val="24"/>
            <w:szCs w:val="24"/>
          </w:rPr>
          <w:t>第六节环境和社会责任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437" w:tooltip="Current Document">
        <w:r>
          <w:rPr>
            <w:color w:val="000000"/>
            <w:spacing w:val="0"/>
            <w:w w:val="100"/>
            <w:position w:val="0"/>
            <w:sz w:val="24"/>
            <w:szCs w:val="24"/>
          </w:rPr>
          <w:t>第七节重要事项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594" w:tooltip="Current Document">
        <w:r>
          <w:rPr>
            <w:color w:val="000000"/>
            <w:spacing w:val="0"/>
            <w:w w:val="100"/>
            <w:position w:val="0"/>
            <w:sz w:val="24"/>
            <w:szCs w:val="24"/>
          </w:rPr>
          <w:t>第八节股份变动及股东情况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132</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651" w:tooltip="Current Document">
        <w:r>
          <w:rPr>
            <w:color w:val="000000"/>
            <w:spacing w:val="0"/>
            <w:w w:val="100"/>
            <w:position w:val="0"/>
            <w:sz w:val="24"/>
            <w:szCs w:val="24"/>
          </w:rPr>
          <w:t>第九节优先股相关情况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140</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655" w:tooltip="Current Document">
        <w:r>
          <w:rPr>
            <w:color w:val="000000"/>
            <w:spacing w:val="0"/>
            <w:w w:val="100"/>
            <w:position w:val="0"/>
            <w:sz w:val="24"/>
            <w:szCs w:val="24"/>
          </w:rPr>
          <w:t>第十节债券相关情况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141</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sectPr>
          <w:footnotePr>
            <w:pos w:val="pageBottom"/>
            <w:numFmt w:val="decimal"/>
            <w:numRestart w:val="continuous"/>
          </w:footnotePr>
          <w:pgSz w:w="11900" w:h="16840"/>
          <w:pgMar w:top="3553" w:right="1123" w:bottom="3553" w:left="1109" w:header="0" w:footer="3" w:gutter="0"/>
          <w:cols w:space="720"/>
          <w:noEndnote/>
          <w:rtlGutter w:val="0"/>
          <w:docGrid w:linePitch="360"/>
        </w:sectPr>
      </w:pPr>
      <w:hyperlink w:anchor="bookmark745"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152</w:t>
        </w:r>
      </w:hyperlink>
      <w:r>
        <w:fldChar w:fldCharType="end"/>
      </w:r>
    </w:p>
    <w:p>
      <w:pPr>
        <w:pStyle w:val="Style24"/>
        <w:keepNext w:val="0"/>
        <w:keepLines w:val="0"/>
        <w:widowControl w:val="0"/>
        <w:shd w:val="clear" w:color="auto" w:fill="auto"/>
        <w:bidi w:val="0"/>
        <w:spacing w:before="0" w:line="240" w:lineRule="auto"/>
        <w:ind w:left="0" w:right="0" w:firstLine="0"/>
        <w:jc w:val="center"/>
      </w:pPr>
      <w:r>
        <w:rPr>
          <w:color w:val="000000"/>
          <w:spacing w:val="0"/>
          <w:w w:val="100"/>
          <w:position w:val="0"/>
        </w:rPr>
        <w:t>备查文件目录</w:t>
      </w:r>
    </w:p>
    <w:p>
      <w:pPr>
        <w:pStyle w:val="Style17"/>
        <w:keepNext w:val="0"/>
        <w:keepLines w:val="0"/>
        <w:widowControl w:val="0"/>
        <w:shd w:val="clear" w:color="auto" w:fill="auto"/>
        <w:tabs>
          <w:tab w:pos="1170" w:val="left"/>
        </w:tabs>
        <w:bidi w:val="0"/>
        <w:spacing w:before="0" w:after="0" w:line="470" w:lineRule="exact"/>
        <w:ind w:left="0" w:right="0" w:firstLine="460"/>
        <w:jc w:val="left"/>
      </w:pPr>
      <w:bookmarkStart w:id="12" w:name="bookmark12"/>
      <w:r>
        <w:rPr>
          <w:color w:val="000000"/>
          <w:spacing w:val="0"/>
          <w:w w:val="100"/>
          <w:position w:val="0"/>
        </w:rPr>
        <w:t>（</w:t>
      </w:r>
      <w:bookmarkEnd w:id="12"/>
      <w:r>
        <w:rPr>
          <w:color w:val="000000"/>
          <w:spacing w:val="0"/>
          <w:w w:val="100"/>
          <w:position w:val="0"/>
        </w:rPr>
        <w:t>一）</w:t>
        <w:tab/>
        <w:t>载有公司负责人、主管会计工作负责人、会计机构负责人（会计主管人员）签名并盖章的 财务报表。</w:t>
      </w:r>
    </w:p>
    <w:p>
      <w:pPr>
        <w:pStyle w:val="Style17"/>
        <w:keepNext w:val="0"/>
        <w:keepLines w:val="0"/>
        <w:widowControl w:val="0"/>
        <w:shd w:val="clear" w:color="auto" w:fill="auto"/>
        <w:tabs>
          <w:tab w:pos="1073" w:val="left"/>
        </w:tabs>
        <w:bidi w:val="0"/>
        <w:spacing w:before="0" w:after="0" w:line="470" w:lineRule="exact"/>
        <w:ind w:left="0" w:right="0" w:firstLine="460"/>
        <w:jc w:val="left"/>
      </w:pPr>
      <w:bookmarkStart w:id="13" w:name="bookmark13"/>
      <w:r>
        <w:rPr>
          <w:color w:val="000000"/>
          <w:spacing w:val="0"/>
          <w:w w:val="100"/>
          <w:position w:val="0"/>
        </w:rPr>
        <w:t>（</w:t>
      </w:r>
      <w:bookmarkEnd w:id="13"/>
      <w:r>
        <w:rPr>
          <w:color w:val="000000"/>
          <w:spacing w:val="0"/>
          <w:w w:val="100"/>
          <w:position w:val="0"/>
        </w:rPr>
        <w:t>二）</w:t>
        <w:tab/>
        <w:t>载有会计师事务所盖章、注册会计师签名并盖章的审计报告原件。</w:t>
      </w:r>
    </w:p>
    <w:p>
      <w:pPr>
        <w:pStyle w:val="Style17"/>
        <w:keepNext w:val="0"/>
        <w:keepLines w:val="0"/>
        <w:widowControl w:val="0"/>
        <w:shd w:val="clear" w:color="auto" w:fill="auto"/>
        <w:tabs>
          <w:tab w:pos="1073" w:val="left"/>
        </w:tabs>
        <w:bidi w:val="0"/>
        <w:spacing w:before="0" w:after="0" w:line="470" w:lineRule="exact"/>
        <w:ind w:left="0" w:right="0" w:firstLine="460"/>
        <w:jc w:val="left"/>
      </w:pPr>
      <w:bookmarkStart w:id="14" w:name="bookmark14"/>
      <w:r>
        <w:rPr>
          <w:color w:val="000000"/>
          <w:spacing w:val="0"/>
          <w:w w:val="100"/>
          <w:position w:val="0"/>
        </w:rPr>
        <w:t>（</w:t>
      </w:r>
      <w:bookmarkEnd w:id="14"/>
      <w:r>
        <w:rPr>
          <w:color w:val="000000"/>
          <w:spacing w:val="0"/>
          <w:w w:val="100"/>
          <w:position w:val="0"/>
        </w:rPr>
        <w:t>三）</w:t>
        <w:tab/>
        <w:t>报告期内公开披露过的所有公司文件的正本及公告的原稿。</w:t>
      </w:r>
    </w:p>
    <w:p>
      <w:pPr>
        <w:pStyle w:val="Style17"/>
        <w:keepNext w:val="0"/>
        <w:keepLines w:val="0"/>
        <w:widowControl w:val="0"/>
        <w:shd w:val="clear" w:color="auto" w:fill="auto"/>
        <w:tabs>
          <w:tab w:pos="1073" w:val="left"/>
        </w:tabs>
        <w:bidi w:val="0"/>
        <w:spacing w:before="0" w:after="0" w:line="470" w:lineRule="exact"/>
        <w:ind w:left="0" w:right="0" w:firstLine="460"/>
        <w:jc w:val="left"/>
        <w:sectPr>
          <w:footnotePr>
            <w:pos w:val="pageBottom"/>
            <w:numFmt w:val="decimal"/>
            <w:numRestart w:val="continuous"/>
          </w:footnotePr>
          <w:pgSz w:w="11900" w:h="16840"/>
          <w:pgMar w:top="2266" w:right="1109" w:bottom="2266" w:left="1109" w:header="0" w:footer="3" w:gutter="0"/>
          <w:cols w:space="720"/>
          <w:noEndnote/>
          <w:rtlGutter w:val="0"/>
          <w:docGrid w:linePitch="360"/>
        </w:sectPr>
      </w:pPr>
      <w:bookmarkStart w:id="15" w:name="bookmark15"/>
      <w:r>
        <w:rPr>
          <w:color w:val="000000"/>
          <w:spacing w:val="0"/>
          <w:w w:val="100"/>
          <w:position w:val="0"/>
        </w:rPr>
        <w:t>（</w:t>
      </w:r>
      <w:bookmarkEnd w:id="15"/>
      <w:r>
        <w:rPr>
          <w:color w:val="000000"/>
          <w:spacing w:val="0"/>
          <w:w w:val="100"/>
          <w:position w:val="0"/>
        </w:rPr>
        <w:t>四）</w:t>
        <w:tab/>
        <w:t>在其他证券市场公布的年度报告。</w:t>
      </w:r>
    </w:p>
    <w:p>
      <w:pPr>
        <w:pStyle w:val="Style15"/>
        <w:keepNext/>
        <w:keepLines/>
        <w:widowControl w:val="0"/>
        <w:shd w:val="clear" w:color="auto" w:fill="auto"/>
        <w:bidi w:val="0"/>
        <w:spacing w:after="46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6"/>
        <w:keepNext w:val="0"/>
        <w:keepLines w:val="0"/>
        <w:widowControl w:val="0"/>
        <w:shd w:val="clear" w:color="auto" w:fill="auto"/>
        <w:bidi w:val="0"/>
        <w:spacing w:before="0" w:after="0" w:line="240" w:lineRule="auto"/>
        <w:ind w:left="245" w:right="0" w:firstLine="0"/>
        <w:jc w:val="left"/>
        <w:rPr>
          <w:sz w:val="24"/>
          <w:szCs w:val="24"/>
        </w:rPr>
      </w:pPr>
      <w:bookmarkStart w:id="19" w:name="bookmark19"/>
      <w:bookmarkStart w:id="20" w:name="bookmark20"/>
      <w:r>
        <w:rPr>
          <w:b/>
          <w:bCs/>
          <w:color w:val="000000"/>
          <w:spacing w:val="0"/>
          <w:w w:val="100"/>
          <w:position w:val="0"/>
          <w:sz w:val="24"/>
          <w:szCs w:val="24"/>
        </w:rPr>
        <w:t>、公司信息</w:t>
      </w:r>
      <w:bookmarkEnd w:id="20"/>
      <w:bookmarkEnd w:id="19"/>
    </w:p>
    <w:tbl>
      <w:tblPr>
        <w:tblOverlap w:val="never"/>
        <w:jc w:val="center"/>
        <w:tblLayout w:type="fixed"/>
      </w:tblPr>
      <w:tblGrid>
        <w:gridCol w:w="3312"/>
        <w:gridCol w:w="6398"/>
      </w:tblGrid>
      <w:tr>
        <w:trPr>
          <w:trHeight w:val="32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股票简称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tabs>
                <w:tab w:pos="1997" w:val="left"/>
                <w:tab w:pos="4176" w:val="left"/>
              </w:tabs>
              <w:bidi w:val="0"/>
              <w:spacing w:before="0" w:after="0" w:line="240" w:lineRule="auto"/>
              <w:ind w:left="0" w:right="0" w:firstLine="0"/>
              <w:jc w:val="left"/>
            </w:pPr>
            <w:r>
              <w:rPr>
                <w:rFonts w:ascii="SimSun" w:eastAsia="SimSun" w:hAnsi="SimSun" w:cs="SimSun"/>
                <w:color w:val="000000"/>
                <w:spacing w:val="0"/>
                <w:w w:val="100"/>
                <w:position w:val="0"/>
                <w:sz w:val="20"/>
                <w:szCs w:val="20"/>
              </w:rPr>
              <w:t>苏宁易购</w:t>
              <w:tab/>
              <w:t>股票代码</w:t>
              <w:tab/>
            </w:r>
            <w:r>
              <w:rPr>
                <w:color w:val="000000"/>
                <w:spacing w:val="0"/>
                <w:w w:val="100"/>
                <w:position w:val="0"/>
              </w:rPr>
              <w:t>002024</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变更后的股票简称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股票上市证券交易所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深圳证券交易所</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公司的中文名称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苏宁易购集团股份有限公司</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公司的中文简称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苏宁易购</w:t>
            </w:r>
          </w:p>
        </w:tc>
      </w:tr>
      <w:tr>
        <w:trPr>
          <w:trHeight w:val="32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公司的外文名称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SUNING.COM</w:t>
            </w:r>
            <w:r>
              <w:rPr>
                <w:color w:val="000000"/>
                <w:spacing w:val="0"/>
                <w:w w:val="100"/>
                <w:position w:val="0"/>
              </w:rPr>
              <w:t xml:space="preserve"> CO.,LTD.</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SUNING.COM</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公司的法定代表人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任峻</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注册地址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江苏省南京市山西路</w:t>
            </w:r>
            <w:r>
              <w:rPr>
                <w:color w:val="000000"/>
                <w:spacing w:val="0"/>
                <w:w w:val="100"/>
                <w:position w:val="0"/>
                <w:sz w:val="22"/>
                <w:szCs w:val="22"/>
              </w:rPr>
              <w:t>8</w:t>
            </w:r>
            <w:r>
              <w:rPr>
                <w:rFonts w:ascii="SimSun" w:eastAsia="SimSun" w:hAnsi="SimSun" w:cs="SimSun"/>
                <w:color w:val="000000"/>
                <w:spacing w:val="0"/>
                <w:w w:val="100"/>
                <w:position w:val="0"/>
                <w:sz w:val="20"/>
                <w:szCs w:val="20"/>
              </w:rPr>
              <w:t>号金山大厦</w:t>
            </w:r>
            <w:r>
              <w:rPr>
                <w:color w:val="000000"/>
                <w:spacing w:val="0"/>
                <w:w w:val="100"/>
                <w:position w:val="0"/>
                <w:sz w:val="22"/>
                <w:szCs w:val="22"/>
              </w:rPr>
              <w:t>1-5</w:t>
            </w:r>
            <w:r>
              <w:rPr>
                <w:rFonts w:ascii="SimSun" w:eastAsia="SimSun" w:hAnsi="SimSun" w:cs="SimSun"/>
                <w:color w:val="000000"/>
                <w:spacing w:val="0"/>
                <w:w w:val="100"/>
                <w:position w:val="0"/>
                <w:sz w:val="20"/>
                <w:szCs w:val="20"/>
              </w:rPr>
              <w:t>层</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注册地址的邮政编码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210009</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公司注册地址历史变更情况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无变更</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江苏省南京市玄武区苏宁大道</w:t>
            </w:r>
            <w:r>
              <w:rPr>
                <w:color w:val="000000"/>
                <w:spacing w:val="0"/>
                <w:w w:val="100"/>
                <w:position w:val="0"/>
                <w:sz w:val="22"/>
                <w:szCs w:val="22"/>
              </w:rPr>
              <w:t>1</w:t>
            </w:r>
            <w:r>
              <w:rPr>
                <w:rFonts w:ascii="SimSun" w:eastAsia="SimSun" w:hAnsi="SimSun" w:cs="SimSun"/>
                <w:color w:val="000000"/>
                <w:spacing w:val="0"/>
                <w:w w:val="100"/>
                <w:position w:val="0"/>
                <w:sz w:val="20"/>
                <w:szCs w:val="20"/>
              </w:rPr>
              <w:t>号</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办公地址的邮政编码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210042</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公司网址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http://www.suning.cn</w:t>
            </w:r>
            <w:r>
              <w:rPr>
                <w:rFonts w:ascii="SimSun" w:eastAsia="SimSun" w:hAnsi="SimSun" w:cs="SimSun"/>
                <w:color w:val="000000"/>
                <w:spacing w:val="0"/>
                <w:w w:val="100"/>
                <w:position w:val="0"/>
                <w:sz w:val="20"/>
                <w:szCs w:val="20"/>
              </w:rPr>
              <w:t>、</w:t>
            </w:r>
            <w:r>
              <w:rPr>
                <w:color w:val="000000"/>
                <w:spacing w:val="0"/>
                <w:w w:val="100"/>
                <w:position w:val="0"/>
              </w:rPr>
              <w:t>http://www.suning.com</w:t>
            </w:r>
          </w:p>
        </w:tc>
      </w:tr>
      <w:tr>
        <w:trPr>
          <w:trHeight w:val="331"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stock@suning .com</w:t>
            </w:r>
          </w:p>
        </w:tc>
      </w:tr>
    </w:tbl>
    <w:p>
      <w:pPr>
        <w:widowControl w:val="0"/>
        <w:spacing w:after="299" w:line="1" w:lineRule="exact"/>
      </w:pPr>
    </w:p>
    <w:p>
      <w:pPr>
        <w:pStyle w:val="Style26"/>
        <w:keepNext w:val="0"/>
        <w:keepLines w:val="0"/>
        <w:widowControl w:val="0"/>
        <w:shd w:val="clear" w:color="auto" w:fill="auto"/>
        <w:bidi w:val="0"/>
        <w:spacing w:before="0" w:after="0" w:line="240" w:lineRule="auto"/>
        <w:ind w:left="0" w:right="0" w:firstLine="0"/>
        <w:jc w:val="left"/>
        <w:rPr>
          <w:sz w:val="24"/>
          <w:szCs w:val="24"/>
        </w:rPr>
      </w:pPr>
      <w:bookmarkStart w:id="21" w:name="bookmark21"/>
      <w:r>
        <w:rPr>
          <w:b/>
          <w:bCs/>
          <w:color w:val="000000"/>
          <w:spacing w:val="0"/>
          <w:w w:val="100"/>
          <w:position w:val="0"/>
          <w:sz w:val="24"/>
          <w:szCs w:val="24"/>
        </w:rPr>
        <w:t>二、联系人和联系方式</w:t>
      </w:r>
      <w:bookmarkEnd w:id="21"/>
    </w:p>
    <w:tbl>
      <w:tblPr>
        <w:tblOverlap w:val="never"/>
        <w:jc w:val="center"/>
        <w:tblLayout w:type="fixed"/>
      </w:tblPr>
      <w:tblGrid>
        <w:gridCol w:w="3312"/>
        <w:gridCol w:w="3158"/>
        <w:gridCol w:w="3240"/>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董事会秘书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证券事务代表</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黄巍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刘结</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联系地址</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江苏省南京市玄武区苏宁大道</w:t>
            </w:r>
            <w:r>
              <w:rPr>
                <w:color w:val="000000"/>
                <w:spacing w:val="0"/>
                <w:w w:val="100"/>
                <w:position w:val="0"/>
                <w:sz w:val="22"/>
                <w:szCs w:val="22"/>
              </w:rPr>
              <w:t>1</w:t>
            </w:r>
            <w:r>
              <w:rPr>
                <w:rFonts w:ascii="SimSun" w:eastAsia="SimSun" w:hAnsi="SimSun" w:cs="SimSun"/>
                <w:color w:val="000000"/>
                <w:spacing w:val="0"/>
                <w:w w:val="100"/>
                <w:position w:val="0"/>
                <w:sz w:val="20"/>
                <w:szCs w:val="20"/>
              </w:rPr>
              <w:t>号</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电话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025-84418888-888122/888480</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传真</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025-83213880</w:t>
            </w:r>
          </w:p>
        </w:tc>
      </w:tr>
      <w:tr>
        <w:trPr>
          <w:trHeight w:val="331"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电子信箱</w:t>
            </w:r>
          </w:p>
        </w:tc>
        <w:tc>
          <w:tcPr>
            <w:gridSpan w:val="2"/>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"mailto:stock@suning.com" </w:instrText>
            </w:r>
            <w:r>
              <w:fldChar w:fldCharType="separate"/>
            </w:r>
            <w:r>
              <w:rPr>
                <w:color w:val="000000"/>
                <w:spacing w:val="0"/>
                <w:w w:val="100"/>
                <w:position w:val="0"/>
              </w:rPr>
              <w:t>stock@suning.com</w:t>
            </w:r>
            <w:r>
              <w:fldChar w:fldCharType="end"/>
            </w:r>
          </w:p>
        </w:tc>
      </w:tr>
    </w:tbl>
    <w:p>
      <w:pPr>
        <w:widowControl w:val="0"/>
        <w:spacing w:after="299" w:line="1" w:lineRule="exact"/>
      </w:pPr>
    </w:p>
    <w:p>
      <w:pPr>
        <w:pStyle w:val="Style26"/>
        <w:keepNext w:val="0"/>
        <w:keepLines w:val="0"/>
        <w:widowControl w:val="0"/>
        <w:shd w:val="clear" w:color="auto" w:fill="auto"/>
        <w:bidi w:val="0"/>
        <w:spacing w:before="0" w:after="0" w:line="240" w:lineRule="auto"/>
        <w:ind w:left="0" w:right="0" w:firstLine="0"/>
        <w:jc w:val="left"/>
        <w:rPr>
          <w:sz w:val="24"/>
          <w:szCs w:val="24"/>
        </w:rPr>
      </w:pPr>
      <w:bookmarkStart w:id="22" w:name="bookmark22"/>
      <w:r>
        <w:rPr>
          <w:b/>
          <w:bCs/>
          <w:color w:val="000000"/>
          <w:spacing w:val="0"/>
          <w:w w:val="100"/>
          <w:position w:val="0"/>
          <w:sz w:val="24"/>
          <w:szCs w:val="24"/>
        </w:rPr>
        <w:t>三、信息披露及备置地点</w:t>
      </w:r>
      <w:bookmarkEnd w:id="22"/>
    </w:p>
    <w:tbl>
      <w:tblPr>
        <w:tblOverlap w:val="never"/>
        <w:jc w:val="center"/>
        <w:tblLayout w:type="fixed"/>
      </w:tblPr>
      <w:tblGrid>
        <w:gridCol w:w="3312"/>
        <w:gridCol w:w="6398"/>
      </w:tblGrid>
      <w:tr>
        <w:trPr>
          <w:trHeight w:val="64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公司披露年度报告的证券交易所 网站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深圳证券交易所</w:t>
            </w:r>
            <w:r>
              <w:fldChar w:fldCharType="begin"/>
            </w:r>
            <w:r>
              <w:rPr/>
              <w:instrText> HYPERLINK "http://www.szse.cn" </w:instrText>
            </w:r>
            <w:r>
              <w:fldChar w:fldCharType="separate"/>
            </w:r>
            <w:r>
              <w:rPr>
                <w:color w:val="000000"/>
                <w:spacing w:val="0"/>
                <w:w w:val="100"/>
                <w:position w:val="0"/>
              </w:rPr>
              <w:t>http://www.szse.cn</w:t>
            </w:r>
            <w:r>
              <w:fldChar w:fldCharType="end"/>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公司披露年度报告的媒体名称及 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20"/>
                <w:szCs w:val="20"/>
              </w:rPr>
              <w:t xml:space="preserve">《证券时报》、《中国证券报》、《上海证券报》、《证券日报》、巨潮 资讯网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公司董事会秘书办公室</w:t>
            </w:r>
          </w:p>
        </w:tc>
      </w:tr>
    </w:tbl>
    <w:p>
      <w:pPr>
        <w:widowControl w:val="0"/>
        <w:spacing w:after="299" w:line="1" w:lineRule="exact"/>
      </w:pPr>
    </w:p>
    <w:p>
      <w:pPr>
        <w:pStyle w:val="Style26"/>
        <w:keepNext w:val="0"/>
        <w:keepLines w:val="0"/>
        <w:widowControl w:val="0"/>
        <w:shd w:val="clear" w:color="auto" w:fill="auto"/>
        <w:bidi w:val="0"/>
        <w:spacing w:before="0" w:after="0" w:line="240" w:lineRule="auto"/>
        <w:ind w:left="10" w:right="0" w:firstLine="0"/>
        <w:jc w:val="left"/>
        <w:rPr>
          <w:sz w:val="24"/>
          <w:szCs w:val="24"/>
        </w:rPr>
      </w:pPr>
      <w:bookmarkStart w:id="23" w:name="bookmark23"/>
      <w:r>
        <w:rPr>
          <w:b/>
          <w:bCs/>
          <w:color w:val="000000"/>
          <w:spacing w:val="0"/>
          <w:w w:val="100"/>
          <w:position w:val="0"/>
          <w:sz w:val="24"/>
          <w:szCs w:val="24"/>
        </w:rPr>
        <w:t>四、注册变更情况</w:t>
      </w:r>
      <w:bookmarkEnd w:id="23"/>
    </w:p>
    <w:tbl>
      <w:tblPr>
        <w:tblOverlap w:val="never"/>
        <w:jc w:val="center"/>
        <w:tblLayout w:type="fixed"/>
      </w:tblPr>
      <w:tblGrid>
        <w:gridCol w:w="3288"/>
        <w:gridCol w:w="6422"/>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组织机构代码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91320000608950987L</w:t>
            </w:r>
          </w:p>
        </w:tc>
      </w:tr>
      <w:tr>
        <w:trPr>
          <w:trHeight w:val="64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公司上市以来主营业务的变化情 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无变更</w:t>
            </w:r>
          </w:p>
        </w:tc>
      </w:tr>
    </w:tbl>
    <w:p>
      <w:pPr>
        <w:spacing w:lineRule="exact" w:line="1"/>
        <w:rPr>
          <w:sz w:val="2"/>
          <w:szCs w:val="2"/>
        </w:rPr>
      </w:pPr>
      <w:r>
        <w:br w:type="page"/>
      </w:r>
    </w:p>
    <w:tbl>
      <w:tblPr>
        <w:tblOverlap w:val="never"/>
        <w:jc w:val="center"/>
        <w:tblLayout w:type="fixed"/>
      </w:tblPr>
      <w:tblGrid>
        <w:gridCol w:w="3288"/>
        <w:gridCol w:w="6422"/>
      </w:tblGrid>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历次控股股东的变更情况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r>
              <w:rPr>
                <w:color w:val="000000"/>
                <w:spacing w:val="0"/>
                <w:w w:val="100"/>
                <w:position w:val="0"/>
                <w:sz w:val="22"/>
                <w:szCs w:val="22"/>
              </w:rPr>
              <w:t>30</w:t>
            </w:r>
            <w:r>
              <w:rPr>
                <w:rFonts w:ascii="SimSun" w:eastAsia="SimSun" w:hAnsi="SimSun" w:cs="SimSun"/>
                <w:color w:val="000000"/>
                <w:spacing w:val="0"/>
                <w:w w:val="100"/>
                <w:position w:val="0"/>
                <w:sz w:val="20"/>
                <w:szCs w:val="20"/>
              </w:rPr>
              <w:t>日公司变更为无控股股东、无实际控制人</w:t>
            </w:r>
          </w:p>
        </w:tc>
      </w:tr>
    </w:tbl>
    <w:p>
      <w:pPr>
        <w:pStyle w:val="Style26"/>
        <w:keepNext w:val="0"/>
        <w:keepLines w:val="0"/>
        <w:widowControl w:val="0"/>
        <w:shd w:val="clear" w:color="auto" w:fill="auto"/>
        <w:bidi w:val="0"/>
        <w:spacing w:before="0" w:after="0" w:line="240" w:lineRule="auto"/>
        <w:ind w:left="0" w:right="0" w:firstLine="0"/>
        <w:jc w:val="left"/>
        <w:rPr>
          <w:sz w:val="24"/>
          <w:szCs w:val="24"/>
        </w:rPr>
      </w:pPr>
      <w:bookmarkStart w:id="24" w:name="bookmark24"/>
      <w:r>
        <w:rPr>
          <w:b/>
          <w:bCs/>
          <w:color w:val="000000"/>
          <w:spacing w:val="0"/>
          <w:w w:val="100"/>
          <w:position w:val="0"/>
          <w:sz w:val="24"/>
          <w:szCs w:val="24"/>
        </w:rPr>
        <w:t>五、其他有关资料</w:t>
      </w:r>
      <w:bookmarkEnd w:id="24"/>
    </w:p>
    <w:p>
      <w:pPr>
        <w:widowControl w:val="0"/>
        <w:spacing w:after="399" w:line="1" w:lineRule="exact"/>
      </w:pPr>
    </w:p>
    <w:p>
      <w:pPr>
        <w:pStyle w:val="Style26"/>
        <w:keepNext w:val="0"/>
        <w:keepLines w:val="0"/>
        <w:widowControl w:val="0"/>
        <w:shd w:val="clear" w:color="auto" w:fill="auto"/>
        <w:bidi w:val="0"/>
        <w:spacing w:before="0" w:after="0" w:line="240" w:lineRule="auto"/>
        <w:ind w:left="442" w:right="0" w:firstLine="0"/>
        <w:jc w:val="left"/>
      </w:pPr>
      <w:r>
        <w:rPr>
          <w:color w:val="000000"/>
          <w:spacing w:val="0"/>
          <w:w w:val="100"/>
          <w:position w:val="0"/>
        </w:rPr>
        <w:t>公司聘请的会计师事务所</w:t>
      </w:r>
    </w:p>
    <w:tbl>
      <w:tblPr>
        <w:tblOverlap w:val="never"/>
        <w:jc w:val="center"/>
        <w:tblLayout w:type="fixed"/>
      </w:tblPr>
      <w:tblGrid>
        <w:gridCol w:w="3288"/>
        <w:gridCol w:w="6422"/>
      </w:tblGrid>
      <w:tr>
        <w:trPr>
          <w:trHeight w:val="32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会计师事务所名称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普华永道中天会计师事务所（特殊普通合伙）</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中国上海市湖滨路</w:t>
            </w:r>
            <w:r>
              <w:rPr>
                <w:color w:val="000000"/>
                <w:spacing w:val="0"/>
                <w:w w:val="100"/>
                <w:position w:val="0"/>
                <w:sz w:val="22"/>
                <w:szCs w:val="22"/>
              </w:rPr>
              <w:t>202</w:t>
            </w:r>
            <w:r>
              <w:rPr>
                <w:rFonts w:ascii="SimSun" w:eastAsia="SimSun" w:hAnsi="SimSun" w:cs="SimSun"/>
                <w:color w:val="000000"/>
                <w:spacing w:val="0"/>
                <w:w w:val="100"/>
                <w:position w:val="0"/>
                <w:sz w:val="20"/>
                <w:szCs w:val="20"/>
              </w:rPr>
              <w:t>号</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钱进、莫冰洁</w:t>
            </w:r>
          </w:p>
        </w:tc>
      </w:tr>
    </w:tbl>
    <w:p>
      <w:pPr>
        <w:widowControl w:val="0"/>
        <w:spacing w:after="119" w:line="1" w:lineRule="exact"/>
      </w:pPr>
    </w:p>
    <w:p>
      <w:pPr>
        <w:pStyle w:val="Style17"/>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公司聘请的报告期内履行持续督导职责的保荐机构</w:t>
      </w:r>
    </w:p>
    <w:p>
      <w:pPr>
        <w:pStyle w:val="Style17"/>
        <w:keepNext w:val="0"/>
        <w:keepLines w:val="0"/>
        <w:widowControl w:val="0"/>
        <w:shd w:val="clear" w:color="auto" w:fill="auto"/>
        <w:bidi w:val="0"/>
        <w:spacing w:before="0" w:after="200" w:line="240" w:lineRule="auto"/>
        <w:ind w:left="0" w:right="0" w:firstLine="46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公司聘请的报告期内履行持续督导职责的财务顾问</w:t>
      </w:r>
    </w:p>
    <w:p>
      <w:pPr>
        <w:pStyle w:val="Style17"/>
        <w:keepNext w:val="0"/>
        <w:keepLines w:val="0"/>
        <w:widowControl w:val="0"/>
        <w:shd w:val="clear" w:color="auto" w:fill="auto"/>
        <w:bidi w:val="0"/>
        <w:spacing w:before="0" w:after="400" w:line="240" w:lineRule="auto"/>
        <w:ind w:left="0" w:right="0" w:firstLine="46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2"/>
        <w:keepNext/>
        <w:keepLines/>
        <w:widowControl w:val="0"/>
        <w:shd w:val="clear" w:color="auto" w:fill="auto"/>
        <w:bidi w:val="0"/>
        <w:spacing w:before="0" w:after="44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、主要会计数据和财务指标</w:t>
      </w:r>
      <w:bookmarkEnd w:id="25"/>
      <w:bookmarkEnd w:id="26"/>
      <w:bookmarkEnd w:id="28"/>
    </w:p>
    <w:p>
      <w:pPr>
        <w:pStyle w:val="Style17"/>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公司是否需追溯调整或重述以前年度会计数据</w:t>
      </w:r>
    </w:p>
    <w:p>
      <w:pPr>
        <w:pStyle w:val="Style17"/>
        <w:keepNext w:val="0"/>
        <w:keepLines w:val="0"/>
        <w:widowControl w:val="0"/>
        <w:shd w:val="clear" w:color="auto" w:fill="auto"/>
        <w:bidi w:val="0"/>
        <w:spacing w:before="0" w:after="120" w:line="240"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3403"/>
        <w:gridCol w:w="1579"/>
        <w:gridCol w:w="1579"/>
        <w:gridCol w:w="1670"/>
        <w:gridCol w:w="1478"/>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2"/>
                <w:szCs w:val="22"/>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本年比上年增减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2"/>
                <w:szCs w:val="22"/>
              </w:rPr>
              <w:t xml:space="preserve">2019 </w:t>
            </w:r>
            <w:r>
              <w:rPr>
                <w:rFonts w:ascii="SimSun" w:eastAsia="SimSun" w:hAnsi="SimSun" w:cs="SimSun"/>
                <w:color w:val="000000"/>
                <w:spacing w:val="0"/>
                <w:w w:val="100"/>
                <w:position w:val="0"/>
                <w:sz w:val="20"/>
                <w:szCs w:val="20"/>
              </w:rPr>
              <w:t>年</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138,904,337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252,295,666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-44.94%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269,228,900</w:t>
            </w:r>
          </w:p>
        </w:tc>
      </w:tr>
      <w:tr>
        <w:trPr>
          <w:trHeight w:val="32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归属于上市公司股东的净利润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-43,264,609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-4,274,696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-912.11%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9,842,955</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归属于上市公司股东的扣除非经常 性损益的净利润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-44,668,520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-6,806,848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-556.23%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-5,710,867</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-6,430,227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-1,621,846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-296.48%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-17,864,555</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基本每股收益（元</w:t>
            </w:r>
            <w:r>
              <w:rPr>
                <w:color w:val="000000"/>
                <w:spacing w:val="0"/>
                <w:w w:val="100"/>
                <w:position w:val="0"/>
                <w:sz w:val="22"/>
                <w:szCs w:val="22"/>
              </w:rPr>
              <w:t>/</w:t>
            </w:r>
            <w:r>
              <w:rPr>
                <w:rFonts w:ascii="SimSun" w:eastAsia="SimSun" w:hAnsi="SimSun" w:cs="SimSun"/>
                <w:color w:val="000000"/>
                <w:spacing w:val="0"/>
                <w:w w:val="100"/>
                <w:position w:val="0"/>
                <w:sz w:val="20"/>
                <w:szCs w:val="2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-910.87%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稀释每股收益（元</w:t>
            </w:r>
            <w:r>
              <w:rPr>
                <w:color w:val="000000"/>
                <w:spacing w:val="0"/>
                <w:w w:val="100"/>
                <w:position w:val="0"/>
                <w:sz w:val="22"/>
                <w:szCs w:val="22"/>
              </w:rPr>
              <w:t>/</w:t>
            </w:r>
            <w:r>
              <w:rPr>
                <w:rFonts w:ascii="SimSun" w:eastAsia="SimSun" w:hAnsi="SimSun" w:cs="SimSun"/>
                <w:color w:val="000000"/>
                <w:spacing w:val="0"/>
                <w:w w:val="100"/>
                <w:position w:val="0"/>
                <w:sz w:val="20"/>
                <w:szCs w:val="2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-910.87%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-74.34%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w:t>
            </w:r>
          </w:p>
        </w:tc>
      </w:tr>
      <w:tr>
        <w:trPr>
          <w:trHeight w:val="6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2"/>
                <w:szCs w:val="22"/>
              </w:rPr>
              <w:t>2020</w:t>
            </w:r>
            <w:r>
              <w:rPr>
                <w:rFonts w:ascii="SimSun" w:eastAsia="SimSun" w:hAnsi="SimSun" w:cs="SimSun"/>
                <w:color w:val="000000"/>
                <w:spacing w:val="0"/>
                <w:w w:val="100"/>
                <w:position w:val="0"/>
                <w:sz w:val="20"/>
                <w:szCs w:val="2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rPr>
                <w:sz w:val="20"/>
                <w:szCs w:val="20"/>
              </w:rPr>
            </w:pPr>
            <w:r>
              <w:rPr>
                <w:rFonts w:ascii="SimSun" w:eastAsia="SimSun" w:hAnsi="SimSun" w:cs="SimSun"/>
                <w:color w:val="000000"/>
                <w:spacing w:val="0"/>
                <w:w w:val="100"/>
                <w:position w:val="0"/>
                <w:sz w:val="20"/>
                <w:szCs w:val="20"/>
              </w:rPr>
              <w:t>本年末比上年末 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2"/>
                <w:szCs w:val="22"/>
              </w:rPr>
              <w:t>2019</w:t>
            </w:r>
            <w:r>
              <w:rPr>
                <w:rFonts w:ascii="SimSun" w:eastAsia="SimSun" w:hAnsi="SimSun" w:cs="SimSun"/>
                <w:color w:val="000000"/>
                <w:spacing w:val="0"/>
                <w:w w:val="100"/>
                <w:position w:val="0"/>
                <w:sz w:val="20"/>
                <w:szCs w:val="20"/>
              </w:rPr>
              <w:t>年末</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总资产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170,738,086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212,075,200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236,855,045</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归属于上市公司股东的净资产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32,098,060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76,857,447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-58.24%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87,921,915</w:t>
            </w:r>
          </w:p>
        </w:tc>
      </w:tr>
    </w:tbl>
    <w:p>
      <w:pPr>
        <w:pStyle w:val="Style17"/>
        <w:keepNext w:val="0"/>
        <w:keepLines w:val="0"/>
        <w:widowControl w:val="0"/>
        <w:shd w:val="clear" w:color="auto" w:fill="auto"/>
        <w:bidi w:val="0"/>
        <w:spacing w:before="0" w:after="0" w:line="468"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、基本每股收益、加权平均净资产收益率均以归属于上市公司股东的净利润计算填列。依 据《企业会计准则第</w:t>
      </w:r>
      <w:r>
        <w:rPr>
          <w:rFonts w:ascii="Times New Roman" w:eastAsia="Times New Roman" w:hAnsi="Times New Roman" w:cs="Times New Roman"/>
          <w:color w:val="000000"/>
          <w:spacing w:val="0"/>
          <w:w w:val="100"/>
          <w:position w:val="0"/>
          <w:sz w:val="22"/>
          <w:szCs w:val="22"/>
        </w:rPr>
        <w:t>34</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xml:space="preserve">每股收益》，报告期内公司基本每股收益扣减了实施股份回购减少的股份 数 </w:t>
      </w:r>
      <w:r>
        <w:rPr>
          <w:rFonts w:ascii="Times New Roman" w:eastAsia="Times New Roman" w:hAnsi="Times New Roman" w:cs="Times New Roman"/>
          <w:color w:val="000000"/>
          <w:spacing w:val="0"/>
          <w:w w:val="100"/>
          <w:position w:val="0"/>
          <w:sz w:val="22"/>
          <w:szCs w:val="22"/>
        </w:rPr>
        <w:t xml:space="preserve">185,488,452 </w:t>
      </w:r>
      <w:r>
        <w:rPr>
          <w:color w:val="000000"/>
          <w:spacing w:val="0"/>
          <w:w w:val="100"/>
          <w:position w:val="0"/>
        </w:rPr>
        <w:t>股。</w:t>
      </w:r>
    </w:p>
    <w:p>
      <w:pPr>
        <w:pStyle w:val="Style17"/>
        <w:keepNext w:val="0"/>
        <w:keepLines w:val="0"/>
        <w:widowControl w:val="0"/>
        <w:shd w:val="clear" w:color="auto" w:fill="auto"/>
        <w:bidi w:val="0"/>
        <w:spacing w:before="0" w:after="200" w:line="466" w:lineRule="exact"/>
        <w:ind w:left="0" w:right="0" w:firstLine="460"/>
        <w:jc w:val="left"/>
      </w:pP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、报告期公司计提减值准备、投资损失、递延所得税转回等因素影响，合计减少归属于上市公 司股东的净利润</w:t>
      </w:r>
      <w:r>
        <w:rPr>
          <w:rFonts w:ascii="Times New Roman" w:eastAsia="Times New Roman" w:hAnsi="Times New Roman" w:cs="Times New Roman"/>
          <w:color w:val="000000"/>
          <w:spacing w:val="0"/>
          <w:w w:val="100"/>
          <w:position w:val="0"/>
          <w:sz w:val="22"/>
          <w:szCs w:val="22"/>
        </w:rPr>
        <w:t>347.02</w:t>
      </w:r>
      <w:r>
        <w:rPr>
          <w:color w:val="000000"/>
          <w:spacing w:val="0"/>
          <w:w w:val="100"/>
          <w:position w:val="0"/>
        </w:rPr>
        <w:t>亿元，若不考虑前述因素的影响，公司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年实现归属于上市公司股东的净 利润亏损</w:t>
      </w:r>
      <w:r>
        <w:rPr>
          <w:rFonts w:ascii="Times New Roman" w:eastAsia="Times New Roman" w:hAnsi="Times New Roman" w:cs="Times New Roman"/>
          <w:color w:val="000000"/>
          <w:spacing w:val="0"/>
          <w:w w:val="100"/>
          <w:position w:val="0"/>
          <w:sz w:val="22"/>
          <w:szCs w:val="22"/>
        </w:rPr>
        <w:t>85.63</w:t>
      </w:r>
      <w:r>
        <w:rPr>
          <w:color w:val="000000"/>
          <w:spacing w:val="0"/>
          <w:w w:val="100"/>
          <w:position w:val="0"/>
        </w:rPr>
        <w:t>亿元。</w:t>
      </w:r>
      <w:r>
        <w:br w:type="page"/>
      </w:r>
    </w:p>
    <w:p>
      <w:pPr>
        <w:pStyle w:val="Style17"/>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 xml:space="preserve">公司最近三个会计年度扣除非经常性损益前后净利润孰低者均为负值，且最近一年审计报告显示 </w:t>
      </w:r>
      <w:r>
        <w:rPr>
          <w:color w:val="000000"/>
          <w:spacing w:val="0"/>
          <w:w w:val="100"/>
          <w:position w:val="0"/>
        </w:rPr>
        <w:t>公司持续经营能力存在不确定性</w:t>
      </w:r>
    </w:p>
    <w:p>
      <w:pPr>
        <w:pStyle w:val="Style17"/>
        <w:keepNext w:val="0"/>
        <w:keepLines w:val="0"/>
        <w:widowControl w:val="0"/>
        <w:shd w:val="clear" w:color="auto" w:fill="auto"/>
        <w:bidi w:val="0"/>
        <w:spacing w:before="0" w:after="220" w:line="240" w:lineRule="auto"/>
        <w:ind w:left="0" w:right="0" w:firstLine="460"/>
        <w:jc w:val="left"/>
      </w:pPr>
      <w:r>
        <w:rPr>
          <w:color w:val="000000"/>
          <w:spacing w:val="0"/>
          <w:w w:val="100"/>
          <w:position w:val="0"/>
          <w:sz w:val="22"/>
          <w:szCs w:val="22"/>
        </w:rPr>
        <w:t>寸</w:t>
      </w:r>
      <w:r>
        <w:rPr>
          <w:color w:val="000000"/>
          <w:spacing w:val="0"/>
          <w:w w:val="100"/>
          <w:position w:val="0"/>
        </w:rPr>
        <w:t>是</w:t>
      </w:r>
      <w:r>
        <w:rPr>
          <w:color w:val="000000"/>
          <w:spacing w:val="0"/>
          <w:w w:val="100"/>
          <w:position w:val="0"/>
          <w:sz w:val="22"/>
          <w:szCs w:val="22"/>
        </w:rPr>
        <w:t>口</w:t>
      </w:r>
      <w:r>
        <w:rPr>
          <w:color w:val="000000"/>
          <w:spacing w:val="0"/>
          <w:w w:val="100"/>
          <w:position w:val="0"/>
        </w:rPr>
        <w:t>否</w:t>
      </w:r>
    </w:p>
    <w:p>
      <w:pPr>
        <w:pStyle w:val="Style17"/>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扣除非经常损益前后的净利润孰低者为负值</w:t>
      </w:r>
    </w:p>
    <w:p>
      <w:pPr>
        <w:pStyle w:val="Style17"/>
        <w:keepNext w:val="0"/>
        <w:keepLines w:val="0"/>
        <w:widowControl w:val="0"/>
        <w:shd w:val="clear" w:color="auto" w:fill="auto"/>
        <w:bidi w:val="0"/>
        <w:spacing w:before="0" w:after="220" w:line="240" w:lineRule="auto"/>
        <w:ind w:left="0" w:right="0" w:firstLine="460"/>
        <w:jc w:val="left"/>
      </w:pPr>
      <w:r>
        <w:rPr>
          <w:color w:val="000000"/>
          <w:spacing w:val="0"/>
          <w:w w:val="100"/>
          <w:position w:val="0"/>
          <w:sz w:val="22"/>
          <w:szCs w:val="22"/>
        </w:rPr>
        <w:t>寸</w:t>
      </w:r>
      <w:r>
        <w:rPr>
          <w:color w:val="000000"/>
          <w:spacing w:val="0"/>
          <w:w w:val="100"/>
          <w:position w:val="0"/>
        </w:rPr>
        <w:t>是</w:t>
      </w:r>
      <w:r>
        <w:rPr>
          <w:color w:val="000000"/>
          <w:spacing w:val="0"/>
          <w:w w:val="100"/>
          <w:position w:val="0"/>
          <w:sz w:val="22"/>
          <w:szCs w:val="22"/>
        </w:rPr>
        <w:t>口</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2434"/>
        <w:gridCol w:w="2419"/>
        <w:gridCol w:w="2424"/>
        <w:gridCol w:w="2434"/>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2020 </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备注</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138,904,337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252,295,666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营业收入扣除金额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6"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营业收入扣除后金额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138,904,337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252,295,666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9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94"/>
        <w:gridCol w:w="511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9,310,039,655</w:t>
            </w:r>
          </w:p>
        </w:tc>
      </w:tr>
    </w:tbl>
    <w:p>
      <w:pPr>
        <w:widowControl w:val="0"/>
        <w:spacing w:after="39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w:t>
      </w:r>
    </w:p>
    <w:tbl>
      <w:tblPr>
        <w:tblOverlap w:val="never"/>
        <w:jc w:val="center"/>
        <w:tblLayout w:type="fixed"/>
      </w:tblPr>
      <w:tblGrid>
        <w:gridCol w:w="4594"/>
        <w:gridCol w:w="5117"/>
      </w:tblGrid>
      <w:tr>
        <w:trPr>
          <w:trHeight w:val="33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支付的优先股股利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支付的永续债利息（元）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用最新股本计算的全面摊薄每股收益（元</w:t>
            </w:r>
            <w:r>
              <w:rPr>
                <w:color w:val="000000"/>
                <w:spacing w:val="0"/>
                <w:w w:val="100"/>
                <w:position w:val="0"/>
                <w:sz w:val="22"/>
                <w:szCs w:val="22"/>
              </w:rPr>
              <w:t>/</w:t>
            </w:r>
            <w:r>
              <w:rPr>
                <w:rFonts w:ascii="SimSun" w:eastAsia="SimSun" w:hAnsi="SimSun" w:cs="SimSun"/>
                <w:color w:val="000000"/>
                <w:spacing w:val="0"/>
                <w:w w:val="100"/>
                <w:position w:val="0"/>
                <w:sz w:val="20"/>
                <w:szCs w:val="20"/>
              </w:rPr>
              <w:t>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-4.6471</w:t>
            </w:r>
          </w:p>
        </w:tc>
      </w:tr>
    </w:tbl>
    <w:p>
      <w:pPr>
        <w:pStyle w:val="Style26"/>
        <w:keepNext w:val="0"/>
        <w:keepLines w:val="0"/>
        <w:widowControl w:val="0"/>
        <w:shd w:val="clear" w:color="auto" w:fill="auto"/>
        <w:bidi w:val="0"/>
        <w:spacing w:before="0" w:after="0" w:line="240" w:lineRule="auto"/>
        <w:ind w:left="0" w:right="0" w:firstLine="0"/>
        <w:jc w:val="left"/>
        <w:rPr>
          <w:sz w:val="24"/>
          <w:szCs w:val="24"/>
        </w:rPr>
      </w:pPr>
      <w:bookmarkStart w:id="29" w:name="bookmark29"/>
      <w:r>
        <w:rPr>
          <w:b/>
          <w:bCs/>
          <w:color w:val="000000"/>
          <w:spacing w:val="0"/>
          <w:w w:val="100"/>
          <w:position w:val="0"/>
          <w:sz w:val="24"/>
          <w:szCs w:val="24"/>
        </w:rPr>
        <w:t>七、分季度主要财务指标</w:t>
      </w:r>
      <w:bookmarkEnd w:id="29"/>
    </w:p>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3408"/>
        <w:gridCol w:w="1574"/>
        <w:gridCol w:w="1574"/>
        <w:gridCol w:w="1570"/>
        <w:gridCol w:w="1584"/>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第三季度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第四季度</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54,005,268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39,600,392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21,968,102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23,330,575</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总费用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9,022,922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8,191,288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7,320,372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5,070,692</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归属于上市公司股东的净利润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456,171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-3,908,158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-4,116,177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-35,696,445</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归属于上市公司股东的扣除非经常 性损益的净利润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-4,085,532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-4,191,821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-35,453,053</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经营活动产生的现金流量净额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468,109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990,368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-5,914,086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-1,974,618</w:t>
            </w:r>
          </w:p>
        </w:tc>
      </w:tr>
    </w:tbl>
    <w:p>
      <w:pPr>
        <w:pStyle w:val="Style26"/>
        <w:keepNext w:val="0"/>
        <w:keepLines w:val="0"/>
        <w:widowControl w:val="0"/>
        <w:shd w:val="clear" w:color="auto" w:fill="auto"/>
        <w:bidi w:val="0"/>
        <w:spacing w:before="0" w:after="0" w:line="240" w:lineRule="auto"/>
        <w:ind w:left="432" w:right="0" w:firstLine="0"/>
        <w:jc w:val="left"/>
      </w:pPr>
      <w:r>
        <w:rPr>
          <w:color w:val="000000"/>
          <w:spacing w:val="0"/>
          <w:w w:val="100"/>
          <w:position w:val="0"/>
        </w:rPr>
        <w:t>注：总费用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销售费用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管理费用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研发费用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财务费用。</w:t>
      </w:r>
    </w:p>
    <w:p>
      <w:pPr>
        <w:pStyle w:val="Style17"/>
        <w:keepNext w:val="0"/>
        <w:keepLines w:val="0"/>
        <w:widowControl w:val="0"/>
        <w:shd w:val="clear" w:color="auto" w:fill="auto"/>
        <w:bidi w:val="0"/>
        <w:spacing w:before="0" w:after="0" w:line="468" w:lineRule="exact"/>
        <w:ind w:left="0" w:right="0" w:firstLine="46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年在多重综合因素之下，公司经营出现较大波折。年初公司即明确要聚焦零售主赛道，快速 调整亏损业务，以效率效益为发展和管理原则。二季度开始，公司受流动性影响压力明显显现，采购 结算资金支付发生困难，商品库存规模急剧下降至历史低谷，经营出现停滞。</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月份，在江苏、南京 省市政府的支持下，公司引入战略投资者、优化董事会结构，确定了 “做好零售服务商、做强供应链、 做优经营质量”的经营方向。总的来看，</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 xml:space="preserve">年全年围绕的主线首先是降本提效，公司总费用水平从 </w:t>
      </w:r>
      <w:r>
        <w:rPr>
          <w:color w:val="000000"/>
          <w:spacing w:val="0"/>
          <w:w w:val="100"/>
          <w:position w:val="0"/>
        </w:rPr>
        <w:t>一季度的</w:t>
      </w:r>
      <w:r>
        <w:rPr>
          <w:rFonts w:ascii="Times New Roman" w:eastAsia="Times New Roman" w:hAnsi="Times New Roman" w:cs="Times New Roman"/>
          <w:color w:val="000000"/>
          <w:spacing w:val="0"/>
          <w:w w:val="100"/>
          <w:position w:val="0"/>
          <w:sz w:val="22"/>
          <w:szCs w:val="22"/>
        </w:rPr>
        <w:t>90.2</w:t>
      </w:r>
      <w:r>
        <w:rPr>
          <w:color w:val="000000"/>
          <w:spacing w:val="0"/>
          <w:w w:val="100"/>
          <w:position w:val="0"/>
        </w:rPr>
        <w:t>亿逐季下降，四季度加速调整至</w:t>
      </w:r>
      <w:r>
        <w:rPr>
          <w:rFonts w:ascii="Times New Roman" w:eastAsia="Times New Roman" w:hAnsi="Times New Roman" w:cs="Times New Roman"/>
          <w:color w:val="000000"/>
          <w:spacing w:val="0"/>
          <w:w w:val="100"/>
          <w:position w:val="0"/>
          <w:sz w:val="22"/>
          <w:szCs w:val="22"/>
        </w:rPr>
        <w:t>50.7</w:t>
      </w:r>
      <w:r>
        <w:rPr>
          <w:color w:val="000000"/>
          <w:spacing w:val="0"/>
          <w:w w:val="100"/>
          <w:position w:val="0"/>
        </w:rPr>
        <w:t>亿。公司在聚焦家电</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核心业务、重点提升忠实 用户经营价值、顺势培育新兴业务的指导原则之下，关闭调整天天快递小件业务、红孩子线下店以及 部分亏损的家电</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门店；优化调整苏宁易购主站、苏宁易购天猫旗舰店的经营策略；加大坪效较低 的店面、仓储的降租、转租、招商力度；通过提升研发效率、组织效率以及考核效率，大力精简组织 冗员和提高人效。全年总费用水平较</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年下降</w:t>
      </w:r>
      <w:r>
        <w:rPr>
          <w:rFonts w:ascii="Times New Roman" w:eastAsia="Times New Roman" w:hAnsi="Times New Roman" w:cs="Times New Roman"/>
          <w:color w:val="000000"/>
          <w:spacing w:val="0"/>
          <w:w w:val="100"/>
          <w:position w:val="0"/>
          <w:sz w:val="22"/>
          <w:szCs w:val="22"/>
        </w:rPr>
        <w:t>14.35%</w:t>
      </w:r>
      <w:r>
        <w:rPr>
          <w:color w:val="000000"/>
          <w:spacing w:val="0"/>
          <w:w w:val="100"/>
          <w:position w:val="0"/>
        </w:rPr>
        <w:t>，四季度费用优化效果进一步体现，环比下 降</w:t>
      </w:r>
      <w:r>
        <w:rPr>
          <w:rFonts w:ascii="Times New Roman" w:eastAsia="Times New Roman" w:hAnsi="Times New Roman" w:cs="Times New Roman"/>
          <w:color w:val="000000"/>
          <w:spacing w:val="0"/>
          <w:w w:val="100"/>
          <w:position w:val="0"/>
          <w:sz w:val="22"/>
          <w:szCs w:val="22"/>
        </w:rPr>
        <w:t>30.73%</w:t>
      </w:r>
      <w:r>
        <w:rPr>
          <w:color w:val="000000"/>
          <w:spacing w:val="0"/>
          <w:w w:val="100"/>
          <w:position w:val="0"/>
        </w:rPr>
        <w:t>、同比下降</w:t>
      </w:r>
      <w:r>
        <w:rPr>
          <w:rFonts w:ascii="Times New Roman" w:eastAsia="Times New Roman" w:hAnsi="Times New Roman" w:cs="Times New Roman"/>
          <w:color w:val="000000"/>
          <w:spacing w:val="0"/>
          <w:w w:val="100"/>
          <w:position w:val="0"/>
          <w:sz w:val="22"/>
          <w:szCs w:val="22"/>
        </w:rPr>
        <w:t>16.36%</w:t>
      </w:r>
      <w:r>
        <w:rPr>
          <w:color w:val="000000"/>
          <w:spacing w:val="0"/>
          <w:w w:val="100"/>
          <w:position w:val="0"/>
        </w:rPr>
        <w:t>。考虑到报告期内公司实施新租赁准则带来的影响以及公司资金状况带 来的利息支出，财务费用较</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 xml:space="preserve">年增加了 </w:t>
      </w:r>
      <w:r>
        <w:rPr>
          <w:rFonts w:ascii="Times New Roman" w:eastAsia="Times New Roman" w:hAnsi="Times New Roman" w:cs="Times New Roman"/>
          <w:color w:val="000000"/>
          <w:spacing w:val="0"/>
          <w:w w:val="100"/>
          <w:position w:val="0"/>
          <w:sz w:val="22"/>
          <w:szCs w:val="22"/>
        </w:rPr>
        <w:t>16.57</w:t>
      </w:r>
      <w:r>
        <w:rPr>
          <w:color w:val="000000"/>
          <w:spacing w:val="0"/>
          <w:w w:val="100"/>
          <w:position w:val="0"/>
        </w:rPr>
        <w:t>亿；若不考虑财务费用，公司三项费用（销售、管理、 研发费用）较</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年下降</w:t>
      </w:r>
      <w:r>
        <w:rPr>
          <w:rFonts w:ascii="Times New Roman" w:eastAsia="Times New Roman" w:hAnsi="Times New Roman" w:cs="Times New Roman"/>
          <w:color w:val="000000"/>
          <w:spacing w:val="0"/>
          <w:w w:val="100"/>
          <w:position w:val="0"/>
          <w:sz w:val="22"/>
          <w:szCs w:val="22"/>
        </w:rPr>
        <w:t>20.30%</w:t>
      </w:r>
      <w:r>
        <w:rPr>
          <w:color w:val="000000"/>
          <w:spacing w:val="0"/>
          <w:w w:val="100"/>
          <w:position w:val="0"/>
        </w:rPr>
        <w:t>，四季度较</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年下降</w:t>
      </w:r>
      <w:r>
        <w:rPr>
          <w:rFonts w:ascii="Times New Roman" w:eastAsia="Times New Roman" w:hAnsi="Times New Roman" w:cs="Times New Roman"/>
          <w:color w:val="000000"/>
          <w:spacing w:val="0"/>
          <w:w w:val="100"/>
          <w:position w:val="0"/>
          <w:sz w:val="22"/>
          <w:szCs w:val="22"/>
        </w:rPr>
        <w:t>34.53%</w:t>
      </w:r>
      <w:r>
        <w:rPr>
          <w:color w:val="000000"/>
          <w:spacing w:val="0"/>
          <w:w w:val="100"/>
          <w:position w:val="0"/>
        </w:rPr>
        <w:t>。</w:t>
      </w:r>
    </w:p>
    <w:p>
      <w:pPr>
        <w:pStyle w:val="Style17"/>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另一方面，结合外部环境的变化、以及公司自身运营情况的变化，公司基于审慎原则对相关资产 计提减值准备、确认投资损失，合计减少公司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年归属于上市公司股东的净利润为</w:t>
      </w:r>
      <w:r>
        <w:rPr>
          <w:rFonts w:ascii="Times New Roman" w:eastAsia="Times New Roman" w:hAnsi="Times New Roman" w:cs="Times New Roman"/>
          <w:color w:val="000000"/>
          <w:spacing w:val="0"/>
          <w:w w:val="100"/>
          <w:position w:val="0"/>
          <w:sz w:val="22"/>
          <w:szCs w:val="22"/>
        </w:rPr>
        <w:t>279.48</w:t>
      </w:r>
      <w:r>
        <w:rPr>
          <w:color w:val="000000"/>
          <w:spacing w:val="0"/>
          <w:w w:val="100"/>
          <w:position w:val="0"/>
        </w:rPr>
        <w:t>亿元（其 中应收账款的坏账准备</w:t>
      </w:r>
      <w:r>
        <w:rPr>
          <w:rFonts w:ascii="Times New Roman" w:eastAsia="Times New Roman" w:hAnsi="Times New Roman" w:cs="Times New Roman"/>
          <w:color w:val="000000"/>
          <w:spacing w:val="0"/>
          <w:w w:val="100"/>
          <w:position w:val="0"/>
          <w:sz w:val="22"/>
          <w:szCs w:val="22"/>
        </w:rPr>
        <w:t>4.43</w:t>
      </w:r>
      <w:r>
        <w:rPr>
          <w:color w:val="000000"/>
          <w:spacing w:val="0"/>
          <w:w w:val="100"/>
          <w:position w:val="0"/>
        </w:rPr>
        <w:t>亿元已经在前三季度中体现）；</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月以来，公司由于流动性持续不 足的问题，商品库存严重不足，销售和采购规模同时大幅下降，导致采购成本提高对应经营利润大幅 下降；同时，对于能够结转以后年度的可抵扣亏损，公司以未来期间很可能获得用来抵扣可抵扣亏损 的应纳税所得额为限，确认递延所得税资产。结合外部环境以及公司自身运营情况变化，部分子公司 业务经营策略有所调整，导致未来期间很可能获得用来抵扣可抵扣亏损的应纳税所得额下降，相应转 回递延所得税资产，前述事项预计减少归属于上市公司股东的净利润</w:t>
      </w:r>
      <w:r>
        <w:rPr>
          <w:rFonts w:ascii="Times New Roman" w:eastAsia="Times New Roman" w:hAnsi="Times New Roman" w:cs="Times New Roman"/>
          <w:color w:val="000000"/>
          <w:spacing w:val="0"/>
          <w:w w:val="100"/>
          <w:position w:val="0"/>
          <w:sz w:val="22"/>
          <w:szCs w:val="22"/>
        </w:rPr>
        <w:t>67.54</w:t>
      </w:r>
      <w:r>
        <w:rPr>
          <w:color w:val="000000"/>
          <w:spacing w:val="0"/>
          <w:w w:val="100"/>
          <w:position w:val="0"/>
        </w:rPr>
        <w:t>亿元。前述合计减少了归 属于上市公司股东的净利润</w:t>
      </w:r>
      <w:r>
        <w:rPr>
          <w:rFonts w:ascii="Times New Roman" w:eastAsia="Times New Roman" w:hAnsi="Times New Roman" w:cs="Times New Roman"/>
          <w:color w:val="000000"/>
          <w:spacing w:val="0"/>
          <w:w w:val="100"/>
          <w:position w:val="0"/>
          <w:sz w:val="22"/>
          <w:szCs w:val="22"/>
        </w:rPr>
        <w:t>347.02</w:t>
      </w:r>
      <w:r>
        <w:rPr>
          <w:color w:val="000000"/>
          <w:spacing w:val="0"/>
          <w:w w:val="100"/>
          <w:position w:val="0"/>
        </w:rPr>
        <w:t>亿元，扣除上述影响，公司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年归属于上市公司股东的净利润 为亏损</w:t>
      </w:r>
      <w:r>
        <w:rPr>
          <w:rFonts w:ascii="Times New Roman" w:eastAsia="Times New Roman" w:hAnsi="Times New Roman" w:cs="Times New Roman"/>
          <w:color w:val="000000"/>
          <w:spacing w:val="0"/>
          <w:w w:val="100"/>
          <w:position w:val="0"/>
          <w:sz w:val="22"/>
          <w:szCs w:val="22"/>
        </w:rPr>
        <w:t>85.63</w:t>
      </w:r>
      <w:r>
        <w:rPr>
          <w:color w:val="000000"/>
          <w:spacing w:val="0"/>
          <w:w w:val="100"/>
          <w:position w:val="0"/>
        </w:rPr>
        <w:t>亿元。</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基于以上综合因素影响，公司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年经营业绩承受了巨大压力，对公司的资产水平、利润水平 产生了很大影响。公司管理层正视当前所面临的问题，在三、四季度更加坚定的开展增收、降本、盘 活资产的各项工作，更加务实的制定各项工作的策略和目标。整体团队也进一步的统一思想，聚焦和 有效的开展经营管理。总的来看，经营在有序恢复。四季度各项有价值贡献的收入逐步稳定，环比商 品销售规模提升</w:t>
      </w:r>
      <w:r>
        <w:rPr>
          <w:rFonts w:ascii="Times New Roman" w:eastAsia="Times New Roman" w:hAnsi="Times New Roman" w:cs="Times New Roman"/>
          <w:color w:val="000000"/>
          <w:spacing w:val="0"/>
          <w:w w:val="100"/>
          <w:position w:val="0"/>
          <w:sz w:val="22"/>
          <w:szCs w:val="22"/>
        </w:rPr>
        <w:t>24.73%</w:t>
      </w:r>
      <w:r>
        <w:rPr>
          <w:color w:val="000000"/>
          <w:spacing w:val="0"/>
          <w:w w:val="100"/>
          <w:position w:val="0"/>
        </w:rPr>
        <w:t>，其中利润贡献权重最大的家电</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门店可比门店销售收入环比增长</w:t>
      </w:r>
      <w:r>
        <w:rPr>
          <w:rFonts w:ascii="Times New Roman" w:eastAsia="Times New Roman" w:hAnsi="Times New Roman" w:cs="Times New Roman"/>
          <w:color w:val="000000"/>
          <w:spacing w:val="0"/>
          <w:w w:val="100"/>
          <w:position w:val="0"/>
          <w:sz w:val="22"/>
          <w:szCs w:val="22"/>
        </w:rPr>
        <w:t>21.91%</w:t>
      </w:r>
      <w:r>
        <w:rPr>
          <w:color w:val="000000"/>
          <w:spacing w:val="0"/>
          <w:w w:val="100"/>
          <w:position w:val="0"/>
        </w:rPr>
        <w:t>， 零售云业务实现单季度</w:t>
      </w:r>
      <w:r>
        <w:rPr>
          <w:rFonts w:ascii="Times New Roman" w:eastAsia="Times New Roman" w:hAnsi="Times New Roman" w:cs="Times New Roman"/>
          <w:color w:val="000000"/>
          <w:spacing w:val="0"/>
          <w:w w:val="100"/>
          <w:position w:val="0"/>
          <w:sz w:val="22"/>
          <w:szCs w:val="22"/>
        </w:rPr>
        <w:t>GMV</w:t>
      </w:r>
      <w:r>
        <w:rPr>
          <w:color w:val="000000"/>
          <w:spacing w:val="0"/>
          <w:w w:val="100"/>
          <w:position w:val="0"/>
        </w:rPr>
        <w:t>规模同比增长</w:t>
      </w:r>
      <w:r>
        <w:rPr>
          <w:rFonts w:ascii="Times New Roman" w:eastAsia="Times New Roman" w:hAnsi="Times New Roman" w:cs="Times New Roman"/>
          <w:color w:val="000000"/>
          <w:spacing w:val="0"/>
          <w:w w:val="100"/>
          <w:position w:val="0"/>
          <w:sz w:val="22"/>
          <w:szCs w:val="22"/>
        </w:rPr>
        <w:t>27%</w:t>
      </w:r>
      <w:r>
        <w:rPr>
          <w:color w:val="000000"/>
          <w:spacing w:val="0"/>
          <w:w w:val="100"/>
          <w:position w:val="0"/>
        </w:rPr>
        <w:t>。总费用水平如前所述环比下降</w:t>
      </w:r>
      <w:r>
        <w:rPr>
          <w:rFonts w:ascii="Times New Roman" w:eastAsia="Times New Roman" w:hAnsi="Times New Roman" w:cs="Times New Roman"/>
          <w:color w:val="000000"/>
          <w:spacing w:val="0"/>
          <w:w w:val="100"/>
          <w:position w:val="0"/>
          <w:sz w:val="22"/>
          <w:szCs w:val="22"/>
        </w:rPr>
        <w:t>30.73%</w:t>
      </w:r>
      <w:r>
        <w:rPr>
          <w:color w:val="000000"/>
          <w:spacing w:val="0"/>
          <w:w w:val="100"/>
          <w:position w:val="0"/>
        </w:rPr>
        <w:t xml:space="preserve">、同比下降 </w:t>
      </w:r>
      <w:r>
        <w:rPr>
          <w:rFonts w:ascii="Times New Roman" w:eastAsia="Times New Roman" w:hAnsi="Times New Roman" w:cs="Times New Roman"/>
          <w:color w:val="000000"/>
          <w:spacing w:val="0"/>
          <w:w w:val="100"/>
          <w:position w:val="0"/>
          <w:sz w:val="22"/>
          <w:szCs w:val="22"/>
        </w:rPr>
        <w:t>16.36%</w:t>
      </w:r>
      <w:r>
        <w:rPr>
          <w:color w:val="000000"/>
          <w:spacing w:val="0"/>
          <w:w w:val="100"/>
          <w:position w:val="0"/>
        </w:rPr>
        <w:t>。扣除年度特别计提的相关资产减值准备、投资损失、递延所得税等因素的影响，四季度公司 归属于上市公司股东的净利润为亏损</w:t>
      </w:r>
      <w:r>
        <w:rPr>
          <w:rFonts w:ascii="Times New Roman" w:eastAsia="Times New Roman" w:hAnsi="Times New Roman" w:cs="Times New Roman"/>
          <w:color w:val="000000"/>
          <w:spacing w:val="0"/>
          <w:w w:val="100"/>
          <w:position w:val="0"/>
          <w:sz w:val="22"/>
          <w:szCs w:val="22"/>
        </w:rPr>
        <w:t>14.37</w:t>
      </w:r>
      <w:r>
        <w:rPr>
          <w:color w:val="000000"/>
          <w:spacing w:val="0"/>
          <w:w w:val="100"/>
          <w:position w:val="0"/>
        </w:rPr>
        <w:t>亿元，环比大幅减亏。</w:t>
      </w:r>
    </w:p>
    <w:p>
      <w:pPr>
        <w:pStyle w:val="Style17"/>
        <w:keepNext w:val="0"/>
        <w:keepLines w:val="0"/>
        <w:widowControl w:val="0"/>
        <w:shd w:val="clear" w:color="auto" w:fill="auto"/>
        <w:bidi w:val="0"/>
        <w:spacing w:before="0" w:after="0" w:line="461" w:lineRule="exact"/>
        <w:ind w:left="0" w:right="0" w:firstLine="460"/>
        <w:jc w:val="both"/>
      </w:pPr>
      <w:r>
        <w:rPr>
          <w:color w:val="000000"/>
          <w:spacing w:val="0"/>
          <w:w w:val="100"/>
          <w:position w:val="0"/>
        </w:rPr>
        <w:t>同时为了更直观的评价公司营运状况恢复的情况，在不考虑非经营性现金流相关的因素</w:t>
      </w:r>
      <w:r>
        <w:rPr>
          <w:rFonts w:ascii="Times New Roman" w:eastAsia="Times New Roman" w:hAnsi="Times New Roman" w:cs="Times New Roman"/>
          <w:color w:val="000000"/>
          <w:spacing w:val="0"/>
          <w:w w:val="100"/>
          <w:position w:val="0"/>
          <w:sz w:val="22"/>
          <w:szCs w:val="22"/>
          <w:vertAlign w:val="superscript"/>
        </w:rPr>
        <w:footnoteReference w:id="2"/>
      </w:r>
      <w:r>
        <w:rPr>
          <w:color w:val="000000"/>
          <w:spacing w:val="0"/>
          <w:w w:val="100"/>
          <w:position w:val="0"/>
        </w:rPr>
        <w:t>影响下， 经公司财务部门统计，公司</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月的月度</w:t>
      </w:r>
      <w:r>
        <w:rPr>
          <w:rFonts w:ascii="Times New Roman" w:eastAsia="Times New Roman" w:hAnsi="Times New Roman" w:cs="Times New Roman"/>
          <w:color w:val="000000"/>
          <w:spacing w:val="0"/>
          <w:w w:val="100"/>
          <w:position w:val="0"/>
          <w:sz w:val="22"/>
          <w:szCs w:val="22"/>
        </w:rPr>
        <w:t>EBITDA</w:t>
      </w:r>
      <w:r>
        <w:rPr>
          <w:rFonts w:ascii="Times New Roman" w:eastAsia="Times New Roman" w:hAnsi="Times New Roman" w:cs="Times New Roman"/>
          <w:color w:val="000000"/>
          <w:spacing w:val="0"/>
          <w:w w:val="100"/>
          <w:position w:val="0"/>
          <w:sz w:val="22"/>
          <w:szCs w:val="22"/>
          <w:vertAlign w:val="superscript"/>
        </w:rPr>
        <w:footnoteReference w:id="3"/>
      </w:r>
      <w:r>
        <w:rPr>
          <w:rFonts w:ascii="Times New Roman" w:eastAsia="Times New Roman" w:hAnsi="Times New Roman" w:cs="Times New Roman"/>
          <w:color w:val="000000"/>
          <w:spacing w:val="0"/>
          <w:w w:val="100"/>
          <w:position w:val="0"/>
          <w:sz w:val="22"/>
          <w:szCs w:val="22"/>
        </w:rPr>
        <w:t xml:space="preserve"> 0.8</w:t>
      </w:r>
      <w:r>
        <w:rPr>
          <w:color w:val="000000"/>
          <w:spacing w:val="0"/>
          <w:w w:val="100"/>
          <w:position w:val="0"/>
        </w:rPr>
        <w:t>亿元，单月转正、且</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月份持续为正，四季度</w:t>
      </w:r>
    </w:p>
    <w:p>
      <w:pPr>
        <w:pStyle w:val="Style17"/>
        <w:keepNext w:val="0"/>
        <w:keepLines w:val="0"/>
        <w:widowControl w:val="0"/>
        <w:shd w:val="clear" w:color="auto" w:fill="auto"/>
        <w:bidi w:val="0"/>
        <w:spacing w:before="0" w:after="0" w:line="466" w:lineRule="exact"/>
        <w:ind w:left="0" w:right="0" w:firstLine="0"/>
        <w:jc w:val="left"/>
      </w:pPr>
      <w:r>
        <w:rPr>
          <w:rFonts w:ascii="Times New Roman" w:eastAsia="Times New Roman" w:hAnsi="Times New Roman" w:cs="Times New Roman"/>
          <w:color w:val="000000"/>
          <w:spacing w:val="0"/>
          <w:w w:val="100"/>
          <w:position w:val="0"/>
          <w:sz w:val="22"/>
          <w:szCs w:val="22"/>
        </w:rPr>
        <w:t>EBITDA</w:t>
      </w:r>
      <w:r>
        <w:rPr>
          <w:color w:val="000000"/>
          <w:spacing w:val="0"/>
          <w:w w:val="100"/>
          <w:position w:val="0"/>
        </w:rPr>
        <w:t>为</w:t>
      </w:r>
      <w:r>
        <w:rPr>
          <w:rFonts w:ascii="Times New Roman" w:eastAsia="Times New Roman" w:hAnsi="Times New Roman" w:cs="Times New Roman"/>
          <w:color w:val="000000"/>
          <w:spacing w:val="0"/>
          <w:w w:val="100"/>
          <w:position w:val="0"/>
          <w:sz w:val="22"/>
          <w:szCs w:val="22"/>
        </w:rPr>
        <w:t>-0.9</w:t>
      </w:r>
      <w:r>
        <w:rPr>
          <w:color w:val="000000"/>
          <w:spacing w:val="0"/>
          <w:w w:val="100"/>
          <w:position w:val="0"/>
        </w:rPr>
        <w:t>亿元，营运现金流和经营效益情况有了较大的改善。</w:t>
      </w:r>
    </w:p>
    <w:p>
      <w:pPr>
        <w:pStyle w:val="Style17"/>
        <w:keepNext w:val="0"/>
        <w:keepLines w:val="0"/>
        <w:widowControl w:val="0"/>
        <w:shd w:val="clear" w:color="auto" w:fill="auto"/>
        <w:bidi w:val="0"/>
        <w:spacing w:before="0" w:after="220" w:line="466" w:lineRule="exact"/>
        <w:ind w:left="0" w:right="0" w:firstLine="480"/>
        <w:jc w:val="left"/>
      </w:pPr>
      <w:r>
        <w:rPr>
          <w:color w:val="000000"/>
          <w:spacing w:val="0"/>
          <w:w w:val="100"/>
          <w:position w:val="0"/>
        </w:rPr>
        <w:t>上述财务指标或其加总数是否与公司已披露季度报告、半年度报告相关财务指标存在重大差异</w:t>
      </w:r>
    </w:p>
    <w:p>
      <w:pPr>
        <w:pStyle w:val="Style17"/>
        <w:keepNext w:val="0"/>
        <w:keepLines w:val="0"/>
        <w:widowControl w:val="0"/>
        <w:shd w:val="clear" w:color="auto" w:fill="auto"/>
        <w:bidi w:val="0"/>
        <w:spacing w:before="0" w:after="0" w:line="442" w:lineRule="auto"/>
        <w:ind w:left="0" w:right="0" w:firstLine="48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32"/>
        <w:keepNext/>
        <w:keepLines/>
        <w:widowControl w:val="0"/>
        <w:shd w:val="clear" w:color="auto" w:fill="auto"/>
        <w:tabs>
          <w:tab w:pos="522" w:val="left"/>
        </w:tabs>
        <w:bidi w:val="0"/>
        <w:spacing w:before="0" w:after="140" w:line="466" w:lineRule="exact"/>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八</w:t>
      </w:r>
      <w:bookmarkEnd w:id="32"/>
      <w:r>
        <w:rPr>
          <w:color w:val="000000"/>
          <w:spacing w:val="0"/>
          <w:w w:val="100"/>
          <w:position w:val="0"/>
          <w:sz w:val="24"/>
          <w:szCs w:val="24"/>
        </w:rPr>
        <w:t>、</w:t>
        <w:tab/>
        <w:t>境内外会计准则下会计数据差异</w:t>
      </w:r>
      <w:bookmarkEnd w:id="30"/>
      <w:bookmarkEnd w:id="31"/>
      <w:bookmarkEnd w:id="33"/>
    </w:p>
    <w:p>
      <w:pPr>
        <w:pStyle w:val="Style35"/>
        <w:keepNext/>
        <w:keepLines/>
        <w:widowControl w:val="0"/>
        <w:shd w:val="clear" w:color="auto" w:fill="auto"/>
        <w:tabs>
          <w:tab w:pos="398" w:val="left"/>
        </w:tabs>
        <w:bidi w:val="0"/>
        <w:spacing w:before="0" w:line="466" w:lineRule="exact"/>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sz w:val="22"/>
          <w:szCs w:val="22"/>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17"/>
        <w:keepNext w:val="0"/>
        <w:keepLines w:val="0"/>
        <w:widowControl w:val="0"/>
        <w:shd w:val="clear" w:color="auto" w:fill="auto"/>
        <w:bidi w:val="0"/>
        <w:spacing w:before="0" w:after="0" w:line="466" w:lineRule="exact"/>
        <w:ind w:left="0" w:right="0" w:firstLine="48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220" w:line="466" w:lineRule="exact"/>
        <w:ind w:left="0" w:right="0" w:firstLine="480"/>
        <w:jc w:val="left"/>
      </w:pPr>
      <w:r>
        <w:rPr>
          <w:color w:val="000000"/>
          <w:spacing w:val="0"/>
          <w:w w:val="100"/>
          <w:position w:val="0"/>
        </w:rPr>
        <w:t>公司报告期不存在按照国际会计准则与按照中国会计准则披露的财务报告中净利润和净资产差 异情况。</w:t>
      </w:r>
    </w:p>
    <w:p>
      <w:pPr>
        <w:pStyle w:val="Style35"/>
        <w:keepNext/>
        <w:keepLines/>
        <w:widowControl w:val="0"/>
        <w:shd w:val="clear" w:color="auto" w:fill="auto"/>
        <w:tabs>
          <w:tab w:pos="398" w:val="left"/>
        </w:tabs>
        <w:bidi w:val="0"/>
        <w:spacing w:before="0" w:line="466" w:lineRule="exact"/>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sz w:val="22"/>
          <w:szCs w:val="22"/>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17"/>
        <w:keepNext w:val="0"/>
        <w:keepLines w:val="0"/>
        <w:widowControl w:val="0"/>
        <w:shd w:val="clear" w:color="auto" w:fill="auto"/>
        <w:bidi w:val="0"/>
        <w:spacing w:before="0" w:after="0" w:line="466" w:lineRule="exact"/>
        <w:ind w:left="0" w:right="0" w:firstLine="48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220" w:line="466" w:lineRule="exact"/>
        <w:ind w:left="0" w:right="0" w:firstLine="480"/>
        <w:jc w:val="left"/>
      </w:pPr>
      <w:r>
        <w:rPr>
          <w:color w:val="000000"/>
          <w:spacing w:val="0"/>
          <w:w w:val="100"/>
          <w:position w:val="0"/>
        </w:rPr>
        <w:t>公司报告期不存在按照境外会计准则与按照中国会计准则披露的财务报告中净利润和净资产差 异情况。</w:t>
      </w:r>
    </w:p>
    <w:p>
      <w:pPr>
        <w:pStyle w:val="Style35"/>
        <w:keepNext/>
        <w:keepLines/>
        <w:widowControl w:val="0"/>
        <w:shd w:val="clear" w:color="auto" w:fill="auto"/>
        <w:tabs>
          <w:tab w:pos="398" w:val="left"/>
        </w:tabs>
        <w:bidi w:val="0"/>
        <w:spacing w:before="0" w:line="466" w:lineRule="exact"/>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sz w:val="22"/>
          <w:szCs w:val="22"/>
        </w:rPr>
        <w:t>3</w:t>
      </w:r>
      <w:bookmarkEnd w:id="44"/>
      <w:r>
        <w:rPr>
          <w:color w:val="000000"/>
          <w:spacing w:val="0"/>
          <w:w w:val="100"/>
          <w:position w:val="0"/>
        </w:rPr>
        <w:t>、</w:t>
        <w:tab/>
        <w:t>境内外会计准则下会计数据差异原因说明</w:t>
      </w:r>
      <w:bookmarkEnd w:id="42"/>
      <w:bookmarkEnd w:id="43"/>
      <w:bookmarkEnd w:id="45"/>
    </w:p>
    <w:p>
      <w:pPr>
        <w:pStyle w:val="Style17"/>
        <w:keepNext w:val="0"/>
        <w:keepLines w:val="0"/>
        <w:widowControl w:val="0"/>
        <w:shd w:val="clear" w:color="auto" w:fill="auto"/>
        <w:bidi w:val="0"/>
        <w:spacing w:before="0" w:after="220" w:line="466" w:lineRule="exact"/>
        <w:ind w:left="0" w:right="0" w:firstLine="48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2"/>
        <w:keepNext/>
        <w:keepLines/>
        <w:widowControl w:val="0"/>
        <w:shd w:val="clear" w:color="auto" w:fill="auto"/>
        <w:tabs>
          <w:tab w:pos="522" w:val="left"/>
        </w:tabs>
        <w:bidi w:val="0"/>
        <w:spacing w:before="0" w:after="340" w:line="466" w:lineRule="exact"/>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w:t>
        <w:tab/>
        <w:t>非经常性损益项目及金额</w:t>
      </w:r>
      <w:bookmarkEnd w:id="46"/>
      <w:bookmarkEnd w:id="47"/>
      <w:bookmarkEnd w:id="49"/>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4056"/>
        <w:gridCol w:w="1882"/>
        <w:gridCol w:w="1882"/>
        <w:gridCol w:w="1896"/>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2020</w:t>
            </w:r>
            <w:r>
              <w:rPr>
                <w:rFonts w:ascii="SimSun" w:eastAsia="SimSun" w:hAnsi="SimSun" w:cs="SimSun"/>
                <w:color w:val="000000"/>
                <w:spacing w:val="0"/>
                <w:w w:val="100"/>
                <w:position w:val="0"/>
                <w:sz w:val="20"/>
                <w:szCs w:val="20"/>
              </w:rPr>
              <w:t>年金额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2019</w:t>
            </w:r>
            <w:r>
              <w:rPr>
                <w:rFonts w:ascii="SimSun" w:eastAsia="SimSun" w:hAnsi="SimSun" w:cs="SimSun"/>
                <w:color w:val="000000"/>
                <w:spacing w:val="0"/>
                <w:w w:val="100"/>
                <w:position w:val="0"/>
                <w:sz w:val="20"/>
                <w:szCs w:val="20"/>
              </w:rPr>
              <w:t>年金额</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非流动资产处置损益（包括已计提资产减 值准备的冲销部分）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-16,473</w:t>
            </w:r>
          </w:p>
        </w:tc>
      </w:tr>
      <w:tr>
        <w:trPr>
          <w:trHeight w:val="12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839,297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338,040</w:t>
            </w:r>
          </w:p>
        </w:tc>
      </w:tr>
      <w:tr>
        <w:trPr>
          <w:trHeight w:val="15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both"/>
              <w:rPr>
                <w:sz w:val="20"/>
                <w:szCs w:val="20"/>
              </w:rPr>
            </w:pPr>
            <w:r>
              <w:rPr>
                <w:rFonts w:ascii="SimSun" w:eastAsia="SimSun" w:hAnsi="SimSun" w:cs="SimSun"/>
                <w:color w:val="000000"/>
                <w:spacing w:val="0"/>
                <w:w w:val="100"/>
                <w:position w:val="0"/>
                <w:sz w:val="20"/>
                <w:szCs w:val="2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1,427,638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1,085,867</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处置子公司产生的投资收益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1,249,427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810,054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19,663,618</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权益法核算投资转换为交易性金融资产取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444,259</w:t>
            </w:r>
          </w:p>
        </w:tc>
      </w:tr>
    </w:tbl>
    <w:p>
      <w:pPr>
        <w:spacing w:lineRule="exact" w:line="1"/>
        <w:rPr>
          <w:sz w:val="2"/>
          <w:szCs w:val="2"/>
        </w:rPr>
      </w:pPr>
      <w:r>
        <w:br w:type="page"/>
      </w:r>
    </w:p>
    <w:tbl>
      <w:tblPr>
        <w:tblOverlap w:val="never"/>
        <w:jc w:val="center"/>
        <w:tblLayout w:type="fixed"/>
      </w:tblPr>
      <w:tblGrid>
        <w:gridCol w:w="4056"/>
        <w:gridCol w:w="1882"/>
        <w:gridCol w:w="1882"/>
        <w:gridCol w:w="1896"/>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2020</w:t>
            </w:r>
            <w:r>
              <w:rPr>
                <w:rFonts w:ascii="SimSun" w:eastAsia="SimSun" w:hAnsi="SimSun" w:cs="SimSun"/>
                <w:color w:val="000000"/>
                <w:spacing w:val="0"/>
                <w:w w:val="100"/>
                <w:position w:val="0"/>
                <w:sz w:val="20"/>
                <w:szCs w:val="20"/>
              </w:rPr>
              <w:t>年金额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2"/>
                <w:szCs w:val="22"/>
              </w:rPr>
              <w:t>2019</w:t>
            </w:r>
            <w:r>
              <w:rPr>
                <w:rFonts w:ascii="SimSun" w:eastAsia="SimSun" w:hAnsi="SimSun" w:cs="SimSun"/>
                <w:color w:val="000000"/>
                <w:spacing w:val="0"/>
                <w:w w:val="100"/>
                <w:position w:val="0"/>
                <w:sz w:val="20"/>
                <w:szCs w:val="20"/>
              </w:rPr>
              <w:t>年金额</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处置联营公司产生的投资收益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312,617</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债权投资在持有期间取得的投资收益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应收款项单项计提坏账准备转回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-17,296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处置其他非流动金融资产取得的投资收益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380,000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-88,933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处置其他债权投资取得的投资收益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309,587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195,273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-398,377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-36,833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-77,123</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减：所得税影响额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547,066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607,102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6,186,584</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少数股东权益影响额（税后）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10,281</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1,403,911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2,532,152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15,553,822</w:t>
            </w:r>
          </w:p>
        </w:tc>
      </w:tr>
    </w:tbl>
    <w:p>
      <w:pPr>
        <w:widowControl w:val="0"/>
        <w:spacing w:after="339" w:line="1" w:lineRule="exact"/>
      </w:pPr>
    </w:p>
    <w:p>
      <w:pPr>
        <w:pStyle w:val="Style17"/>
        <w:keepNext w:val="0"/>
        <w:keepLines w:val="0"/>
        <w:widowControl w:val="0"/>
        <w:shd w:val="clear" w:color="auto" w:fill="auto"/>
        <w:bidi w:val="0"/>
        <w:spacing w:before="0" w:after="200" w:line="475" w:lineRule="exact"/>
        <w:ind w:left="0" w:right="0" w:firstLine="480"/>
        <w:jc w:val="both"/>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line="451" w:lineRule="auto"/>
        <w:ind w:left="0" w:right="0" w:firstLine="48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公司不存在其他符合非经常性损益定义的损益项目的具体情况。</w:t>
      </w:r>
    </w:p>
    <w:p>
      <w:pPr>
        <w:pStyle w:val="Style17"/>
        <w:keepNext w:val="0"/>
        <w:keepLines w:val="0"/>
        <w:widowControl w:val="0"/>
        <w:shd w:val="clear" w:color="auto" w:fill="auto"/>
        <w:bidi w:val="0"/>
        <w:spacing w:before="0" w:after="200" w:line="475" w:lineRule="exact"/>
        <w:ind w:left="0" w:right="0" w:firstLine="48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号</w:t>
      </w:r>
      <w:r>
        <w:rPr>
          <w:color w:val="000000"/>
          <w:spacing w:val="0"/>
          <w:w w:val="100"/>
          <w:position w:val="0"/>
          <w:sz w:val="22"/>
          <w:szCs w:val="22"/>
        </w:rPr>
        <w:t>一一</w:t>
      </w:r>
      <w:r>
        <w:rPr>
          <w:color w:val="000000"/>
          <w:spacing w:val="0"/>
          <w:w w:val="100"/>
          <w:position w:val="0"/>
        </w:rPr>
        <w:t>非经常性损益》中列举的非经常性损益 项目界定为经常性损益项目的情况说明</w:t>
      </w:r>
    </w:p>
    <w:p>
      <w:pPr>
        <w:pStyle w:val="Style17"/>
        <w:keepNext w:val="0"/>
        <w:keepLines w:val="0"/>
        <w:widowControl w:val="0"/>
        <w:shd w:val="clear" w:color="auto" w:fill="auto"/>
        <w:bidi w:val="0"/>
        <w:spacing w:before="0" w:after="0" w:line="451" w:lineRule="auto"/>
        <w:ind w:left="0" w:right="0" w:firstLine="48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280" w:line="475" w:lineRule="exact"/>
        <w:ind w:left="0" w:right="0" w:firstLine="480"/>
        <w:jc w:val="left"/>
        <w:sectPr>
          <w:footnotePr>
            <w:pos w:val="pageBottom"/>
            <w:numFmt w:val="decimal"/>
            <w:numStart w:val="1"/>
            <w:numRestart w:val="continuous"/>
            <w15:footnoteColumns w:val="1"/>
          </w:footnotePr>
          <w:pgSz w:w="11900" w:h="16840"/>
          <w:pgMar w:top="1128" w:right="1039" w:bottom="1428" w:left="1073"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号</w:t>
      </w:r>
      <w:r>
        <w:rPr>
          <w:color w:val="000000"/>
          <w:spacing w:val="0"/>
          <w:w w:val="100"/>
          <w:position w:val="0"/>
          <w:sz w:val="22"/>
          <w:szCs w:val="22"/>
        </w:rPr>
        <w:t>一一</w:t>
      </w:r>
      <w:r>
        <w:rPr>
          <w:color w:val="000000"/>
          <w:spacing w:val="0"/>
          <w:w w:val="100"/>
          <w:position w:val="0"/>
        </w:rPr>
        <w:t>非经常性损益》中列举的非 经常性损益项目界定为经常性损益的项目的情形。</w:t>
      </w:r>
    </w:p>
    <w:p>
      <w:pPr>
        <w:pStyle w:val="Style15"/>
        <w:keepNext/>
        <w:keepLines/>
        <w:widowControl w:val="0"/>
        <w:shd w:val="clear" w:color="auto" w:fill="auto"/>
        <w:bidi w:val="0"/>
        <w:spacing w:before="580" w:after="360" w:line="240" w:lineRule="auto"/>
        <w:ind w:left="0" w:right="0" w:firstLine="0"/>
        <w:jc w:val="center"/>
      </w:pPr>
      <w:bookmarkStart w:id="50" w:name="bookmark50"/>
      <w:bookmarkStart w:id="51" w:name="bookmark51"/>
      <w:bookmarkStart w:id="52" w:name="bookmark52"/>
      <w:r>
        <w:rPr>
          <w:color w:val="000000"/>
          <w:spacing w:val="0"/>
          <w:w w:val="100"/>
          <w:position w:val="0"/>
        </w:rPr>
        <w:t>第三节管理层讨论与分析</w:t>
      </w:r>
      <w:bookmarkEnd w:id="50"/>
      <w:bookmarkEnd w:id="51"/>
      <w:bookmarkEnd w:id="52"/>
    </w:p>
    <w:p>
      <w:pPr>
        <w:pStyle w:val="Style32"/>
        <w:keepNext/>
        <w:keepLines/>
        <w:widowControl w:val="0"/>
        <w:shd w:val="clear" w:color="auto" w:fill="auto"/>
        <w:bidi w:val="0"/>
        <w:spacing w:before="0" w:after="80" w:line="467" w:lineRule="exact"/>
        <w:ind w:left="0" w:right="0" w:firstLine="0"/>
        <w:jc w:val="both"/>
      </w:pPr>
      <w:bookmarkStart w:id="53" w:name="bookmark53"/>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、报告期内公司所处的行业情况</w:t>
      </w:r>
      <w:bookmarkEnd w:id="54"/>
      <w:bookmarkEnd w:id="55"/>
      <w:bookmarkEnd w:id="57"/>
      <w:bookmarkEnd w:id="53"/>
    </w:p>
    <w:p>
      <w:pPr>
        <w:pStyle w:val="Style35"/>
        <w:keepNext/>
        <w:keepLines/>
        <w:widowControl w:val="0"/>
        <w:shd w:val="clear" w:color="auto" w:fill="auto"/>
        <w:tabs>
          <w:tab w:pos="578" w:val="left"/>
        </w:tabs>
        <w:bidi w:val="0"/>
        <w:spacing w:before="0" w:line="467" w:lineRule="exact"/>
        <w:ind w:left="0" w:right="0" w:firstLine="0"/>
        <w:jc w:val="both"/>
      </w:pPr>
      <w:bookmarkStart w:id="58" w:name="bookmark58"/>
      <w:bookmarkStart w:id="59" w:name="bookmark59"/>
      <w:bookmarkStart w:id="60" w:name="bookmark60"/>
      <w:bookmarkStart w:id="61" w:name="bookmark61"/>
      <w:r>
        <w:rPr>
          <w:color w:val="000000"/>
          <w:spacing w:val="0"/>
          <w:w w:val="100"/>
          <w:position w:val="0"/>
        </w:rPr>
        <w:t>（</w:t>
      </w:r>
      <w:bookmarkEnd w:id="60"/>
      <w:r>
        <w:rPr>
          <w:color w:val="000000"/>
          <w:spacing w:val="0"/>
          <w:w w:val="100"/>
          <w:position w:val="0"/>
        </w:rPr>
        <w:t>一）</w:t>
        <w:tab/>
        <w:t>零售行业整体情况</w:t>
      </w:r>
      <w:bookmarkEnd w:id="58"/>
      <w:bookmarkEnd w:id="59"/>
      <w:bookmarkEnd w:id="61"/>
    </w:p>
    <w:p>
      <w:pPr>
        <w:pStyle w:val="Style17"/>
        <w:keepNext w:val="0"/>
        <w:keepLines w:val="0"/>
        <w:widowControl w:val="0"/>
        <w:shd w:val="clear" w:color="auto" w:fill="auto"/>
        <w:bidi w:val="0"/>
        <w:spacing w:before="0" w:after="220" w:line="470" w:lineRule="exact"/>
        <w:ind w:left="0" w:right="0" w:firstLine="46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年我国零售市场总体呈现恢复态势，但经济面临需求收缩、供给冲击、预期转弱三重压力， 零售行业呈现众多复杂状况。一方面，新冠病毒带来的疫情下的经营成为常态，零售业经营受到疫情 防控、成本上升等各方面影响；另一方面，消费升级分级越加明显，中高端消费需求持续增长，下沉 市场增长空间十分巨大，但用户对消费场景、服务内容、服务水平的需求也进一步体现出个性化的趋 势，惯性的人口红利、流量获取已经很难维系。总的来看，零售市场的各类主体都在思考如何提升自 身的核心能力、如何打造自身的品牌心智、如何提升自身的经营效率，粗犷式的烧钱补贴，片面短期 追求规模的发展方式不可持续。</w:t>
      </w:r>
    </w:p>
    <w:p>
      <w:pPr>
        <w:pStyle w:val="Style35"/>
        <w:keepNext/>
        <w:keepLines/>
        <w:widowControl w:val="0"/>
        <w:shd w:val="clear" w:color="auto" w:fill="auto"/>
        <w:tabs>
          <w:tab w:pos="578" w:val="left"/>
        </w:tabs>
        <w:bidi w:val="0"/>
        <w:spacing w:before="0" w:line="467" w:lineRule="exact"/>
        <w:ind w:left="0" w:right="0" w:firstLine="0"/>
        <w:jc w:val="both"/>
      </w:pPr>
      <w:bookmarkStart w:id="62" w:name="bookmark62"/>
      <w:bookmarkStart w:id="63" w:name="bookmark63"/>
      <w:bookmarkStart w:id="64" w:name="bookmark64"/>
      <w:bookmarkStart w:id="65" w:name="bookmark65"/>
      <w:r>
        <w:rPr>
          <w:color w:val="000000"/>
          <w:spacing w:val="0"/>
          <w:w w:val="100"/>
          <w:position w:val="0"/>
        </w:rPr>
        <w:t>（</w:t>
      </w:r>
      <w:bookmarkEnd w:id="64"/>
      <w:r>
        <w:rPr>
          <w:color w:val="000000"/>
          <w:spacing w:val="0"/>
          <w:w w:val="100"/>
          <w:position w:val="0"/>
        </w:rPr>
        <w:t>二）</w:t>
        <w:tab/>
        <w:t>家电行业整体情况</w:t>
      </w:r>
      <w:bookmarkEnd w:id="62"/>
      <w:bookmarkEnd w:id="63"/>
      <w:bookmarkEnd w:id="65"/>
    </w:p>
    <w:p>
      <w:pPr>
        <w:pStyle w:val="Style17"/>
        <w:keepNext w:val="0"/>
        <w:keepLines w:val="0"/>
        <w:widowControl w:val="0"/>
        <w:shd w:val="clear" w:color="auto" w:fill="auto"/>
        <w:bidi w:val="0"/>
        <w:spacing w:before="0" w:after="0" w:line="467" w:lineRule="exact"/>
        <w:ind w:left="0" w:right="0" w:firstLine="46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年家电市场机遇挑战并存，市场规模</w:t>
      </w:r>
      <w:r>
        <w:rPr>
          <w:rFonts w:ascii="Times New Roman" w:eastAsia="Times New Roman" w:hAnsi="Times New Roman" w:cs="Times New Roman"/>
          <w:color w:val="000000"/>
          <w:spacing w:val="0"/>
          <w:w w:val="100"/>
          <w:position w:val="0"/>
          <w:sz w:val="22"/>
          <w:szCs w:val="22"/>
          <w:vertAlign w:val="superscript"/>
        </w:rPr>
        <w:footnoteReference w:id="4"/>
      </w:r>
      <w:r>
        <w:rPr>
          <w:color w:val="000000"/>
          <w:spacing w:val="0"/>
          <w:w w:val="100"/>
          <w:position w:val="0"/>
        </w:rPr>
        <w:t>达到</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万亿，同比增长</w:t>
      </w:r>
      <w:r>
        <w:rPr>
          <w:rFonts w:ascii="Times New Roman" w:eastAsia="Times New Roman" w:hAnsi="Times New Roman" w:cs="Times New Roman"/>
          <w:color w:val="000000"/>
          <w:spacing w:val="0"/>
          <w:w w:val="100"/>
          <w:position w:val="0"/>
          <w:sz w:val="22"/>
          <w:szCs w:val="22"/>
        </w:rPr>
        <w:t>11.8%</w:t>
      </w:r>
      <w:r>
        <w:rPr>
          <w:color w:val="000000"/>
          <w:spacing w:val="0"/>
          <w:w w:val="100"/>
          <w:position w:val="0"/>
        </w:rPr>
        <w:t>。</w:t>
      </w:r>
    </w:p>
    <w:p>
      <w:pPr>
        <w:pStyle w:val="Style17"/>
        <w:keepNext w:val="0"/>
        <w:keepLines w:val="0"/>
        <w:widowControl w:val="0"/>
        <w:shd w:val="clear" w:color="auto" w:fill="auto"/>
        <w:bidi w:val="0"/>
        <w:spacing w:before="0" w:after="0" w:line="467" w:lineRule="exact"/>
        <w:ind w:left="0" w:right="0" w:firstLine="460"/>
        <w:jc w:val="both"/>
      </w:pPr>
      <w:r>
        <w:rPr>
          <w:color w:val="000000"/>
          <w:spacing w:val="0"/>
          <w:w w:val="100"/>
          <w:position w:val="0"/>
        </w:rPr>
        <w:t>一方面，受到地产市场影响，家电购买动力仍显不足；而基本使用型家电的渗透率已经很高，即 使通过各类大促拉动，增长仍然乏力；制造、流通成本的不断上升，也使得生产与消费受到持续影响。</w:t>
      </w:r>
    </w:p>
    <w:p>
      <w:pPr>
        <w:pStyle w:val="Style17"/>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另一方面，存量市场背景下，用户对于新型和中高端家电的换新需求保持较高景气度，洗碗机、 干衣机、大尺寸高清智能电视、大容量冰箱、高性能洗衣机、智能化清洁产品等保持较快增长；而基 于整体和局部家庭环境改造带来的厨房、阳台、卫生间、客厅等场景整体解决方案需求，随着用户消 费升级、巨大的存量房市场而呈现为越来越主流的消费方式。存量市场的机会获取能力要求家电制造 企业和零售企业都要能进一步的提供满足用户需求的新产品与新服务。</w:t>
      </w:r>
    </w:p>
    <w:p>
      <w:pPr>
        <w:pStyle w:val="Style17"/>
        <w:keepNext w:val="0"/>
        <w:keepLines w:val="0"/>
        <w:widowControl w:val="0"/>
        <w:shd w:val="clear" w:color="auto" w:fill="auto"/>
        <w:bidi w:val="0"/>
        <w:spacing w:before="0" w:after="220" w:line="467" w:lineRule="exact"/>
        <w:ind w:left="0" w:right="0" w:firstLine="460"/>
        <w:jc w:val="both"/>
      </w:pPr>
      <w:r>
        <w:rPr>
          <w:color w:val="000000"/>
          <w:spacing w:val="0"/>
          <w:w w:val="100"/>
          <w:position w:val="0"/>
        </w:rPr>
        <w:t>同时，受益于庞大的人口基数、收入水平提升及政策利好的共同推动，下沉市场对整体家电市场 的贡献增加，并展现出巨大潜力。</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年，我国下沉市场家电市场规模达到</w:t>
      </w:r>
      <w:r>
        <w:rPr>
          <w:rFonts w:ascii="Times New Roman" w:eastAsia="Times New Roman" w:hAnsi="Times New Roman" w:cs="Times New Roman"/>
          <w:color w:val="000000"/>
          <w:spacing w:val="0"/>
          <w:w w:val="100"/>
          <w:position w:val="0"/>
          <w:sz w:val="22"/>
          <w:szCs w:val="22"/>
        </w:rPr>
        <w:t>2775</w:t>
      </w:r>
      <w:r>
        <w:rPr>
          <w:color w:val="000000"/>
          <w:spacing w:val="0"/>
          <w:w w:val="100"/>
          <w:position w:val="0"/>
        </w:rPr>
        <w:t>亿元，同比增长</w:t>
      </w:r>
      <w:r>
        <w:rPr>
          <w:rFonts w:ascii="Times New Roman" w:eastAsia="Times New Roman" w:hAnsi="Times New Roman" w:cs="Times New Roman"/>
          <w:color w:val="000000"/>
          <w:spacing w:val="0"/>
          <w:w w:val="100"/>
          <w:position w:val="0"/>
          <w:sz w:val="22"/>
          <w:szCs w:val="22"/>
        </w:rPr>
        <w:t>8.9%</w:t>
      </w:r>
      <w:r>
        <w:rPr>
          <w:color w:val="000000"/>
          <w:spacing w:val="0"/>
          <w:w w:val="100"/>
          <w:position w:val="0"/>
        </w:rPr>
        <w:t>。 下沉市场消费潜力持续释放有力支撑了家电市场的复苏，成为最重要的增长极。各主流零售商都将此 类目标市场的渠道建设作为业务发展的重点，上游品牌也都全力跟进投入，提升市场份额和规模。</w:t>
      </w:r>
    </w:p>
    <w:p>
      <w:pPr>
        <w:pStyle w:val="Style32"/>
        <w:keepNext/>
        <w:keepLines/>
        <w:widowControl w:val="0"/>
        <w:shd w:val="clear" w:color="auto" w:fill="auto"/>
        <w:bidi w:val="0"/>
        <w:spacing w:before="0" w:after="200" w:line="469" w:lineRule="exact"/>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、报告期内公司从事的主要业务</w:t>
      </w:r>
      <w:bookmarkEnd w:id="66"/>
      <w:bookmarkEnd w:id="67"/>
      <w:bookmarkEnd w:id="69"/>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报告期，公司制定了聚焦核心业务、围绕核心竞争力、提升经营效率的工作主线，进一步明确了 家电</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业务是公司现阶段的核心业务，并以巩固在家电行业的地位与提升价值作为目标。</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首先，公司围绕用户在家电换新需求和成套化家电购买趋势，加强店面渠道对于中高端品牌产品 的形象和体验的建设，加强店面与家装、物业等异业合作的前端获客能力的建设，加强与品牌厂家对 于新型家电产品的联合推广体系的建设，使得公司在此部分用户需求满足与品牌商价值提升方面，形 成行业内较强的品牌心智和渠道合作优势，也与传统电商以基础型商品、高性价比商品、单品爆款经 营所形成的特点产生了差异化区隔。</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其次，线上电商业务方面，公司继续开展苏宁易购主站、天猫旗舰店双平台运营，结合各自多年 经营积累的用户沉淀，聚焦忠诚用户经营、深耕存量用户价值，进一步凸显在家电</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w:t>
      </w:r>
      <w:r>
        <w:rPr>
          <w:color w:val="000000"/>
          <w:spacing w:val="0"/>
          <w:w w:val="100"/>
          <w:position w:val="0"/>
        </w:rPr>
        <w:t>小家电等方 面的自营供应链、自营服务的优势，提升毛利水平、降低获客成本，发掘用户经营边际效率，转变烧 钱补贴的粗犷发展方式，猫宁平台在四季度开始实现获利，易购主站也大幅减少亏损、有望</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 实现盈利。在良性的发展轨道上，公司也正积极规划推进具有独特专业能力的业务，实现规模提升。</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第三，公司结合线上线下经营所形成的家电领域的规模优势，将多年积累的供应链能力，零售运 营能力、物流服务能力，在下沉市场巨大的增长市场中，通过公司近</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年来不断的摸索、逐步优化的 零售云业务平台，继续保持快速发展。苏宁易购零售云全年新开</w:t>
      </w:r>
      <w:r>
        <w:rPr>
          <w:rFonts w:ascii="Times New Roman" w:eastAsia="Times New Roman" w:hAnsi="Times New Roman" w:cs="Times New Roman"/>
          <w:color w:val="000000"/>
          <w:spacing w:val="0"/>
          <w:w w:val="100"/>
          <w:position w:val="0"/>
          <w:sz w:val="22"/>
          <w:szCs w:val="22"/>
        </w:rPr>
        <w:t>2,678</w:t>
      </w:r>
      <w:r>
        <w:rPr>
          <w:color w:val="000000"/>
          <w:spacing w:val="0"/>
          <w:w w:val="100"/>
          <w:position w:val="0"/>
        </w:rPr>
        <w:t>家店面，总量达到</w:t>
      </w:r>
      <w:r>
        <w:rPr>
          <w:rFonts w:ascii="Times New Roman" w:eastAsia="Times New Roman" w:hAnsi="Times New Roman" w:cs="Times New Roman"/>
          <w:color w:val="000000"/>
          <w:spacing w:val="0"/>
          <w:w w:val="100"/>
          <w:position w:val="0"/>
          <w:sz w:val="22"/>
          <w:szCs w:val="22"/>
        </w:rPr>
        <w:t>9,178</w:t>
      </w:r>
      <w:r>
        <w:rPr>
          <w:color w:val="000000"/>
          <w:spacing w:val="0"/>
          <w:w w:val="100"/>
          <w:position w:val="0"/>
        </w:rPr>
        <w:t>家。 在四季度逐步解决采购资金的情况下，单季度在各业务线中率先实现</w:t>
      </w:r>
      <w:r>
        <w:rPr>
          <w:rFonts w:ascii="Times New Roman" w:eastAsia="Times New Roman" w:hAnsi="Times New Roman" w:cs="Times New Roman"/>
          <w:color w:val="000000"/>
          <w:spacing w:val="0"/>
          <w:w w:val="100"/>
          <w:position w:val="0"/>
          <w:sz w:val="22"/>
          <w:szCs w:val="22"/>
        </w:rPr>
        <w:t>GMV</w:t>
      </w:r>
      <w:r>
        <w:rPr>
          <w:color w:val="000000"/>
          <w:spacing w:val="0"/>
          <w:w w:val="100"/>
          <w:position w:val="0"/>
        </w:rPr>
        <w:t>规模同比增长。从全行业 下沉渠道发展来看，苏宁易购零售云在网络数量、销售规模，经营质量等方面都处于领先地位。</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同时，公司顺势延伸零售云的平台和经验，在政府和企业的电商化采购领域，推进易采云业务发 展，充分发挥苏宁易购自营采购、自营物流和本地化服务优势，在资金充分保障的前提下，规模持续 增长，保持合理的利润水平；在社群电商、直播电商发展迅速的背景下，公司推进社交云业务，积极 整合公司有成本优势的商品，进行供应链输出服务，销售规模增长较快并预期会持续增长，同时保持 合理利润水平。</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零售云、易采云、社交云是公司结合自身核心能力开展的能够保持盈利的、可持续扩大规模的增 量业务。</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第四，公司对于家乐福快消业务在</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 xml:space="preserve">年进行了多方面规划与试点。客观来看，电商和社区团 购的快速发展对传统大卖场业务形成了持续冲击，而家乐福必须从店面商品组合、购物体验、电商运 营方面要进行深刻转变和能力提升，才能在竞争中实现差异化、形成目标用户群体的购买习惯，重新 走上发展轨道。家乐福到家业务运营提升、下沉市场零售云模式拓展、会员店模型建设、政府企业采 </w:t>
      </w:r>
      <w:r>
        <w:rPr>
          <w:color w:val="000000"/>
          <w:spacing w:val="0"/>
          <w:w w:val="100"/>
          <w:position w:val="0"/>
        </w:rPr>
        <w:t>购市场开拓，是家乐福结合自身采购能力的扩大规模的一些主要路径，而结合目标用户群体进行店面 模型的优化，消费体验的差异化是重点研究、探索的方向。虽然短期面临困难，但家乐福快消业务对 于苏宁易购在家电</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核心业务巩固夯实的基础上，是公司拓展全品类供应链、提升整体用户运营效 率、优化高频低频业务组合、完善苏宁易购线上购物体验的一个重要战略业务单元。</w:t>
      </w:r>
    </w:p>
    <w:p>
      <w:pPr>
        <w:pStyle w:val="Style17"/>
        <w:keepNext w:val="0"/>
        <w:keepLines w:val="0"/>
        <w:widowControl w:val="0"/>
        <w:shd w:val="clear" w:color="auto" w:fill="auto"/>
        <w:bidi w:val="0"/>
        <w:spacing w:before="0" w:after="220" w:line="470" w:lineRule="exact"/>
        <w:ind w:left="0" w:right="0" w:firstLine="540"/>
        <w:jc w:val="both"/>
      </w:pPr>
      <w:r>
        <w:rPr>
          <w:color w:val="000000"/>
          <w:spacing w:val="0"/>
          <w:w w:val="100"/>
          <w:position w:val="0"/>
        </w:rPr>
        <w:t>最后，公司在物流、服务方面进一步明确独立业务集团的定位，在停止天天快递小件业务之后， 公司围绕着大中件家电家装业务，建设仓配一体化、送装一体化的特点能力，在服务好苏宁易购平台 用户的基础上，积极为上游品牌厂家、菜鸟等客户提供更有效率的服务。仓储、配送和售后服务能力 和效率是苏宁易购下一步提升市场地位、扩大市场规模和创造企业价值的重中之重。</w:t>
      </w:r>
    </w:p>
    <w:p>
      <w:pPr>
        <w:pStyle w:val="Style35"/>
        <w:keepNext/>
        <w:keepLines/>
        <w:widowControl w:val="0"/>
        <w:shd w:val="clear" w:color="auto" w:fill="auto"/>
        <w:bidi w:val="0"/>
        <w:spacing w:before="0" w:line="470" w:lineRule="exact"/>
        <w:ind w:left="0" w:right="0" w:firstLine="0"/>
        <w:jc w:val="both"/>
      </w:pPr>
      <w:bookmarkStart w:id="70" w:name="bookmark70"/>
      <w:bookmarkStart w:id="71" w:name="bookmark71"/>
      <w:bookmarkStart w:id="72" w:name="bookmark72"/>
      <w:bookmarkStart w:id="73" w:name="bookmark73"/>
      <w:r>
        <w:rPr>
          <w:color w:val="000000"/>
          <w:spacing w:val="0"/>
          <w:w w:val="100"/>
          <w:position w:val="0"/>
        </w:rPr>
        <w:t>（</w:t>
      </w:r>
      <w:bookmarkEnd w:id="72"/>
      <w:r>
        <w:rPr>
          <w:color w:val="000000"/>
          <w:spacing w:val="0"/>
          <w:w w:val="100"/>
          <w:position w:val="0"/>
        </w:rPr>
        <w:t>一）报告期内门店的变动情况</w:t>
      </w:r>
      <w:bookmarkEnd w:id="70"/>
      <w:bookmarkEnd w:id="71"/>
      <w:bookmarkEnd w:id="73"/>
    </w:p>
    <w:p>
      <w:pPr>
        <w:pStyle w:val="Style17"/>
        <w:keepNext w:val="0"/>
        <w:keepLines w:val="0"/>
        <w:widowControl w:val="0"/>
        <w:shd w:val="clear" w:color="auto" w:fill="auto"/>
        <w:bidi w:val="0"/>
        <w:spacing w:before="0" w:after="220" w:line="468" w:lineRule="exact"/>
        <w:ind w:left="0" w:right="0" w:firstLine="540"/>
        <w:jc w:val="both"/>
      </w:pPr>
      <w:r>
        <w:rPr>
          <w:color w:val="000000"/>
          <w:spacing w:val="0"/>
          <w:w w:val="100"/>
          <w:position w:val="0"/>
        </w:rPr>
        <w:t>报告期内公司加快了亏损门店和非战略业务调整，针对红孩子母婴店面公司予以全部关闭，优化 门店店面面积，加大力度推进减租、转租，提高店面坪效，聚焦核心家电</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零售业务，充分发挥线 上线下融合的体验优势、服务优势，展现公司在家电、家装领域的专业性和服务的差异化，巩固家电 行业市场地位。截至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日公司线下渠道拥有各类门店</w:t>
      </w:r>
      <w:r>
        <w:rPr>
          <w:rFonts w:ascii="Times New Roman" w:eastAsia="Times New Roman" w:hAnsi="Times New Roman" w:cs="Times New Roman"/>
          <w:color w:val="000000"/>
          <w:spacing w:val="0"/>
          <w:w w:val="100"/>
          <w:position w:val="0"/>
          <w:sz w:val="22"/>
          <w:szCs w:val="22"/>
        </w:rPr>
        <w:t>11,281</w:t>
      </w:r>
      <w:r>
        <w:rPr>
          <w:color w:val="000000"/>
          <w:spacing w:val="0"/>
          <w:w w:val="100"/>
          <w:position w:val="0"/>
        </w:rPr>
        <w:t>家，其中自营门店</w:t>
      </w:r>
      <w:r>
        <w:rPr>
          <w:rFonts w:ascii="Times New Roman" w:eastAsia="Times New Roman" w:hAnsi="Times New Roman" w:cs="Times New Roman"/>
          <w:color w:val="000000"/>
          <w:spacing w:val="0"/>
          <w:w w:val="100"/>
          <w:position w:val="0"/>
          <w:sz w:val="22"/>
          <w:szCs w:val="22"/>
        </w:rPr>
        <w:t xml:space="preserve">2,103 </w:t>
      </w:r>
      <w:r>
        <w:rPr>
          <w:color w:val="000000"/>
          <w:spacing w:val="0"/>
          <w:w w:val="100"/>
          <w:position w:val="0"/>
        </w:rPr>
        <w:t>家，苏宁易购零售云加盟店</w:t>
      </w:r>
      <w:r>
        <w:rPr>
          <w:rFonts w:ascii="Times New Roman" w:eastAsia="Times New Roman" w:hAnsi="Times New Roman" w:cs="Times New Roman"/>
          <w:color w:val="000000"/>
          <w:spacing w:val="0"/>
          <w:w w:val="100"/>
          <w:position w:val="0"/>
          <w:sz w:val="22"/>
          <w:szCs w:val="22"/>
        </w:rPr>
        <w:t>9,178</w:t>
      </w:r>
      <w:r>
        <w:rPr>
          <w:color w:val="000000"/>
          <w:spacing w:val="0"/>
          <w:w w:val="100"/>
          <w:position w:val="0"/>
        </w:rPr>
        <w:t>家。</w:t>
      </w:r>
    </w:p>
    <w:p>
      <w:pPr>
        <w:pStyle w:val="Style17"/>
        <w:keepNext w:val="0"/>
        <w:keepLines w:val="0"/>
        <w:widowControl w:val="0"/>
        <w:shd w:val="clear" w:color="auto" w:fill="auto"/>
        <w:bidi w:val="0"/>
        <w:spacing w:before="0" w:after="0" w:line="444" w:lineRule="auto"/>
        <w:ind w:left="0" w:right="0" w:firstLine="540"/>
        <w:jc w:val="both"/>
      </w:pP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rPr>
        <w:t>、截至</w:t>
      </w:r>
      <w:r>
        <w:rPr>
          <w:rFonts w:ascii="Times New Roman" w:eastAsia="Times New Roman" w:hAnsi="Times New Roman" w:cs="Times New Roman"/>
          <w:b/>
          <w:bCs/>
          <w:color w:val="000000"/>
          <w:spacing w:val="0"/>
          <w:w w:val="100"/>
          <w:position w:val="0"/>
          <w:sz w:val="22"/>
          <w:szCs w:val="22"/>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rPr>
        <w:t>日自营门店分布情况</w:t>
      </w:r>
    </w:p>
    <w:p>
      <w:pPr>
        <w:pStyle w:val="Style17"/>
        <w:keepNext w:val="0"/>
        <w:keepLines w:val="0"/>
        <w:widowControl w:val="0"/>
        <w:shd w:val="clear" w:color="auto" w:fill="auto"/>
        <w:bidi w:val="0"/>
        <w:spacing w:before="0" w:after="220" w:line="468" w:lineRule="exact"/>
        <w:ind w:left="0" w:right="0" w:firstLine="540"/>
        <w:jc w:val="both"/>
      </w:pPr>
      <w:r>
        <w:rPr>
          <w:color w:val="000000"/>
          <w:spacing w:val="0"/>
          <w:w w:val="100"/>
          <w:position w:val="0"/>
        </w:rPr>
        <w:t>按经营业态分布</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单位：家，万平方米</w:t>
      </w:r>
    </w:p>
    <w:tbl>
      <w:tblPr>
        <w:tblOverlap w:val="never"/>
        <w:jc w:val="center"/>
        <w:tblLayout w:type="fixed"/>
      </w:tblPr>
      <w:tblGrid>
        <w:gridCol w:w="3413"/>
        <w:gridCol w:w="2232"/>
        <w:gridCol w:w="2266"/>
        <w:gridCol w:w="1958"/>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日</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面积占比</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家电</w:t>
            </w:r>
            <w:r>
              <w:rPr>
                <w:color w:val="000000"/>
                <w:spacing w:val="0"/>
                <w:w w:val="100"/>
                <w:position w:val="0"/>
                <w:sz w:val="22"/>
                <w:szCs w:val="22"/>
              </w:rPr>
              <w:t>3C</w:t>
            </w:r>
            <w:r>
              <w:rPr>
                <w:rFonts w:ascii="SimSun" w:eastAsia="SimSun" w:hAnsi="SimSun" w:cs="SimSun"/>
                <w:color w:val="000000"/>
                <w:spacing w:val="0"/>
                <w:w w:val="100"/>
                <w:position w:val="0"/>
                <w:sz w:val="20"/>
                <w:szCs w:val="20"/>
              </w:rPr>
              <w:t>家居生活专业店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63.43%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家乐福超市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苏宁易购广场（百货业态）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香港地区门店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627.47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99" w:line="1" w:lineRule="exact"/>
      </w:pPr>
    </w:p>
    <w:p>
      <w:pPr>
        <w:pStyle w:val="Style17"/>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、店面面积为可使用面积，下同。</w:t>
      </w:r>
    </w:p>
    <w:p>
      <w:pPr>
        <w:pStyle w:val="Style17"/>
        <w:keepNext w:val="0"/>
        <w:keepLines w:val="0"/>
        <w:widowControl w:val="0"/>
        <w:shd w:val="clear" w:color="auto" w:fill="auto"/>
        <w:bidi w:val="0"/>
        <w:spacing w:before="0" w:after="220" w:line="240" w:lineRule="auto"/>
        <w:ind w:left="0" w:right="0" w:firstLine="540"/>
        <w:jc w:val="both"/>
      </w:pP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、家乐福超市包含大卖场、会员店、精选店、生鲜店、便利店业态。</w:t>
      </w:r>
      <w:r>
        <w:br w:type="page"/>
      </w:r>
    </w:p>
    <w:p>
      <w:pPr>
        <w:pStyle w:val="Style17"/>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按地区分布</w:t>
      </w:r>
    </w:p>
    <w:p>
      <w:pPr>
        <w:pStyle w:val="Style26"/>
        <w:keepNext w:val="0"/>
        <w:keepLines w:val="0"/>
        <w:widowControl w:val="0"/>
        <w:shd w:val="clear" w:color="auto" w:fill="auto"/>
        <w:bidi w:val="0"/>
        <w:spacing w:before="0" w:after="0" w:line="240" w:lineRule="auto"/>
        <w:ind w:left="7666" w:right="0" w:firstLine="0"/>
        <w:jc w:val="left"/>
      </w:pPr>
      <w:r>
        <w:rPr>
          <w:color w:val="000000"/>
          <w:spacing w:val="0"/>
          <w:w w:val="100"/>
          <w:position w:val="0"/>
        </w:rPr>
        <w:t>单位：家，万平方米</w:t>
      </w:r>
    </w:p>
    <w:tbl>
      <w:tblPr>
        <w:tblOverlap w:val="never"/>
        <w:jc w:val="center"/>
        <w:tblLayout w:type="fixed"/>
      </w:tblPr>
      <w:tblGrid>
        <w:gridCol w:w="1858"/>
        <w:gridCol w:w="1286"/>
        <w:gridCol w:w="1277"/>
        <w:gridCol w:w="1272"/>
        <w:gridCol w:w="1560"/>
        <w:gridCol w:w="1282"/>
        <w:gridCol w:w="1152"/>
      </w:tblGrid>
      <w:tr>
        <w:trPr>
          <w:trHeight w:val="34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苏宁易购广场</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家电</w:t>
            </w:r>
            <w:r>
              <w:rPr>
                <w:color w:val="000000"/>
                <w:spacing w:val="0"/>
                <w:w w:val="100"/>
                <w:position w:val="0"/>
                <w:sz w:val="22"/>
                <w:szCs w:val="22"/>
              </w:rPr>
              <w:t>3C</w:t>
            </w:r>
            <w:r>
              <w:rPr>
                <w:rFonts w:ascii="SimSun" w:eastAsia="SimSun" w:hAnsi="SimSun" w:cs="SimSun"/>
                <w:color w:val="000000"/>
                <w:spacing w:val="0"/>
                <w:w w:val="100"/>
                <w:position w:val="0"/>
                <w:sz w:val="20"/>
                <w:szCs w:val="20"/>
              </w:rPr>
              <w:t>家居生活专业店</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家乐福超市</w:t>
            </w:r>
          </w:p>
        </w:tc>
      </w:tr>
      <w:tr>
        <w:trPr>
          <w:trHeight w:val="33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华东一区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15.97</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华东二区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25.27</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8.40</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14.55</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20.94</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26.57</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16.31</w:t>
            </w:r>
          </w:p>
        </w:tc>
      </w:tr>
      <w:tr>
        <w:trPr>
          <w:trHeight w:val="3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129.83</w:t>
            </w:r>
          </w:p>
        </w:tc>
      </w:tr>
    </w:tbl>
    <w:p>
      <w:pPr>
        <w:widowControl w:val="0"/>
        <w:spacing w:after="99" w:line="1" w:lineRule="exact"/>
      </w:pPr>
    </w:p>
    <w:p>
      <w:pPr>
        <w:pStyle w:val="Style17"/>
        <w:keepNext w:val="0"/>
        <w:keepLines w:val="0"/>
        <w:widowControl w:val="0"/>
        <w:shd w:val="clear" w:color="auto" w:fill="auto"/>
        <w:tabs>
          <w:tab w:pos="5112" w:val="left"/>
        </w:tabs>
        <w:bidi w:val="0"/>
        <w:spacing w:before="0" w:after="220" w:line="240" w:lineRule="auto"/>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:华东一区江苏、安徽、山东；</w:t>
        <w:tab/>
        <w:t>华东二区上海、福建、浙江、江西；</w:t>
      </w:r>
    </w:p>
    <w:p>
      <w:pPr>
        <w:pStyle w:val="Style17"/>
        <w:keepNext w:val="0"/>
        <w:keepLines w:val="0"/>
        <w:widowControl w:val="0"/>
        <w:shd w:val="clear" w:color="auto" w:fill="auto"/>
        <w:tabs>
          <w:tab w:pos="5112" w:val="left"/>
        </w:tabs>
        <w:bidi w:val="0"/>
        <w:spacing w:before="0" w:after="220" w:line="240" w:lineRule="auto"/>
        <w:ind w:left="0" w:right="0" w:firstLine="460"/>
        <w:jc w:val="left"/>
      </w:pPr>
      <w:r>
        <w:rPr>
          <w:color w:val="000000"/>
          <w:spacing w:val="0"/>
          <w:w w:val="100"/>
          <w:position w:val="0"/>
        </w:rPr>
        <w:t>华南地区广东、广西、海南；</w:t>
        <w:tab/>
        <w:t>华北地区北京、天津、河北、山西、内蒙;</w:t>
      </w:r>
    </w:p>
    <w:p>
      <w:pPr>
        <w:pStyle w:val="Style17"/>
        <w:keepNext w:val="0"/>
        <w:keepLines w:val="0"/>
        <w:widowControl w:val="0"/>
        <w:shd w:val="clear" w:color="auto" w:fill="auto"/>
        <w:tabs>
          <w:tab w:pos="5112" w:val="left"/>
        </w:tabs>
        <w:bidi w:val="0"/>
        <w:spacing w:before="0" w:after="220" w:line="240" w:lineRule="auto"/>
        <w:ind w:left="0" w:right="0" w:firstLine="460"/>
        <w:jc w:val="left"/>
      </w:pPr>
      <w:r>
        <w:rPr>
          <w:color w:val="000000"/>
          <w:spacing w:val="0"/>
          <w:w w:val="100"/>
          <w:position w:val="0"/>
        </w:rPr>
        <w:t>西南地区四川、重庆、云南、贵州、西藏；</w:t>
        <w:tab/>
        <w:t>华中地区湖北、湖南、河南；</w:t>
      </w:r>
    </w:p>
    <w:p>
      <w:pPr>
        <w:pStyle w:val="Style17"/>
        <w:keepNext w:val="0"/>
        <w:keepLines w:val="0"/>
        <w:widowControl w:val="0"/>
        <w:shd w:val="clear" w:color="auto" w:fill="auto"/>
        <w:tabs>
          <w:tab w:pos="5112" w:val="left"/>
        </w:tabs>
        <w:bidi w:val="0"/>
        <w:spacing w:before="0" w:after="220" w:line="240" w:lineRule="auto"/>
        <w:ind w:left="0" w:right="0" w:firstLine="460"/>
        <w:jc w:val="left"/>
      </w:pPr>
      <w:r>
        <w:rPr>
          <w:color w:val="000000"/>
          <w:spacing w:val="0"/>
          <w:w w:val="100"/>
          <w:position w:val="0"/>
        </w:rPr>
        <w:t>东北地区辽宁、黑龙江、吉林；</w:t>
        <w:tab/>
        <w:t>西北地区陕西、甘肃、青海、新疆、宁夏。</w:t>
      </w:r>
    </w:p>
    <w:p>
      <w:pPr>
        <w:pStyle w:val="Style17"/>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下同。</w:t>
      </w:r>
    </w:p>
    <w:p>
      <w:pPr>
        <w:pStyle w:val="Style17"/>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：上述数据统计存在四舍五入的情形，求和存在部分差异，下同。</w:t>
      </w:r>
    </w:p>
    <w:p>
      <w:pPr>
        <w:pStyle w:val="Style17"/>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按市场级别分布</w:t>
      </w:r>
    </w:p>
    <w:p>
      <w:pPr>
        <w:pStyle w:val="Style26"/>
        <w:keepNext w:val="0"/>
        <w:keepLines w:val="0"/>
        <w:widowControl w:val="0"/>
        <w:shd w:val="clear" w:color="auto" w:fill="auto"/>
        <w:bidi w:val="0"/>
        <w:spacing w:before="0" w:after="0" w:line="240" w:lineRule="auto"/>
        <w:ind w:left="7666" w:right="0" w:firstLine="0"/>
        <w:jc w:val="left"/>
      </w:pPr>
      <w:r>
        <w:rPr>
          <w:color w:val="000000"/>
          <w:spacing w:val="0"/>
          <w:w w:val="100"/>
          <w:position w:val="0"/>
        </w:rPr>
        <w:t>单位：家，万平方米</w:t>
      </w:r>
    </w:p>
    <w:tbl>
      <w:tblPr>
        <w:tblOverlap w:val="never"/>
        <w:jc w:val="center"/>
        <w:tblLayout w:type="fixed"/>
      </w:tblPr>
      <w:tblGrid>
        <w:gridCol w:w="1723"/>
        <w:gridCol w:w="1277"/>
        <w:gridCol w:w="1421"/>
        <w:gridCol w:w="1272"/>
        <w:gridCol w:w="1416"/>
        <w:gridCol w:w="1277"/>
        <w:gridCol w:w="1301"/>
      </w:tblGrid>
      <w:tr>
        <w:trPr>
          <w:trHeight w:val="34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苏宁易购广场</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家电</w:t>
            </w:r>
            <w:r>
              <w:rPr>
                <w:color w:val="000000"/>
                <w:spacing w:val="0"/>
                <w:w w:val="100"/>
                <w:position w:val="0"/>
                <w:sz w:val="22"/>
                <w:szCs w:val="22"/>
              </w:rPr>
              <w:t>3C</w:t>
            </w:r>
            <w:r>
              <w:rPr>
                <w:rFonts w:ascii="SimSun" w:eastAsia="SimSun" w:hAnsi="SimSun" w:cs="SimSun"/>
                <w:color w:val="000000"/>
                <w:spacing w:val="0"/>
                <w:w w:val="100"/>
                <w:position w:val="0"/>
                <w:sz w:val="20"/>
                <w:szCs w:val="20"/>
              </w:rPr>
              <w:t>家居生活专业店</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家乐福超市</w:t>
            </w:r>
          </w:p>
        </w:tc>
      </w:tr>
      <w:tr>
        <w:trPr>
          <w:trHeight w:val="33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107.50</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17.78</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三级市场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4.55</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129.83</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注：一级市场指副省级以上城市；二级市场指一级市场以外的地级市；三级市场指一二级市场下</w:t>
      </w:r>
    </w:p>
    <w:p>
      <w:pPr>
        <w:widowControl w:val="0"/>
        <w:spacing w:after="219" w:line="1" w:lineRule="exact"/>
      </w:pP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辖的县、县级市或一二级市场远郊区；四级市场主要指镇级城市。</w:t>
      </w:r>
    </w:p>
    <w:p>
      <w:pPr>
        <w:pStyle w:val="Style17"/>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报告期内公司自营门店变动情况</w:t>
      </w:r>
      <w:r>
        <w:br w:type="page"/>
      </w:r>
    </w:p>
    <w:p>
      <w:pPr>
        <w:pStyle w:val="Style17"/>
        <w:keepNext w:val="0"/>
        <w:keepLines w:val="0"/>
        <w:widowControl w:val="0"/>
        <w:shd w:val="clear" w:color="auto" w:fill="auto"/>
        <w:bidi w:val="0"/>
        <w:spacing w:before="0" w:after="240" w:line="240" w:lineRule="auto"/>
        <w:ind w:left="0" w:right="0" w:firstLine="580"/>
        <w:jc w:val="left"/>
      </w:pPr>
      <w:r>
        <w:rPr>
          <w:color w:val="000000"/>
          <w:spacing w:val="0"/>
          <w:w w:val="100"/>
          <w:position w:val="0"/>
        </w:rPr>
        <w:t>按店面经营业态</w:t>
      </w:r>
    </w:p>
    <w:p>
      <w:pPr>
        <w:pStyle w:val="Style26"/>
        <w:keepNext w:val="0"/>
        <w:keepLines w:val="0"/>
        <w:widowControl w:val="0"/>
        <w:shd w:val="clear" w:color="auto" w:fill="auto"/>
        <w:bidi w:val="0"/>
        <w:spacing w:before="0" w:after="0" w:line="240" w:lineRule="auto"/>
        <w:ind w:left="7790" w:right="0" w:firstLine="0"/>
        <w:jc w:val="left"/>
      </w:pPr>
      <w:r>
        <w:rPr>
          <w:color w:val="000000"/>
          <w:spacing w:val="0"/>
          <w:w w:val="100"/>
          <w:position w:val="0"/>
        </w:rPr>
        <w:t>单位：家，万平方米</w:t>
      </w:r>
    </w:p>
    <w:tbl>
      <w:tblPr>
        <w:tblOverlap w:val="never"/>
        <w:jc w:val="center"/>
        <w:tblLayout w:type="fixed"/>
      </w:tblPr>
      <w:tblGrid>
        <w:gridCol w:w="2842"/>
        <w:gridCol w:w="1133"/>
        <w:gridCol w:w="1104"/>
        <w:gridCol w:w="1166"/>
        <w:gridCol w:w="1133"/>
        <w:gridCol w:w="1133"/>
        <w:gridCol w:w="1291"/>
      </w:tblGrid>
      <w:tr>
        <w:trPr>
          <w:trHeight w:val="34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月新开门店</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月关闭门店</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净增（</w:t>
            </w:r>
            <w:r>
              <w:rPr>
                <w:color w:val="000000"/>
                <w:spacing w:val="0"/>
                <w:w w:val="100"/>
                <w:position w:val="0"/>
                <w:sz w:val="22"/>
                <w:szCs w:val="22"/>
              </w:rPr>
              <w:t>+</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净减</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w:t>
            </w:r>
          </w:p>
        </w:tc>
      </w:tr>
      <w:tr>
        <w:trPr>
          <w:trHeight w:val="33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家电</w:t>
            </w:r>
            <w:r>
              <w:rPr>
                <w:color w:val="000000"/>
                <w:spacing w:val="0"/>
                <w:w w:val="100"/>
                <w:position w:val="0"/>
                <w:sz w:val="22"/>
                <w:szCs w:val="22"/>
              </w:rPr>
              <w:t>3C</w:t>
            </w:r>
            <w:r>
              <w:rPr>
                <w:rFonts w:ascii="SimSun" w:eastAsia="SimSun" w:hAnsi="SimSun" w:cs="SimSun"/>
                <w:color w:val="000000"/>
                <w:spacing w:val="0"/>
                <w:w w:val="100"/>
                <w:position w:val="0"/>
                <w:sz w:val="20"/>
                <w:szCs w:val="20"/>
              </w:rPr>
              <w:t>家居生活专业店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-64.33</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家乐福超市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香港地区门店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-0.16</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红孩子母婴店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-15.72</w:t>
            </w:r>
          </w:p>
        </w:tc>
      </w:tr>
      <w:tr>
        <w:trPr>
          <w:trHeight w:val="34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-88.71</w:t>
            </w:r>
          </w:p>
        </w:tc>
      </w:tr>
    </w:tbl>
    <w:p>
      <w:pPr>
        <w:pStyle w:val="Style26"/>
        <w:keepNext w:val="0"/>
        <w:keepLines w:val="0"/>
        <w:widowControl w:val="0"/>
        <w:shd w:val="clear" w:color="auto" w:fill="auto"/>
        <w:bidi w:val="0"/>
        <w:spacing w:before="0" w:after="0" w:line="240" w:lineRule="auto"/>
        <w:ind w:left="576" w:right="0" w:firstLine="0"/>
        <w:jc w:val="left"/>
      </w:pPr>
      <w:r>
        <w:rPr>
          <w:color w:val="000000"/>
          <w:spacing w:val="0"/>
          <w:w w:val="100"/>
          <w:position w:val="0"/>
        </w:rPr>
        <w:t>按店面所在地区</w:t>
      </w:r>
    </w:p>
    <w:p>
      <w:pPr>
        <w:widowControl w:val="0"/>
        <w:spacing w:after="23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单位：家，万平方米</w:t>
      </w:r>
    </w:p>
    <w:tbl>
      <w:tblPr>
        <w:tblOverlap w:val="never"/>
        <w:jc w:val="center"/>
        <w:tblLayout w:type="fixed"/>
      </w:tblPr>
      <w:tblGrid>
        <w:gridCol w:w="1862"/>
        <w:gridCol w:w="1229"/>
        <w:gridCol w:w="1843"/>
        <w:gridCol w:w="994"/>
        <w:gridCol w:w="1790"/>
        <w:gridCol w:w="1066"/>
        <w:gridCol w:w="1085"/>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家电</w:t>
            </w:r>
            <w:r>
              <w:rPr>
                <w:color w:val="000000"/>
                <w:spacing w:val="0"/>
                <w:w w:val="100"/>
                <w:position w:val="0"/>
                <w:sz w:val="22"/>
                <w:szCs w:val="22"/>
              </w:rPr>
              <w:t>3C</w:t>
            </w:r>
            <w:r>
              <w:rPr>
                <w:rFonts w:ascii="SimSun" w:eastAsia="SimSun" w:hAnsi="SimSun" w:cs="SimSun"/>
                <w:color w:val="000000"/>
                <w:spacing w:val="0"/>
                <w:w w:val="100"/>
                <w:position w:val="0"/>
                <w:sz w:val="20"/>
                <w:szCs w:val="20"/>
              </w:rPr>
              <w:t>家居生活专业店</w:t>
            </w:r>
          </w:p>
        </w:tc>
      </w:tr>
      <w:tr>
        <w:trPr>
          <w:trHeight w:val="322"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月新开门店</w:t>
            </w: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月关闭门店</w:t>
            </w:r>
          </w:p>
        </w:tc>
        <w:tc>
          <w:tcPr>
            <w:gridSpan w:val="2"/>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净增（</w:t>
            </w:r>
            <w:r>
              <w:rPr>
                <w:color w:val="000000"/>
                <w:spacing w:val="0"/>
                <w:w w:val="100"/>
                <w:position w:val="0"/>
                <w:sz w:val="22"/>
                <w:szCs w:val="22"/>
              </w:rPr>
              <w:t>+</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净减</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华东一区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华东二区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-64.33</w:t>
            </w:r>
          </w:p>
        </w:tc>
      </w:tr>
      <w:tr>
        <w:trPr>
          <w:trHeight w:val="322" w:hRule="exact"/>
        </w:trPr>
        <w:tc>
          <w:tcPr>
            <w:vMerge w:val="restart"/>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家乐福超市</w:t>
            </w:r>
          </w:p>
        </w:tc>
      </w:tr>
      <w:tr>
        <w:trPr>
          <w:trHeight w:val="322"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月新开门店</w:t>
            </w: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月关闭门店</w:t>
            </w:r>
          </w:p>
        </w:tc>
        <w:tc>
          <w:tcPr>
            <w:gridSpan w:val="2"/>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净增（</w:t>
            </w:r>
            <w:r>
              <w:rPr>
                <w:color w:val="000000"/>
                <w:spacing w:val="0"/>
                <w:w w:val="100"/>
                <w:position w:val="0"/>
                <w:sz w:val="22"/>
                <w:szCs w:val="22"/>
              </w:rPr>
              <w:t>+</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净减</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华东一区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华东二区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-0.68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-0.64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-0.53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-8.50</w:t>
            </w:r>
          </w:p>
        </w:tc>
      </w:tr>
      <w:tr>
        <w:trPr>
          <w:trHeight w:val="322" w:hRule="exact"/>
        </w:trPr>
        <w:tc>
          <w:tcPr>
            <w:vMerge w:val="restart"/>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母婴店</w:t>
            </w:r>
          </w:p>
        </w:tc>
      </w:tr>
      <w:tr>
        <w:trPr>
          <w:trHeight w:val="322"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月新开门店</w:t>
            </w: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月关闭门店</w:t>
            </w:r>
          </w:p>
        </w:tc>
        <w:tc>
          <w:tcPr>
            <w:gridSpan w:val="2"/>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净增（</w:t>
            </w:r>
            <w:r>
              <w:rPr>
                <w:color w:val="000000"/>
                <w:spacing w:val="0"/>
                <w:w w:val="100"/>
                <w:position w:val="0"/>
                <w:sz w:val="22"/>
                <w:szCs w:val="22"/>
              </w:rPr>
              <w:t>+</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净减</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华东一区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-7.34</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华东二区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-1.40</w:t>
            </w:r>
          </w:p>
        </w:tc>
      </w:tr>
    </w:tbl>
    <w:p>
      <w:pPr>
        <w:spacing w:lineRule="exact" w:line="1"/>
        <w:rPr>
          <w:sz w:val="2"/>
          <w:szCs w:val="2"/>
        </w:rPr>
      </w:pPr>
      <w:r>
        <w:br w:type="page"/>
      </w:r>
    </w:p>
    <w:tbl>
      <w:tblPr>
        <w:tblOverlap w:val="never"/>
        <w:jc w:val="center"/>
        <w:tblLayout w:type="fixed"/>
      </w:tblPr>
      <w:tblGrid>
        <w:gridCol w:w="1862"/>
        <w:gridCol w:w="1229"/>
        <w:gridCol w:w="1843"/>
        <w:gridCol w:w="994"/>
        <w:gridCol w:w="1790"/>
        <w:gridCol w:w="1066"/>
        <w:gridCol w:w="1085"/>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-0.86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-0.55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-0.67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-15.72</w:t>
            </w:r>
          </w:p>
        </w:tc>
      </w:tr>
    </w:tbl>
    <w:p>
      <w:pPr>
        <w:pStyle w:val="Style26"/>
        <w:keepNext w:val="0"/>
        <w:keepLines w:val="0"/>
        <w:widowControl w:val="0"/>
        <w:shd w:val="clear" w:color="auto" w:fill="auto"/>
        <w:bidi w:val="0"/>
        <w:spacing w:before="0" w:after="0" w:line="240" w:lineRule="auto"/>
        <w:ind w:left="542" w:right="0" w:firstLine="0"/>
        <w:jc w:val="left"/>
      </w:pPr>
      <w:r>
        <w:rPr>
          <w:color w:val="000000"/>
          <w:spacing w:val="0"/>
          <w:w w:val="100"/>
          <w:position w:val="0"/>
        </w:rPr>
        <w:t>按市场类型</w:t>
      </w:r>
    </w:p>
    <w:p>
      <w:pPr>
        <w:widowControl w:val="0"/>
        <w:spacing w:after="219" w:line="1" w:lineRule="exact"/>
      </w:pPr>
    </w:p>
    <w:p>
      <w:pPr>
        <w:pStyle w:val="Style26"/>
        <w:keepNext w:val="0"/>
        <w:keepLines w:val="0"/>
        <w:widowControl w:val="0"/>
        <w:shd w:val="clear" w:color="auto" w:fill="auto"/>
        <w:bidi w:val="0"/>
        <w:spacing w:before="0" w:after="0" w:line="240" w:lineRule="auto"/>
        <w:ind w:left="7757" w:right="0" w:firstLine="0"/>
        <w:jc w:val="left"/>
      </w:pPr>
      <w:r>
        <w:rPr>
          <w:color w:val="000000"/>
          <w:spacing w:val="0"/>
          <w:w w:val="100"/>
          <w:position w:val="0"/>
        </w:rPr>
        <w:t>单位：家，万平方米</w:t>
      </w:r>
    </w:p>
    <w:tbl>
      <w:tblPr>
        <w:tblOverlap w:val="never"/>
        <w:jc w:val="center"/>
        <w:tblLayout w:type="fixed"/>
      </w:tblPr>
      <w:tblGrid>
        <w:gridCol w:w="1920"/>
        <w:gridCol w:w="1147"/>
        <w:gridCol w:w="1603"/>
        <w:gridCol w:w="1152"/>
        <w:gridCol w:w="1728"/>
        <w:gridCol w:w="1157"/>
        <w:gridCol w:w="1162"/>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家电</w:t>
            </w:r>
            <w:r>
              <w:rPr>
                <w:color w:val="000000"/>
                <w:spacing w:val="0"/>
                <w:w w:val="100"/>
                <w:position w:val="0"/>
                <w:sz w:val="22"/>
                <w:szCs w:val="22"/>
              </w:rPr>
              <w:t>3C</w:t>
            </w:r>
            <w:r>
              <w:rPr>
                <w:rFonts w:ascii="SimSun" w:eastAsia="SimSun" w:hAnsi="SimSun" w:cs="SimSun"/>
                <w:color w:val="000000"/>
                <w:spacing w:val="0"/>
                <w:w w:val="100"/>
                <w:position w:val="0"/>
                <w:sz w:val="20"/>
                <w:szCs w:val="20"/>
              </w:rPr>
              <w:t>家居生活专业店</w:t>
            </w:r>
          </w:p>
        </w:tc>
      </w:tr>
      <w:tr>
        <w:trPr>
          <w:trHeight w:val="322"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月新开门店</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月关闭门店</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净增（</w:t>
            </w:r>
            <w:r>
              <w:rPr>
                <w:color w:val="000000"/>
                <w:spacing w:val="0"/>
                <w:w w:val="100"/>
                <w:position w:val="0"/>
                <w:sz w:val="22"/>
                <w:szCs w:val="22"/>
              </w:rPr>
              <w:t>+</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净减</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三级市场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-64.33</w:t>
            </w:r>
          </w:p>
        </w:tc>
      </w:tr>
      <w:tr>
        <w:trPr>
          <w:trHeight w:val="322" w:hRule="exact"/>
        </w:trPr>
        <w:tc>
          <w:tcPr>
            <w:vMerge w:val="restart"/>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家乐福超市</w:t>
            </w:r>
          </w:p>
        </w:tc>
      </w:tr>
      <w:tr>
        <w:trPr>
          <w:trHeight w:val="322"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月新开门店</w:t>
            </w: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月关闭门店</w:t>
            </w:r>
          </w:p>
        </w:tc>
        <w:tc>
          <w:tcPr>
            <w:gridSpan w:val="2"/>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净增（</w:t>
            </w:r>
            <w:r>
              <w:rPr>
                <w:color w:val="000000"/>
                <w:spacing w:val="0"/>
                <w:w w:val="100"/>
                <w:position w:val="0"/>
                <w:sz w:val="22"/>
                <w:szCs w:val="22"/>
              </w:rPr>
              <w:t>+</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净减</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三级市场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0.49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w:t>
            </w:r>
          </w:p>
        </w:tc>
      </w:tr>
      <w:tr>
        <w:trPr>
          <w:trHeight w:val="322" w:hRule="exact"/>
        </w:trPr>
        <w:tc>
          <w:tcPr>
            <w:vMerge w:val="restart"/>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母婴店</w:t>
            </w:r>
          </w:p>
        </w:tc>
      </w:tr>
      <w:tr>
        <w:trPr>
          <w:trHeight w:val="322"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月新开门店</w:t>
            </w: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1-12</w:t>
            </w:r>
            <w:r>
              <w:rPr>
                <w:rFonts w:ascii="SimSun" w:eastAsia="SimSun" w:hAnsi="SimSun" w:cs="SimSun"/>
                <w:color w:val="000000"/>
                <w:spacing w:val="0"/>
                <w:w w:val="100"/>
                <w:position w:val="0"/>
                <w:sz w:val="20"/>
                <w:szCs w:val="20"/>
              </w:rPr>
              <w:t>月关闭门店</w:t>
            </w:r>
          </w:p>
        </w:tc>
        <w:tc>
          <w:tcPr>
            <w:gridSpan w:val="2"/>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净增（</w:t>
            </w:r>
            <w:r>
              <w:rPr>
                <w:color w:val="000000"/>
                <w:spacing w:val="0"/>
                <w:w w:val="100"/>
                <w:position w:val="0"/>
                <w:sz w:val="22"/>
                <w:szCs w:val="22"/>
              </w:rPr>
              <w:t>+</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净减</w:t>
            </w:r>
            <w:r>
              <w:rPr>
                <w:rFonts w:ascii="SimSun" w:eastAsia="SimSun" w:hAnsi="SimSun" w:cs="SimSun"/>
                <w:color w:val="000000"/>
                <w:spacing w:val="0"/>
                <w:w w:val="100"/>
                <w:position w:val="0"/>
                <w:sz w:val="20"/>
                <w:szCs w:val="20"/>
              </w:rPr>
              <w:t>（</w:t>
            </w:r>
            <w:r>
              <w:rPr>
                <w:color w:val="000000"/>
                <w:spacing w:val="0"/>
                <w:w w:val="100"/>
                <w:position w:val="0"/>
                <w:sz w:val="22"/>
                <w:szCs w:val="22"/>
              </w:rPr>
              <w:t>-</w:t>
            </w:r>
            <w:r>
              <w:rPr>
                <w:rFonts w:ascii="SimSun" w:eastAsia="SimSun" w:hAnsi="SimSun" w:cs="SimSun"/>
                <w:color w:val="000000"/>
                <w:spacing w:val="0"/>
                <w:w w:val="100"/>
                <w:position w:val="0"/>
                <w:sz w:val="20"/>
                <w:szCs w:val="20"/>
              </w:rPr>
              <w:t>）</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-6.35</w:t>
            </w:r>
          </w:p>
        </w:tc>
      </w:tr>
      <w:tr>
        <w:trPr>
          <w:trHeight w:val="38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三级市场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w:t>
            </w:r>
          </w:p>
        </w:tc>
      </w:tr>
      <w:tr>
        <w:trPr>
          <w:trHeight w:val="38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-15.72</w:t>
            </w:r>
          </w:p>
        </w:tc>
      </w:tr>
    </w:tbl>
    <w:p>
      <w:pPr>
        <w:pStyle w:val="Style26"/>
        <w:keepNext w:val="0"/>
        <w:keepLines w:val="0"/>
        <w:widowControl w:val="0"/>
        <w:shd w:val="clear" w:color="auto" w:fill="auto"/>
        <w:bidi w:val="0"/>
        <w:spacing w:before="0" w:after="0" w:line="240" w:lineRule="auto"/>
        <w:ind w:left="533" w:right="0" w:firstLine="0"/>
        <w:jc w:val="left"/>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rPr>
        <w:t>、苏宁易购零售云加盟店变动情况</w:t>
      </w:r>
    </w:p>
    <w:p>
      <w:pPr>
        <w:pStyle w:val="Style26"/>
        <w:keepNext w:val="0"/>
        <w:keepLines w:val="0"/>
        <w:widowControl w:val="0"/>
        <w:shd w:val="clear" w:color="auto" w:fill="auto"/>
        <w:bidi w:val="0"/>
        <w:spacing w:before="0" w:after="140" w:line="468" w:lineRule="exact"/>
        <w:ind w:left="0" w:right="0" w:firstLine="0"/>
        <w:jc w:val="distribute"/>
      </w:pPr>
      <w:r>
        <w:rPr>
          <w:color w:val="000000"/>
          <w:spacing w:val="0"/>
          <w:w w:val="100"/>
          <w:position w:val="0"/>
        </w:rPr>
        <w:t>公司大力发展零售服务商业务，帮助合作伙伴数字化转型，零售云业务是公司在下沉市场拓展零 售服务业务的有效实践。</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年零售云业务继续保持了较快发展，报告期内新开</w:t>
      </w:r>
      <w:r>
        <w:rPr>
          <w:rFonts w:ascii="Times New Roman" w:eastAsia="Times New Roman" w:hAnsi="Times New Roman" w:cs="Times New Roman"/>
          <w:color w:val="000000"/>
          <w:spacing w:val="0"/>
          <w:w w:val="100"/>
          <w:position w:val="0"/>
          <w:sz w:val="22"/>
          <w:szCs w:val="22"/>
        </w:rPr>
        <w:t>2,678</w:t>
      </w:r>
      <w:r>
        <w:rPr>
          <w:color w:val="000000"/>
          <w:spacing w:val="0"/>
          <w:w w:val="100"/>
          <w:position w:val="0"/>
        </w:rPr>
        <w:t>家加盟店，拓 展家居、快修赛道，截至报告期末苏宁易购零售云加盟店</w:t>
      </w:r>
      <w:r>
        <w:rPr>
          <w:rFonts w:ascii="Times New Roman" w:eastAsia="Times New Roman" w:hAnsi="Times New Roman" w:cs="Times New Roman"/>
          <w:color w:val="000000"/>
          <w:spacing w:val="0"/>
          <w:w w:val="100"/>
          <w:position w:val="0"/>
          <w:sz w:val="22"/>
          <w:szCs w:val="22"/>
        </w:rPr>
        <w:t>9,178</w:t>
      </w:r>
      <w:r>
        <w:rPr>
          <w:color w:val="000000"/>
          <w:spacing w:val="0"/>
          <w:w w:val="100"/>
          <w:position w:val="0"/>
        </w:rPr>
        <w:t>家。</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单位：家</w:t>
      </w:r>
    </w:p>
    <w:tbl>
      <w:tblPr>
        <w:tblOverlap w:val="never"/>
        <w:jc w:val="center"/>
        <w:tblLayout w:type="fixed"/>
      </w:tblPr>
      <w:tblGrid>
        <w:gridCol w:w="2467"/>
        <w:gridCol w:w="2467"/>
        <w:gridCol w:w="2462"/>
        <w:gridCol w:w="2472"/>
      </w:tblGrid>
      <w:tr>
        <w:trPr>
          <w:trHeight w:val="34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分地区</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2020</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增减数量变化</w:t>
            </w:r>
          </w:p>
        </w:tc>
      </w:tr>
    </w:tbl>
    <w:p>
      <w:pPr>
        <w:spacing w:lineRule="exact" w:line="1"/>
        <w:rPr>
          <w:sz w:val="2"/>
          <w:szCs w:val="2"/>
        </w:rPr>
      </w:pPr>
      <w:r>
        <w:br w:type="page"/>
      </w:r>
    </w:p>
    <w:tbl>
      <w:tblPr>
        <w:tblOverlap w:val="never"/>
        <w:jc w:val="center"/>
        <w:tblLayout w:type="fixed"/>
      </w:tblPr>
      <w:tblGrid>
        <w:gridCol w:w="2467"/>
        <w:gridCol w:w="2467"/>
        <w:gridCol w:w="2462"/>
        <w:gridCol w:w="2472"/>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分地区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2020</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增减数量变化</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华东一区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华东二区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7,137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2,041</w:t>
            </w:r>
          </w:p>
        </w:tc>
      </w:tr>
    </w:tbl>
    <w:p>
      <w:pPr>
        <w:pStyle w:val="Style26"/>
        <w:keepNext w:val="0"/>
        <w:keepLines w:val="0"/>
        <w:widowControl w:val="0"/>
        <w:shd w:val="clear" w:color="auto" w:fill="auto"/>
        <w:bidi w:val="0"/>
        <w:spacing w:before="0" w:after="0" w:line="240" w:lineRule="auto"/>
        <w:ind w:left="115" w:right="0" w:firstLine="0"/>
        <w:jc w:val="left"/>
      </w:pPr>
      <w:bookmarkStart w:id="74" w:name="bookmark74"/>
      <w:r>
        <w:rPr>
          <w:b/>
          <w:bCs/>
          <w:color w:val="000000"/>
          <w:spacing w:val="0"/>
          <w:w w:val="100"/>
          <w:position w:val="0"/>
        </w:rPr>
        <w:t>（二）门店店效信息</w:t>
      </w:r>
      <w:bookmarkEnd w:id="74"/>
    </w:p>
    <w:p>
      <w:pPr>
        <w:widowControl w:val="0"/>
        <w:spacing w:after="199" w:line="1" w:lineRule="exact"/>
      </w:pPr>
    </w:p>
    <w:p>
      <w:pPr>
        <w:pStyle w:val="Style17"/>
        <w:keepNext w:val="0"/>
        <w:keepLines w:val="0"/>
        <w:widowControl w:val="0"/>
        <w:shd w:val="clear" w:color="auto" w:fill="auto"/>
        <w:bidi w:val="0"/>
        <w:spacing w:before="0" w:after="0" w:line="470" w:lineRule="exact"/>
        <w:ind w:left="0" w:right="0" w:firstLine="540"/>
        <w:jc w:val="left"/>
      </w:pPr>
      <w:r>
        <w:rPr>
          <w:color w:val="000000"/>
          <w:spacing w:val="0"/>
          <w:w w:val="100"/>
          <w:position w:val="0"/>
        </w:rPr>
        <w:t xml:space="preserve">报告期内，公司遇到了短期内流动性压力带来的货源不足等问题对终端销售带来影响，公司家电 </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家居生活专业店可比门店（可比门店指</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日及之前开设的店面，不含香港地区店面） 线下零售销售收入同比大幅下降。随着公司各项业务企稳，环比来看四季度可比门店销售将有所恢复， 收入环比增长</w:t>
      </w:r>
      <w:r>
        <w:rPr>
          <w:rFonts w:ascii="Times New Roman" w:eastAsia="Times New Roman" w:hAnsi="Times New Roman" w:cs="Times New Roman"/>
          <w:color w:val="000000"/>
          <w:spacing w:val="0"/>
          <w:w w:val="100"/>
          <w:position w:val="0"/>
          <w:sz w:val="22"/>
          <w:szCs w:val="22"/>
        </w:rPr>
        <w:t>21.91%</w:t>
      </w:r>
      <w:r>
        <w:rPr>
          <w:color w:val="000000"/>
          <w:spacing w:val="0"/>
          <w:w w:val="100"/>
          <w:position w:val="0"/>
        </w:rPr>
        <w:t>。</w:t>
      </w:r>
    </w:p>
    <w:p>
      <w:pPr>
        <w:pStyle w:val="Style17"/>
        <w:keepNext w:val="0"/>
        <w:keepLines w:val="0"/>
        <w:widowControl w:val="0"/>
        <w:shd w:val="clear" w:color="auto" w:fill="auto"/>
        <w:bidi w:val="0"/>
        <w:spacing w:before="0" w:after="0" w:line="470" w:lineRule="exact"/>
        <w:ind w:left="0" w:right="0" w:firstLine="540"/>
        <w:jc w:val="left"/>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年以来，家乐福中国的主营业务受到社区团购低价扩张影响、疫情反复等诸多不利因素影响 表现较弱，同店销售有所下滑。</w:t>
      </w:r>
    </w:p>
    <w:p>
      <w:pPr>
        <w:pStyle w:val="Style17"/>
        <w:keepNext w:val="0"/>
        <w:keepLines w:val="0"/>
        <w:widowControl w:val="0"/>
        <w:shd w:val="clear" w:color="auto" w:fill="auto"/>
        <w:bidi w:val="0"/>
        <w:spacing w:before="0" w:after="140" w:line="470" w:lineRule="exact"/>
        <w:ind w:left="0" w:right="0" w:firstLine="540"/>
        <w:jc w:val="left"/>
      </w:pPr>
      <w:r>
        <w:rPr>
          <w:color w:val="000000"/>
          <w:spacing w:val="0"/>
          <w:w w:val="100"/>
          <w:position w:val="0"/>
        </w:rPr>
        <w:t>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按店面经营业态</w:t>
      </w:r>
    </w:p>
    <w:p>
      <w:pPr>
        <w:pStyle w:val="Style26"/>
        <w:keepNext w:val="0"/>
        <w:keepLines w:val="0"/>
        <w:widowControl w:val="0"/>
        <w:shd w:val="clear" w:color="auto" w:fill="auto"/>
        <w:bidi w:val="0"/>
        <w:spacing w:before="0" w:after="0" w:line="240" w:lineRule="auto"/>
        <w:ind w:left="8045" w:right="0" w:firstLine="0"/>
        <w:jc w:val="left"/>
      </w:pPr>
      <w:r>
        <w:rPr>
          <w:color w:val="000000"/>
          <w:spacing w:val="0"/>
          <w:w w:val="100"/>
          <w:position w:val="0"/>
        </w:rPr>
        <w:t>单位：元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平方米</w:t>
      </w:r>
    </w:p>
    <w:tbl>
      <w:tblPr>
        <w:tblOverlap w:val="never"/>
        <w:jc w:val="center"/>
        <w:tblLayout w:type="fixed"/>
      </w:tblPr>
      <w:tblGrid>
        <w:gridCol w:w="2765"/>
        <w:gridCol w:w="2069"/>
        <w:gridCol w:w="2203"/>
        <w:gridCol w:w="2650"/>
      </w:tblGrid>
      <w:tr>
        <w:trPr>
          <w:trHeight w:val="3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1920" w:right="0" w:firstLine="0"/>
              <w:jc w:val="left"/>
              <w:rPr>
                <w:sz w:val="20"/>
                <w:szCs w:val="20"/>
              </w:rPr>
            </w:pPr>
            <w:r>
              <w:rPr>
                <w:rFonts w:ascii="SimSun" w:eastAsia="SimSun" w:hAnsi="SimSun" w:cs="SimSun"/>
                <w:color w:val="000000"/>
                <w:spacing w:val="0"/>
                <w:w w:val="100"/>
                <w:position w:val="0"/>
                <w:sz w:val="20"/>
                <w:szCs w:val="20"/>
              </w:rPr>
              <w:t>坪</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w:t>
            </w:r>
            <w:r>
              <w:rPr>
                <w:rFonts w:ascii="SimSun" w:eastAsia="SimSun" w:hAnsi="SimSun" w:cs="SimSun"/>
                <w:color w:val="000000"/>
                <w:spacing w:val="0"/>
                <w:w w:val="100"/>
                <w:position w:val="0"/>
                <w:sz w:val="20"/>
                <w:szCs w:val="20"/>
              </w:rPr>
              <w:t>效</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销售收入同比变动</w:t>
            </w:r>
          </w:p>
        </w:tc>
      </w:tr>
      <w:tr>
        <w:trPr>
          <w:trHeight w:val="33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同比变动</w:t>
            </w:r>
          </w:p>
        </w:tc>
        <w:tc>
          <w:tcPr>
            <w:vMerge/>
            <w:tcBorders>
              <w:left w:val="single" w:sz="4"/>
              <w:right w:val="single" w:sz="4"/>
            </w:tcBorders>
            <w:shd w:val="clear" w:color="auto" w:fill="D3D3D3"/>
            <w:vAlign w:val="center"/>
          </w:tcPr>
          <w:p>
            <w:pP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家电</w:t>
            </w:r>
            <w:r>
              <w:rPr>
                <w:color w:val="000000"/>
                <w:spacing w:val="0"/>
                <w:w w:val="100"/>
                <w:position w:val="0"/>
                <w:sz w:val="22"/>
                <w:szCs w:val="22"/>
              </w:rPr>
              <w:t>3C</w:t>
            </w:r>
            <w:r>
              <w:rPr>
                <w:rFonts w:ascii="SimSun" w:eastAsia="SimSun" w:hAnsi="SimSun" w:cs="SimSun"/>
                <w:color w:val="000000"/>
                <w:spacing w:val="0"/>
                <w:w w:val="100"/>
                <w:position w:val="0"/>
                <w:sz w:val="20"/>
                <w:szCs w:val="20"/>
              </w:rPr>
              <w:t>家居生活专业店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9,875.85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w:t>
            </w:r>
          </w:p>
        </w:tc>
      </w:tr>
      <w:tr>
        <w:trPr>
          <w:trHeight w:val="3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家乐福超市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12,718.09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w:t>
            </w:r>
          </w:p>
        </w:tc>
      </w:tr>
    </w:tbl>
    <w:p>
      <w:pPr>
        <w:pStyle w:val="Style17"/>
        <w:keepNext w:val="0"/>
        <w:keepLines w:val="0"/>
        <w:widowControl w:val="0"/>
        <w:shd w:val="clear" w:color="auto" w:fill="auto"/>
        <w:bidi w:val="0"/>
        <w:spacing w:before="0" w:after="360" w:line="470" w:lineRule="exact"/>
        <w:ind w:left="0" w:right="0" w:firstLine="540"/>
        <w:jc w:val="left"/>
      </w:pPr>
      <w:r>
        <w:rPr>
          <w:color w:val="000000"/>
          <w:spacing w:val="0"/>
          <w:w w:val="100"/>
          <w:position w:val="0"/>
        </w:rPr>
        <w:t>注：公司会计核算上均以子公司作为核算单位，门店销售收入为内部管理报表口径，为消费者在 门店完成支付购买的收入统计（不含税），下同。家乐福超市统计业态为大卖场、会员店业态。</w:t>
      </w:r>
    </w:p>
    <w:p>
      <w:pPr>
        <w:pStyle w:val="Style17"/>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表</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按店面所在市场级别</w:t>
      </w:r>
    </w:p>
    <w:p>
      <w:pPr>
        <w:pStyle w:val="Style26"/>
        <w:keepNext w:val="0"/>
        <w:keepLines w:val="0"/>
        <w:widowControl w:val="0"/>
        <w:shd w:val="clear" w:color="auto" w:fill="auto"/>
        <w:bidi w:val="0"/>
        <w:spacing w:before="0" w:after="0" w:line="240" w:lineRule="auto"/>
        <w:ind w:left="8136" w:right="0" w:firstLine="0"/>
        <w:jc w:val="left"/>
      </w:pPr>
      <w:r>
        <w:rPr>
          <w:color w:val="000000"/>
          <w:spacing w:val="0"/>
          <w:w w:val="100"/>
          <w:position w:val="0"/>
        </w:rPr>
        <w:t>单位：元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平方米</w:t>
      </w:r>
    </w:p>
    <w:tbl>
      <w:tblPr>
        <w:tblOverlap w:val="never"/>
        <w:jc w:val="center"/>
        <w:tblLayout w:type="fixed"/>
      </w:tblPr>
      <w:tblGrid>
        <w:gridCol w:w="2366"/>
        <w:gridCol w:w="2434"/>
        <w:gridCol w:w="2429"/>
        <w:gridCol w:w="2640"/>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家电</w:t>
            </w:r>
            <w:r>
              <w:rPr>
                <w:color w:val="000000"/>
                <w:spacing w:val="0"/>
                <w:w w:val="100"/>
                <w:position w:val="0"/>
                <w:sz w:val="22"/>
                <w:szCs w:val="22"/>
              </w:rPr>
              <w:t>3C</w:t>
            </w:r>
            <w:r>
              <w:rPr>
                <w:rFonts w:ascii="SimSun" w:eastAsia="SimSun" w:hAnsi="SimSun" w:cs="SimSun"/>
                <w:color w:val="000000"/>
                <w:spacing w:val="0"/>
                <w:w w:val="100"/>
                <w:position w:val="0"/>
                <w:sz w:val="20"/>
                <w:szCs w:val="20"/>
              </w:rPr>
              <w:t>家居生活专业店</w:t>
            </w:r>
          </w:p>
        </w:tc>
      </w:tr>
      <w:tr>
        <w:trPr>
          <w:trHeight w:val="322"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坪效</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销售收入同比变动</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同比变动</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12,799.37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-19.07%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-20.17%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8,145.56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-19.29%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-21.16%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三级市场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7,179.68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-19.78%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-21.78%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8,856.20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-19.65%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-20.34%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9,875.85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-19.16%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-20.72%</w:t>
            </w:r>
          </w:p>
        </w:tc>
      </w:tr>
    </w:tbl>
    <w:p>
      <w:pPr>
        <w:spacing w:lineRule="exact" w:line="1"/>
        <w:rPr>
          <w:sz w:val="2"/>
          <w:szCs w:val="2"/>
        </w:rPr>
      </w:pPr>
      <w:r>
        <w:br w:type="page"/>
      </w:r>
    </w:p>
    <w:tbl>
      <w:tblPr>
        <w:tblOverlap w:val="never"/>
        <w:jc w:val="center"/>
        <w:tblLayout w:type="fixed"/>
      </w:tblPr>
      <w:tblGrid>
        <w:gridCol w:w="2366"/>
        <w:gridCol w:w="2434"/>
        <w:gridCol w:w="2429"/>
        <w:gridCol w:w="2640"/>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家乐福超市</w:t>
            </w:r>
          </w:p>
        </w:tc>
      </w:tr>
      <w:tr>
        <w:trPr>
          <w:trHeight w:val="322"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坪效</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销售收入同比变动</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同比变动</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13,310.58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-20.57%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10,108.85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-18.81%</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三级市场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-20.70%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四级市场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12,718.09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-20.39%</w:t>
            </w:r>
          </w:p>
        </w:tc>
      </w:tr>
    </w:tbl>
    <w:p>
      <w:pPr>
        <w:widowControl w:val="0"/>
        <w:spacing w:after="239" w:line="1" w:lineRule="exact"/>
      </w:pPr>
    </w:p>
    <w:p>
      <w:pPr>
        <w:pStyle w:val="Style17"/>
        <w:keepNext w:val="0"/>
        <w:keepLines w:val="0"/>
        <w:widowControl w:val="0"/>
        <w:shd w:val="clear" w:color="auto" w:fill="auto"/>
        <w:bidi w:val="0"/>
        <w:spacing w:before="0" w:after="180" w:line="240" w:lineRule="auto"/>
        <w:ind w:left="0" w:right="0" w:firstLine="540"/>
        <w:jc w:val="left"/>
      </w:pPr>
      <w:r>
        <w:rPr>
          <w:color w:val="000000"/>
          <w:spacing w:val="0"/>
          <w:w w:val="100"/>
          <w:position w:val="0"/>
        </w:rPr>
        <w:t>表</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按店面所在地区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平方米</w:t>
      </w:r>
    </w:p>
    <w:tbl>
      <w:tblPr>
        <w:tblOverlap w:val="never"/>
        <w:jc w:val="center"/>
        <w:tblLayout w:type="fixed"/>
      </w:tblPr>
      <w:tblGrid>
        <w:gridCol w:w="2654"/>
        <w:gridCol w:w="2237"/>
        <w:gridCol w:w="2232"/>
        <w:gridCol w:w="2746"/>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家电</w:t>
            </w:r>
            <w:r>
              <w:rPr>
                <w:color w:val="000000"/>
                <w:spacing w:val="0"/>
                <w:w w:val="100"/>
                <w:position w:val="0"/>
                <w:sz w:val="22"/>
                <w:szCs w:val="22"/>
              </w:rPr>
              <w:t>3C</w:t>
            </w:r>
            <w:r>
              <w:rPr>
                <w:rFonts w:ascii="SimSun" w:eastAsia="SimSun" w:hAnsi="SimSun" w:cs="SimSun"/>
                <w:color w:val="000000"/>
                <w:spacing w:val="0"/>
                <w:w w:val="100"/>
                <w:position w:val="0"/>
                <w:sz w:val="20"/>
                <w:szCs w:val="20"/>
              </w:rPr>
              <w:t>家居生活专业店</w:t>
            </w:r>
          </w:p>
        </w:tc>
      </w:tr>
      <w:tr>
        <w:trPr>
          <w:trHeight w:val="322"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坪效</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销售收入同比变动</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同比变动</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华东一区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10,909.49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-18.47%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-20.08%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华东二区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11,179.71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-15.49%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-17.22%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10,952.32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-19.83%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-22.32%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10,316.71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-19.10%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-20.72%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8,922.66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-19.67%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-20.92%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8,044.35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-18.17%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-19.81%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7,622.26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-18.20%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-18.70%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7,418.09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-30.67%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-31.78%</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9,875.85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-19.16%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-20.72%</w:t>
            </w:r>
          </w:p>
        </w:tc>
      </w:tr>
    </w:tbl>
    <w:p>
      <w:pPr>
        <w:widowControl w:val="0"/>
        <w:spacing w:after="439" w:line="1" w:lineRule="exact"/>
      </w:pPr>
    </w:p>
    <w:tbl>
      <w:tblPr>
        <w:tblOverlap w:val="never"/>
        <w:jc w:val="center"/>
        <w:tblLayout w:type="fixed"/>
      </w:tblPr>
      <w:tblGrid>
        <w:gridCol w:w="2654"/>
        <w:gridCol w:w="2237"/>
        <w:gridCol w:w="2232"/>
        <w:gridCol w:w="2746"/>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家乐福超市</w:t>
            </w:r>
          </w:p>
        </w:tc>
      </w:tr>
      <w:tr>
        <w:trPr>
          <w:trHeight w:val="322"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坪效</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销售收入同比变动</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同比变动</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华东一区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11,800.49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-17.81%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-17.81%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华东二区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13,269.47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-16.78%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-16.84%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15,189.70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-23.25%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13,261.80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-23.54%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11,889.77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-22.60%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-22.60%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9,647.90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9,640.93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-12.13%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12,248.99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-19.31%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-20.49%</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12,718.09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-20.16%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-20.39%</w:t>
            </w:r>
          </w:p>
        </w:tc>
      </w:tr>
    </w:tbl>
    <w:p>
      <w:pPr>
        <w:pStyle w:val="Style26"/>
        <w:keepNext w:val="0"/>
        <w:keepLines w:val="0"/>
        <w:widowControl w:val="0"/>
        <w:shd w:val="clear" w:color="auto" w:fill="auto"/>
        <w:bidi w:val="0"/>
        <w:spacing w:before="0" w:after="0" w:line="240" w:lineRule="auto"/>
        <w:ind w:left="115" w:right="0" w:firstLine="0"/>
        <w:jc w:val="left"/>
      </w:pPr>
      <w:bookmarkStart w:id="75" w:name="bookmark75"/>
      <w:r>
        <w:rPr>
          <w:b/>
          <w:bCs/>
          <w:color w:val="000000"/>
          <w:spacing w:val="0"/>
          <w:w w:val="100"/>
          <w:position w:val="0"/>
        </w:rPr>
        <w:t>（三）报告期末门店的经营情况</w:t>
      </w:r>
      <w:bookmarkEnd w:id="75"/>
    </w:p>
    <w:p>
      <w:pPr>
        <w:widowControl w:val="0"/>
        <w:spacing w:after="439" w:line="1" w:lineRule="exact"/>
      </w:pP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报告期内公司销售规模排名前十名的门店情况</w:t>
      </w:r>
    </w:p>
    <w:p>
      <w:pPr>
        <w:pStyle w:val="Style1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单位：平方米</w:t>
      </w:r>
    </w:p>
    <w:tbl>
      <w:tblPr>
        <w:tblOverlap w:val="never"/>
        <w:jc w:val="center"/>
        <w:tblLayout w:type="fixed"/>
      </w:tblPr>
      <w:tblGrid>
        <w:gridCol w:w="595"/>
        <w:gridCol w:w="1786"/>
        <w:gridCol w:w="1848"/>
        <w:gridCol w:w="1330"/>
        <w:gridCol w:w="1219"/>
        <w:gridCol w:w="1138"/>
        <w:gridCol w:w="850"/>
        <w:gridCol w:w="1181"/>
      </w:tblGrid>
      <w:tr>
        <w:trPr>
          <w:trHeight w:val="63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序 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门店名称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地址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开业日期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合同租赁 面积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经营业态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经营</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模式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color w:val="000000"/>
                <w:spacing w:val="0"/>
                <w:w w:val="100"/>
                <w:position w:val="0"/>
                <w:sz w:val="20"/>
                <w:szCs w:val="20"/>
              </w:rPr>
              <w:t>物业所属 业态</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南京新街口店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南京市秦淮区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1999/12/28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18,422.35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家电</w:t>
            </w:r>
            <w:r>
              <w:rPr>
                <w:color w:val="000000"/>
                <w:spacing w:val="0"/>
                <w:w w:val="100"/>
                <w:position w:val="0"/>
              </w:rPr>
              <w:t>3C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租赁</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重庆观音桥步行 街店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重庆市江北区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2006/10/1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家电</w:t>
            </w:r>
            <w:r>
              <w:rPr>
                <w:color w:val="000000"/>
                <w:spacing w:val="0"/>
                <w:w w:val="100"/>
                <w:position w:val="0"/>
              </w:rPr>
              <w:t>3C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租赁</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北京双井店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北京市朝阳区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2004/5/21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31,263.22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家乐福大 卖场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租赁</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上海五角场店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上海市杨浦区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2010/12/25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家电</w:t>
            </w:r>
            <w:r>
              <w:rPr>
                <w:color w:val="000000"/>
                <w:spacing w:val="0"/>
                <w:w w:val="100"/>
                <w:position w:val="0"/>
              </w:rPr>
              <w:t>3C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租赁</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北京通州百货店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北京市通州区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百货业态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租赁</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成都天府立交店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成都市武侯区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2011/1/22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家电</w:t>
            </w:r>
            <w:r>
              <w:rPr>
                <w:color w:val="000000"/>
                <w:spacing w:val="0"/>
                <w:w w:val="100"/>
                <w:position w:val="0"/>
              </w:rPr>
              <w:t>3C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租赁</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上海古北店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上海市长宁区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1998/12/12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家乐福大 卖场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自有</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上海长宁路店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上海市长宁区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2005/10/1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11,251.58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家电</w:t>
            </w:r>
            <w:r>
              <w:rPr>
                <w:color w:val="000000"/>
                <w:spacing w:val="0"/>
                <w:w w:val="100"/>
                <w:position w:val="0"/>
              </w:rPr>
              <w:t>3C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租赁</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徐州金帝店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徐州市鼓楼区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21,623.22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家乐福大 卖场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租赁</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昆明世纪城店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昆明市官渡区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2009/7/9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家乐福大 卖场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租赁</w:t>
            </w:r>
          </w:p>
        </w:tc>
      </w:tr>
    </w:tbl>
    <w:p>
      <w:pPr>
        <w:widowControl w:val="0"/>
        <w:spacing w:after="119" w:line="1" w:lineRule="exact"/>
      </w:pPr>
    </w:p>
    <w:p>
      <w:pPr>
        <w:pStyle w:val="Style17"/>
        <w:keepNext w:val="0"/>
        <w:keepLines w:val="0"/>
        <w:widowControl w:val="0"/>
        <w:shd w:val="clear" w:color="auto" w:fill="auto"/>
        <w:bidi w:val="0"/>
        <w:spacing w:before="0" w:after="420" w:line="240" w:lineRule="auto"/>
        <w:ind w:left="0" w:right="0" w:firstLine="540"/>
        <w:jc w:val="left"/>
      </w:pPr>
      <w:r>
        <w:rPr>
          <w:color w:val="000000"/>
          <w:spacing w:val="0"/>
          <w:w w:val="100"/>
          <w:position w:val="0"/>
        </w:rPr>
        <w:t>注：门店销售收入为内部管理报表口径，为消费者在门店完成支付购买的收入统计（不含税）。</w:t>
      </w:r>
    </w:p>
    <w:p>
      <w:pPr>
        <w:pStyle w:val="Style32"/>
        <w:keepNext/>
        <w:keepLines/>
        <w:widowControl w:val="0"/>
        <w:shd w:val="clear" w:color="auto" w:fill="auto"/>
        <w:bidi w:val="0"/>
        <w:spacing w:before="0" w:after="20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三</w:t>
      </w:r>
      <w:bookmarkEnd w:id="78"/>
      <w:r>
        <w:rPr>
          <w:color w:val="000000"/>
          <w:spacing w:val="0"/>
          <w:w w:val="100"/>
          <w:position w:val="0"/>
          <w:sz w:val="24"/>
          <w:szCs w:val="24"/>
        </w:rPr>
        <w:t>、核心竞争力分析</w:t>
      </w:r>
      <w:bookmarkEnd w:id="76"/>
      <w:bookmarkEnd w:id="77"/>
      <w:bookmarkEnd w:id="79"/>
    </w:p>
    <w:p>
      <w:pPr>
        <w:pStyle w:val="Style17"/>
        <w:keepNext w:val="0"/>
        <w:keepLines w:val="0"/>
        <w:widowControl w:val="0"/>
        <w:shd w:val="clear" w:color="auto" w:fill="auto"/>
        <w:bidi w:val="0"/>
        <w:spacing w:before="0" w:after="0" w:line="472" w:lineRule="exact"/>
        <w:ind w:left="0" w:right="0" w:firstLine="540"/>
        <w:jc w:val="left"/>
      </w:pPr>
      <w:r>
        <w:rPr>
          <w:color w:val="000000"/>
          <w:spacing w:val="0"/>
          <w:w w:val="100"/>
          <w:position w:val="0"/>
        </w:rPr>
        <w:t>公司聚焦家电</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零售业务，重塑销售网络、商品供应链、物流服务核心能力，实现企业的发展。</w:t>
      </w:r>
    </w:p>
    <w:p>
      <w:pPr>
        <w:pStyle w:val="Style17"/>
        <w:keepNext w:val="0"/>
        <w:keepLines w:val="0"/>
        <w:widowControl w:val="0"/>
        <w:shd w:val="clear" w:color="auto" w:fill="auto"/>
        <w:tabs>
          <w:tab w:pos="811" w:val="left"/>
        </w:tabs>
        <w:bidi w:val="0"/>
        <w:spacing w:before="0" w:after="0" w:line="472" w:lineRule="exact"/>
        <w:ind w:left="0" w:right="0" w:firstLine="540"/>
        <w:jc w:val="left"/>
      </w:pPr>
      <w:bookmarkStart w:id="80" w:name="bookmark80"/>
      <w:r>
        <w:rPr>
          <w:rFonts w:ascii="Times New Roman" w:eastAsia="Times New Roman" w:hAnsi="Times New Roman" w:cs="Times New Roman"/>
          <w:color w:val="000000"/>
          <w:spacing w:val="0"/>
          <w:w w:val="100"/>
          <w:position w:val="0"/>
          <w:sz w:val="22"/>
          <w:szCs w:val="22"/>
        </w:rPr>
        <w:t>1</w:t>
      </w:r>
      <w:bookmarkEnd w:id="80"/>
      <w:r>
        <w:rPr>
          <w:color w:val="000000"/>
          <w:spacing w:val="0"/>
          <w:w w:val="100"/>
          <w:position w:val="0"/>
        </w:rPr>
        <w:t>、</w:t>
        <w:tab/>
        <w:t>公司拥有行业领先的销售网络，线上线下融合发展的服务和营销能力，快速推进门店数字化 转型，具备较强的品牌形象提升及商品推广能力。</w:t>
      </w:r>
    </w:p>
    <w:p>
      <w:pPr>
        <w:pStyle w:val="Style17"/>
        <w:keepNext w:val="0"/>
        <w:keepLines w:val="0"/>
        <w:widowControl w:val="0"/>
        <w:shd w:val="clear" w:color="auto" w:fill="auto"/>
        <w:bidi w:val="0"/>
        <w:spacing w:before="0" w:after="0" w:line="472" w:lineRule="exact"/>
        <w:ind w:left="0" w:right="0" w:firstLine="5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日公司拥有家电</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家居生活专业店</w:t>
      </w:r>
      <w:r>
        <w:rPr>
          <w:rFonts w:ascii="Times New Roman" w:eastAsia="Times New Roman" w:hAnsi="Times New Roman" w:cs="Times New Roman"/>
          <w:color w:val="000000"/>
          <w:spacing w:val="0"/>
          <w:w w:val="100"/>
          <w:position w:val="0"/>
          <w:sz w:val="22"/>
          <w:szCs w:val="22"/>
        </w:rPr>
        <w:t>1,839</w:t>
      </w:r>
      <w:r>
        <w:rPr>
          <w:color w:val="000000"/>
          <w:spacing w:val="0"/>
          <w:w w:val="100"/>
          <w:position w:val="0"/>
        </w:rPr>
        <w:t>家，覆盖核心商圈、社区商圈、商超和 部分购物中心等各种用户消费场景；下沉市场苏宁易购零售云加盟店</w:t>
      </w:r>
      <w:r>
        <w:rPr>
          <w:rFonts w:ascii="Times New Roman" w:eastAsia="Times New Roman" w:hAnsi="Times New Roman" w:cs="Times New Roman"/>
          <w:color w:val="000000"/>
          <w:spacing w:val="0"/>
          <w:w w:val="100"/>
          <w:position w:val="0"/>
          <w:sz w:val="22"/>
          <w:szCs w:val="22"/>
        </w:rPr>
        <w:t>9,178</w:t>
      </w:r>
      <w:r>
        <w:rPr>
          <w:color w:val="000000"/>
          <w:spacing w:val="0"/>
          <w:w w:val="100"/>
          <w:position w:val="0"/>
        </w:rPr>
        <w:t>家；线上拥有苏宁易购、 苏宁易购天猫旗舰店两大平台矩阵，在行业来看，苏宁易购是国内家电行业零售的领先企业。</w:t>
      </w:r>
    </w:p>
    <w:p>
      <w:pPr>
        <w:pStyle w:val="Style17"/>
        <w:keepNext w:val="0"/>
        <w:keepLines w:val="0"/>
        <w:widowControl w:val="0"/>
        <w:shd w:val="clear" w:color="auto" w:fill="auto"/>
        <w:bidi w:val="0"/>
        <w:spacing w:before="0" w:after="0" w:line="472" w:lineRule="exact"/>
        <w:ind w:left="0" w:right="0" w:firstLine="540"/>
        <w:jc w:val="left"/>
      </w:pPr>
      <w:r>
        <w:rPr>
          <w:color w:val="000000"/>
          <w:spacing w:val="0"/>
          <w:w w:val="100"/>
          <w:position w:val="0"/>
        </w:rPr>
        <w:t>苏宁易购通过线上和线下、城市和农村、自营和加盟多渠道的发展，形成了面向消费用户等全场 景消费服务能力，构建了线上线下融合的数字化服务网络。全场景零售渠道的构建有助于公司获得持 续、稳定、低成本流量，也可以为品牌商、开放平台商户提供更为全面的、更有成本效率的服务。</w:t>
      </w:r>
    </w:p>
    <w:p>
      <w:pPr>
        <w:pStyle w:val="Style17"/>
        <w:keepNext w:val="0"/>
        <w:keepLines w:val="0"/>
        <w:widowControl w:val="0"/>
        <w:shd w:val="clear" w:color="auto" w:fill="auto"/>
        <w:tabs>
          <w:tab w:pos="811" w:val="left"/>
        </w:tabs>
        <w:bidi w:val="0"/>
        <w:spacing w:before="0" w:after="0" w:line="472" w:lineRule="exact"/>
        <w:ind w:left="0" w:right="0" w:firstLine="540"/>
        <w:jc w:val="left"/>
      </w:pPr>
      <w:bookmarkStart w:id="81" w:name="bookmark81"/>
      <w:r>
        <w:rPr>
          <w:rFonts w:ascii="Times New Roman" w:eastAsia="Times New Roman" w:hAnsi="Times New Roman" w:cs="Times New Roman"/>
          <w:color w:val="000000"/>
          <w:spacing w:val="0"/>
          <w:w w:val="100"/>
          <w:position w:val="0"/>
          <w:sz w:val="22"/>
          <w:szCs w:val="22"/>
        </w:rPr>
        <w:t>2</w:t>
      </w:r>
      <w:bookmarkEnd w:id="81"/>
      <w:r>
        <w:rPr>
          <w:color w:val="000000"/>
          <w:spacing w:val="0"/>
          <w:w w:val="100"/>
          <w:position w:val="0"/>
        </w:rPr>
        <w:t>、</w:t>
        <w:tab/>
        <w:t>公司在家电</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产品领域拥有全面的、专业的商品供应链管理能力及零售运营管理能力，具备 全场景零售渠道的商品组货能力和品牌主推能力。随着公司数据经营能力的提升，以及公司综合营销 服务能力的提升，结合目前公司家电销售规模领先的情况，公司具备与上游品牌商和生产企业进行大 规模定制采购的能力，从而既可以为用户提供更精准的商品，也能进一步提升流通效率。</w:t>
      </w:r>
    </w:p>
    <w:p>
      <w:pPr>
        <w:pStyle w:val="Style17"/>
        <w:keepNext w:val="0"/>
        <w:keepLines w:val="0"/>
        <w:widowControl w:val="0"/>
        <w:shd w:val="clear" w:color="auto" w:fill="auto"/>
        <w:tabs>
          <w:tab w:pos="816" w:val="left"/>
        </w:tabs>
        <w:bidi w:val="0"/>
        <w:spacing w:before="0" w:after="60" w:line="472" w:lineRule="exact"/>
        <w:ind w:left="0" w:right="0" w:firstLine="540"/>
        <w:jc w:val="left"/>
      </w:pPr>
      <w:bookmarkStart w:id="82" w:name="bookmark82"/>
      <w:r>
        <w:rPr>
          <w:rFonts w:ascii="Times New Roman" w:eastAsia="Times New Roman" w:hAnsi="Times New Roman" w:cs="Times New Roman"/>
          <w:color w:val="000000"/>
          <w:spacing w:val="0"/>
          <w:w w:val="100"/>
          <w:position w:val="0"/>
          <w:sz w:val="22"/>
          <w:szCs w:val="22"/>
        </w:rPr>
        <w:t>3</w:t>
      </w:r>
      <w:bookmarkEnd w:id="82"/>
      <w:r>
        <w:rPr>
          <w:color w:val="000000"/>
          <w:spacing w:val="0"/>
          <w:w w:val="100"/>
          <w:position w:val="0"/>
        </w:rPr>
        <w:t>、</w:t>
        <w:tab/>
        <w:t>苏宁易购拥有零售行业领先的全国性的自建物流基础设施及售后服务网络，致力于不断提升 供应链履约效率和服务能力。</w:t>
      </w:r>
    </w:p>
    <w:p>
      <w:pPr>
        <w:pStyle w:val="Style17"/>
        <w:keepNext w:val="0"/>
        <w:keepLines w:val="0"/>
        <w:widowControl w:val="0"/>
        <w:shd w:val="clear" w:color="auto" w:fill="auto"/>
        <w:bidi w:val="0"/>
        <w:spacing w:before="0" w:after="0" w:line="467" w:lineRule="exact"/>
        <w:ind w:left="0" w:right="0" w:firstLine="540"/>
        <w:jc w:val="both"/>
      </w:pPr>
      <w:r>
        <w:rPr>
          <w:color w:val="000000"/>
          <w:spacing w:val="0"/>
          <w:w w:val="100"/>
          <w:position w:val="0"/>
        </w:rPr>
        <w:t>依托覆盖全国的仓储物流基础设施，苏宁物流面向供应商、平台商户等合作伙伴提供服务高效、 成本节约的供应链履约服务。特别是针对大中件物流服务，深耕最后一公里，拓展产地云仓，发挥以 仓配一体、送装一体为特色的服务优势和全国性网络的本地化服务优势，与行业客户持续深入合作。</w:t>
      </w:r>
    </w:p>
    <w:p>
      <w:pPr>
        <w:pStyle w:val="Style17"/>
        <w:keepNext w:val="0"/>
        <w:keepLines w:val="0"/>
        <w:widowControl w:val="0"/>
        <w:shd w:val="clear" w:color="auto" w:fill="auto"/>
        <w:bidi w:val="0"/>
        <w:spacing w:before="0" w:after="0" w:line="467" w:lineRule="exact"/>
        <w:ind w:left="0" w:right="0" w:firstLine="5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日，苏宁帮客公司在全国管辖</w:t>
      </w:r>
      <w:r>
        <w:rPr>
          <w:rFonts w:ascii="Times New Roman" w:eastAsia="Times New Roman" w:hAnsi="Times New Roman" w:cs="Times New Roman"/>
          <w:color w:val="000000"/>
          <w:spacing w:val="0"/>
          <w:w w:val="100"/>
          <w:position w:val="0"/>
          <w:sz w:val="22"/>
          <w:szCs w:val="22"/>
        </w:rPr>
        <w:t>10000+</w:t>
      </w:r>
      <w:r>
        <w:rPr>
          <w:color w:val="000000"/>
          <w:spacing w:val="0"/>
          <w:w w:val="100"/>
          <w:position w:val="0"/>
        </w:rPr>
        <w:t>以上的服务商，苏宁帮客公司定位于 互联网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家庭全场景服务平台，以家电为基础，布局家装、家居、家生活服务赛道，努力打造一站式 服务解决方案的首选平台。同时以社区为核心，打造围绕社区的家生活服务能力，全面提供家电清洗 保养、维修回收等服务。</w:t>
      </w:r>
    </w:p>
    <w:p>
      <w:pPr>
        <w:pStyle w:val="Style17"/>
        <w:keepNext w:val="0"/>
        <w:keepLines w:val="0"/>
        <w:widowControl w:val="0"/>
        <w:shd w:val="clear" w:color="auto" w:fill="auto"/>
        <w:bidi w:val="0"/>
        <w:spacing w:before="0" w:after="220" w:line="467" w:lineRule="exact"/>
        <w:ind w:left="0" w:right="0" w:firstLine="540"/>
        <w:jc w:val="both"/>
      </w:pPr>
      <w:r>
        <w:rPr>
          <w:color w:val="000000"/>
          <w:spacing w:val="0"/>
          <w:w w:val="100"/>
          <w:position w:val="0"/>
        </w:rPr>
        <w:t>服务是苏宁易购唯一产品，公司将坚定不移的持续提高面向消费者的服务体验提升。售后服务能 力的提升，对于苏宁易购面向用户提供家庭场景的整体解决方案，尤其是全屋改造、局部改造以及集 成性、智能化产品的发展有着极大的作用。</w:t>
      </w:r>
    </w:p>
    <w:p>
      <w:pPr>
        <w:pStyle w:val="Style32"/>
        <w:keepNext/>
        <w:keepLines/>
        <w:widowControl w:val="0"/>
        <w:shd w:val="clear" w:color="auto" w:fill="auto"/>
        <w:bidi w:val="0"/>
        <w:spacing w:before="0" w:after="360" w:line="467" w:lineRule="exact"/>
        <w:ind w:left="0" w:right="0" w:firstLine="0"/>
        <w:jc w:val="both"/>
      </w:pPr>
      <w:bookmarkStart w:id="83" w:name="bookmark83"/>
      <w:bookmarkStart w:id="84" w:name="bookmark84"/>
      <w:bookmarkStart w:id="85" w:name="bookmark85"/>
      <w:bookmarkStart w:id="86" w:name="bookmark86"/>
      <w:r>
        <w:rPr>
          <w:color w:val="000000"/>
          <w:spacing w:val="0"/>
          <w:w w:val="100"/>
          <w:position w:val="0"/>
          <w:sz w:val="24"/>
          <w:szCs w:val="24"/>
        </w:rPr>
        <w:t>四</w:t>
      </w:r>
      <w:bookmarkEnd w:id="85"/>
      <w:r>
        <w:rPr>
          <w:color w:val="000000"/>
          <w:spacing w:val="0"/>
          <w:w w:val="100"/>
          <w:position w:val="0"/>
          <w:sz w:val="24"/>
          <w:szCs w:val="24"/>
        </w:rPr>
        <w:t>、主营业务分析</w:t>
      </w:r>
      <w:bookmarkEnd w:id="83"/>
      <w:bookmarkEnd w:id="84"/>
      <w:bookmarkEnd w:id="86"/>
    </w:p>
    <w:p>
      <w:pPr>
        <w:pStyle w:val="Style35"/>
        <w:keepNext/>
        <w:keepLines/>
        <w:widowControl w:val="0"/>
        <w:shd w:val="clear" w:color="auto" w:fill="auto"/>
        <w:bidi w:val="0"/>
        <w:spacing w:before="0" w:after="0" w:line="444" w:lineRule="auto"/>
        <w:ind w:left="0" w:right="0" w:firstLine="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sz w:val="22"/>
          <w:szCs w:val="22"/>
        </w:rPr>
        <w:t>1</w:t>
      </w:r>
      <w:bookmarkEnd w:id="89"/>
      <w:r>
        <w:rPr>
          <w:color w:val="000000"/>
          <w:spacing w:val="0"/>
          <w:w w:val="100"/>
          <w:position w:val="0"/>
        </w:rPr>
        <w:t>、收入与成本</w:t>
      </w:r>
      <w:bookmarkEnd w:id="87"/>
      <w:bookmarkEnd w:id="88"/>
      <w:bookmarkEnd w:id="90"/>
    </w:p>
    <w:p>
      <w:pPr>
        <w:pStyle w:val="Style43"/>
        <w:keepNext/>
        <w:keepLines/>
        <w:widowControl w:val="0"/>
        <w:shd w:val="clear" w:color="auto" w:fill="auto"/>
        <w:bidi w:val="0"/>
        <w:spacing w:before="0" w:after="360" w:line="467" w:lineRule="exact"/>
        <w:ind w:left="0" w:right="0" w:firstLine="0"/>
        <w:jc w:val="both"/>
      </w:pPr>
      <w:bookmarkStart w:id="91" w:name="bookmark91"/>
      <w:bookmarkStart w:id="92" w:name="bookmark92"/>
      <w:bookmarkStart w:id="93" w:name="bookmark93"/>
      <w:bookmarkStart w:id="94" w:name="bookmark94"/>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1"/>
      <w:bookmarkEnd w:id="92"/>
      <w:bookmarkEnd w:id="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2424"/>
        <w:gridCol w:w="1488"/>
        <w:gridCol w:w="1488"/>
        <w:gridCol w:w="1488"/>
        <w:gridCol w:w="1488"/>
        <w:gridCol w:w="1493"/>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2020 </w:t>
            </w:r>
            <w:r>
              <w:rPr>
                <w:rFonts w:ascii="SimSun" w:eastAsia="SimSun" w:hAnsi="SimSun" w:cs="SimSun"/>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同比增减</w:t>
            </w:r>
          </w:p>
        </w:tc>
      </w:tr>
      <w:tr>
        <w:trPr>
          <w:trHeight w:val="6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占营业收入 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占营业收入 比重</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138,904,337</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252,295,666</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-44.94%</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132,086,489</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95.09%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245,578,423</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97.34%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-46.21%</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6,817,848</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6,717,243</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r>
      <w:tr>
        <w:trPr>
          <w:trHeight w:val="322"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主营业务分行业</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商品收入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127,999,222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92.15%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238,502,552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94.54%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-46.33%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服务及其他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4,087,267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7,075,871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-42.24%</w:t>
            </w:r>
          </w:p>
        </w:tc>
      </w:tr>
      <w:tr>
        <w:trPr>
          <w:trHeight w:val="322"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主营业务分产品</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日用百货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28,863,188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50,683,648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-43.05%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通讯产品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26,512,311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60,415,816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-56.12%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小家电产品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21,126,238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40,844,302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-48.28%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冰箱、洗衣机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15,977,571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23,630,351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9.37%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-32.39%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数码电脑产品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12,749,565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9.18%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23,586,557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9.35%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-45.95%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空调产品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12,739,528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9.17%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20,910,618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8.29%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-39.08%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黑电产品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10,030,821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7.22%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18,431,260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7.30%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-45.58%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物流服务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1,718,369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3,839,450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-55.24%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安装维修业务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1,051,512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1,937,828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0.77%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-45.74%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1,317,386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1,298,593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r>
      <w:tr>
        <w:trPr>
          <w:trHeight w:val="336" w:hRule="exact"/>
        </w:trPr>
        <w:tc>
          <w:tcPr>
            <w:gridSpan w:val="6"/>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分地区</w:t>
            </w:r>
          </w:p>
        </w:tc>
      </w:tr>
    </w:tbl>
    <w:p>
      <w:pPr>
        <w:spacing w:lineRule="exact" w:line="1"/>
        <w:rPr>
          <w:sz w:val="2"/>
          <w:szCs w:val="2"/>
        </w:rPr>
      </w:pPr>
      <w:r>
        <w:br w:type="page"/>
      </w:r>
    </w:p>
    <w:tbl>
      <w:tblPr>
        <w:tblOverlap w:val="never"/>
        <w:jc w:val="center"/>
        <w:tblLayout w:type="fixed"/>
      </w:tblPr>
      <w:tblGrid>
        <w:gridCol w:w="2424"/>
        <w:gridCol w:w="1488"/>
        <w:gridCol w:w="1488"/>
        <w:gridCol w:w="1488"/>
        <w:gridCol w:w="1488"/>
        <w:gridCol w:w="1493"/>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华东一区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38,828,813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73,032,819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-46.83%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17,876,447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39,951,942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-55.26%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华东二区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21,127,283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37,575,169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-43.77%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20,140,959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36,171,229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-44.32%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12,350,420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8.89%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20,035,554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7.94%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-38.36%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5,932,996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10,209,747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-41.89%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6,939,568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12,370,474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-43.90%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4,497,645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8,481,464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3.36%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-46.97%</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香港地区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4,392,358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7,750,025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-43.32%</w:t>
            </w:r>
          </w:p>
        </w:tc>
      </w:tr>
    </w:tbl>
    <w:p>
      <w:pPr>
        <w:pStyle w:val="Style17"/>
        <w:keepNext w:val="0"/>
        <w:keepLines w:val="0"/>
        <w:widowControl w:val="0"/>
        <w:shd w:val="clear" w:color="auto" w:fill="auto"/>
        <w:bidi w:val="0"/>
        <w:spacing w:before="0" w:after="0" w:line="475" w:lineRule="exact"/>
        <w:ind w:left="0" w:right="0" w:firstLine="540"/>
        <w:jc w:val="both"/>
      </w:pPr>
      <w:r>
        <w:rPr>
          <w:color w:val="000000"/>
          <w:spacing w:val="0"/>
          <w:w w:val="100"/>
          <w:position w:val="0"/>
        </w:rPr>
        <w:t>注：其他收入主要包括苏宁易购网站开放平台的平台服务收入、自建配套物业销售收入及代理劳 务收入等。</w:t>
      </w:r>
    </w:p>
    <w:p>
      <w:pPr>
        <w:pStyle w:val="Style17"/>
        <w:keepNext w:val="0"/>
        <w:keepLines w:val="0"/>
        <w:widowControl w:val="0"/>
        <w:shd w:val="clear" w:color="auto" w:fill="auto"/>
        <w:bidi w:val="0"/>
        <w:spacing w:before="0" w:after="0" w:line="472" w:lineRule="exact"/>
        <w:ind w:left="0" w:right="0" w:firstLine="540"/>
        <w:jc w:val="both"/>
      </w:pPr>
      <w:bookmarkStart w:id="95" w:name="bookmark95"/>
      <w:r>
        <w:rPr>
          <w:rFonts w:ascii="Times New Roman" w:eastAsia="Times New Roman" w:hAnsi="Times New Roman" w:cs="Times New Roman"/>
          <w:color w:val="000000"/>
          <w:spacing w:val="0"/>
          <w:w w:val="100"/>
          <w:position w:val="0"/>
          <w:sz w:val="22"/>
          <w:szCs w:val="22"/>
        </w:rPr>
        <w:t>1</w:t>
      </w:r>
      <w:bookmarkEnd w:id="95"/>
      <w:r>
        <w:rPr>
          <w:color w:val="000000"/>
          <w:spacing w:val="0"/>
          <w:w w:val="100"/>
          <w:position w:val="0"/>
        </w:rPr>
        <w:t>） 报告期内公司商品销售收入</w:t>
      </w:r>
      <w:r>
        <w:rPr>
          <w:rFonts w:ascii="Times New Roman" w:eastAsia="Times New Roman" w:hAnsi="Times New Roman" w:cs="Times New Roman"/>
          <w:color w:val="000000"/>
          <w:spacing w:val="0"/>
          <w:w w:val="100"/>
          <w:position w:val="0"/>
          <w:sz w:val="22"/>
          <w:szCs w:val="22"/>
        </w:rPr>
        <w:t>1,279.99</w:t>
      </w:r>
      <w:r>
        <w:rPr>
          <w:color w:val="000000"/>
          <w:spacing w:val="0"/>
          <w:w w:val="100"/>
          <w:position w:val="0"/>
        </w:rPr>
        <w:t>亿元，同比下降</w:t>
      </w:r>
      <w:r>
        <w:rPr>
          <w:rFonts w:ascii="Times New Roman" w:eastAsia="Times New Roman" w:hAnsi="Times New Roman" w:cs="Times New Roman"/>
          <w:color w:val="000000"/>
          <w:spacing w:val="0"/>
          <w:w w:val="100"/>
          <w:position w:val="0"/>
          <w:sz w:val="22"/>
          <w:szCs w:val="22"/>
        </w:rPr>
        <w:t>46.33%</w:t>
      </w:r>
      <w:r>
        <w:rPr>
          <w:color w:val="000000"/>
          <w:spacing w:val="0"/>
          <w:w w:val="100"/>
          <w:position w:val="0"/>
        </w:rPr>
        <w:t>，受阶段性流动性压力影响，带 来商品库存下降，终端销售能力受影响，与此同时，互联网线上对于不可能产生盈利模式的商品，以 及价格竞争的敏感商品，公司进行了大力度的策略调整，带来该部分商品主要为快消、通讯等产品销 售下滑。下半年，公司积极推动流动性恢复，提升库存水位；利用下半年的促销旺季，恢复各渠道的 销售能力，尤其是线下门店及天猫旗舰店的销售，推进</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送装一体</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以旧换新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等特色服务，强化家 电产品销售，带来收入和毛利提升；持续推进下沉市场零售云以及面向政企客户的易采云业务拓展， 依托品牌优势、供应链优势和服务优势，加快发展。</w:t>
      </w:r>
    </w:p>
    <w:p>
      <w:pPr>
        <w:pStyle w:val="Style17"/>
        <w:keepNext w:val="0"/>
        <w:keepLines w:val="0"/>
        <w:widowControl w:val="0"/>
        <w:shd w:val="clear" w:color="auto" w:fill="auto"/>
        <w:tabs>
          <w:tab w:pos="778" w:val="left"/>
        </w:tabs>
        <w:bidi w:val="0"/>
        <w:spacing w:before="0" w:after="220" w:line="472" w:lineRule="exact"/>
        <w:ind w:left="0" w:right="0" w:firstLine="540"/>
        <w:jc w:val="both"/>
      </w:pPr>
      <w:bookmarkStart w:id="96" w:name="bookmark96"/>
      <w:r>
        <w:rPr>
          <w:rFonts w:ascii="Times New Roman" w:eastAsia="Times New Roman" w:hAnsi="Times New Roman" w:cs="Times New Roman"/>
          <w:color w:val="000000"/>
          <w:spacing w:val="0"/>
          <w:w w:val="100"/>
          <w:position w:val="0"/>
          <w:sz w:val="22"/>
          <w:szCs w:val="22"/>
        </w:rPr>
        <w:t>2</w:t>
      </w:r>
      <w:bookmarkEnd w:id="96"/>
      <w:r>
        <w:rPr>
          <w:color w:val="000000"/>
          <w:spacing w:val="0"/>
          <w:w w:val="100"/>
          <w:position w:val="0"/>
        </w:rPr>
        <w:t>）</w:t>
        <w:tab/>
        <w:t>报告期内公司服务和其他收入</w:t>
      </w:r>
      <w:r>
        <w:rPr>
          <w:rFonts w:ascii="Times New Roman" w:eastAsia="Times New Roman" w:hAnsi="Times New Roman" w:cs="Times New Roman"/>
          <w:color w:val="000000"/>
          <w:spacing w:val="0"/>
          <w:w w:val="100"/>
          <w:position w:val="0"/>
          <w:sz w:val="22"/>
          <w:szCs w:val="22"/>
        </w:rPr>
        <w:t>40.87</w:t>
      </w:r>
      <w:r>
        <w:rPr>
          <w:color w:val="000000"/>
          <w:spacing w:val="0"/>
          <w:w w:val="100"/>
          <w:position w:val="0"/>
        </w:rPr>
        <w:t>亿元，同比下降</w:t>
      </w:r>
      <w:r>
        <w:rPr>
          <w:rFonts w:ascii="Times New Roman" w:eastAsia="Times New Roman" w:hAnsi="Times New Roman" w:cs="Times New Roman"/>
          <w:color w:val="000000"/>
          <w:spacing w:val="0"/>
          <w:w w:val="100"/>
          <w:position w:val="0"/>
          <w:sz w:val="22"/>
          <w:szCs w:val="22"/>
        </w:rPr>
        <w:t>42.24%</w:t>
      </w:r>
      <w:r>
        <w:rPr>
          <w:color w:val="000000"/>
          <w:spacing w:val="0"/>
          <w:w w:val="100"/>
          <w:position w:val="0"/>
        </w:rPr>
        <w:t>，报告期内公司对物流业务积极 调整，尤其是天天快递的高亏损业务进行快速调整，对于公司物流服务收入带来影响。同时，由于前 台商品销售收入的下降，带来安装维修业务收入同比下降。</w:t>
      </w:r>
    </w:p>
    <w:p>
      <w:pPr>
        <w:pStyle w:val="Style43"/>
        <w:keepNext/>
        <w:keepLines/>
        <w:widowControl w:val="0"/>
        <w:shd w:val="clear" w:color="auto" w:fill="auto"/>
        <w:bidi w:val="0"/>
        <w:spacing w:before="0" w:after="340" w:line="472" w:lineRule="exact"/>
        <w:ind w:left="0" w:right="0" w:firstLine="0"/>
        <w:jc w:val="both"/>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sz w:val="22"/>
          <w:szCs w:val="22"/>
        </w:rPr>
        <w:t>2</w:t>
      </w:r>
      <w:r>
        <w:rPr>
          <w:color w:val="000000"/>
          <w:spacing w:val="0"/>
          <w:w w:val="100"/>
          <w:position w:val="0"/>
        </w:rPr>
        <w:t>）占公司营业收入</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以上的行业、产品的情况</w:t>
      </w:r>
      <w:bookmarkEnd w:id="100"/>
      <w:bookmarkEnd w:id="97"/>
      <w:bookmarkEnd w:id="98"/>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1392"/>
        <w:gridCol w:w="1382"/>
        <w:gridCol w:w="1382"/>
        <w:gridCol w:w="1387"/>
        <w:gridCol w:w="1382"/>
        <w:gridCol w:w="1387"/>
        <w:gridCol w:w="139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毛利率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营业收入比上 年同期增减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营业成本比上 年同期增减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分行业</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零售业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127,999,222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125,247,971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r>
      <w:tr>
        <w:trPr>
          <w:trHeight w:val="322" w:hRule="exact"/>
        </w:trPr>
        <w:tc>
          <w:tcPr>
            <w:gridSpan w:val="7"/>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分产品</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日用百货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28,863,188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27,582,059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通讯产品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26,512,311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26,378,169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小家电产品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21,126,238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20,671,395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冰箱、洗衣机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15,977,571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15,607,058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w:t>
            </w:r>
          </w:p>
        </w:tc>
      </w:tr>
      <w:tr>
        <w:trPr>
          <w:trHeight w:val="326"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分地区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华东一区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38,828,813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37,831,483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华北地区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17,876,447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17,538,977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-52.73%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w:t>
            </w:r>
          </w:p>
        </w:tc>
      </w:tr>
    </w:tbl>
    <w:p>
      <w:pPr>
        <w:spacing w:lineRule="exact" w:line="1"/>
        <w:rPr>
          <w:sz w:val="2"/>
          <w:szCs w:val="2"/>
        </w:rPr>
      </w:pPr>
      <w:r>
        <w:br w:type="page"/>
      </w:r>
    </w:p>
    <w:tbl>
      <w:tblPr>
        <w:tblOverlap w:val="never"/>
        <w:jc w:val="center"/>
        <w:tblLayout w:type="fixed"/>
      </w:tblPr>
      <w:tblGrid>
        <w:gridCol w:w="1392"/>
        <w:gridCol w:w="1382"/>
        <w:gridCol w:w="1382"/>
        <w:gridCol w:w="1387"/>
        <w:gridCol w:w="1382"/>
        <w:gridCol w:w="1387"/>
        <w:gridCol w:w="1397"/>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华东二区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21,127,283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20,222,968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华南地区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20,140,959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19,958,316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w:t>
            </w:r>
          </w:p>
        </w:tc>
      </w:tr>
    </w:tbl>
    <w:p>
      <w:pPr>
        <w:pStyle w:val="Style26"/>
        <w:keepNext w:val="0"/>
        <w:keepLines w:val="0"/>
        <w:widowControl w:val="0"/>
        <w:shd w:val="clear" w:color="auto" w:fill="auto"/>
        <w:bidi w:val="0"/>
        <w:spacing w:before="0" w:after="0" w:line="240" w:lineRule="auto"/>
        <w:ind w:left="442"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年按报告期末口径调整后的</w:t>
      </w:r>
    </w:p>
    <w:p>
      <w:pPr>
        <w:widowControl w:val="0"/>
        <w:spacing w:after="199" w:line="1" w:lineRule="exact"/>
      </w:pPr>
    </w:p>
    <w:p>
      <w:pPr>
        <w:pStyle w:val="Style1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主营业务数据</w:t>
      </w:r>
    </w:p>
    <w:p>
      <w:pPr>
        <w:pStyle w:val="Style17"/>
        <w:keepNext w:val="0"/>
        <w:keepLines w:val="0"/>
        <w:widowControl w:val="0"/>
        <w:shd w:val="clear" w:color="auto" w:fill="auto"/>
        <w:bidi w:val="0"/>
        <w:spacing w:before="0" w:after="420" w:line="240" w:lineRule="auto"/>
        <w:ind w:left="0" w:right="0" w:firstLine="48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sz w:val="22"/>
          <w:szCs w:val="22"/>
        </w:rPr>
        <w:t>3</w:t>
      </w:r>
      <w:r>
        <w:rPr>
          <w:color w:val="000000"/>
          <w:spacing w:val="0"/>
          <w:w w:val="100"/>
          <w:position w:val="0"/>
        </w:rPr>
        <w:t>）公司实物销售收入是否大于劳务收入</w:t>
      </w:r>
      <w:bookmarkEnd w:id="101"/>
      <w:bookmarkEnd w:id="102"/>
      <w:bookmarkEnd w:id="104"/>
    </w:p>
    <w:p>
      <w:pPr>
        <w:pStyle w:val="Style26"/>
        <w:keepNext w:val="0"/>
        <w:keepLines w:val="0"/>
        <w:widowControl w:val="0"/>
        <w:shd w:val="clear" w:color="auto" w:fill="auto"/>
        <w:bidi w:val="0"/>
        <w:spacing w:before="0" w:after="0" w:line="240" w:lineRule="auto"/>
        <w:ind w:left="461" w:right="0" w:firstLine="0"/>
        <w:jc w:val="left"/>
      </w:pPr>
      <w:r>
        <w:rPr>
          <w:color w:val="000000"/>
          <w:spacing w:val="0"/>
          <w:w w:val="100"/>
          <w:position w:val="0"/>
          <w:sz w:val="22"/>
          <w:szCs w:val="22"/>
        </w:rPr>
        <w:t>寸</w:t>
      </w:r>
      <w:r>
        <w:rPr>
          <w:color w:val="000000"/>
          <w:spacing w:val="0"/>
          <w:w w:val="100"/>
          <w:position w:val="0"/>
        </w:rPr>
        <w:t>是</w:t>
      </w:r>
      <w:r>
        <w:rPr>
          <w:color w:val="000000"/>
          <w:spacing w:val="0"/>
          <w:w w:val="100"/>
          <w:position w:val="0"/>
          <w:sz w:val="22"/>
          <w:szCs w:val="22"/>
        </w:rPr>
        <w:t>口</w:t>
      </w:r>
      <w:r>
        <w:rPr>
          <w:color w:val="000000"/>
          <w:spacing w:val="0"/>
          <w:w w:val="100"/>
          <w:position w:val="0"/>
        </w:rPr>
        <w:t>否</w:t>
      </w:r>
    </w:p>
    <w:tbl>
      <w:tblPr>
        <w:tblOverlap w:val="never"/>
        <w:jc w:val="center"/>
        <w:tblLayout w:type="fixed"/>
      </w:tblPr>
      <w:tblGrid>
        <w:gridCol w:w="1291"/>
        <w:gridCol w:w="1277"/>
        <w:gridCol w:w="1282"/>
        <w:gridCol w:w="2256"/>
        <w:gridCol w:w="2256"/>
        <w:gridCol w:w="1354"/>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行业分类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2020 </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同比增减</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零售业</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千元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127,999,222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238,502,552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-46.33%</w:t>
            </w:r>
          </w:p>
        </w:tc>
      </w:tr>
    </w:tbl>
    <w:p>
      <w:pPr>
        <w:widowControl w:val="0"/>
        <w:spacing w:after="99" w:line="1" w:lineRule="exact"/>
      </w:pPr>
    </w:p>
    <w:p>
      <w:pPr>
        <w:pStyle w:val="Style17"/>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以上的原因说明</w:t>
      </w:r>
    </w:p>
    <w:p>
      <w:pPr>
        <w:pStyle w:val="Style17"/>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主要由于公司核心电器</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业务的库存商品规模下降，带来销售大幅下降。</w:t>
      </w:r>
    </w:p>
    <w:p>
      <w:pPr>
        <w:pStyle w:val="Style43"/>
        <w:keepNext/>
        <w:keepLines/>
        <w:widowControl w:val="0"/>
        <w:shd w:val="clear" w:color="auto" w:fill="auto"/>
        <w:tabs>
          <w:tab w:pos="502" w:val="left"/>
        </w:tabs>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公司已签订的重大销售合同、重大采购合同截至本报告期的履行情况</w:t>
      </w:r>
      <w:bookmarkEnd w:id="105"/>
      <w:bookmarkEnd w:id="106"/>
      <w:bookmarkEnd w:id="108"/>
    </w:p>
    <w:p>
      <w:pPr>
        <w:pStyle w:val="Style17"/>
        <w:keepNext w:val="0"/>
        <w:keepLines w:val="0"/>
        <w:widowControl w:val="0"/>
        <w:shd w:val="clear" w:color="auto" w:fill="auto"/>
        <w:bidi w:val="0"/>
        <w:spacing w:before="0" w:after="420" w:line="240" w:lineRule="auto"/>
        <w:ind w:left="0" w:right="0" w:firstLine="48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43"/>
        <w:keepNext/>
        <w:keepLines/>
        <w:widowControl w:val="0"/>
        <w:shd w:val="clear" w:color="auto" w:fill="auto"/>
        <w:tabs>
          <w:tab w:pos="502" w:val="left"/>
        </w:tabs>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tab/>
        <w:t>营业成本构成</w:t>
      </w:r>
      <w:bookmarkEnd w:id="109"/>
      <w:bookmarkEnd w:id="110"/>
      <w:bookmarkEnd w:id="112"/>
    </w:p>
    <w:p>
      <w:pPr>
        <w:pStyle w:val="Style17"/>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1733"/>
        <w:gridCol w:w="427"/>
        <w:gridCol w:w="1416"/>
        <w:gridCol w:w="1843"/>
        <w:gridCol w:w="1416"/>
        <w:gridCol w:w="1843"/>
        <w:gridCol w:w="1027"/>
      </w:tblGrid>
      <w:tr>
        <w:trPr>
          <w:trHeight w:val="32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产品分类</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项 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2020 </w:t>
            </w:r>
            <w:r>
              <w:rPr>
                <w:rFonts w:ascii="SimSun" w:eastAsia="SimSun" w:hAnsi="SimSun" w:cs="SimSun"/>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同比增 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占营业成本比重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占营业成本比重</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日用百货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27,582,059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43,912,145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-37.19%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通讯产品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26,378,169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58,707,324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-55.07%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小家电产品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20,671,395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35,703,175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-42.10%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冰箱、洗衣机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15,607,058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20,393,310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-23.47%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数码电脑产品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12,701,844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23,232,606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-45.33%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空调产品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12,477,045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18,376,915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-32.10%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黑电产品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9,830,401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16,217,517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-39.38%</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物流业务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2,103,079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4,784,407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-56.04%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安装维修业务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1,017,965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1,623,905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-37.31%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313,632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493,440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-36.44%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128,682,647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223,444,744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-42.41%</w:t>
            </w:r>
          </w:p>
        </w:tc>
      </w:tr>
    </w:tbl>
    <w:p>
      <w:pPr>
        <w:pStyle w:val="Style26"/>
        <w:keepNext w:val="0"/>
        <w:keepLines w:val="0"/>
        <w:widowControl w:val="0"/>
        <w:shd w:val="clear" w:color="auto" w:fill="auto"/>
        <w:bidi w:val="0"/>
        <w:spacing w:before="0" w:after="0" w:line="240" w:lineRule="auto"/>
        <w:ind w:left="34" w:right="0" w:firstLine="0"/>
        <w:jc w:val="left"/>
      </w:pPr>
      <w:bookmarkStart w:id="113" w:name="bookmark113"/>
      <w:r>
        <w:rPr>
          <w:b/>
          <w:bCs/>
          <w:color w:val="000000"/>
          <w:spacing w:val="0"/>
          <w:w w:val="100"/>
          <w:position w:val="0"/>
        </w:rPr>
        <w:t>（</w:t>
      </w:r>
      <w:r>
        <w:rPr>
          <w:rFonts w:ascii="Times New Roman" w:eastAsia="Times New Roman" w:hAnsi="Times New Roman" w:cs="Times New Roman"/>
          <w:b/>
          <w:bCs/>
          <w:color w:val="000000"/>
          <w:spacing w:val="0"/>
          <w:w w:val="100"/>
          <w:position w:val="0"/>
        </w:rPr>
        <w:t>6</w:t>
      </w:r>
      <w:r>
        <w:rPr>
          <w:b/>
          <w:bCs/>
          <w:color w:val="000000"/>
          <w:spacing w:val="0"/>
          <w:w w:val="100"/>
          <w:position w:val="0"/>
        </w:rPr>
        <w:t>）报告期内合并范围是否发生变动</w:t>
      </w:r>
      <w:bookmarkEnd w:id="113"/>
    </w:p>
    <w:p>
      <w:pPr>
        <w:widowControl w:val="0"/>
        <w:spacing w:after="419" w:line="1" w:lineRule="exact"/>
      </w:pPr>
    </w:p>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年度，公司新设子公司</w:t>
      </w:r>
      <w:r>
        <w:rPr>
          <w:rFonts w:ascii="Times New Roman" w:eastAsia="Times New Roman" w:hAnsi="Times New Roman" w:cs="Times New Roman"/>
          <w:color w:val="000000"/>
          <w:spacing w:val="0"/>
          <w:w w:val="100"/>
          <w:position w:val="0"/>
          <w:sz w:val="22"/>
          <w:szCs w:val="22"/>
        </w:rPr>
        <w:t>19</w:t>
      </w:r>
      <w:r>
        <w:rPr>
          <w:color w:val="000000"/>
          <w:spacing w:val="0"/>
          <w:w w:val="100"/>
          <w:position w:val="0"/>
        </w:rPr>
        <w:t xml:space="preserve">家，包括江西苏宁易购采购中心有限公司、重庆苏宁极物电子商 </w:t>
      </w:r>
      <w:r>
        <w:rPr>
          <w:color w:val="000000"/>
          <w:spacing w:val="0"/>
          <w:w w:val="100"/>
          <w:position w:val="0"/>
        </w:rPr>
        <w:t>务有限公司等，纳入合并范围；注销子公司</w:t>
      </w:r>
      <w:r>
        <w:rPr>
          <w:rFonts w:ascii="Times New Roman" w:eastAsia="Times New Roman" w:hAnsi="Times New Roman" w:cs="Times New Roman"/>
          <w:color w:val="000000"/>
          <w:spacing w:val="0"/>
          <w:w w:val="100"/>
          <w:position w:val="0"/>
          <w:sz w:val="22"/>
          <w:szCs w:val="22"/>
        </w:rPr>
        <w:t>37</w:t>
      </w:r>
      <w:r>
        <w:rPr>
          <w:color w:val="000000"/>
          <w:spacing w:val="0"/>
          <w:w w:val="100"/>
          <w:position w:val="0"/>
        </w:rPr>
        <w:t>家；处置了安庆苏宁悦城置业有限公司、</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家仓储物 流公司、南京悦百家网络技术服务有限公司、苏宁深创投</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云仓物流基础设施私募股权投资基金。</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年度具体合并报表范围变动详见财务报告附注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五合并范围的变更</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17"/>
        <w:keepNext w:val="0"/>
        <w:keepLines w:val="0"/>
        <w:widowControl w:val="0"/>
        <w:shd w:val="clear" w:color="auto" w:fill="auto"/>
        <w:bidi w:val="0"/>
        <w:spacing w:before="0" w:after="200" w:line="472" w:lineRule="exact"/>
        <w:ind w:left="0" w:right="0" w:firstLine="460"/>
        <w:jc w:val="both"/>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年度，公司新设子公司</w:t>
      </w:r>
      <w:r>
        <w:rPr>
          <w:rFonts w:ascii="Times New Roman" w:eastAsia="Times New Roman" w:hAnsi="Times New Roman" w:cs="Times New Roman"/>
          <w:color w:val="000000"/>
          <w:spacing w:val="0"/>
          <w:w w:val="100"/>
          <w:position w:val="0"/>
          <w:sz w:val="22"/>
          <w:szCs w:val="22"/>
        </w:rPr>
        <w:t>57</w:t>
      </w:r>
      <w:r>
        <w:rPr>
          <w:color w:val="000000"/>
          <w:spacing w:val="0"/>
          <w:w w:val="100"/>
          <w:position w:val="0"/>
        </w:rPr>
        <w:t>家，包括深圳市云网万店科技有限公司、北京苏宁易购信息科技 有限公司等。处置了中山市苏宁物流有限公司、山东渤宁苏宁易购商贸有限公司、湖北苏宁物流有限 公司、天津津宁易达物流有限公司、西安市高新区苏宁易达物流仓储有限公司、温州苏宁采购有限公 司，不再纳入合并范围。</w:t>
      </w:r>
    </w:p>
    <w:p>
      <w:pPr>
        <w:pStyle w:val="Style43"/>
        <w:keepNext/>
        <w:keepLines/>
        <w:widowControl w:val="0"/>
        <w:shd w:val="clear" w:color="auto" w:fill="auto"/>
        <w:tabs>
          <w:tab w:pos="493" w:val="left"/>
        </w:tabs>
        <w:bidi w:val="0"/>
        <w:spacing w:before="0" w:after="460" w:line="472" w:lineRule="exact"/>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4"/>
      <w:bookmarkEnd w:id="115"/>
      <w:bookmarkEnd w:id="117"/>
    </w:p>
    <w:p>
      <w:pPr>
        <w:pStyle w:val="Style17"/>
        <w:keepNext w:val="0"/>
        <w:keepLines w:val="0"/>
        <w:widowControl w:val="0"/>
        <w:shd w:val="clear" w:color="auto" w:fill="auto"/>
        <w:bidi w:val="0"/>
        <w:spacing w:before="0" w:after="0" w:line="449"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43"/>
        <w:keepNext/>
        <w:keepLines/>
        <w:widowControl w:val="0"/>
        <w:shd w:val="clear" w:color="auto" w:fill="auto"/>
        <w:tabs>
          <w:tab w:pos="502" w:val="left"/>
        </w:tabs>
        <w:bidi w:val="0"/>
        <w:spacing w:before="0" w:after="200" w:line="472" w:lineRule="exact"/>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sz w:val="22"/>
          <w:szCs w:val="22"/>
        </w:rPr>
        <w:t>8</w:t>
      </w:r>
      <w:r>
        <w:rPr>
          <w:color w:val="000000"/>
          <w:spacing w:val="0"/>
          <w:w w:val="100"/>
          <w:position w:val="0"/>
        </w:rPr>
        <w:t>）</w:t>
        <w:tab/>
        <w:t>主要销售客户和主要供应商情况</w:t>
      </w:r>
      <w:bookmarkEnd w:id="118"/>
      <w:bookmarkEnd w:id="119"/>
      <w:bookmarkEnd w:id="121"/>
    </w:p>
    <w:p>
      <w:pPr>
        <w:pStyle w:val="Style17"/>
        <w:keepNext w:val="0"/>
        <w:keepLines w:val="0"/>
        <w:widowControl w:val="0"/>
        <w:shd w:val="clear" w:color="auto" w:fill="auto"/>
        <w:bidi w:val="0"/>
        <w:spacing w:before="0" w:after="200" w:line="472" w:lineRule="exact"/>
        <w:ind w:left="0" w:right="0" w:firstLine="460"/>
        <w:jc w:val="both"/>
      </w:pPr>
      <w:r>
        <w:rPr>
          <w:color w:val="000000"/>
          <w:spacing w:val="0"/>
          <w:w w:val="100"/>
          <w:position w:val="0"/>
        </w:rPr>
        <w:t>公司主要销售客户情况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5678"/>
        <w:gridCol w:w="4032"/>
      </w:tblGrid>
      <w:tr>
        <w:trPr>
          <w:trHeight w:val="32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前五名客户合计销售金额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1,612,330</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前五名客户合计销售金额占年度销售总额比例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r>
      <w:tr>
        <w:trPr>
          <w:trHeight w:val="336"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r>
    </w:tbl>
    <w:p>
      <w:pPr>
        <w:pStyle w:val="Style26"/>
        <w:keepNext w:val="0"/>
        <w:keepLines w:val="0"/>
        <w:widowControl w:val="0"/>
        <w:shd w:val="clear" w:color="auto" w:fill="auto"/>
        <w:bidi w:val="0"/>
        <w:spacing w:before="0" w:after="0" w:line="240" w:lineRule="auto"/>
        <w:ind w:left="442"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大客户资料</w:t>
      </w:r>
    </w:p>
    <w:p>
      <w:pPr>
        <w:widowControl w:val="0"/>
        <w:spacing w:after="199" w:line="1" w:lineRule="exact"/>
      </w:pPr>
    </w:p>
    <w:p>
      <w:pPr>
        <w:pStyle w:val="Style26"/>
        <w:keepNext w:val="0"/>
        <w:keepLines w:val="0"/>
        <w:widowControl w:val="0"/>
        <w:shd w:val="clear" w:color="auto" w:fill="auto"/>
        <w:bidi w:val="0"/>
        <w:spacing w:before="0" w:after="0" w:line="240" w:lineRule="auto"/>
        <w:ind w:left="8530" w:right="0" w:firstLine="0"/>
        <w:jc w:val="left"/>
      </w:pPr>
      <w:r>
        <w:rPr>
          <w:color w:val="000000"/>
          <w:spacing w:val="0"/>
          <w:w w:val="100"/>
          <w:position w:val="0"/>
        </w:rPr>
        <w:t>单位：千元</w:t>
      </w:r>
    </w:p>
    <w:tbl>
      <w:tblPr>
        <w:tblOverlap w:val="never"/>
        <w:jc w:val="center"/>
        <w:tblLayout w:type="fixed"/>
      </w:tblPr>
      <w:tblGrid>
        <w:gridCol w:w="821"/>
        <w:gridCol w:w="4008"/>
        <w:gridCol w:w="2438"/>
        <w:gridCol w:w="2443"/>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客户名称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占年度销售总额比例</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客户</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421,631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客户</w:t>
            </w: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412,947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客户</w:t>
            </w: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292,403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客户</w:t>
            </w: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269,247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客户</w:t>
            </w: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216,102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1,612,330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r>
    </w:tbl>
    <w:p>
      <w:pPr>
        <w:widowControl w:val="0"/>
        <w:spacing w:after="119" w:line="1" w:lineRule="exact"/>
      </w:pPr>
    </w:p>
    <w:p>
      <w:pPr>
        <w:pStyle w:val="Style17"/>
        <w:keepNext w:val="0"/>
        <w:keepLines w:val="0"/>
        <w:widowControl w:val="0"/>
        <w:shd w:val="clear" w:color="auto" w:fill="auto"/>
        <w:bidi w:val="0"/>
        <w:spacing w:before="0" w:after="200" w:line="240" w:lineRule="auto"/>
        <w:ind w:left="0" w:right="0" w:firstLine="460"/>
        <w:jc w:val="both"/>
      </w:pPr>
      <w:r>
        <w:rPr>
          <w:color w:val="000000"/>
          <w:spacing w:val="0"/>
          <w:w w:val="100"/>
          <w:position w:val="0"/>
        </w:rPr>
        <w:t>主要客户其他情况说明</w:t>
      </w:r>
    </w:p>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报告期内公司向关联方苏宁小店及其子公司销售商品，销售收入</w:t>
      </w:r>
      <w:r>
        <w:rPr>
          <w:rFonts w:ascii="Times New Roman" w:eastAsia="Times New Roman" w:hAnsi="Times New Roman" w:cs="Times New Roman"/>
          <w:color w:val="000000"/>
          <w:spacing w:val="0"/>
          <w:w w:val="100"/>
          <w:position w:val="0"/>
          <w:sz w:val="22"/>
          <w:szCs w:val="22"/>
        </w:rPr>
        <w:t>421,631</w:t>
      </w:r>
      <w:r>
        <w:rPr>
          <w:color w:val="000000"/>
          <w:spacing w:val="0"/>
          <w:w w:val="100"/>
          <w:position w:val="0"/>
        </w:rPr>
        <w:t xml:space="preserve">千元，除此之外其他客 </w:t>
      </w:r>
      <w:r>
        <w:rPr>
          <w:color w:val="000000"/>
          <w:spacing w:val="0"/>
          <w:w w:val="100"/>
          <w:position w:val="0"/>
        </w:rPr>
        <w:t>户与公司不存在关联关系，公司董事、监事、高级管理人员、核心技术人员、持股</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以上股东、实 际控制人和其他关联方在主要客户中未直接或者间接拥有权益。</w:t>
      </w:r>
    </w:p>
    <w:p>
      <w:pPr>
        <w:pStyle w:val="Style17"/>
        <w:keepNext w:val="0"/>
        <w:keepLines w:val="0"/>
        <w:widowControl w:val="0"/>
        <w:shd w:val="clear" w:color="auto" w:fill="auto"/>
        <w:bidi w:val="0"/>
        <w:spacing w:before="0" w:after="0" w:line="480" w:lineRule="exact"/>
        <w:ind w:left="0" w:right="0" w:firstLine="460"/>
        <w:jc w:val="both"/>
      </w:pPr>
      <w:r>
        <w:rPr>
          <w:color w:val="000000"/>
          <w:spacing w:val="0"/>
          <w:w w:val="100"/>
          <w:position w:val="0"/>
        </w:rPr>
        <w:t>公司主要供应商情况</w:t>
      </w:r>
    </w:p>
    <w:p>
      <w:pPr>
        <w:pStyle w:val="Style17"/>
        <w:keepNext w:val="0"/>
        <w:keepLines w:val="0"/>
        <w:widowControl w:val="0"/>
        <w:shd w:val="clear" w:color="auto" w:fill="auto"/>
        <w:bidi w:val="0"/>
        <w:spacing w:before="0" w:after="120" w:line="480" w:lineRule="exact"/>
        <w:ind w:left="0" w:right="0" w:firstLine="0"/>
        <w:jc w:val="right"/>
      </w:pPr>
      <w:r>
        <w:rPr>
          <w:color w:val="000000"/>
          <w:spacing w:val="0"/>
          <w:w w:val="100"/>
          <w:position w:val="0"/>
        </w:rPr>
        <w:t>单位：千元</w:t>
      </w:r>
    </w:p>
    <w:tbl>
      <w:tblPr>
        <w:tblOverlap w:val="never"/>
        <w:jc w:val="center"/>
        <w:tblLayout w:type="fixed"/>
      </w:tblPr>
      <w:tblGrid>
        <w:gridCol w:w="5962"/>
        <w:gridCol w:w="3749"/>
      </w:tblGrid>
      <w:tr>
        <w:trPr>
          <w:trHeight w:val="336"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前五名供应商合计采购金额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40,069,796</w:t>
            </w:r>
          </w:p>
        </w:tc>
      </w:tr>
    </w:tbl>
    <w:tbl>
      <w:tblPr>
        <w:tblOverlap w:val="never"/>
        <w:jc w:val="center"/>
        <w:tblLayout w:type="fixed"/>
      </w:tblPr>
      <w:tblGrid>
        <w:gridCol w:w="5962"/>
        <w:gridCol w:w="3749"/>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前五名供应商合计采购金额占年度采购总额比例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6"/>
        <w:keepNext w:val="0"/>
        <w:keepLines w:val="0"/>
        <w:widowControl w:val="0"/>
        <w:shd w:val="clear" w:color="auto" w:fill="auto"/>
        <w:bidi w:val="0"/>
        <w:spacing w:before="0" w:after="0" w:line="240" w:lineRule="auto"/>
        <w:ind w:left="442"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名供应商资料</w:t>
      </w:r>
    </w:p>
    <w:p>
      <w:pPr>
        <w:widowControl w:val="0"/>
        <w:spacing w:after="19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955"/>
        <w:gridCol w:w="3874"/>
        <w:gridCol w:w="2438"/>
        <w:gridCol w:w="2443"/>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供应商名称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采购额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占年度采购总额比例</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品牌</w:t>
            </w: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18,101,989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品牌</w:t>
            </w: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9,066,844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品牌</w:t>
            </w: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5,518,767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品牌</w:t>
            </w: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4,491,330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品牌</w:t>
            </w: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2,890,866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336"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40,069,796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r>
    </w:tbl>
    <w:p>
      <w:pPr>
        <w:pStyle w:val="Style26"/>
        <w:keepNext w:val="0"/>
        <w:keepLines w:val="0"/>
        <w:widowControl w:val="0"/>
        <w:shd w:val="clear" w:color="auto" w:fill="auto"/>
        <w:bidi w:val="0"/>
        <w:spacing w:before="0" w:after="0" w:line="240" w:lineRule="auto"/>
        <w:ind w:left="437" w:right="0" w:firstLine="0"/>
        <w:jc w:val="left"/>
      </w:pPr>
      <w:r>
        <w:rPr>
          <w:color w:val="000000"/>
          <w:spacing w:val="0"/>
          <w:w w:val="100"/>
          <w:position w:val="0"/>
        </w:rPr>
        <w:t>主要供应商其他情况说明</w:t>
      </w:r>
    </w:p>
    <w:p>
      <w:pPr>
        <w:pStyle w:val="Style17"/>
        <w:keepNext w:val="0"/>
        <w:keepLines w:val="0"/>
        <w:widowControl w:val="0"/>
        <w:shd w:val="clear" w:color="auto" w:fill="auto"/>
        <w:bidi w:val="0"/>
        <w:spacing w:before="0" w:after="200" w:line="475" w:lineRule="exact"/>
        <w:ind w:left="0" w:right="0" w:firstLine="54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名供应商按品牌维度进行汇总统计。公司前五名品牌与公司不存在关联关系，公司董事、 监事、高级管理人员、核心技术人员、持股</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以上股东、实际控制人和其他关联方在主要供应商中 未直接或者间接拥有权益。</w:t>
      </w:r>
    </w:p>
    <w:p>
      <w:pPr>
        <w:pStyle w:val="Style35"/>
        <w:keepNext/>
        <w:keepLines/>
        <w:widowControl w:val="0"/>
        <w:shd w:val="clear" w:color="auto" w:fill="auto"/>
        <w:bidi w:val="0"/>
        <w:spacing w:before="0" w:after="200" w:line="464" w:lineRule="exact"/>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2</w:t>
      </w:r>
      <w:bookmarkEnd w:id="124"/>
      <w:r>
        <w:rPr>
          <w:color w:val="000000"/>
          <w:spacing w:val="0"/>
          <w:w w:val="100"/>
          <w:position w:val="0"/>
        </w:rPr>
        <w:t>、毛利</w:t>
      </w:r>
      <w:bookmarkEnd w:id="122"/>
      <w:bookmarkEnd w:id="123"/>
      <w:bookmarkEnd w:id="125"/>
    </w:p>
    <w:p>
      <w:pPr>
        <w:pStyle w:val="Style17"/>
        <w:keepNext w:val="0"/>
        <w:keepLines w:val="0"/>
        <w:widowControl w:val="0"/>
        <w:shd w:val="clear" w:color="auto" w:fill="auto"/>
        <w:bidi w:val="0"/>
        <w:spacing w:before="0" w:after="200" w:line="464" w:lineRule="exact"/>
        <w:ind w:left="0" w:right="0" w:firstLine="540"/>
        <w:jc w:val="left"/>
      </w:pPr>
      <w:r>
        <w:rPr>
          <w:color w:val="000000"/>
          <w:spacing w:val="0"/>
          <w:w w:val="100"/>
          <w:position w:val="0"/>
        </w:rPr>
        <w:t xml:space="preserve">报告期内受商品销售规模大幅下降带来毛利额下降，带来公司主营业务毛利率同比下降；公司通 过加大闲置物业的招商转租，带来其他业务毛利率同比有所增加，由此带来公司综合毛利率同比下降 </w:t>
      </w:r>
      <w:r>
        <w:rPr>
          <w:rFonts w:ascii="Times New Roman" w:eastAsia="Times New Roman" w:hAnsi="Times New Roman" w:cs="Times New Roman"/>
          <w:color w:val="000000"/>
          <w:spacing w:val="0"/>
          <w:w w:val="100"/>
          <w:position w:val="0"/>
          <w:sz w:val="22"/>
          <w:szCs w:val="22"/>
        </w:rPr>
        <w:t>4.34%</w:t>
      </w:r>
      <w:r>
        <w:rPr>
          <w:color w:val="000000"/>
          <w:spacing w:val="0"/>
          <w:w w:val="100"/>
          <w:position w:val="0"/>
        </w:rPr>
        <w:t>。但如果不考虑报告期内公司面临的流动性不足的问题带来的供应商结算周期放缓，使得与供 应商的返利结回比例下降，采购成本提高的对毛利额的影响，公司综合毛利率为</w:t>
      </w:r>
      <w:r>
        <w:rPr>
          <w:rFonts w:ascii="Times New Roman" w:eastAsia="Times New Roman" w:hAnsi="Times New Roman" w:cs="Times New Roman"/>
          <w:color w:val="000000"/>
          <w:spacing w:val="0"/>
          <w:w w:val="100"/>
          <w:position w:val="0"/>
          <w:sz w:val="22"/>
          <w:szCs w:val="22"/>
        </w:rPr>
        <w:t>12.43%</w:t>
      </w:r>
      <w:r>
        <w:rPr>
          <w:color w:val="000000"/>
          <w:spacing w:val="0"/>
          <w:w w:val="100"/>
          <w:position w:val="0"/>
        </w:rPr>
        <w:t xml:space="preserve">，同比增加 </w:t>
      </w:r>
      <w:r>
        <w:rPr>
          <w:rFonts w:ascii="Times New Roman" w:eastAsia="Times New Roman" w:hAnsi="Times New Roman" w:cs="Times New Roman"/>
          <w:color w:val="000000"/>
          <w:spacing w:val="0"/>
          <w:w w:val="100"/>
          <w:position w:val="0"/>
          <w:sz w:val="22"/>
          <w:szCs w:val="22"/>
        </w:rPr>
        <w:t>1.15%</w:t>
      </w:r>
      <w:r>
        <w:rPr>
          <w:color w:val="000000"/>
          <w:spacing w:val="0"/>
          <w:w w:val="100"/>
          <w:position w:val="0"/>
        </w:rPr>
        <w:t>，主要是低毛利的线上业务在报告期内占比下降较大。</w:t>
      </w:r>
    </w:p>
    <w:p>
      <w:pPr>
        <w:pStyle w:val="Style26"/>
        <w:keepNext w:val="0"/>
        <w:keepLines w:val="0"/>
        <w:widowControl w:val="0"/>
        <w:shd w:val="clear" w:color="auto" w:fill="auto"/>
        <w:bidi w:val="0"/>
        <w:spacing w:before="0" w:after="0" w:line="240" w:lineRule="auto"/>
        <w:ind w:left="538" w:right="0" w:firstLine="0"/>
        <w:jc w:val="left"/>
      </w:pPr>
      <w:r>
        <w:rPr>
          <w:color w:val="000000"/>
          <w:spacing w:val="0"/>
          <w:w w:val="100"/>
          <w:position w:val="0"/>
        </w:rPr>
        <w:t>报告期内公司毛利率变化情况</w:t>
      </w:r>
    </w:p>
    <w:tbl>
      <w:tblPr>
        <w:tblOverlap w:val="never"/>
        <w:jc w:val="center"/>
        <w:tblLayout w:type="fixed"/>
      </w:tblPr>
      <w:tblGrid>
        <w:gridCol w:w="3091"/>
        <w:gridCol w:w="2256"/>
        <w:gridCol w:w="2256"/>
        <w:gridCol w:w="2266"/>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2020 </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增减变化</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主营业务毛利率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其他业务毛利率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综合毛利率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r>
    </w:tbl>
    <w:p>
      <w:pPr>
        <w:pStyle w:val="Style26"/>
        <w:keepNext w:val="0"/>
        <w:keepLines w:val="0"/>
        <w:widowControl w:val="0"/>
        <w:shd w:val="clear" w:color="auto" w:fill="auto"/>
        <w:bidi w:val="0"/>
        <w:spacing w:before="0" w:after="0" w:line="240" w:lineRule="auto"/>
        <w:ind w:left="91" w:right="0" w:firstLine="0"/>
        <w:jc w:val="left"/>
      </w:pPr>
      <w:bookmarkStart w:id="126" w:name="bookmark126"/>
      <w:r>
        <w:rPr>
          <w:rFonts w:ascii="Times New Roman" w:eastAsia="Times New Roman" w:hAnsi="Times New Roman" w:cs="Times New Roman"/>
          <w:b/>
          <w:bCs/>
          <w:color w:val="000000"/>
          <w:spacing w:val="0"/>
          <w:w w:val="100"/>
          <w:position w:val="0"/>
        </w:rPr>
        <w:t>3</w:t>
      </w:r>
      <w:r>
        <w:rPr>
          <w:b/>
          <w:bCs/>
          <w:color w:val="000000"/>
          <w:spacing w:val="0"/>
          <w:w w:val="100"/>
          <w:position w:val="0"/>
        </w:rPr>
        <w:t>、费用</w:t>
      </w:r>
      <w:bookmarkEnd w:id="126"/>
    </w:p>
    <w:p>
      <w:pPr>
        <w:widowControl w:val="0"/>
        <w:spacing w:after="199" w:line="1" w:lineRule="exact"/>
      </w:pPr>
    </w:p>
    <w:p>
      <w:pPr>
        <w:pStyle w:val="Style17"/>
        <w:keepNext w:val="0"/>
        <w:keepLines w:val="0"/>
        <w:widowControl w:val="0"/>
        <w:shd w:val="clear" w:color="auto" w:fill="auto"/>
        <w:bidi w:val="0"/>
        <w:spacing w:before="0" w:after="200" w:line="469" w:lineRule="exact"/>
        <w:ind w:left="0" w:right="0" w:firstLine="540"/>
        <w:jc w:val="left"/>
      </w:pPr>
      <w:r>
        <w:rPr>
          <w:color w:val="000000"/>
          <w:spacing w:val="0"/>
          <w:w w:val="100"/>
          <w:position w:val="0"/>
        </w:rPr>
        <w:t>报告期内公司严格费用管控，提升精细化管理水平，人员、租赁费由短期内受到补偿金增加的影 响费用下降不明显，但中长期来看有助于费用的下降；公司自持物业较多，摊销折旧费用较高；公司 将加快闲置物业的转租，推动资产的出售盘活，有效降低折旧摊销费用的影响；若不考虑报告期公司 实施新的租赁准则带来租赁负债利息支出，总费用同比下降</w:t>
      </w:r>
      <w:r>
        <w:rPr>
          <w:rFonts w:ascii="Times New Roman" w:eastAsia="Times New Roman" w:hAnsi="Times New Roman" w:cs="Times New Roman"/>
          <w:color w:val="000000"/>
          <w:spacing w:val="0"/>
          <w:w w:val="100"/>
          <w:position w:val="0"/>
          <w:sz w:val="22"/>
          <w:szCs w:val="22"/>
        </w:rPr>
        <w:t>19.83%</w:t>
      </w:r>
      <w:r>
        <w:rPr>
          <w:color w:val="000000"/>
          <w:spacing w:val="0"/>
          <w:w w:val="100"/>
          <w:position w:val="0"/>
        </w:rPr>
        <w:t>。分季度来看，公司费用环比持 续下降，费用管控效果显著。在企业经营逐步恢复的阶段，公司将持续保持低成本运营的策略，例行</w:t>
        <w:br w:type="page"/>
      </w:r>
      <w:r>
        <w:rPr>
          <w:color w:val="000000"/>
          <w:spacing w:val="0"/>
          <w:w w:val="100"/>
          <w:position w:val="0"/>
        </w:rPr>
        <w:t>节约，严格投入产出将贯穿经营的全链路。</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2112"/>
        <w:gridCol w:w="1858"/>
        <w:gridCol w:w="1526"/>
        <w:gridCol w:w="1522"/>
        <w:gridCol w:w="1526"/>
        <w:gridCol w:w="1325"/>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第三季度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第四季度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6,288,431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5,770,248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4,878,070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2,982,964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19,919,713</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1,120,425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1,128,342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989,574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913,498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4,151,839</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579,691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601,950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362,909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367,010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1,911,560</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三项费用合计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7,988,547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7,500,540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6,230,553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4,263,472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25,983,112</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同比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1,034,375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690,748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1,089,819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807,220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3,622,162</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总费用合计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pPr>
            <w:r>
              <w:rPr>
                <w:color w:val="000000"/>
                <w:spacing w:val="0"/>
                <w:w w:val="100"/>
                <w:position w:val="0"/>
              </w:rPr>
              <w:t>9,022,922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8,191,288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7,320,372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5,070,692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29,605,274</w:t>
            </w:r>
          </w:p>
        </w:tc>
      </w:tr>
      <w:tr>
        <w:trPr>
          <w:trHeight w:val="336"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同比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注：财务费用由于报告期公司实施新的租赁准则带来租赁负债利息支出</w:t>
      </w:r>
      <w:r>
        <w:rPr>
          <w:rFonts w:ascii="Times New Roman" w:eastAsia="Times New Roman" w:hAnsi="Times New Roman" w:cs="Times New Roman"/>
          <w:color w:val="000000"/>
          <w:spacing w:val="0"/>
          <w:w w:val="100"/>
          <w:position w:val="0"/>
          <w:sz w:val="22"/>
          <w:szCs w:val="22"/>
        </w:rPr>
        <w:t>1,893,285</w:t>
      </w:r>
      <w:r>
        <w:rPr>
          <w:color w:val="000000"/>
          <w:spacing w:val="0"/>
          <w:w w:val="100"/>
          <w:position w:val="0"/>
        </w:rPr>
        <w:t>千元。</w:t>
      </w:r>
    </w:p>
    <w:p>
      <w:pPr>
        <w:widowControl w:val="0"/>
        <w:spacing w:after="1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2165"/>
        <w:gridCol w:w="1526"/>
        <w:gridCol w:w="1579"/>
        <w:gridCol w:w="1560"/>
        <w:gridCol w:w="2885"/>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2"/>
                <w:szCs w:val="22"/>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20" w:firstLine="0"/>
              <w:jc w:val="right"/>
              <w:rPr>
                <w:sz w:val="20"/>
                <w:szCs w:val="20"/>
              </w:rPr>
            </w:pPr>
            <w:r>
              <w:rPr>
                <w:rFonts w:ascii="SimSun" w:eastAsia="SimSun" w:hAnsi="SimSun" w:cs="SimSun"/>
                <w:color w:val="000000"/>
                <w:spacing w:val="0"/>
                <w:w w:val="100"/>
                <w:position w:val="0"/>
                <w:sz w:val="20"/>
                <w:szCs w:val="20"/>
              </w:rPr>
              <w:t>同比增减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重大变动说明</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19,919,713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25,676,511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4,151,839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4,659,720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1,911,560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2,263,933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-15.56%</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3,622,162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1,965,424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主要由于报告期公司实施新 的租赁准则带来租赁负债利 息支出，若不考虑影响，公司 财务费用同比下降</w:t>
            </w:r>
            <w:r>
              <w:rPr>
                <w:color w:val="000000"/>
                <w:spacing w:val="0"/>
                <w:w w:val="100"/>
                <w:position w:val="0"/>
                <w:sz w:val="22"/>
                <w:szCs w:val="22"/>
              </w:rPr>
              <w:t>12.04%</w:t>
            </w:r>
            <w:r>
              <w:rPr>
                <w:rFonts w:ascii="SimSun" w:eastAsia="SimSun" w:hAnsi="SimSun" w:cs="SimSun"/>
                <w:color w:val="000000"/>
                <w:spacing w:val="0"/>
                <w:w w:val="100"/>
                <w:position w:val="0"/>
                <w:sz w:val="20"/>
                <w:szCs w:val="20"/>
              </w:rPr>
              <w:t>。</w:t>
            </w:r>
          </w:p>
        </w:tc>
      </w:tr>
      <w:tr>
        <w:trPr>
          <w:trHeight w:val="322" w:hRule="exact"/>
        </w:trPr>
        <w:tc>
          <w:tcPr>
            <w:gridSpan w:val="5"/>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销售费用、管理费用、研发费用明细</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人员费用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8,823,616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10,515,453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租赁费用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6,116,224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6,853,651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折旧摊销及其他费用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5,729,853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6,711,466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-14.63%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广告促销费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3,022,102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4,291,456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水电费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972,880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1,017,821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物流费用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647,253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2,247,610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-71.20%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主要由于销售下滑带来物流 费用有较大幅度下降。</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装潢费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671,184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962,707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-30.28%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25,983,112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32,600,164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79" w:line="1" w:lineRule="exact"/>
      </w:pPr>
    </w:p>
    <w:p>
      <w:pPr>
        <w:pStyle w:val="Style26"/>
        <w:keepNext w:val="0"/>
        <w:keepLines w:val="0"/>
        <w:widowControl w:val="0"/>
        <w:shd w:val="clear" w:color="auto" w:fill="auto"/>
        <w:bidi w:val="0"/>
        <w:spacing w:before="0" w:after="0" w:line="240" w:lineRule="auto"/>
        <w:ind w:left="374" w:right="0" w:firstLine="0"/>
        <w:jc w:val="left"/>
      </w:pPr>
      <w:bookmarkStart w:id="127" w:name="bookmark127"/>
      <w:r>
        <w:rPr>
          <w:rFonts w:ascii="Times New Roman" w:eastAsia="Times New Roman" w:hAnsi="Times New Roman" w:cs="Times New Roman"/>
          <w:b/>
          <w:bCs/>
          <w:color w:val="000000"/>
          <w:spacing w:val="0"/>
          <w:w w:val="100"/>
          <w:position w:val="0"/>
        </w:rPr>
        <w:t>4</w:t>
      </w:r>
      <w:r>
        <w:rPr>
          <w:b/>
          <w:bCs/>
          <w:color w:val="000000"/>
          <w:spacing w:val="0"/>
          <w:w w:val="100"/>
          <w:position w:val="0"/>
        </w:rPr>
        <w:t>、研发投入</w:t>
      </w:r>
      <w:bookmarkEnd w:id="127"/>
    </w:p>
    <w:tbl>
      <w:tblPr>
        <w:tblOverlap w:val="never"/>
        <w:jc w:val="center"/>
        <w:tblLayout w:type="fixed"/>
      </w:tblPr>
      <w:tblGrid>
        <w:gridCol w:w="1555"/>
        <w:gridCol w:w="2592"/>
        <w:gridCol w:w="1133"/>
        <w:gridCol w:w="2141"/>
        <w:gridCol w:w="2294"/>
      </w:tblGrid>
      <w:tr>
        <w:trPr>
          <w:trHeight w:val="63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主要研发项目名 称</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项目目的</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项目进展</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拟达到的目标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预计对公司未来发展的 影响</w:t>
            </w:r>
          </w:p>
        </w:tc>
      </w:tr>
      <w:tr>
        <w:trPr>
          <w:trHeight w:val="64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用户经营项目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通过用户和会员链路规划和 改造，实现流量分发更加高</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已经完成。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支持公司零售主业发 展。</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提升用户流量。</w:t>
            </w:r>
          </w:p>
        </w:tc>
      </w:tr>
    </w:tbl>
    <w:p>
      <w:pPr>
        <w:spacing w:lineRule="exact" w:line="1"/>
        <w:rPr>
          <w:sz w:val="2"/>
          <w:szCs w:val="2"/>
        </w:rPr>
      </w:pPr>
      <w:r>
        <w:br w:type="page"/>
      </w:r>
    </w:p>
    <w:tbl>
      <w:tblPr>
        <w:tblOverlap w:val="never"/>
        <w:jc w:val="center"/>
        <w:tblLayout w:type="fixed"/>
      </w:tblPr>
      <w:tblGrid>
        <w:gridCol w:w="1555"/>
        <w:gridCol w:w="2592"/>
        <w:gridCol w:w="1133"/>
        <w:gridCol w:w="2141"/>
        <w:gridCol w:w="2294"/>
      </w:tblGrid>
      <w:tr>
        <w:trPr>
          <w:trHeight w:val="63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主要研发项目名 称</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项目目的</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项目进展</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拟达到的目标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预计对公司未来发展的 影响</w:t>
            </w:r>
          </w:p>
        </w:tc>
      </w:tr>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效，分配逻辑可控，最终提 升整体转化。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零售云平台化项 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20"/>
                <w:szCs w:val="20"/>
              </w:rPr>
            </w:pPr>
            <w:r>
              <w:rPr>
                <w:rFonts w:ascii="SimSun" w:eastAsia="SimSun" w:hAnsi="SimSun" w:cs="SimSun"/>
                <w:color w:val="000000"/>
                <w:spacing w:val="0"/>
                <w:w w:val="100"/>
                <w:position w:val="0"/>
                <w:sz w:val="20"/>
                <w:szCs w:val="20"/>
              </w:rPr>
              <w:t>强化平台服务能力，提供丰 富的营促销活动给到消费 者，并且提供平台的工具化 能力，从而增加加盟店老板 的粘性指导其经营。实现多 业态的服务能力，为以后扩 展多业态的零售服务提供基 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已经完成。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支持零售云业务发展。</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为以后扩展多业态的零 售服务提供基础。</w:t>
            </w:r>
          </w:p>
        </w:tc>
      </w:tr>
      <w:tr>
        <w:trPr>
          <w:trHeight w:val="220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节能减排项目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遵照国家碳达峰碳中和的战 略目标，制定了自身的节能 减排管控方案和计划，建立 能源管理体系，部署能源管 理系统，开展节能措施，以 重点提升数据中心的能效水 平，降低能耗。</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已经完成。</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提高现有服务器的使 用效率，提升数据中心 能源效率指标。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遵照国家碳达峰碳中和 的战略目标，实现公司的 节能减排。</w:t>
            </w:r>
          </w:p>
        </w:tc>
      </w:tr>
    </w:tbl>
    <w:p>
      <w:pPr>
        <w:widowControl w:val="0"/>
        <w:spacing w:after="479" w:line="1" w:lineRule="exact"/>
      </w:pPr>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）公司研发人员情况</w:t>
      </w:r>
    </w:p>
    <w:tbl>
      <w:tblPr>
        <w:tblOverlap w:val="never"/>
        <w:jc w:val="center"/>
        <w:tblLayout w:type="fixed"/>
      </w:tblPr>
      <w:tblGrid>
        <w:gridCol w:w="2434"/>
        <w:gridCol w:w="2419"/>
        <w:gridCol w:w="2424"/>
        <w:gridCol w:w="2434"/>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2020 </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变动比例</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研发人员数量（人）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2,766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6,683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-58.61%</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研发人员数量占比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研发人员学历结构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硕士及以上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1,893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4,636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-59.17%</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大专及以下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-53.66%</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研发人员年龄构成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30</w:t>
            </w:r>
            <w:r>
              <w:rPr>
                <w:rFonts w:ascii="SimSun" w:eastAsia="SimSun" w:hAnsi="SimSun" w:cs="SimSun"/>
                <w:color w:val="000000"/>
                <w:spacing w:val="0"/>
                <w:w w:val="100"/>
                <w:position w:val="0"/>
                <w:sz w:val="20"/>
                <w:szCs w:val="20"/>
              </w:rPr>
              <w:t>岁以下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3,305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 xml:space="preserve">30~40 </w:t>
            </w:r>
            <w:r>
              <w:rPr>
                <w:rFonts w:ascii="SimSun" w:eastAsia="SimSun" w:hAnsi="SimSun" w:cs="SimSun"/>
                <w:color w:val="000000"/>
                <w:spacing w:val="0"/>
                <w:w w:val="100"/>
                <w:position w:val="0"/>
                <w:sz w:val="20"/>
                <w:szCs w:val="20"/>
              </w:rPr>
              <w:t>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1,822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3,203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40</w:t>
            </w:r>
            <w:r>
              <w:rPr>
                <w:rFonts w:ascii="SimSun" w:eastAsia="SimSun" w:hAnsi="SimSun" w:cs="SimSun"/>
                <w:color w:val="000000"/>
                <w:spacing w:val="0"/>
                <w:w w:val="100"/>
                <w:position w:val="0"/>
                <w:sz w:val="20"/>
                <w:szCs w:val="20"/>
              </w:rPr>
              <w:t>岁以上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w:t>
            </w:r>
          </w:p>
        </w:tc>
      </w:tr>
    </w:tbl>
    <w:p>
      <w:pPr>
        <w:widowControl w:val="0"/>
        <w:spacing w:after="559" w:line="1" w:lineRule="exact"/>
      </w:pPr>
    </w:p>
    <w:p>
      <w:pPr>
        <w:pStyle w:val="Style17"/>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）公司研发投入情况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3552"/>
        <w:gridCol w:w="2050"/>
        <w:gridCol w:w="2050"/>
        <w:gridCol w:w="205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2020 </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变动比例</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研发投入金额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2,414,734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研发投入占营业收入比例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研发投入资本化的金额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-91.50%</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资本化研发投入占研发投入的比例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r>
    </w:tbl>
    <w:p>
      <w:pPr>
        <w:pStyle w:val="Style17"/>
        <w:keepNext w:val="0"/>
        <w:keepLines w:val="0"/>
        <w:widowControl w:val="0"/>
        <w:shd w:val="clear" w:color="auto" w:fill="auto"/>
        <w:tabs>
          <w:tab w:pos="838" w:val="left"/>
        </w:tabs>
        <w:bidi w:val="0"/>
        <w:spacing w:before="0" w:after="0" w:line="475" w:lineRule="exact"/>
        <w:ind w:left="0" w:right="0" w:firstLine="460"/>
        <w:jc w:val="left"/>
      </w:pPr>
      <w:bookmarkStart w:id="128" w:name="bookmark128"/>
      <w:r>
        <w:rPr>
          <w:rFonts w:ascii="Times New Roman" w:eastAsia="Times New Roman" w:hAnsi="Times New Roman" w:cs="Times New Roman"/>
          <w:color w:val="000000"/>
          <w:spacing w:val="0"/>
          <w:w w:val="100"/>
          <w:position w:val="0"/>
          <w:sz w:val="22"/>
          <w:szCs w:val="22"/>
        </w:rPr>
        <w:t>3</w:t>
      </w:r>
      <w:bookmarkEnd w:id="128"/>
      <w:r>
        <w:rPr>
          <w:color w:val="000000"/>
          <w:spacing w:val="0"/>
          <w:w w:val="100"/>
          <w:position w:val="0"/>
        </w:rPr>
        <w:t>、</w:t>
        <w:tab/>
        <w:t>公司研发人员构成发生重大变化的原因及影响</w:t>
      </w:r>
    </w:p>
    <w:p>
      <w:pPr>
        <w:pStyle w:val="Style17"/>
        <w:keepNext w:val="0"/>
        <w:keepLines w:val="0"/>
        <w:widowControl w:val="0"/>
        <w:shd w:val="clear" w:color="auto" w:fill="auto"/>
        <w:bidi w:val="0"/>
        <w:spacing w:before="0" w:after="0" w:line="475" w:lineRule="exact"/>
        <w:ind w:left="0" w:right="0" w:firstLine="460"/>
        <w:jc w:val="left"/>
      </w:pPr>
      <w:r>
        <w:rPr>
          <w:color w:val="000000"/>
          <w:spacing w:val="0"/>
          <w:w w:val="100"/>
          <w:position w:val="0"/>
        </w:rPr>
        <w:t>报告期内公司厘清业务发展战略，进一步明确了各业务模块发展策略，匹配相应的研发团队。公 司研发人员构成发生的变化不会对公司未来发展带来重大影响。</w:t>
      </w:r>
    </w:p>
    <w:p>
      <w:pPr>
        <w:pStyle w:val="Style17"/>
        <w:keepNext w:val="0"/>
        <w:keepLines w:val="0"/>
        <w:widowControl w:val="0"/>
        <w:shd w:val="clear" w:color="auto" w:fill="auto"/>
        <w:tabs>
          <w:tab w:pos="842" w:val="left"/>
        </w:tabs>
        <w:bidi w:val="0"/>
        <w:spacing w:before="0" w:after="0" w:line="475" w:lineRule="exact"/>
        <w:ind w:left="0" w:right="0" w:firstLine="460"/>
        <w:jc w:val="left"/>
      </w:pPr>
      <w:bookmarkStart w:id="129" w:name="bookmark129"/>
      <w:r>
        <w:rPr>
          <w:rFonts w:ascii="Times New Roman" w:eastAsia="Times New Roman" w:hAnsi="Times New Roman" w:cs="Times New Roman"/>
          <w:color w:val="000000"/>
          <w:spacing w:val="0"/>
          <w:w w:val="100"/>
          <w:position w:val="0"/>
          <w:sz w:val="22"/>
          <w:szCs w:val="22"/>
        </w:rPr>
        <w:t>4</w:t>
      </w:r>
      <w:bookmarkEnd w:id="129"/>
      <w:r>
        <w:rPr>
          <w:color w:val="000000"/>
          <w:spacing w:val="0"/>
          <w:w w:val="100"/>
          <w:position w:val="0"/>
        </w:rPr>
        <w:t>、</w:t>
        <w:tab/>
        <w:t>研发投入总额占营业收入的比重较上年发生显著变化的原因</w:t>
      </w:r>
    </w:p>
    <w:p>
      <w:pPr>
        <w:pStyle w:val="Style17"/>
        <w:keepNext w:val="0"/>
        <w:keepLines w:val="0"/>
        <w:widowControl w:val="0"/>
        <w:shd w:val="clear" w:color="auto" w:fill="auto"/>
        <w:bidi w:val="0"/>
        <w:spacing w:before="0" w:after="0" w:line="475" w:lineRule="exact"/>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tabs>
          <w:tab w:pos="842" w:val="left"/>
        </w:tabs>
        <w:bidi w:val="0"/>
        <w:spacing w:before="0" w:after="0" w:line="475" w:lineRule="exact"/>
        <w:ind w:left="0" w:right="0" w:firstLine="460"/>
        <w:jc w:val="left"/>
      </w:pPr>
      <w:bookmarkStart w:id="130" w:name="bookmark130"/>
      <w:r>
        <w:rPr>
          <w:rFonts w:ascii="Times New Roman" w:eastAsia="Times New Roman" w:hAnsi="Times New Roman" w:cs="Times New Roman"/>
          <w:color w:val="000000"/>
          <w:spacing w:val="0"/>
          <w:w w:val="100"/>
          <w:position w:val="0"/>
          <w:sz w:val="22"/>
          <w:szCs w:val="22"/>
        </w:rPr>
        <w:t>5</w:t>
      </w:r>
      <w:bookmarkEnd w:id="130"/>
      <w:r>
        <w:rPr>
          <w:color w:val="000000"/>
          <w:spacing w:val="0"/>
          <w:w w:val="100"/>
          <w:position w:val="0"/>
        </w:rPr>
        <w:t>、</w:t>
        <w:tab/>
        <w:t>研发投入资本化率大幅变动的原因及其合理性说明</w:t>
      </w:r>
    </w:p>
    <w:p>
      <w:pPr>
        <w:pStyle w:val="Style17"/>
        <w:keepNext w:val="0"/>
        <w:keepLines w:val="0"/>
        <w:widowControl w:val="0"/>
        <w:shd w:val="clear" w:color="auto" w:fill="auto"/>
        <w:bidi w:val="0"/>
        <w:spacing w:before="0" w:after="220" w:line="475" w:lineRule="exact"/>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5"/>
        <w:keepNext/>
        <w:keepLines/>
        <w:widowControl w:val="0"/>
        <w:shd w:val="clear" w:color="auto" w:fill="auto"/>
        <w:bidi w:val="0"/>
        <w:spacing w:before="0" w:after="360" w:line="475" w:lineRule="exact"/>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5</w:t>
      </w:r>
      <w:bookmarkEnd w:id="133"/>
      <w:r>
        <w:rPr>
          <w:color w:val="000000"/>
          <w:spacing w:val="0"/>
          <w:w w:val="100"/>
          <w:position w:val="0"/>
        </w:rPr>
        <w:t>、现金流</w:t>
      </w:r>
      <w:bookmarkEnd w:id="131"/>
      <w:bookmarkEnd w:id="132"/>
      <w:bookmarkEnd w:id="134"/>
    </w:p>
    <w:p>
      <w:pPr>
        <w:pStyle w:val="Style26"/>
        <w:keepNext w:val="0"/>
        <w:keepLines w:val="0"/>
        <w:widowControl w:val="0"/>
        <w:shd w:val="clear" w:color="auto" w:fill="auto"/>
        <w:bidi w:val="0"/>
        <w:spacing w:before="0" w:after="0" w:line="240" w:lineRule="auto"/>
        <w:ind w:left="8530" w:right="0" w:firstLine="0"/>
        <w:jc w:val="left"/>
      </w:pPr>
      <w:r>
        <w:rPr>
          <w:color w:val="000000"/>
          <w:spacing w:val="0"/>
          <w:w w:val="100"/>
          <w:position w:val="0"/>
        </w:rPr>
        <w:t>单位：千元</w:t>
      </w:r>
    </w:p>
    <w:tbl>
      <w:tblPr>
        <w:tblOverlap w:val="never"/>
        <w:jc w:val="center"/>
        <w:tblLayout w:type="fixed"/>
      </w:tblPr>
      <w:tblGrid>
        <w:gridCol w:w="2986"/>
        <w:gridCol w:w="2237"/>
        <w:gridCol w:w="2242"/>
        <w:gridCol w:w="2246"/>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2"/>
                <w:szCs w:val="22"/>
              </w:rPr>
              <w:t xml:space="preserve">2020 </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同比增减</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225,388,090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306,813,602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-26.54%</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231,818,317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308,435,448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-24.84%</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-6,430,227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-1,621,846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-296.48%</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投资活动现金流入小计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13,392,230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43,724,901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-69.37%</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8,096,150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39,147,631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-79.32%</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5,296,080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4,577,270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w:t>
            </w:r>
          </w:p>
        </w:tc>
      </w:tr>
      <w:tr>
        <w:trPr>
          <w:trHeight w:val="32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68,712,041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69,271,569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74,811,627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78,512,637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-6,099,586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-9,241,068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33.99%</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-7,401,619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-6,356,030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-16.45%</w:t>
            </w:r>
          </w:p>
        </w:tc>
      </w:tr>
    </w:tbl>
    <w:p>
      <w:pPr>
        <w:widowControl w:val="0"/>
        <w:spacing w:after="99" w:line="1" w:lineRule="exact"/>
      </w:pPr>
    </w:p>
    <w:p>
      <w:pPr>
        <w:pStyle w:val="Style17"/>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）相关数据同比发生重大变动的主要影响因素说明</w:t>
      </w:r>
    </w:p>
    <w:p>
      <w:pPr>
        <w:pStyle w:val="Style17"/>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报告期内公司经营活动产生的现金流量净额减少，主要由于报告期内公司利润亏损带来的影响。</w:t>
      </w:r>
    </w:p>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报告期内公司投资活动产生的现金流量净额增加，主要由于报告期内公司实施物流仓储物业轻资 </w:t>
      </w:r>
      <w:r>
        <w:rPr>
          <w:color w:val="000000"/>
          <w:spacing w:val="0"/>
          <w:w w:val="100"/>
          <w:position w:val="0"/>
        </w:rPr>
        <w:t>产运作，盘活存量资产回收投资款的影响。</w:t>
      </w:r>
    </w:p>
    <w:p>
      <w:pPr>
        <w:pStyle w:val="Style17"/>
        <w:keepNext w:val="0"/>
        <w:keepLines w:val="0"/>
        <w:widowControl w:val="0"/>
        <w:shd w:val="clear" w:color="auto" w:fill="auto"/>
        <w:bidi w:val="0"/>
        <w:spacing w:before="0" w:after="0" w:line="475" w:lineRule="exact"/>
        <w:ind w:left="0" w:right="0" w:firstLine="460"/>
        <w:jc w:val="left"/>
      </w:pPr>
      <w:r>
        <w:rPr>
          <w:color w:val="000000"/>
          <w:spacing w:val="0"/>
          <w:w w:val="100"/>
          <w:position w:val="0"/>
        </w:rPr>
        <w:t>报告期内公司筹资活动产生的现金流量净额减少，主要由于公司偿还到期的公司债。</w:t>
      </w:r>
    </w:p>
    <w:p>
      <w:pPr>
        <w:pStyle w:val="Style17"/>
        <w:keepNext w:val="0"/>
        <w:keepLines w:val="0"/>
        <w:widowControl w:val="0"/>
        <w:shd w:val="clear" w:color="auto" w:fill="auto"/>
        <w:bidi w:val="0"/>
        <w:spacing w:before="0" w:after="220" w:line="475" w:lineRule="exact"/>
        <w:ind w:left="4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）报告期内公司经营活动产生的现金净流量与本年度净利润存在重大差异的原因说明 报告期净利润影响主要由于公司计提了资产减值准备、确认投资损失带来。</w:t>
      </w:r>
    </w:p>
    <w:p>
      <w:pPr>
        <w:pStyle w:val="Style32"/>
        <w:keepNext/>
        <w:keepLines/>
        <w:widowControl w:val="0"/>
        <w:shd w:val="clear" w:color="auto" w:fill="auto"/>
        <w:bidi w:val="0"/>
        <w:spacing w:before="0" w:after="420" w:line="475" w:lineRule="exact"/>
        <w:ind w:left="0" w:right="0" w:firstLine="0"/>
        <w:jc w:val="left"/>
      </w:pPr>
      <w:bookmarkStart w:id="135" w:name="bookmark135"/>
      <w:bookmarkStart w:id="136" w:name="bookmark136"/>
      <w:bookmarkStart w:id="137" w:name="bookmark137"/>
      <w:bookmarkStart w:id="138" w:name="bookmark138"/>
      <w:r>
        <w:rPr>
          <w:color w:val="000000"/>
          <w:spacing w:val="0"/>
          <w:w w:val="100"/>
          <w:position w:val="0"/>
          <w:sz w:val="24"/>
          <w:szCs w:val="24"/>
        </w:rPr>
        <w:t>五</w:t>
      </w:r>
      <w:bookmarkEnd w:id="137"/>
      <w:r>
        <w:rPr>
          <w:color w:val="000000"/>
          <w:spacing w:val="0"/>
          <w:w w:val="100"/>
          <w:position w:val="0"/>
          <w:sz w:val="24"/>
          <w:szCs w:val="24"/>
        </w:rPr>
        <w:t>、非主营业务分析</w:t>
      </w:r>
      <w:bookmarkEnd w:id="135"/>
      <w:bookmarkEnd w:id="136"/>
      <w:bookmarkEnd w:id="138"/>
    </w:p>
    <w:p>
      <w:pPr>
        <w:pStyle w:val="Style26"/>
        <w:keepNext w:val="0"/>
        <w:keepLines w:val="0"/>
        <w:widowControl w:val="0"/>
        <w:shd w:val="clear" w:color="auto" w:fill="auto"/>
        <w:bidi w:val="0"/>
        <w:spacing w:before="0" w:after="0" w:line="240" w:lineRule="auto"/>
        <w:ind w:left="8530" w:right="0" w:firstLine="0"/>
        <w:jc w:val="left"/>
      </w:pPr>
      <w:r>
        <w:rPr>
          <w:color w:val="000000"/>
          <w:spacing w:val="0"/>
          <w:w w:val="100"/>
          <w:position w:val="0"/>
        </w:rPr>
        <w:t>单位：千元</w:t>
      </w:r>
    </w:p>
    <w:tbl>
      <w:tblPr>
        <w:tblOverlap w:val="never"/>
        <w:jc w:val="center"/>
        <w:tblLayout w:type="fixed"/>
      </w:tblPr>
      <w:tblGrid>
        <w:gridCol w:w="1709"/>
        <w:gridCol w:w="1421"/>
        <w:gridCol w:w="1133"/>
        <w:gridCol w:w="4392"/>
        <w:gridCol w:w="1056"/>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color w:val="000000"/>
                <w:spacing w:val="0"/>
                <w:w w:val="100"/>
                <w:position w:val="0"/>
                <w:sz w:val="20"/>
                <w:szCs w:val="20"/>
              </w:rPr>
              <w:t>占利润总 额比例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0" w:right="0" w:firstLine="0"/>
              <w:jc w:val="center"/>
              <w:rPr>
                <w:sz w:val="20"/>
                <w:szCs w:val="20"/>
              </w:rPr>
            </w:pPr>
            <w:r>
              <w:rPr>
                <w:rFonts w:ascii="SimSun" w:eastAsia="SimSun" w:hAnsi="SimSun" w:cs="SimSun"/>
                <w:color w:val="000000"/>
                <w:spacing w:val="0"/>
                <w:w w:val="100"/>
                <w:position w:val="0"/>
                <w:sz w:val="20"/>
                <w:szCs w:val="20"/>
              </w:rPr>
              <w:t>形成原因说明</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是否具有</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可持续性</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-11,686,618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 w:right="0" w:firstLine="0"/>
              <w:jc w:val="center"/>
              <w:rPr>
                <w:sz w:val="20"/>
                <w:szCs w:val="20"/>
              </w:rPr>
            </w:pPr>
            <w:r>
              <w:rPr>
                <w:rFonts w:ascii="SimSun" w:eastAsia="SimSun" w:hAnsi="SimSun" w:cs="SimSun"/>
                <w:color w:val="000000"/>
                <w:spacing w:val="0"/>
                <w:w w:val="100"/>
                <w:position w:val="0"/>
                <w:sz w:val="20"/>
                <w:szCs w:val="20"/>
              </w:rPr>
              <w:t>主要由于公司权益法核算的长期股权投资带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709"/>
        <w:gridCol w:w="1421"/>
        <w:gridCol w:w="1133"/>
        <w:gridCol w:w="4392"/>
        <w:gridCol w:w="1056"/>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color w:val="000000"/>
                <w:spacing w:val="0"/>
                <w:w w:val="100"/>
                <w:position w:val="0"/>
                <w:sz w:val="20"/>
                <w:szCs w:val="20"/>
              </w:rPr>
              <w:t>占利润总 额比例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形成原因说明</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是否具有</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可持续性</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来的损失。</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公允价值变动损 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-124,363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主要为交易性金融资产、股权投资公允价值变 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351,223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-0.67%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主要为政府补助。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-16,385,309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主要为公司长期股权投资减值损失、使用权资 产减值损失、无形资产减值损失、商誉减值损 失。</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信用减值损失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-2,831,436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主要为应收账款坏账损失、其他应收款坏账损 失。</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443,114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主要为商铺解约补偿收入等。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营业外支出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-841,491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主要为报告期内公司罚款、赔款和违约金支出 等。</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sz w:val="24"/>
          <w:szCs w:val="24"/>
        </w:rPr>
        <w:t>六</w:t>
      </w:r>
      <w:bookmarkEnd w:id="141"/>
      <w:r>
        <w:rPr>
          <w:color w:val="000000"/>
          <w:spacing w:val="0"/>
          <w:w w:val="100"/>
          <w:position w:val="0"/>
          <w:sz w:val="24"/>
          <w:szCs w:val="24"/>
        </w:rPr>
        <w:t>、资产及负债状况分析</w:t>
      </w:r>
      <w:bookmarkEnd w:id="139"/>
      <w:bookmarkEnd w:id="140"/>
      <w:bookmarkEnd w:id="142"/>
    </w:p>
    <w:p>
      <w:pPr>
        <w:pStyle w:val="Style35"/>
        <w:keepNext/>
        <w:keepLines/>
        <w:widowControl w:val="0"/>
        <w:shd w:val="clear" w:color="auto" w:fill="auto"/>
        <w:bidi w:val="0"/>
        <w:spacing w:before="0" w:after="34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1</w:t>
      </w:r>
      <w:bookmarkEnd w:id="145"/>
      <w:r>
        <w:rPr>
          <w:color w:val="000000"/>
          <w:spacing w:val="0"/>
          <w:w w:val="100"/>
          <w:position w:val="0"/>
        </w:rPr>
        <w:t>、资产构成重大变动情况</w:t>
      </w:r>
      <w:bookmarkEnd w:id="143"/>
      <w:bookmarkEnd w:id="144"/>
      <w:bookmarkEnd w:id="1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1392"/>
        <w:gridCol w:w="1277"/>
        <w:gridCol w:w="994"/>
        <w:gridCol w:w="1277"/>
        <w:gridCol w:w="994"/>
        <w:gridCol w:w="989"/>
        <w:gridCol w:w="2947"/>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比重增 减</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重大变动说明</w:t>
            </w:r>
          </w:p>
        </w:tc>
      </w:tr>
      <w:tr>
        <w:trPr>
          <w:trHeight w:val="6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180"/>
              <w:jc w:val="left"/>
              <w:rPr>
                <w:sz w:val="20"/>
                <w:szCs w:val="20"/>
              </w:rPr>
            </w:pPr>
            <w:r>
              <w:rPr>
                <w:rFonts w:ascii="SimSun" w:eastAsia="SimSun" w:hAnsi="SimSun" w:cs="SimSun"/>
                <w:color w:val="000000"/>
                <w:spacing w:val="0"/>
                <w:w w:val="100"/>
                <w:position w:val="0"/>
                <w:sz w:val="20"/>
                <w:szCs w:val="20"/>
              </w:rPr>
              <w:t>占总资</w:t>
            </w:r>
          </w:p>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产比例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180"/>
              <w:jc w:val="left"/>
              <w:rPr>
                <w:sz w:val="20"/>
                <w:szCs w:val="20"/>
              </w:rPr>
            </w:pPr>
            <w:r>
              <w:rPr>
                <w:rFonts w:ascii="SimSun" w:eastAsia="SimSun" w:hAnsi="SimSun" w:cs="SimSun"/>
                <w:color w:val="000000"/>
                <w:spacing w:val="0"/>
                <w:w w:val="100"/>
                <w:position w:val="0"/>
                <w:sz w:val="20"/>
                <w:szCs w:val="20"/>
              </w:rPr>
              <w:t>占总资</w:t>
            </w:r>
          </w:p>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17,967,374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25,887,751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报告期内公司经营亏损及偿 还公司债，现金流净流出，带 来货币资金减少。</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98,915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1,696,549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报告期内公司应收票据到期 兑付回收。</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12,289,891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24,251,743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报告期内受流动性影响，带来 库存商品的减少。</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其他流动资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3,245,080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5,997,641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报告期内待抵扣增值税进项 税额有所减少。</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长期股权投 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15,304,488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39,351,953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报告期内公司计提对投资企 业投资损失带来。</w:t>
            </w:r>
          </w:p>
        </w:tc>
      </w:tr>
      <w:tr>
        <w:trPr>
          <w:trHeight w:val="9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其他非流动</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629,977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1,975,740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0.93%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 xml:space="preserve">报告期内公司转让了持有的 </w:t>
            </w:r>
            <w:r>
              <w:rPr>
                <w:color w:val="000000"/>
                <w:spacing w:val="0"/>
                <w:w w:val="100"/>
                <w:position w:val="0"/>
                <w:sz w:val="20"/>
                <w:szCs w:val="20"/>
              </w:rPr>
              <w:t>TCL</w:t>
            </w:r>
            <w:r>
              <w:rPr>
                <w:rFonts w:ascii="SimSun" w:eastAsia="SimSun" w:hAnsi="SimSun" w:cs="SimSun"/>
                <w:color w:val="000000"/>
                <w:spacing w:val="0"/>
                <w:w w:val="100"/>
                <w:position w:val="0"/>
                <w:sz w:val="20"/>
                <w:szCs w:val="20"/>
              </w:rPr>
              <w:t>实业控股全部股权，新增 领岸基金投资。</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递延所得税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9,737,454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5,670,490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报告期内公司利润亏损带来 递延所得税资产增加。</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其他非流动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504,847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841,551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预付土地款和工程设备款的 减少。</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20,135,826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31,051,572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公司存货下降带来公司应付</w:t>
            </w:r>
          </w:p>
        </w:tc>
      </w:tr>
    </w:tbl>
    <w:p>
      <w:pPr>
        <w:spacing w:lineRule="exact" w:line="1"/>
        <w:rPr>
          <w:sz w:val="2"/>
          <w:szCs w:val="2"/>
        </w:rPr>
      </w:pPr>
      <w:r>
        <w:br w:type="page"/>
      </w:r>
    </w:p>
    <w:tbl>
      <w:tblPr>
        <w:tblOverlap w:val="never"/>
        <w:jc w:val="center"/>
        <w:tblLayout w:type="fixed"/>
      </w:tblPr>
      <w:tblGrid>
        <w:gridCol w:w="1392"/>
        <w:gridCol w:w="1277"/>
        <w:gridCol w:w="994"/>
        <w:gridCol w:w="1277"/>
        <w:gridCol w:w="994"/>
        <w:gridCol w:w="989"/>
        <w:gridCol w:w="2947"/>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比重增 减</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重大变动说明</w:t>
            </w:r>
          </w:p>
        </w:tc>
      </w:tr>
      <w:tr>
        <w:trPr>
          <w:trHeight w:val="6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200"/>
              <w:jc w:val="left"/>
              <w:rPr>
                <w:sz w:val="20"/>
                <w:szCs w:val="20"/>
              </w:rPr>
            </w:pPr>
            <w:r>
              <w:rPr>
                <w:rFonts w:ascii="SimSun" w:eastAsia="SimSun" w:hAnsi="SimSun" w:cs="SimSun"/>
                <w:color w:val="000000"/>
                <w:spacing w:val="0"/>
                <w:w w:val="100"/>
                <w:position w:val="0"/>
                <w:sz w:val="20"/>
                <w:szCs w:val="20"/>
              </w:rPr>
              <w:t>占总资</w:t>
            </w:r>
          </w:p>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产比例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180"/>
              <w:jc w:val="left"/>
              <w:rPr>
                <w:sz w:val="20"/>
                <w:szCs w:val="20"/>
              </w:rPr>
            </w:pPr>
            <w:r>
              <w:rPr>
                <w:rFonts w:ascii="SimSun" w:eastAsia="SimSun" w:hAnsi="SimSun" w:cs="SimSun"/>
                <w:color w:val="000000"/>
                <w:spacing w:val="0"/>
                <w:w w:val="100"/>
                <w:position w:val="0"/>
                <w:sz w:val="20"/>
                <w:szCs w:val="20"/>
              </w:rPr>
              <w:t>占总资</w:t>
            </w:r>
          </w:p>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账款减少。</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1,318,892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900,749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公司出售物流仓储物业带来 的应交税费的增加。</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递延所得税 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2,077,166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6,886,085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无形资产的减值，带来递延所 得税负债的冲回。</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其他非流动 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906,581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1,410,851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0.67%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报告期公司结转了预收长期 购房款。</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其他综合收 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-2,968,096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-1,355,258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主要为其他权益工具投资公 允价值变动带来的影响。</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-7,449,817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36,033,899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-21.35%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20"/>
                <w:szCs w:val="20"/>
              </w:rPr>
            </w:pPr>
            <w:r>
              <w:rPr>
                <w:rFonts w:ascii="SimSun" w:eastAsia="SimSun" w:hAnsi="SimSun" w:cs="SimSun"/>
                <w:color w:val="000000"/>
                <w:spacing w:val="0"/>
                <w:w w:val="100"/>
                <w:position w:val="0"/>
                <w:sz w:val="20"/>
                <w:szCs w:val="20"/>
              </w:rPr>
              <w:t>报告期内公司净利润大幅亏 损。</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少数股东权 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-1,069,309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-25,644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主要为少数股东投资的子公 司的亏损。</w:t>
            </w:r>
          </w:p>
        </w:tc>
      </w:tr>
      <w:tr>
        <w:trPr>
          <w:trHeight w:val="32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使用权资产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23,552,412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依据新租赁准则，公司对所有 租入资产按照未来应付租金 的最低租赁付款额现值确认 使用权资产及租赁负债，并分 别确认折旧及未确认融资费 用。</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24,375,629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其他流动负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776,081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1,651,050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vMerge/>
            <w:tcBorders>
              <w:left w:val="single" w:sz="4"/>
              <w:right w:val="single" w:sz="4"/>
            </w:tcBorders>
            <w:shd w:val="clear" w:color="auto" w:fill="FFFFFF"/>
            <w:vAlign w:val="center"/>
          </w:tcPr>
          <w:p>
            <w:pPr/>
          </w:p>
        </w:tc>
      </w:tr>
      <w:tr>
        <w:trPr>
          <w:trHeight w:val="64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长期待摊费 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617,725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1,510,520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0.71%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vMerge/>
            <w:tcBorders>
              <w:left w:val="single" w:sz="4"/>
              <w:bottom w:val="single" w:sz="4"/>
              <w:right w:val="single" w:sz="4"/>
            </w:tcBorders>
            <w:shd w:val="clear" w:color="auto" w:fill="FFFFFF"/>
            <w:vAlign w:val="center"/>
          </w:tcPr>
          <w:p>
            <w:pPr/>
          </w:p>
        </w:tc>
      </w:tr>
    </w:tbl>
    <w:p>
      <w:pPr>
        <w:widowControl w:val="0"/>
        <w:spacing w:after="239" w:line="1" w:lineRule="exact"/>
      </w:pPr>
    </w:p>
    <w:p>
      <w:pPr>
        <w:pStyle w:val="Style17"/>
        <w:keepNext w:val="0"/>
        <w:keepLines w:val="0"/>
        <w:widowControl w:val="0"/>
        <w:shd w:val="clear" w:color="auto" w:fill="auto"/>
        <w:bidi w:val="0"/>
        <w:spacing w:before="0" w:after="240" w:line="240" w:lineRule="auto"/>
        <w:ind w:left="0" w:right="0" w:firstLine="540"/>
        <w:jc w:val="left"/>
      </w:pPr>
      <w:r>
        <w:rPr>
          <w:color w:val="000000"/>
          <w:spacing w:val="0"/>
          <w:w w:val="100"/>
          <w:position w:val="0"/>
        </w:rPr>
        <w:t>报告期内，公司偿债能力和各项资产运营能力财务指标列示及分析</w:t>
      </w:r>
    </w:p>
    <w:p>
      <w:pPr>
        <w:pStyle w:val="Style17"/>
        <w:keepNext w:val="0"/>
        <w:keepLines w:val="0"/>
        <w:widowControl w:val="0"/>
        <w:shd w:val="clear" w:color="auto" w:fill="auto"/>
        <w:bidi w:val="0"/>
        <w:spacing w:before="0" w:after="24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）主要债权债务关系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3374"/>
        <w:gridCol w:w="2160"/>
        <w:gridCol w:w="2165"/>
        <w:gridCol w:w="2170"/>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2"/>
                <w:szCs w:val="22"/>
              </w:rPr>
              <w:t>2020</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增减变动</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30,094,393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23,745,691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499,777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w:t>
            </w:r>
          </w:p>
        </w:tc>
      </w:tr>
      <w:tr>
        <w:trPr>
          <w:trHeight w:val="94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20"/>
                <w:szCs w:val="20"/>
              </w:rPr>
              <w:t>一年内到期的非流动负债（仅统 计一年内到期的长期借款、一年 内到期的应付债券</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6,371,008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16,530,294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-61.46%</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16,867,504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21,021,224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-19.76%</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应付票据周转天数（天）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20,135,826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31,051,572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-35.15%</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应付账款周转天数（天）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5,466,713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7,696,449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-28.97%</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）偿债能力分析</w:t>
      </w:r>
    </w:p>
    <w:tbl>
      <w:tblPr>
        <w:tblOverlap w:val="never"/>
        <w:jc w:val="center"/>
        <w:tblLayout w:type="fixed"/>
      </w:tblPr>
      <w:tblGrid>
        <w:gridCol w:w="3374"/>
        <w:gridCol w:w="2160"/>
        <w:gridCol w:w="2165"/>
        <w:gridCol w:w="2170"/>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2"/>
                <w:szCs w:val="22"/>
              </w:rPr>
              <w:t>2020</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增减变动</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流动比率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速动比率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资产负债率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w:t>
            </w:r>
          </w:p>
        </w:tc>
      </w:tr>
    </w:tbl>
    <w:p>
      <w:pPr>
        <w:spacing w:lineRule="exact" w:line="1"/>
        <w:rPr>
          <w:sz w:val="2"/>
          <w:szCs w:val="2"/>
        </w:rPr>
      </w:pPr>
      <w:r>
        <w:br w:type="page"/>
      </w:r>
    </w:p>
    <w:p>
      <w:pPr>
        <w:pStyle w:val="Style17"/>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公司持续的流动比率小于</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 xml:space="preserve">,短期债务存在一定的偿付压力。公司将通过运营资金、资产盘活等 </w:t>
      </w:r>
      <w:r>
        <w:rPr>
          <w:color w:val="000000"/>
          <w:spacing w:val="0"/>
          <w:w w:val="100"/>
          <w:position w:val="0"/>
        </w:rPr>
        <w:t>多种方式并举，合理规划资金来源，有效安排各类应付款项的偿付。</w:t>
      </w:r>
    </w:p>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）资产运营能力分析</w:t>
      </w:r>
    </w:p>
    <w:tbl>
      <w:tblPr>
        <w:tblOverlap w:val="never"/>
        <w:jc w:val="center"/>
        <w:tblLayout w:type="fixed"/>
      </w:tblPr>
      <w:tblGrid>
        <w:gridCol w:w="3374"/>
        <w:gridCol w:w="2160"/>
        <w:gridCol w:w="2165"/>
        <w:gridCol w:w="2170"/>
      </w:tblGrid>
      <w:tr>
        <w:trPr>
          <w:trHeight w:val="32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2020</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增减变动</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应收账款周转天数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存货周转天数（注）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40.41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流动资产周转天数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167.3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总资产周转天数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192.63</w:t>
            </w:r>
          </w:p>
        </w:tc>
      </w:tr>
    </w:tbl>
    <w:p>
      <w:pPr>
        <w:widowControl w:val="0"/>
        <w:spacing w:after="119" w:line="1" w:lineRule="exact"/>
      </w:pPr>
    </w:p>
    <w:p>
      <w:pPr>
        <w:pStyle w:val="Style17"/>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注：存货周转天数为库存商品的周转天数，不包括公司自建店建设中形成的开发成本。</w:t>
      </w:r>
    </w:p>
    <w:p>
      <w:pPr>
        <w:pStyle w:val="Style17"/>
        <w:keepNext w:val="0"/>
        <w:keepLines w:val="0"/>
        <w:widowControl w:val="0"/>
        <w:shd w:val="clear" w:color="auto" w:fill="auto"/>
        <w:bidi w:val="0"/>
        <w:spacing w:before="0" w:after="700" w:line="240" w:lineRule="auto"/>
        <w:ind w:left="0" w:right="0" w:firstLine="540"/>
        <w:jc w:val="left"/>
      </w:pPr>
      <w:r>
        <w:rPr>
          <w:color w:val="000000"/>
          <w:spacing w:val="0"/>
          <w:w w:val="100"/>
          <w:position w:val="0"/>
        </w:rPr>
        <w:t>主要由于报告期销售收入下滑，带来应收账款、流动资产等周转天数有所增加。</w:t>
      </w:r>
    </w:p>
    <w:p>
      <w:pPr>
        <w:pStyle w:val="Style17"/>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境外资产占比较高</w:t>
      </w:r>
    </w:p>
    <w:p>
      <w:pPr>
        <w:pStyle w:val="Style17"/>
        <w:keepNext w:val="0"/>
        <w:keepLines w:val="0"/>
        <w:widowControl w:val="0"/>
        <w:shd w:val="clear" w:color="auto" w:fill="auto"/>
        <w:bidi w:val="0"/>
        <w:spacing w:before="0" w:after="220" w:line="240" w:lineRule="auto"/>
        <w:ind w:left="0" w:right="0" w:firstLine="540"/>
        <w:jc w:val="left"/>
        <w:sectPr>
          <w:footnotePr>
            <w:pos w:val="pageBottom"/>
            <w:numFmt w:val="decimal"/>
            <w:numStart w:val="1"/>
            <w:numRestart w:val="continuous"/>
            <w15:footnoteColumns w:val="1"/>
          </w:footnotePr>
          <w:pgSz w:w="11900" w:h="16840"/>
          <w:pgMar w:top="1316" w:right="967" w:bottom="1279" w:left="98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2</w:t>
      </w:r>
      <w:bookmarkEnd w:id="149"/>
      <w:r>
        <w:rPr>
          <w:color w:val="000000"/>
          <w:spacing w:val="0"/>
          <w:w w:val="100"/>
          <w:position w:val="0"/>
        </w:rPr>
        <w:t>、以公允价值计量的资产和负债</w:t>
      </w:r>
      <w:bookmarkEnd w:id="147"/>
      <w:bookmarkEnd w:id="148"/>
      <w:bookmarkEnd w:id="150"/>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w:t>
      </w:r>
    </w:p>
    <w:tbl>
      <w:tblPr>
        <w:tblOverlap w:val="never"/>
        <w:jc w:val="center"/>
        <w:tblLayout w:type="fixed"/>
      </w:tblPr>
      <w:tblGrid>
        <w:gridCol w:w="2136"/>
        <w:gridCol w:w="1080"/>
        <w:gridCol w:w="1594"/>
        <w:gridCol w:w="1598"/>
        <w:gridCol w:w="1594"/>
        <w:gridCol w:w="1598"/>
        <w:gridCol w:w="1594"/>
        <w:gridCol w:w="1416"/>
        <w:gridCol w:w="1421"/>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本期公允价值变 动损益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计入权益的累计 公允价值变动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本期计提的减值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本期购买金额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本期出售金额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其他变动</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60" w:firstLine="0"/>
              <w:jc w:val="right"/>
              <w:rPr>
                <w:sz w:val="20"/>
                <w:szCs w:val="20"/>
              </w:rPr>
            </w:pPr>
            <w:r>
              <w:rPr>
                <w:rFonts w:ascii="SimSun" w:eastAsia="SimSun" w:hAnsi="SimSun" w:cs="SimSun"/>
                <w:color w:val="000000"/>
                <w:spacing w:val="0"/>
                <w:w w:val="100"/>
                <w:position w:val="0"/>
                <w:sz w:val="20"/>
                <w:szCs w:val="20"/>
              </w:rPr>
              <w:t>期末数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634"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2"/>
                <w:szCs w:val="22"/>
              </w:rPr>
              <w:t>1.</w:t>
            </w:r>
            <w:r>
              <w:rPr>
                <w:rFonts w:ascii="SimSun" w:eastAsia="SimSun" w:hAnsi="SimSun" w:cs="SimSun"/>
                <w:color w:val="000000"/>
                <w:spacing w:val="0"/>
                <w:w w:val="100"/>
                <w:position w:val="0"/>
                <w:sz w:val="20"/>
                <w:szCs w:val="20"/>
              </w:rPr>
              <w:t>交易性金融资产（不 含衍生金融资产）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17,875,388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-81,745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4,668,214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-7,356,451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14,830,867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w:t>
            </w:r>
            <w:r>
              <w:rPr>
                <w:rFonts w:ascii="SimSun" w:eastAsia="SimSun" w:hAnsi="SimSun" w:cs="SimSun"/>
                <w:color w:val="000000"/>
                <w:spacing w:val="0"/>
                <w:w w:val="100"/>
                <w:position w:val="0"/>
                <w:sz w:val="20"/>
                <w:szCs w:val="20"/>
              </w:rPr>
              <w:t>衍生金融资产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3.</w:t>
            </w:r>
            <w:r>
              <w:rPr>
                <w:rFonts w:ascii="SimSun" w:eastAsia="SimSun" w:hAnsi="SimSun" w:cs="SimSun"/>
                <w:color w:val="000000"/>
                <w:spacing w:val="0"/>
                <w:w w:val="100"/>
                <w:position w:val="0"/>
                <w:sz w:val="20"/>
                <w:szCs w:val="20"/>
              </w:rPr>
              <w:t>其他债权投资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4.</w:t>
            </w:r>
            <w:r>
              <w:rPr>
                <w:rFonts w:ascii="SimSun" w:eastAsia="SimSun" w:hAnsi="SimSun" w:cs="SimSun"/>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5,789,795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-1,253,079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4,372,407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金融资产小计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23,665,183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-81,745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-1,527,618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4,668,214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-7,520,760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19,203,274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生产性生物资产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上述合计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23,665,183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color w:val="000000"/>
                <w:spacing w:val="0"/>
                <w:w w:val="100"/>
                <w:position w:val="0"/>
              </w:rPr>
              <w:t>-81,745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-1,527,618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4,668,214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-7,520,760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19,203,274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金融负债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145,414</w:t>
            </w:r>
          </w:p>
        </w:tc>
      </w:tr>
    </w:tbl>
    <w:p>
      <w:pPr>
        <w:widowControl w:val="0"/>
        <w:spacing w:after="99" w:line="1" w:lineRule="exact"/>
      </w:pPr>
    </w:p>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报告期内公司主要资产计量属性是否发生重大变化</w:t>
      </w:r>
    </w:p>
    <w:p>
      <w:pPr>
        <w:pStyle w:val="Style17"/>
        <w:keepNext w:val="0"/>
        <w:keepLines w:val="0"/>
        <w:widowControl w:val="0"/>
        <w:shd w:val="clear" w:color="auto" w:fill="auto"/>
        <w:bidi w:val="0"/>
        <w:spacing w:before="0" w:after="180" w:line="240" w:lineRule="auto"/>
        <w:ind w:left="0" w:right="0" w:firstLine="0"/>
        <w:jc w:val="left"/>
        <w:sectPr>
          <w:footnotePr>
            <w:pos w:val="pageBottom"/>
            <w:numFmt w:val="decimal"/>
            <w:numStart w:val="1"/>
            <w:numRestart w:val="continuous"/>
            <w15:footnoteColumns w:val="1"/>
          </w:footnotePr>
          <w:pgSz w:w="16840" w:h="11900" w:orient="landscape"/>
          <w:pgMar w:top="1454" w:right="1379" w:bottom="1454" w:left="142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、截至报告期末的资产权利受限情况</w:t>
      </w:r>
      <w:bookmarkEnd w:id="151"/>
      <w:bookmarkEnd w:id="152"/>
      <w:bookmarkEnd w:id="154"/>
    </w:p>
    <w:p>
      <w:pPr>
        <w:pStyle w:val="Style17"/>
        <w:keepNext w:val="0"/>
        <w:keepLines w:val="0"/>
        <w:widowControl w:val="0"/>
        <w:shd w:val="clear" w:color="auto" w:fill="auto"/>
        <w:bidi w:val="0"/>
        <w:spacing w:before="0" w:after="60" w:line="240" w:lineRule="auto"/>
        <w:ind w:left="0" w:right="0" w:firstLine="5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日公司资产抵押、质押和其他限制用途安排如下:</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542"/>
        <w:gridCol w:w="2554"/>
        <w:gridCol w:w="1699"/>
        <w:gridCol w:w="5074"/>
      </w:tblGrid>
      <w:tr>
        <w:trPr>
          <w:trHeight w:val="63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序 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所有权受到限制的资产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受限资产价值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限制原因</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13,705,453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银行承兑汇票保证金、借款质押、保函保证金、信 用证保证金、其他保证金、司法冻结</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2,301,611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借款质押</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苏宁百货股权质押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2,700,000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借款质押</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2,032,086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借款抵押</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color w:val="000000"/>
                <w:spacing w:val="0"/>
                <w:w w:val="100"/>
                <w:position w:val="0"/>
              </w:rPr>
              <w:t>715,124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借款抵押</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12,077,667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借款质押、理财产品质押</w:t>
            </w:r>
          </w:p>
        </w:tc>
      </w:tr>
      <w:tr>
        <w:trPr>
          <w:trHeight w:val="331"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33,531,941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七</w:t>
      </w:r>
      <w:bookmarkEnd w:id="157"/>
      <w:r>
        <w:rPr>
          <w:color w:val="000000"/>
          <w:spacing w:val="0"/>
          <w:w w:val="100"/>
          <w:position w:val="0"/>
          <w:sz w:val="24"/>
          <w:szCs w:val="24"/>
        </w:rPr>
        <w:t>、投资状况分析</w:t>
      </w:r>
      <w:bookmarkEnd w:id="155"/>
      <w:bookmarkEnd w:id="156"/>
      <w:bookmarkEnd w:id="158"/>
    </w:p>
    <w:p>
      <w:pPr>
        <w:pStyle w:val="Style35"/>
        <w:keepNext/>
        <w:keepLines/>
        <w:widowControl w:val="0"/>
        <w:shd w:val="clear" w:color="auto" w:fill="auto"/>
        <w:bidi w:val="0"/>
        <w:spacing w:before="0" w:after="300" w:line="240" w:lineRule="auto"/>
        <w:ind w:left="0" w:right="0" w:firstLine="460"/>
        <w:jc w:val="both"/>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1</w:t>
      </w:r>
      <w:bookmarkEnd w:id="161"/>
      <w:r>
        <w:rPr>
          <w:color w:val="000000"/>
          <w:spacing w:val="0"/>
          <w:w w:val="100"/>
          <w:position w:val="0"/>
        </w:rPr>
        <w:t>、总体情况</w:t>
      </w:r>
      <w:bookmarkEnd w:id="159"/>
      <w:bookmarkEnd w:id="160"/>
      <w:bookmarkEnd w:id="162"/>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报告期投资额（亿元）</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上年同期投资额（亿元）</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变动幅度</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-69.76%</w:t>
            </w:r>
          </w:p>
        </w:tc>
      </w:tr>
    </w:tbl>
    <w:p>
      <w:pPr>
        <w:pStyle w:val="Style17"/>
        <w:keepNext w:val="0"/>
        <w:keepLines w:val="0"/>
        <w:widowControl w:val="0"/>
        <w:shd w:val="clear" w:color="auto" w:fill="auto"/>
        <w:bidi w:val="0"/>
        <w:spacing w:before="0" w:after="0" w:line="456"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）报告期内公司及子公司投资设立从事零售、电子商务、商业服务等子公司，合计投入实缴 资本</w:t>
      </w:r>
      <w:r>
        <w:rPr>
          <w:rFonts w:ascii="Times New Roman" w:eastAsia="Times New Roman" w:hAnsi="Times New Roman" w:cs="Times New Roman"/>
          <w:color w:val="000000"/>
          <w:spacing w:val="0"/>
          <w:w w:val="100"/>
          <w:position w:val="0"/>
          <w:sz w:val="22"/>
          <w:szCs w:val="22"/>
        </w:rPr>
        <w:t>26,339.71</w:t>
      </w:r>
      <w:r>
        <w:rPr>
          <w:color w:val="000000"/>
          <w:spacing w:val="0"/>
          <w:w w:val="100"/>
          <w:position w:val="0"/>
        </w:rPr>
        <w:t>万元。</w:t>
      </w:r>
    </w:p>
    <w:p>
      <w:pPr>
        <w:pStyle w:val="Style17"/>
        <w:keepNext w:val="0"/>
        <w:keepLines w:val="0"/>
        <w:widowControl w:val="0"/>
        <w:shd w:val="clear" w:color="auto" w:fill="auto"/>
        <w:bidi w:val="0"/>
        <w:spacing w:before="0" w:after="200" w:line="469"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rPr>
        <w:t>日公司下属全资子公司江苏苏宁易达物流投资有限公司（以下简称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苏宁易 达物流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）、控股子公司南京宁昌企业管理有限公司（以下简称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南京宁昌</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）与普洛斯投资（上海）有 限公司的关联方珠海普实商务咨询有限公司（以下简称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珠海普实</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 xml:space="preserve">CLH </w:t>
      </w:r>
      <w:r>
        <w:rPr>
          <w:rFonts w:ascii="Times New Roman" w:eastAsia="Times New Roman" w:hAnsi="Times New Roman" w:cs="Times New Roman"/>
          <w:color w:val="000000"/>
          <w:spacing w:val="0"/>
          <w:w w:val="100"/>
          <w:position w:val="0"/>
          <w:sz w:val="22"/>
          <w:szCs w:val="22"/>
        </w:rPr>
        <w:t xml:space="preserve">88 </w:t>
      </w:r>
      <w:r>
        <w:rPr>
          <w:rFonts w:ascii="Times New Roman" w:eastAsia="Times New Roman" w:hAnsi="Times New Roman" w:cs="Times New Roman"/>
          <w:color w:val="000000"/>
          <w:spacing w:val="0"/>
          <w:w w:val="100"/>
          <w:position w:val="0"/>
          <w:sz w:val="22"/>
          <w:szCs w:val="22"/>
        </w:rPr>
        <w:t xml:space="preserve">（HK） Limited </w:t>
      </w:r>
      <w:r>
        <w:rPr>
          <w:color w:val="000000"/>
          <w:spacing w:val="0"/>
          <w:w w:val="100"/>
          <w:position w:val="0"/>
        </w:rPr>
        <w:t>（以下简 称</w:t>
      </w:r>
      <w:r>
        <w:rPr>
          <w:rFonts w:ascii="Times New Roman" w:eastAsia="Times New Roman" w:hAnsi="Times New Roman" w:cs="Times New Roman"/>
          <w:color w:val="000000"/>
          <w:spacing w:val="0"/>
          <w:w w:val="100"/>
          <w:position w:val="0"/>
          <w:sz w:val="22"/>
          <w:szCs w:val="22"/>
        </w:rPr>
        <w:t xml:space="preserve">“CLH </w:t>
      </w:r>
      <w:r>
        <w:rPr>
          <w:rFonts w:ascii="Times New Roman" w:eastAsia="Times New Roman" w:hAnsi="Times New Roman" w:cs="Times New Roman"/>
          <w:color w:val="000000"/>
          <w:spacing w:val="0"/>
          <w:w w:val="100"/>
          <w:position w:val="0"/>
          <w:sz w:val="22"/>
          <w:szCs w:val="22"/>
        </w:rPr>
        <w:t>88”</w:t>
      </w:r>
      <w:r>
        <w:rPr>
          <w:color w:val="000000"/>
          <w:spacing w:val="0"/>
          <w:w w:val="100"/>
          <w:position w:val="0"/>
        </w:rPr>
        <w:t xml:space="preserve">）签署《珠海普易物流产业投资合伙企业（有限合伙）合伙协议》，四方共同出资人民币 </w:t>
      </w:r>
      <w:r>
        <w:rPr>
          <w:rFonts w:ascii="Times New Roman" w:eastAsia="Times New Roman" w:hAnsi="Times New Roman" w:cs="Times New Roman"/>
          <w:color w:val="000000"/>
          <w:spacing w:val="0"/>
          <w:w w:val="100"/>
          <w:position w:val="0"/>
          <w:sz w:val="22"/>
          <w:szCs w:val="22"/>
        </w:rPr>
        <w:t>38</w:t>
      </w:r>
      <w:r>
        <w:rPr>
          <w:color w:val="000000"/>
          <w:spacing w:val="0"/>
          <w:w w:val="100"/>
          <w:position w:val="0"/>
        </w:rPr>
        <w:t>亿元认缴</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珠海普易物流产业投资合伙企业（有限合伙）</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份额，其中普通合伙人珠海普实、南京宁 昌分别认缴出资</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万元，有限合伙人苏宁易达物流认缴出资</w:t>
      </w:r>
      <w:r>
        <w:rPr>
          <w:rFonts w:ascii="Times New Roman" w:eastAsia="Times New Roman" w:hAnsi="Times New Roman" w:cs="Times New Roman"/>
          <w:color w:val="000000"/>
          <w:spacing w:val="0"/>
          <w:w w:val="100"/>
          <w:position w:val="0"/>
          <w:sz w:val="22"/>
          <w:szCs w:val="22"/>
        </w:rPr>
        <w:t>75,999</w:t>
      </w:r>
      <w:r>
        <w:rPr>
          <w:color w:val="000000"/>
          <w:spacing w:val="0"/>
          <w:w w:val="100"/>
          <w:position w:val="0"/>
        </w:rPr>
        <w:t>万元，有限合伙人</w:t>
      </w:r>
      <w:r>
        <w:rPr>
          <w:rFonts w:ascii="Times New Roman" w:eastAsia="Times New Roman" w:hAnsi="Times New Roman" w:cs="Times New Roman"/>
          <w:color w:val="000000"/>
          <w:spacing w:val="0"/>
          <w:w w:val="100"/>
          <w:position w:val="0"/>
          <w:sz w:val="22"/>
          <w:szCs w:val="22"/>
        </w:rPr>
        <w:t xml:space="preserve">CLH </w:t>
      </w:r>
      <w:r>
        <w:rPr>
          <w:rFonts w:ascii="Times New Roman" w:eastAsia="Times New Roman" w:hAnsi="Times New Roman" w:cs="Times New Roman"/>
          <w:color w:val="000000"/>
          <w:spacing w:val="0"/>
          <w:w w:val="100"/>
          <w:position w:val="0"/>
          <w:sz w:val="22"/>
          <w:szCs w:val="22"/>
        </w:rPr>
        <w:t>88</w:t>
      </w:r>
      <w:r>
        <w:rPr>
          <w:color w:val="000000"/>
          <w:spacing w:val="0"/>
          <w:w w:val="100"/>
          <w:position w:val="0"/>
        </w:rPr>
        <w:t>认缴出 资</w:t>
      </w:r>
      <w:r>
        <w:rPr>
          <w:rFonts w:ascii="Times New Roman" w:eastAsia="Times New Roman" w:hAnsi="Times New Roman" w:cs="Times New Roman"/>
          <w:color w:val="000000"/>
          <w:spacing w:val="0"/>
          <w:w w:val="100"/>
          <w:position w:val="0"/>
          <w:sz w:val="22"/>
          <w:szCs w:val="22"/>
        </w:rPr>
        <w:t>303,999</w:t>
      </w:r>
      <w:r>
        <w:rPr>
          <w:color w:val="000000"/>
          <w:spacing w:val="0"/>
          <w:w w:val="100"/>
          <w:position w:val="0"/>
        </w:rPr>
        <w:t>万元。珠海普易物流投资方向包括公司直接或间接在中国大陆地区持有的仓储物流基础设 施项目及普通合伙人共同确认的其他仓储物流基础设施项目。报告期内苏宁易达物流出资</w:t>
      </w:r>
      <w:r>
        <w:rPr>
          <w:rFonts w:ascii="Times New Roman" w:eastAsia="Times New Roman" w:hAnsi="Times New Roman" w:cs="Times New Roman"/>
          <w:color w:val="000000"/>
          <w:spacing w:val="0"/>
          <w:w w:val="100"/>
          <w:position w:val="0"/>
          <w:sz w:val="22"/>
          <w:szCs w:val="22"/>
        </w:rPr>
        <w:t xml:space="preserve">64,948.78 </w:t>
      </w:r>
      <w:r>
        <w:rPr>
          <w:color w:val="000000"/>
          <w:spacing w:val="0"/>
          <w:w w:val="100"/>
          <w:position w:val="0"/>
        </w:rPr>
        <w:t>万元、南京宁昌出资</w:t>
      </w:r>
      <w:r>
        <w:rPr>
          <w:rFonts w:ascii="Times New Roman" w:eastAsia="Times New Roman" w:hAnsi="Times New Roman" w:cs="Times New Roman"/>
          <w:color w:val="000000"/>
          <w:spacing w:val="0"/>
          <w:w w:val="100"/>
          <w:position w:val="0"/>
          <w:sz w:val="22"/>
          <w:szCs w:val="22"/>
        </w:rPr>
        <w:t>0.85</w:t>
      </w:r>
      <w:r>
        <w:rPr>
          <w:color w:val="000000"/>
          <w:spacing w:val="0"/>
          <w:w w:val="100"/>
          <w:position w:val="0"/>
        </w:rPr>
        <w:t>万元。</w:t>
      </w:r>
    </w:p>
    <w:p>
      <w:pPr>
        <w:pStyle w:val="Style35"/>
        <w:keepNext/>
        <w:keepLines/>
        <w:widowControl w:val="0"/>
        <w:shd w:val="clear" w:color="auto" w:fill="auto"/>
        <w:bidi w:val="0"/>
        <w:spacing w:before="0" w:after="440" w:line="469" w:lineRule="exact"/>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、报告期内获取的重大的股权投资情况</w:t>
      </w:r>
      <w:bookmarkEnd w:id="163"/>
      <w:bookmarkEnd w:id="164"/>
      <w:bookmarkEnd w:id="166"/>
    </w:p>
    <w:p>
      <w:pPr>
        <w:pStyle w:val="Style17"/>
        <w:keepNext w:val="0"/>
        <w:keepLines w:val="0"/>
        <w:widowControl w:val="0"/>
        <w:shd w:val="clear" w:color="auto" w:fill="auto"/>
        <w:bidi w:val="0"/>
        <w:spacing w:before="0" w:after="340" w:line="240" w:lineRule="auto"/>
        <w:ind w:left="0" w:right="0" w:firstLine="5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5"/>
        <w:keepNext/>
        <w:keepLines/>
        <w:widowControl w:val="0"/>
        <w:shd w:val="clear" w:color="auto" w:fill="auto"/>
        <w:bidi w:val="0"/>
        <w:spacing w:before="0" w:after="42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、报告期内正在进行的重大的非股权投资情况</w:t>
      </w:r>
      <w:bookmarkEnd w:id="167"/>
      <w:bookmarkEnd w:id="168"/>
      <w:bookmarkEnd w:id="170"/>
    </w:p>
    <w:p>
      <w:pPr>
        <w:pStyle w:val="Style17"/>
        <w:keepNext w:val="0"/>
        <w:keepLines w:val="0"/>
        <w:widowControl w:val="0"/>
        <w:shd w:val="clear" w:color="auto" w:fill="auto"/>
        <w:bidi w:val="0"/>
        <w:spacing w:before="0" w:after="0" w:line="240" w:lineRule="auto"/>
        <w:ind w:left="0" w:right="0" w:firstLine="540"/>
        <w:jc w:val="left"/>
        <w:sectPr>
          <w:footnotePr>
            <w:pos w:val="pageBottom"/>
            <w:numFmt w:val="decimal"/>
            <w:numStart w:val="1"/>
            <w:numRestart w:val="continuous"/>
            <w15:footnoteColumns w:val="1"/>
          </w:footnotePr>
          <w:pgSz w:w="11900" w:h="16840"/>
          <w:pgMar w:top="1854" w:right="1018" w:bottom="1731" w:left="101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5"/>
        <w:keepNext/>
        <w:keepLines/>
        <w:widowControl w:val="0"/>
        <w:shd w:val="clear" w:color="auto" w:fill="auto"/>
        <w:bidi w:val="0"/>
        <w:spacing w:before="560" w:after="36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4</w:t>
      </w:r>
      <w:bookmarkEnd w:id="173"/>
      <w:r>
        <w:rPr>
          <w:color w:val="000000"/>
          <w:spacing w:val="0"/>
          <w:w w:val="100"/>
          <w:position w:val="0"/>
        </w:rPr>
        <w:t>、金融资产投资</w:t>
      </w:r>
      <w:bookmarkEnd w:id="171"/>
      <w:bookmarkEnd w:id="172"/>
      <w:bookmarkEnd w:id="174"/>
    </w:p>
    <w:p>
      <w:pPr>
        <w:pStyle w:val="Style43"/>
        <w:keepNext/>
        <w:keepLines/>
        <w:widowControl w:val="0"/>
        <w:numPr>
          <w:ilvl w:val="0"/>
          <w:numId w:val="1"/>
        </w:numPr>
        <w:shd w:val="clear" w:color="auto" w:fill="auto"/>
        <w:bidi w:val="0"/>
        <w:spacing w:before="0" w:after="360" w:line="240" w:lineRule="auto"/>
        <w:ind w:left="0" w:right="0" w:firstLine="0"/>
        <w:jc w:val="left"/>
      </w:pPr>
      <w:bookmarkStart w:id="175" w:name="bookmark175"/>
      <w:bookmarkStart w:id="176" w:name="bookmark176"/>
      <w:bookmarkStart w:id="177" w:name="bookmark177"/>
      <w:bookmarkStart w:id="178" w:name="bookmark178"/>
      <w:bookmarkEnd w:id="177"/>
      <w:r>
        <w:rPr>
          <w:color w:val="000000"/>
          <w:spacing w:val="0"/>
          <w:w w:val="100"/>
          <w:position w:val="0"/>
        </w:rPr>
        <w:t>证券投资情况</w:t>
      </w:r>
      <w:bookmarkEnd w:id="175"/>
      <w:bookmarkEnd w:id="176"/>
      <w:bookmarkEnd w:id="178"/>
    </w:p>
    <w:p>
      <w:pPr>
        <w:pStyle w:val="Style26"/>
        <w:keepNext w:val="0"/>
        <w:keepLines w:val="0"/>
        <w:widowControl w:val="0"/>
        <w:shd w:val="clear" w:color="auto" w:fill="auto"/>
        <w:bidi w:val="0"/>
        <w:spacing w:before="0" w:after="0" w:line="240" w:lineRule="auto"/>
        <w:ind w:left="12979" w:right="0" w:firstLine="0"/>
        <w:jc w:val="left"/>
        <w:rPr>
          <w:sz w:val="18"/>
          <w:szCs w:val="18"/>
        </w:rPr>
      </w:pPr>
      <w:r>
        <w:rPr>
          <w:color w:val="000000"/>
          <w:spacing w:val="0"/>
          <w:w w:val="100"/>
          <w:position w:val="0"/>
          <w:sz w:val="18"/>
          <w:szCs w:val="18"/>
        </w:rPr>
        <w:t>单位：千元</w:t>
      </w:r>
    </w:p>
    <w:tbl>
      <w:tblPr>
        <w:tblOverlap w:val="never"/>
        <w:jc w:val="center"/>
        <w:tblLayout w:type="fixed"/>
      </w:tblPr>
      <w:tblGrid>
        <w:gridCol w:w="1008"/>
        <w:gridCol w:w="998"/>
        <w:gridCol w:w="1032"/>
        <w:gridCol w:w="998"/>
        <w:gridCol w:w="998"/>
        <w:gridCol w:w="998"/>
        <w:gridCol w:w="994"/>
        <w:gridCol w:w="1090"/>
        <w:gridCol w:w="902"/>
        <w:gridCol w:w="998"/>
        <w:gridCol w:w="994"/>
        <w:gridCol w:w="998"/>
        <w:gridCol w:w="994"/>
        <w:gridCol w:w="1032"/>
      </w:tblGrid>
      <w:tr>
        <w:trPr>
          <w:trHeight w:val="9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证券品种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证券代码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证券简称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最初投资 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会计计量 模式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期初账面 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本期公允</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价值变动</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计入权益的</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累计公允价</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值变动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本期购买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本期出售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报告期损</w:t>
            </w:r>
          </w:p>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期末账面 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会计核算 科目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资金来源</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境内外股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600050.SH</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中国联通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4,016,309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公允价值 计量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2,550,362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-248,751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2,301,611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其他权益工</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具投资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自有资金</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境内外股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2048.HK</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易居企业 控股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340,193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公允价值 计量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146,408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-112,201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34,207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其他流动资 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自有资金</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境内外股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6806.HK</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申万宏源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348,569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公允价值 计量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164,309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其他流动资 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自有资金</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境内外股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8202.T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LAOX</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500,285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权益法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245,816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-86,166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117,194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长期股权投 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自有资金</w:t>
            </w:r>
          </w:p>
        </w:tc>
      </w:tr>
      <w:tr>
        <w:trPr>
          <w:trHeight w:val="322"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期末持有的其他证券投资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w:t>
            </w:r>
          </w:p>
        </w:tc>
      </w:tr>
      <w:tr>
        <w:trPr>
          <w:trHeight w:val="322"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5,205,356</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3,027,903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-324,416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164,309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2,453,012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w:t>
            </w:r>
          </w:p>
        </w:tc>
      </w:tr>
      <w:tr>
        <w:trPr>
          <w:trHeight w:val="1258"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证券投资审批董事会公告披露日 期</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公司第六届董事会第十七次会议审议通过《关于使用自有资金进行风险投资的议案》，披露时间为</w:t>
            </w:r>
            <w:r>
              <w:rPr>
                <w:color w:val="000000"/>
                <w:spacing w:val="0"/>
                <w:w w:val="100"/>
                <w:position w:val="0"/>
                <w:sz w:val="20"/>
                <w:szCs w:val="20"/>
              </w:rPr>
              <w:t>2018</w:t>
            </w:r>
            <w:r>
              <w:rPr>
                <w:rFonts w:ascii="SimSun" w:eastAsia="SimSun" w:hAnsi="SimSun" w:cs="SimSun"/>
                <w:color w:val="000000"/>
                <w:spacing w:val="0"/>
                <w:w w:val="100"/>
                <w:position w:val="0"/>
                <w:sz w:val="18"/>
                <w:szCs w:val="18"/>
              </w:rPr>
              <w:t>年</w:t>
            </w:r>
            <w:r>
              <w:rPr>
                <w:color w:val="000000"/>
                <w:spacing w:val="0"/>
                <w:w w:val="100"/>
                <w:position w:val="0"/>
                <w:sz w:val="20"/>
                <w:szCs w:val="20"/>
              </w:rPr>
              <w:t>3</w:t>
            </w:r>
            <w:r>
              <w:rPr>
                <w:rFonts w:ascii="SimSun" w:eastAsia="SimSun" w:hAnsi="SimSun" w:cs="SimSun"/>
                <w:color w:val="000000"/>
                <w:spacing w:val="0"/>
                <w:w w:val="100"/>
                <w:position w:val="0"/>
                <w:sz w:val="18"/>
                <w:szCs w:val="18"/>
              </w:rPr>
              <w:t>月</w:t>
            </w:r>
            <w:r>
              <w:rPr>
                <w:color w:val="000000"/>
                <w:spacing w:val="0"/>
                <w:w w:val="100"/>
                <w:position w:val="0"/>
                <w:sz w:val="20"/>
                <w:szCs w:val="20"/>
              </w:rPr>
              <w:t>31</w:t>
            </w:r>
            <w:r>
              <w:rPr>
                <w:rFonts w:ascii="SimSun" w:eastAsia="SimSun" w:hAnsi="SimSun" w:cs="SimSun"/>
                <w:color w:val="000000"/>
                <w:spacing w:val="0"/>
                <w:w w:val="100"/>
                <w:position w:val="0"/>
                <w:sz w:val="18"/>
                <w:szCs w:val="18"/>
              </w:rPr>
              <w:t>日；公司第 六届董事会第三十三次会议审议通过《关于增加使用自有资金进行风险投资额度的议案》，披露时间为</w:t>
            </w:r>
            <w:r>
              <w:rPr>
                <w:color w:val="000000"/>
                <w:spacing w:val="0"/>
                <w:w w:val="100"/>
                <w:position w:val="0"/>
                <w:sz w:val="20"/>
                <w:szCs w:val="20"/>
              </w:rPr>
              <w:t>2018</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1</w:t>
            </w:r>
            <w:r>
              <w:rPr>
                <w:rFonts w:ascii="SimSun" w:eastAsia="SimSun" w:hAnsi="SimSun" w:cs="SimSun"/>
                <w:color w:val="000000"/>
                <w:spacing w:val="0"/>
                <w:w w:val="100"/>
                <w:position w:val="0"/>
                <w:sz w:val="18"/>
                <w:szCs w:val="18"/>
              </w:rPr>
              <w:t>日。公 司第六届董事会第四十三次会议审议通过《关于境外子公司</w:t>
            </w:r>
            <w:r>
              <w:rPr>
                <w:color w:val="000000"/>
                <w:spacing w:val="0"/>
                <w:w w:val="100"/>
                <w:position w:val="0"/>
                <w:sz w:val="20"/>
                <w:szCs w:val="20"/>
              </w:rPr>
              <w:t>LAOX</w:t>
            </w:r>
            <w:r>
              <w:rPr>
                <w:rFonts w:ascii="SimSun" w:eastAsia="SimSun" w:hAnsi="SimSun" w:cs="SimSun"/>
                <w:color w:val="000000"/>
                <w:spacing w:val="0"/>
                <w:w w:val="100"/>
                <w:position w:val="0"/>
                <w:sz w:val="18"/>
                <w:szCs w:val="18"/>
              </w:rPr>
              <w:t>引入战略投资者暨关联交易的议案》，披露时间为</w:t>
            </w:r>
            <w:r>
              <w:rPr>
                <w:color w:val="000000"/>
                <w:spacing w:val="0"/>
                <w:w w:val="100"/>
                <w:position w:val="0"/>
                <w:sz w:val="20"/>
                <w:szCs w:val="20"/>
              </w:rPr>
              <w:t>2019</w:t>
            </w:r>
            <w:r>
              <w:rPr>
                <w:rFonts w:ascii="SimSun" w:eastAsia="SimSun" w:hAnsi="SimSun" w:cs="SimSun"/>
                <w:color w:val="000000"/>
                <w:spacing w:val="0"/>
                <w:w w:val="100"/>
                <w:position w:val="0"/>
                <w:sz w:val="18"/>
                <w:szCs w:val="18"/>
              </w:rPr>
              <w:t>年</w:t>
            </w:r>
            <w:r>
              <w:rPr>
                <w:color w:val="000000"/>
                <w:spacing w:val="0"/>
                <w:w w:val="100"/>
                <w:position w:val="0"/>
                <w:sz w:val="20"/>
                <w:szCs w:val="20"/>
              </w:rPr>
              <w:t xml:space="preserve">6 </w:t>
            </w:r>
            <w:r>
              <w:rPr>
                <w:rFonts w:ascii="SimSun" w:eastAsia="SimSun" w:hAnsi="SimSun" w:cs="SimSun"/>
                <w:color w:val="000000"/>
                <w:spacing w:val="0"/>
                <w:w w:val="100"/>
                <w:position w:val="0"/>
                <w:sz w:val="18"/>
                <w:szCs w:val="18"/>
              </w:rPr>
              <w:t>月</w:t>
            </w:r>
            <w:r>
              <w:rPr>
                <w:color w:val="000000"/>
                <w:spacing w:val="0"/>
                <w:w w:val="100"/>
                <w:position w:val="0"/>
                <w:sz w:val="20"/>
                <w:szCs w:val="20"/>
              </w:rPr>
              <w:t>20</w:t>
            </w:r>
            <w:r>
              <w:rPr>
                <w:rFonts w:ascii="SimSun" w:eastAsia="SimSun" w:hAnsi="SimSun" w:cs="SimSun"/>
                <w:color w:val="000000"/>
                <w:spacing w:val="0"/>
                <w:w w:val="100"/>
                <w:position w:val="0"/>
                <w:sz w:val="18"/>
                <w:szCs w:val="18"/>
              </w:rPr>
              <w:t>日。</w:t>
            </w:r>
          </w:p>
        </w:tc>
      </w:tr>
      <w:tr>
        <w:trPr>
          <w:trHeight w:val="643" w:hRule="exact"/>
        </w:trPr>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证券投资审批股东会公告披露日 期</w:t>
            </w:r>
          </w:p>
        </w:tc>
        <w:tc>
          <w:tcPr>
            <w:gridSpan w:val="11"/>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公司</w:t>
            </w:r>
            <w:r>
              <w:rPr>
                <w:color w:val="000000"/>
                <w:spacing w:val="0"/>
                <w:w w:val="100"/>
                <w:position w:val="0"/>
                <w:sz w:val="20"/>
                <w:szCs w:val="20"/>
              </w:rPr>
              <w:t>2017</w:t>
            </w:r>
            <w:r>
              <w:rPr>
                <w:rFonts w:ascii="SimSun" w:eastAsia="SimSun" w:hAnsi="SimSun" w:cs="SimSun"/>
                <w:color w:val="000000"/>
                <w:spacing w:val="0"/>
                <w:w w:val="100"/>
                <w:position w:val="0"/>
                <w:sz w:val="18"/>
                <w:szCs w:val="18"/>
              </w:rPr>
              <w:t>年年度股东大会决议通过《关于使用自有资金进行风险投资的议案》，披露时间为</w:t>
            </w:r>
            <w:r>
              <w:rPr>
                <w:color w:val="000000"/>
                <w:spacing w:val="0"/>
                <w:w w:val="100"/>
                <w:position w:val="0"/>
                <w:sz w:val="20"/>
                <w:szCs w:val="20"/>
              </w:rPr>
              <w:t>2018</w:t>
            </w:r>
            <w:r>
              <w:rPr>
                <w:rFonts w:ascii="SimSun" w:eastAsia="SimSun" w:hAnsi="SimSun" w:cs="SimSun"/>
                <w:color w:val="000000"/>
                <w:spacing w:val="0"/>
                <w:w w:val="100"/>
                <w:position w:val="0"/>
                <w:sz w:val="18"/>
                <w:szCs w:val="18"/>
              </w:rPr>
              <w:t>年</w:t>
            </w:r>
            <w:r>
              <w:rPr>
                <w:color w:val="000000"/>
                <w:spacing w:val="0"/>
                <w:w w:val="100"/>
                <w:position w:val="0"/>
                <w:sz w:val="20"/>
                <w:szCs w:val="20"/>
              </w:rPr>
              <w:t>5</w:t>
            </w:r>
            <w:r>
              <w:rPr>
                <w:rFonts w:ascii="SimSun" w:eastAsia="SimSun" w:hAnsi="SimSun" w:cs="SimSun"/>
                <w:color w:val="000000"/>
                <w:spacing w:val="0"/>
                <w:w w:val="100"/>
                <w:position w:val="0"/>
                <w:sz w:val="18"/>
                <w:szCs w:val="18"/>
              </w:rPr>
              <w:t>月</w:t>
            </w:r>
            <w:r>
              <w:rPr>
                <w:color w:val="000000"/>
                <w:spacing w:val="0"/>
                <w:w w:val="100"/>
                <w:position w:val="0"/>
                <w:sz w:val="20"/>
                <w:szCs w:val="20"/>
              </w:rPr>
              <w:t>9</w:t>
            </w:r>
            <w:r>
              <w:rPr>
                <w:rFonts w:ascii="SimSun" w:eastAsia="SimSun" w:hAnsi="SimSun" w:cs="SimSun"/>
                <w:color w:val="000000"/>
                <w:spacing w:val="0"/>
                <w:w w:val="100"/>
                <w:position w:val="0"/>
                <w:sz w:val="18"/>
                <w:szCs w:val="18"/>
              </w:rPr>
              <w:t>日；公司</w:t>
            </w:r>
            <w:r>
              <w:rPr>
                <w:color w:val="000000"/>
                <w:spacing w:val="0"/>
                <w:w w:val="100"/>
                <w:position w:val="0"/>
                <w:sz w:val="20"/>
                <w:szCs w:val="20"/>
              </w:rPr>
              <w:t>2018</w:t>
            </w:r>
            <w:r>
              <w:rPr>
                <w:rFonts w:ascii="SimSun" w:eastAsia="SimSun" w:hAnsi="SimSun" w:cs="SimSun"/>
                <w:color w:val="000000"/>
                <w:spacing w:val="0"/>
                <w:w w:val="100"/>
                <w:position w:val="0"/>
                <w:sz w:val="18"/>
                <w:szCs w:val="18"/>
              </w:rPr>
              <w:t>年第 七次临时股东大会决议通过《关于增加使用自有资金进行风险投资额度的议案》，披露时间为</w:t>
            </w:r>
            <w:r>
              <w:rPr>
                <w:color w:val="000000"/>
                <w:spacing w:val="0"/>
                <w:w w:val="100"/>
                <w:position w:val="0"/>
                <w:sz w:val="20"/>
                <w:szCs w:val="20"/>
              </w:rPr>
              <w:t>2018</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13</w:t>
            </w:r>
            <w:r>
              <w:rPr>
                <w:rFonts w:ascii="SimSun" w:eastAsia="SimSun" w:hAnsi="SimSun" w:cs="SimSun"/>
                <w:color w:val="000000"/>
                <w:spacing w:val="0"/>
                <w:w w:val="100"/>
                <w:position w:val="0"/>
                <w:sz w:val="18"/>
                <w:szCs w:val="18"/>
              </w:rPr>
              <w:t>日。</w:t>
            </w:r>
          </w:p>
        </w:tc>
      </w:tr>
    </w:tbl>
    <w:p>
      <w:pPr>
        <w:pStyle w:val="Style26"/>
        <w:keepNext w:val="0"/>
        <w:keepLines w:val="0"/>
        <w:widowControl w:val="0"/>
        <w:shd w:val="clear" w:color="auto" w:fill="auto"/>
        <w:bidi w:val="0"/>
        <w:spacing w:before="0" w:after="0" w:line="240" w:lineRule="auto"/>
        <w:ind w:left="38" w:right="0" w:firstLine="0"/>
        <w:jc w:val="left"/>
      </w:pPr>
      <w:bookmarkStart w:id="179" w:name="bookmark179"/>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)衍生品投资情况</w:t>
      </w:r>
      <w:bookmarkEnd w:id="179"/>
    </w:p>
    <w:p>
      <w:pPr>
        <w:widowControl w:val="0"/>
        <w:spacing w:after="419" w:line="1" w:lineRule="exact"/>
      </w:pPr>
    </w:p>
    <w:p>
      <w:pPr>
        <w:pStyle w:val="Style17"/>
        <w:keepNext w:val="0"/>
        <w:keepLines w:val="0"/>
        <w:widowControl w:val="0"/>
        <w:shd w:val="clear" w:color="auto" w:fill="auto"/>
        <w:bidi w:val="0"/>
        <w:spacing w:before="0" w:after="380" w:line="240" w:lineRule="auto"/>
        <w:ind w:left="0" w:right="0" w:firstLine="48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r>
        <w:br w:type="page"/>
      </w:r>
    </w:p>
    <w:p>
      <w:pPr>
        <w:pStyle w:val="Style17"/>
        <w:keepNext w:val="0"/>
        <w:keepLines w:val="0"/>
        <w:widowControl w:val="0"/>
        <w:shd w:val="clear" w:color="auto" w:fill="auto"/>
        <w:bidi w:val="0"/>
        <w:spacing w:before="0" w:after="440" w:line="240" w:lineRule="auto"/>
        <w:ind w:left="0" w:right="0" w:firstLine="460"/>
        <w:jc w:val="left"/>
      </w:pPr>
      <w:r>
        <w:rPr>
          <w:color w:val="000000"/>
          <w:spacing w:val="0"/>
          <w:w w:val="100"/>
          <w:position w:val="0"/>
        </w:rPr>
        <w:t>公司报告期不存在衍生品投资。</w:t>
      </w:r>
    </w:p>
    <w:p>
      <w:pPr>
        <w:pStyle w:val="Style35"/>
        <w:keepNext/>
        <w:keepLines/>
        <w:widowControl w:val="0"/>
        <w:shd w:val="clear" w:color="auto" w:fill="auto"/>
        <w:bidi w:val="0"/>
        <w:spacing w:before="0" w:after="44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5</w:t>
      </w:r>
      <w:bookmarkEnd w:id="182"/>
      <w:r>
        <w:rPr>
          <w:color w:val="000000"/>
          <w:spacing w:val="0"/>
          <w:w w:val="100"/>
          <w:position w:val="0"/>
        </w:rPr>
        <w:t>、募集资金使用情况</w:t>
      </w:r>
      <w:bookmarkEnd w:id="180"/>
      <w:bookmarkEnd w:id="181"/>
      <w:bookmarkEnd w:id="183"/>
    </w:p>
    <w:p>
      <w:pPr>
        <w:pStyle w:val="Style35"/>
        <w:keepNext/>
        <w:keepLines/>
        <w:widowControl w:val="0"/>
        <w:shd w:val="clear" w:color="auto" w:fill="auto"/>
        <w:bidi w:val="0"/>
        <w:spacing w:before="0" w:after="44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w:t>
      </w:r>
      <w:bookmarkEnd w:id="186"/>
      <w:r>
        <w:rPr>
          <w:rFonts w:ascii="Times New Roman" w:eastAsia="Times New Roman" w:hAnsi="Times New Roman" w:cs="Times New Roman"/>
          <w:color w:val="000000"/>
          <w:spacing w:val="0"/>
          <w:w w:val="100"/>
          <w:position w:val="0"/>
          <w:sz w:val="22"/>
          <w:szCs w:val="22"/>
        </w:rPr>
        <w:t>1</w:t>
      </w:r>
      <w:r>
        <w:rPr>
          <w:color w:val="000000"/>
          <w:spacing w:val="0"/>
          <w:w w:val="100"/>
          <w:position w:val="0"/>
        </w:rPr>
        <w:t>）募集资金总体使用情况</w:t>
      </w:r>
      <w:bookmarkEnd w:id="184"/>
      <w:bookmarkEnd w:id="185"/>
      <w:bookmarkEnd w:id="187"/>
    </w:p>
    <w:p>
      <w:pPr>
        <w:pStyle w:val="Style26"/>
        <w:keepNext w:val="0"/>
        <w:keepLines w:val="0"/>
        <w:widowControl w:val="0"/>
        <w:shd w:val="clear" w:color="auto" w:fill="auto"/>
        <w:bidi w:val="0"/>
        <w:spacing w:before="0" w:after="0" w:line="240" w:lineRule="auto"/>
        <w:ind w:left="12850" w:right="0" w:firstLine="0"/>
        <w:jc w:val="left"/>
      </w:pPr>
      <w:r>
        <w:rPr>
          <w:color w:val="000000"/>
          <w:spacing w:val="0"/>
          <w:w w:val="100"/>
          <w:position w:val="0"/>
        </w:rPr>
        <w:t>单位：千元</w:t>
      </w:r>
    </w:p>
    <w:tbl>
      <w:tblPr>
        <w:tblOverlap w:val="never"/>
        <w:jc w:val="center"/>
        <w:tblLayout w:type="fixed"/>
      </w:tblPr>
      <w:tblGrid>
        <w:gridCol w:w="830"/>
        <w:gridCol w:w="998"/>
        <w:gridCol w:w="1282"/>
        <w:gridCol w:w="1282"/>
        <w:gridCol w:w="1282"/>
        <w:gridCol w:w="1282"/>
        <w:gridCol w:w="1282"/>
        <w:gridCol w:w="1282"/>
        <w:gridCol w:w="1138"/>
        <w:gridCol w:w="2280"/>
        <w:gridCol w:w="1094"/>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募集年 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募集方式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募集资金净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本期已使用</w:t>
            </w:r>
          </w:p>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募集资金总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已累计使用</w:t>
            </w:r>
          </w:p>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募集资金总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报告期内变</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更用途的募</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集资金总额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累计变更用</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途的募集资</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累计变更用</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途的募集资</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金总额比例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尚未使用募</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集资金总额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尚未使用募集资金用途 及去向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闲置两年</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以上募集</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资金金额</w:t>
            </w:r>
          </w:p>
        </w:tc>
      </w:tr>
      <w:tr>
        <w:trPr>
          <w:trHeight w:val="418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2016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非公开发 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29,085,309.4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5,156,717.7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28,988,621.0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3,266,806.1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16,816,880.7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57.8%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96,688.4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公司尚未使用的募集资 金用途为偿还公司债券 项目、偿还公司债券项目 （二）。</w:t>
            </w:r>
          </w:p>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 公司将尚未使用的募集 资金存放于本公司专户 中，其中为提高资金使用 效率，将闲置的募集资金 以通知存款的方式存放， 不存在存单抵押、质押及 其他所有权、使用权受到 限制的情况。</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29,085,309.4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5,156,717.7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28,988,621.0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3,266,806.1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16,816,880.7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96,688.4</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募集资金总体使用情况说明</w:t>
            </w:r>
          </w:p>
        </w:tc>
      </w:tr>
      <w:tr>
        <w:trPr>
          <w:trHeight w:val="998" w:hRule="exact"/>
        </w:trPr>
        <w:tc>
          <w:tcPr>
            <w:gridSpan w:val="11"/>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460"/>
              <w:jc w:val="both"/>
              <w:rPr>
                <w:sz w:val="20"/>
                <w:szCs w:val="20"/>
              </w:rPr>
            </w:pPr>
            <w:r>
              <w:rPr>
                <w:rFonts w:ascii="SimSun" w:eastAsia="SimSun" w:hAnsi="SimSun" w:cs="SimSun"/>
                <w:color w:val="000000"/>
                <w:spacing w:val="0"/>
                <w:w w:val="100"/>
                <w:position w:val="0"/>
                <w:sz w:val="20"/>
                <w:szCs w:val="20"/>
              </w:rPr>
              <w:t>根据中国证券监督管理委员会签发的证监许可</w:t>
            </w:r>
            <w:r>
              <w:rPr>
                <w:color w:val="000000"/>
                <w:spacing w:val="0"/>
                <w:w w:val="100"/>
                <w:position w:val="0"/>
                <w:sz w:val="20"/>
                <w:szCs w:val="20"/>
              </w:rPr>
              <w:t>[2016]418</w:t>
            </w:r>
            <w:r>
              <w:rPr>
                <w:rFonts w:ascii="SimSun" w:eastAsia="SimSun" w:hAnsi="SimSun" w:cs="SimSun"/>
                <w:color w:val="000000"/>
                <w:spacing w:val="0"/>
                <w:w w:val="100"/>
                <w:position w:val="0"/>
                <w:sz w:val="20"/>
                <w:szCs w:val="20"/>
              </w:rPr>
              <w:t>号《关于核准苏宁云商集团股份有限公司非公开发行股票的批复》，本公司于</w:t>
            </w: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 xml:space="preserve">20 </w:t>
            </w:r>
            <w:r>
              <w:rPr>
                <w:rFonts w:ascii="SimSun" w:eastAsia="SimSun" w:hAnsi="SimSun" w:cs="SimSun"/>
                <w:color w:val="000000"/>
                <w:spacing w:val="0"/>
                <w:w w:val="100"/>
                <w:position w:val="0"/>
                <w:sz w:val="20"/>
                <w:szCs w:val="20"/>
              </w:rPr>
              <w:t>日向特定对象非公开发行人民币普通股</w:t>
            </w:r>
            <w:r>
              <w:rPr>
                <w:rFonts w:ascii="SimSun" w:eastAsia="SimSun" w:hAnsi="SimSun" w:cs="SimSun"/>
                <w:color w:val="000000"/>
                <w:spacing w:val="0"/>
                <w:w w:val="100"/>
                <w:position w:val="0"/>
                <w:sz w:val="20"/>
                <w:szCs w:val="20"/>
              </w:rPr>
              <w:t>（</w:t>
            </w:r>
            <w:r>
              <w:rPr>
                <w:color w:val="000000"/>
                <w:spacing w:val="0"/>
                <w:w w:val="100"/>
                <w:position w:val="0"/>
                <w:sz w:val="20"/>
                <w:szCs w:val="20"/>
              </w:rPr>
              <w:t>A</w:t>
            </w:r>
            <w:r>
              <w:rPr>
                <w:rFonts w:ascii="SimSun" w:eastAsia="SimSun" w:hAnsi="SimSun" w:cs="SimSun"/>
                <w:color w:val="000000"/>
                <w:spacing w:val="0"/>
                <w:w w:val="100"/>
                <w:position w:val="0"/>
                <w:sz w:val="20"/>
                <w:szCs w:val="20"/>
              </w:rPr>
              <w:t>股）</w:t>
            </w:r>
            <w:r>
              <w:rPr>
                <w:color w:val="000000"/>
                <w:spacing w:val="0"/>
                <w:w w:val="100"/>
                <w:position w:val="0"/>
                <w:sz w:val="20"/>
                <w:szCs w:val="20"/>
              </w:rPr>
              <w:t>1,926,996,505</w:t>
            </w:r>
            <w:r>
              <w:rPr>
                <w:rFonts w:ascii="SimSun" w:eastAsia="SimSun" w:hAnsi="SimSun" w:cs="SimSun"/>
                <w:color w:val="000000"/>
                <w:spacing w:val="0"/>
                <w:w w:val="100"/>
                <w:position w:val="0"/>
                <w:sz w:val="20"/>
                <w:szCs w:val="20"/>
              </w:rPr>
              <w:t>股，每股面值人民币</w:t>
            </w:r>
            <w:r>
              <w:rPr>
                <w:color w:val="000000"/>
                <w:spacing w:val="0"/>
                <w:w w:val="100"/>
                <w:position w:val="0"/>
                <w:sz w:val="20"/>
                <w:szCs w:val="20"/>
              </w:rPr>
              <w:t>1.00</w:t>
            </w:r>
            <w:r>
              <w:rPr>
                <w:rFonts w:ascii="SimSun" w:eastAsia="SimSun" w:hAnsi="SimSun" w:cs="SimSun"/>
                <w:color w:val="000000"/>
                <w:spacing w:val="0"/>
                <w:w w:val="100"/>
                <w:position w:val="0"/>
                <w:sz w:val="20"/>
                <w:szCs w:val="20"/>
              </w:rPr>
              <w:t>元，每股发行认购价格为人民币</w:t>
            </w:r>
            <w:r>
              <w:rPr>
                <w:color w:val="000000"/>
                <w:spacing w:val="0"/>
                <w:w w:val="100"/>
                <w:position w:val="0"/>
                <w:sz w:val="20"/>
                <w:szCs w:val="20"/>
              </w:rPr>
              <w:t>15.17</w:t>
            </w:r>
            <w:r>
              <w:rPr>
                <w:rFonts w:ascii="SimSun" w:eastAsia="SimSun" w:hAnsi="SimSun" w:cs="SimSun"/>
                <w:color w:val="000000"/>
                <w:spacing w:val="0"/>
                <w:w w:val="100"/>
                <w:position w:val="0"/>
                <w:sz w:val="20"/>
                <w:szCs w:val="20"/>
              </w:rPr>
              <w:t>元，扣除发行费用及相关 税费后募集资金净额为</w:t>
            </w:r>
            <w:r>
              <w:rPr>
                <w:color w:val="000000"/>
                <w:spacing w:val="0"/>
                <w:w w:val="100"/>
                <w:position w:val="0"/>
                <w:sz w:val="20"/>
                <w:szCs w:val="20"/>
              </w:rPr>
              <w:t>29,085,309.4</w:t>
            </w:r>
            <w:r>
              <w:rPr>
                <w:rFonts w:ascii="SimSun" w:eastAsia="SimSun" w:hAnsi="SimSun" w:cs="SimSun"/>
                <w:color w:val="000000"/>
                <w:spacing w:val="0"/>
                <w:w w:val="100"/>
                <w:position w:val="0"/>
                <w:sz w:val="20"/>
                <w:szCs w:val="20"/>
              </w:rPr>
              <w:t>千元。上述资金已于</w:t>
            </w: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20</w:t>
            </w:r>
            <w:r>
              <w:rPr>
                <w:rFonts w:ascii="SimSun" w:eastAsia="SimSun" w:hAnsi="SimSun" w:cs="SimSun"/>
                <w:color w:val="000000"/>
                <w:spacing w:val="0"/>
                <w:w w:val="100"/>
                <w:position w:val="0"/>
                <w:sz w:val="20"/>
                <w:szCs w:val="20"/>
              </w:rPr>
              <w:t>日到位，普华永道中天会计师事务所（特殊普通合伙）予以验证并于</w:t>
            </w: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p>
        </w:tc>
      </w:tr>
    </w:tbl>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日出具普华永道中天验字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573</w:t>
      </w:r>
      <w:r>
        <w:rPr>
          <w:color w:val="000000"/>
          <w:spacing w:val="0"/>
          <w:w w:val="100"/>
          <w:position w:val="0"/>
        </w:rPr>
        <w:t>号验资报告。</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0" w:right="0" w:firstLine="480"/>
        <w:jc w:val="left"/>
      </w:pPr>
      <w:r>
        <w:rPr>
          <w:color w:val="000000"/>
          <w:spacing w:val="0"/>
          <w:w w:val="100"/>
          <w:position w:val="0"/>
        </w:rPr>
        <w:t>本公司以前年度已使用募集资金</w:t>
      </w:r>
      <w:r>
        <w:rPr>
          <w:rFonts w:ascii="Times New Roman" w:eastAsia="Times New Roman" w:hAnsi="Times New Roman" w:cs="Times New Roman"/>
          <w:color w:val="000000"/>
          <w:spacing w:val="0"/>
          <w:w w:val="100"/>
          <w:position w:val="0"/>
        </w:rPr>
        <w:t>23,831,903.3</w:t>
      </w:r>
      <w:r>
        <w:rPr>
          <w:color w:val="000000"/>
          <w:spacing w:val="0"/>
          <w:w w:val="100"/>
          <w:position w:val="0"/>
        </w:rPr>
        <w:t>千元（包括支付的银行手续费</w:t>
      </w:r>
      <w:r>
        <w:rPr>
          <w:rFonts w:ascii="Times New Roman" w:eastAsia="Times New Roman" w:hAnsi="Times New Roman" w:cs="Times New Roman"/>
          <w:color w:val="000000"/>
          <w:spacing w:val="0"/>
          <w:w w:val="100"/>
          <w:position w:val="0"/>
        </w:rPr>
        <w:t>108.4</w:t>
      </w:r>
      <w:r>
        <w:rPr>
          <w:color w:val="000000"/>
          <w:spacing w:val="0"/>
          <w:w w:val="100"/>
          <w:position w:val="0"/>
        </w:rPr>
        <w:t>千元），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月公司实际使用募集资金</w:t>
      </w:r>
      <w:r>
        <w:rPr>
          <w:rFonts w:ascii="Times New Roman" w:eastAsia="Times New Roman" w:hAnsi="Times New Roman" w:cs="Times New Roman"/>
          <w:color w:val="000000"/>
          <w:spacing w:val="0"/>
          <w:w w:val="100"/>
          <w:position w:val="0"/>
        </w:rPr>
        <w:t>5,156,717.7</w:t>
      </w:r>
      <w:r>
        <w:rPr>
          <w:color w:val="000000"/>
          <w:spacing w:val="0"/>
          <w:w w:val="100"/>
          <w:position w:val="0"/>
        </w:rPr>
        <w:t>千元（包 括支付的银行手续费</w:t>
      </w:r>
      <w:r>
        <w:rPr>
          <w:rFonts w:ascii="Times New Roman" w:eastAsia="Times New Roman" w:hAnsi="Times New Roman" w:cs="Times New Roman"/>
          <w:color w:val="000000"/>
          <w:spacing w:val="0"/>
          <w:w w:val="100"/>
          <w:position w:val="0"/>
        </w:rPr>
        <w:t>23.3</w:t>
      </w:r>
      <w:r>
        <w:rPr>
          <w:color w:val="000000"/>
          <w:spacing w:val="0"/>
          <w:w w:val="100"/>
          <w:position w:val="0"/>
        </w:rPr>
        <w:t>千元），累计已使用募集资金</w:t>
      </w:r>
      <w:r>
        <w:rPr>
          <w:rFonts w:ascii="Times New Roman" w:eastAsia="Times New Roman" w:hAnsi="Times New Roman" w:cs="Times New Roman"/>
          <w:color w:val="000000"/>
          <w:spacing w:val="0"/>
          <w:w w:val="100"/>
          <w:position w:val="0"/>
        </w:rPr>
        <w:t>28,988,621.0</w:t>
      </w:r>
      <w:r>
        <w:rPr>
          <w:color w:val="000000"/>
          <w:spacing w:val="0"/>
          <w:w w:val="100"/>
          <w:position w:val="0"/>
        </w:rPr>
        <w:t>千元（包括支付的银行手续费</w:t>
      </w:r>
      <w:r>
        <w:rPr>
          <w:rFonts w:ascii="Times New Roman" w:eastAsia="Times New Roman" w:hAnsi="Times New Roman" w:cs="Times New Roman"/>
          <w:color w:val="000000"/>
          <w:spacing w:val="0"/>
          <w:w w:val="100"/>
          <w:position w:val="0"/>
        </w:rPr>
        <w:t>131.7</w:t>
      </w:r>
      <w:r>
        <w:rPr>
          <w:color w:val="000000"/>
          <w:spacing w:val="0"/>
          <w:w w:val="100"/>
          <w:position w:val="0"/>
        </w:rPr>
        <w:t>千元）。</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0" w:right="0" w:firstLine="4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日，募集资金账户余额为</w:t>
      </w:r>
      <w:r>
        <w:rPr>
          <w:rFonts w:ascii="Times New Roman" w:eastAsia="Times New Roman" w:hAnsi="Times New Roman" w:cs="Times New Roman"/>
          <w:color w:val="000000"/>
          <w:spacing w:val="0"/>
          <w:w w:val="100"/>
          <w:position w:val="0"/>
        </w:rPr>
        <w:t>96,820.1</w:t>
      </w:r>
      <w:r>
        <w:rPr>
          <w:color w:val="000000"/>
          <w:spacing w:val="0"/>
          <w:w w:val="100"/>
          <w:position w:val="0"/>
        </w:rPr>
        <w:t>千元，其中募集资金</w:t>
      </w:r>
      <w:r>
        <w:rPr>
          <w:rFonts w:ascii="Times New Roman" w:eastAsia="Times New Roman" w:hAnsi="Times New Roman" w:cs="Times New Roman"/>
          <w:color w:val="000000"/>
          <w:spacing w:val="0"/>
          <w:w w:val="100"/>
          <w:position w:val="0"/>
        </w:rPr>
        <w:t>96,688.4</w:t>
      </w:r>
      <w:r>
        <w:rPr>
          <w:color w:val="000000"/>
          <w:spacing w:val="0"/>
          <w:w w:val="100"/>
          <w:position w:val="0"/>
        </w:rPr>
        <w:t>千元、利息收入</w:t>
      </w:r>
      <w:r>
        <w:rPr>
          <w:rFonts w:ascii="Times New Roman" w:eastAsia="Times New Roman" w:hAnsi="Times New Roman" w:cs="Times New Roman"/>
          <w:color w:val="000000"/>
          <w:spacing w:val="0"/>
          <w:w w:val="100"/>
          <w:position w:val="0"/>
        </w:rPr>
        <w:t>131.7</w:t>
      </w:r>
      <w:r>
        <w:rPr>
          <w:color w:val="000000"/>
          <w:spacing w:val="0"/>
          <w:w w:val="100"/>
          <w:position w:val="0"/>
        </w:rPr>
        <w:t>千元。</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40" w:line="312" w:lineRule="exact"/>
        <w:ind w:left="0" w:right="0" w:firstLine="480"/>
        <w:jc w:val="left"/>
      </w:pPr>
      <w:r>
        <w:rPr>
          <w:color w:val="000000"/>
          <w:spacing w:val="0"/>
          <w:w w:val="100"/>
          <w:position w:val="0"/>
        </w:rPr>
        <w:t>此外，公司第七届董事会第十五次会议审议、</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年第三次临时股东大会决议通过《关于变更部分募集资金用途的议案》，同意公司将募集资金产生 的利息</w:t>
      </w:r>
      <w:r>
        <w:rPr>
          <w:rFonts w:ascii="Times New Roman" w:eastAsia="Times New Roman" w:hAnsi="Times New Roman" w:cs="Times New Roman"/>
          <w:color w:val="000000"/>
          <w:spacing w:val="0"/>
          <w:w w:val="100"/>
          <w:position w:val="0"/>
        </w:rPr>
        <w:t>1,930,712.0</w:t>
      </w:r>
      <w:r>
        <w:rPr>
          <w:color w:val="000000"/>
          <w:spacing w:val="0"/>
          <w:w w:val="100"/>
          <w:position w:val="0"/>
        </w:rPr>
        <w:t>千元（具体金额以实际结转时项目专户资金余额为准）用于永久补充流动资金，支持公司主营业务发展。截至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 将募集资金产生的利息</w:t>
      </w:r>
      <w:r>
        <w:rPr>
          <w:rFonts w:ascii="Times New Roman" w:eastAsia="Times New Roman" w:hAnsi="Times New Roman" w:cs="Times New Roman"/>
          <w:color w:val="000000"/>
          <w:spacing w:val="0"/>
          <w:w w:val="100"/>
          <w:position w:val="0"/>
        </w:rPr>
        <w:t>1,975,256.6</w:t>
      </w:r>
      <w:r>
        <w:rPr>
          <w:color w:val="000000"/>
          <w:spacing w:val="0"/>
          <w:w w:val="100"/>
          <w:position w:val="0"/>
        </w:rPr>
        <w:t>千元用于永久补充流动资金。</w:t>
      </w:r>
    </w:p>
    <w:p>
      <w:pPr>
        <w:pStyle w:val="Style35"/>
        <w:keepNext/>
        <w:keepLines/>
        <w:widowControl w:val="0"/>
        <w:shd w:val="clear" w:color="auto" w:fill="auto"/>
        <w:bidi w:val="0"/>
        <w:spacing w:before="0" w:after="420" w:line="240" w:lineRule="auto"/>
        <w:ind w:left="0" w:right="0" w:firstLine="0"/>
        <w:jc w:val="left"/>
      </w:pPr>
      <w:bookmarkStart w:id="188" w:name="bookmark188"/>
      <w:bookmarkStart w:id="189" w:name="bookmark189"/>
      <w:bookmarkStart w:id="190" w:name="bookmark190"/>
      <w:r>
        <w:rPr>
          <w:color w:val="000000"/>
          <w:spacing w:val="0"/>
          <w:w w:val="100"/>
          <w:position w:val="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）募集资金承诺项目情况</w:t>
      </w:r>
      <w:bookmarkEnd w:id="188"/>
      <w:bookmarkEnd w:id="189"/>
      <w:bookmarkEnd w:id="190"/>
    </w:p>
    <w:p>
      <w:pPr>
        <w:pStyle w:val="Style26"/>
        <w:keepNext w:val="0"/>
        <w:keepLines w:val="0"/>
        <w:widowControl w:val="0"/>
        <w:shd w:val="clear" w:color="auto" w:fill="auto"/>
        <w:bidi w:val="0"/>
        <w:spacing w:before="0" w:after="0" w:line="240" w:lineRule="auto"/>
        <w:ind w:left="12979" w:right="0" w:firstLine="0"/>
        <w:jc w:val="left"/>
        <w:rPr>
          <w:sz w:val="18"/>
          <w:szCs w:val="18"/>
        </w:rPr>
      </w:pPr>
      <w:r>
        <w:rPr>
          <w:color w:val="000000"/>
          <w:spacing w:val="0"/>
          <w:w w:val="100"/>
          <w:position w:val="0"/>
          <w:sz w:val="18"/>
          <w:szCs w:val="18"/>
        </w:rPr>
        <w:t>单位：千元</w:t>
      </w:r>
    </w:p>
    <w:tbl>
      <w:tblPr>
        <w:tblOverlap w:val="never"/>
        <w:jc w:val="center"/>
        <w:tblLayout w:type="fixed"/>
      </w:tblPr>
      <w:tblGrid>
        <w:gridCol w:w="2448"/>
        <w:gridCol w:w="998"/>
        <w:gridCol w:w="1416"/>
        <w:gridCol w:w="1704"/>
        <w:gridCol w:w="1430"/>
        <w:gridCol w:w="1258"/>
        <w:gridCol w:w="1277"/>
        <w:gridCol w:w="850"/>
        <w:gridCol w:w="1277"/>
        <w:gridCol w:w="562"/>
        <w:gridCol w:w="1003"/>
      </w:tblGrid>
      <w:tr>
        <w:trPr>
          <w:trHeight w:val="15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承诺投资项目和超募资金 投向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是否已变 更项目（含 部分变更）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募集资金承诺 投资总额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140"/>
              <w:jc w:val="left"/>
              <w:rPr>
                <w:sz w:val="18"/>
                <w:szCs w:val="18"/>
              </w:rPr>
            </w:pPr>
            <w:r>
              <w:rPr>
                <w:rFonts w:ascii="SimSun" w:eastAsia="SimSun" w:hAnsi="SimSun" w:cs="SimSun"/>
                <w:color w:val="000000"/>
                <w:spacing w:val="0"/>
                <w:w w:val="100"/>
                <w:position w:val="0"/>
                <w:sz w:val="18"/>
                <w:szCs w:val="18"/>
              </w:rPr>
              <w:t>调整后投资总额</w:t>
            </w:r>
          </w:p>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20"/>
                <w:szCs w:val="20"/>
              </w:rPr>
              <w:t>1</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报告期内投入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截至期末累</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计投入金额</w:t>
            </w:r>
          </w:p>
          <w:p>
            <w:pPr>
              <w:pStyle w:val="Style29"/>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18"/>
                <w:szCs w:val="18"/>
              </w:rPr>
              <w:t xml:space="preserve">截至期末投资 进度（％）⑶ = </w:t>
            </w:r>
            <w:r>
              <w:rPr>
                <w:color w:val="000000"/>
                <w:spacing w:val="0"/>
                <w:w w:val="100"/>
                <w:position w:val="0"/>
                <w:sz w:val="20"/>
                <w:szCs w:val="20"/>
              </w:rPr>
              <w:t>（2）/（1）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center"/>
              <w:rPr>
                <w:sz w:val="18"/>
                <w:szCs w:val="18"/>
              </w:rPr>
            </w:pPr>
            <w:r>
              <w:rPr>
                <w:rFonts w:ascii="SimSun" w:eastAsia="SimSun" w:hAnsi="SimSun" w:cs="SimSun"/>
                <w:color w:val="000000"/>
                <w:spacing w:val="0"/>
                <w:w w:val="100"/>
                <w:position w:val="0"/>
                <w:sz w:val="18"/>
                <w:szCs w:val="18"/>
              </w:rPr>
              <w:t>项目达 到预定 可使用 状态日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报告期内实现 的效益（净利 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是否 达到 预计 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项目可行 性是否发 生重大变 化</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承诺投资项目</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自动化拣选中心项目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2,505,120.4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935,120.4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935,120.4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不适</w:t>
            </w:r>
          </w:p>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用</w:t>
            </w:r>
          </w:p>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（注</w:t>
            </w:r>
          </w:p>
          <w:p>
            <w:pPr>
              <w:pStyle w:val="Style29"/>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20"/>
                <w:szCs w:val="20"/>
              </w:rPr>
              <w:t>6</w:t>
            </w:r>
            <w:r>
              <w:rPr>
                <w:rFonts w:ascii="SimSun" w:eastAsia="SimSun" w:hAnsi="SimSun" w:cs="SimSun"/>
                <w:color w:val="000000"/>
                <w:spacing w:val="0"/>
                <w:w w:val="100"/>
                <w:position w:val="0"/>
                <w:sz w:val="18"/>
                <w:szCs w:val="18"/>
              </w:rPr>
              <w:t>）</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区域配送中心建设项目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2,728,332.8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1,128,332.8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1,128,332.8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物流运营业务发展项目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720"/>
              <w:jc w:val="both"/>
              <w:rPr>
                <w:sz w:val="20"/>
                <w:szCs w:val="20"/>
              </w:rPr>
            </w:pPr>
            <w:r>
              <w:rPr>
                <w:color w:val="000000"/>
                <w:spacing w:val="0"/>
                <w:w w:val="100"/>
                <w:position w:val="0"/>
                <w:sz w:val="20"/>
                <w:szCs w:val="20"/>
              </w:rPr>
              <w:t>1,532,689.0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（注</w:t>
            </w:r>
            <w:r>
              <w:rPr>
                <w:color w:val="000000"/>
                <w:spacing w:val="0"/>
                <w:w w:val="100"/>
                <w:position w:val="0"/>
                <w:sz w:val="20"/>
                <w:szCs w:val="20"/>
              </w:rPr>
              <w:t>1</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2,467.2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1,532,689.0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新增区域配送中心建设项 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720"/>
              <w:jc w:val="both"/>
              <w:rPr>
                <w:sz w:val="20"/>
                <w:szCs w:val="20"/>
              </w:rPr>
            </w:pPr>
            <w:r>
              <w:rPr>
                <w:color w:val="000000"/>
                <w:spacing w:val="0"/>
                <w:w w:val="100"/>
                <w:position w:val="0"/>
                <w:sz w:val="20"/>
                <w:szCs w:val="20"/>
              </w:rPr>
              <w:t>1,950,000.0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（注</w:t>
            </w:r>
            <w:r>
              <w:rPr>
                <w:color w:val="000000"/>
                <w:spacing w:val="0"/>
                <w:w w:val="100"/>
                <w:position w:val="0"/>
                <w:sz w:val="20"/>
                <w:szCs w:val="20"/>
              </w:rPr>
              <w:t>2</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1,949,954.3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2020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物流运输业务发展项目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79,265.8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（注</w:t>
            </w:r>
            <w:r>
              <w:rPr>
                <w:color w:val="000000"/>
                <w:spacing w:val="0"/>
                <w:w w:val="100"/>
                <w:position w:val="0"/>
                <w:sz w:val="20"/>
                <w:szCs w:val="20"/>
              </w:rPr>
              <w:t>3</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79,265.8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4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新增区域配送中心建设项 目（二）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720"/>
              <w:jc w:val="both"/>
              <w:rPr>
                <w:sz w:val="20"/>
                <w:szCs w:val="20"/>
              </w:rPr>
            </w:pPr>
            <w:r>
              <w:rPr>
                <w:color w:val="000000"/>
                <w:spacing w:val="0"/>
                <w:w w:val="100"/>
                <w:position w:val="0"/>
                <w:sz w:val="20"/>
                <w:szCs w:val="20"/>
              </w:rPr>
              <w:t>1,472,739.8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（注</w:t>
            </w:r>
            <w:r>
              <w:rPr>
                <w:color w:val="000000"/>
                <w:spacing w:val="0"/>
                <w:w w:val="100"/>
                <w:position w:val="0"/>
                <w:sz w:val="20"/>
                <w:szCs w:val="20"/>
              </w:rPr>
              <w:t>4</w:t>
            </w: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185,499.5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1,472,739.8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2022 </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2448"/>
        <w:gridCol w:w="998"/>
        <w:gridCol w:w="1416"/>
        <w:gridCol w:w="1704"/>
        <w:gridCol w:w="1430"/>
        <w:gridCol w:w="1258"/>
        <w:gridCol w:w="1277"/>
        <w:gridCol w:w="850"/>
        <w:gridCol w:w="1277"/>
        <w:gridCol w:w="562"/>
        <w:gridCol w:w="1003"/>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租赁店项目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976,471.4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976,471.4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-261,055.7</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rPr>
                <w:sz w:val="18"/>
                <w:szCs w:val="18"/>
              </w:rPr>
            </w:pPr>
            <w:r>
              <w:rPr>
                <w:rFonts w:ascii="SimSun" w:eastAsia="SimSun" w:hAnsi="SimSun" w:cs="SimSun"/>
                <w:color w:val="000000"/>
                <w:spacing w:val="0"/>
                <w:w w:val="100"/>
                <w:position w:val="0"/>
                <w:sz w:val="18"/>
                <w:szCs w:val="18"/>
              </w:rPr>
              <w:t>不适</w:t>
            </w:r>
          </w:p>
          <w:p>
            <w:pPr>
              <w:pStyle w:val="Style29"/>
              <w:keepNext w:val="0"/>
              <w:keepLines w:val="0"/>
              <w:widowControl w:val="0"/>
              <w:shd w:val="clear" w:color="auto" w:fill="auto"/>
              <w:bidi w:val="0"/>
              <w:spacing w:before="0" w:after="80" w:line="240" w:lineRule="auto"/>
              <w:ind w:left="0" w:right="0" w:firstLine="0"/>
              <w:jc w:val="right"/>
              <w:rPr>
                <w:sz w:val="18"/>
                <w:szCs w:val="18"/>
              </w:rPr>
            </w:pPr>
            <w:r>
              <w:rPr>
                <w:rFonts w:ascii="SimSun" w:eastAsia="SimSun" w:hAnsi="SimSun" w:cs="SimSun"/>
                <w:color w:val="000000"/>
                <w:spacing w:val="0"/>
                <w:w w:val="100"/>
                <w:position w:val="0"/>
                <w:sz w:val="18"/>
                <w:szCs w:val="18"/>
              </w:rPr>
              <w:t>用</w:t>
            </w:r>
          </w:p>
          <w:p>
            <w:pPr>
              <w:pStyle w:val="Style29"/>
              <w:keepNext w:val="0"/>
              <w:keepLines w:val="0"/>
              <w:widowControl w:val="0"/>
              <w:shd w:val="clear" w:color="auto" w:fill="auto"/>
              <w:bidi w:val="0"/>
              <w:spacing w:before="0" w:after="80" w:line="240" w:lineRule="auto"/>
              <w:ind w:left="0" w:right="0" w:firstLine="0"/>
              <w:jc w:val="right"/>
              <w:rPr>
                <w:sz w:val="18"/>
                <w:szCs w:val="18"/>
              </w:rPr>
            </w:pPr>
            <w:r>
              <w:rPr>
                <w:rFonts w:ascii="SimSun" w:eastAsia="SimSun" w:hAnsi="SimSun" w:cs="SimSun"/>
                <w:color w:val="000000"/>
                <w:spacing w:val="0"/>
                <w:w w:val="100"/>
                <w:position w:val="0"/>
                <w:sz w:val="18"/>
                <w:szCs w:val="18"/>
              </w:rPr>
              <w:t>（注</w:t>
            </w:r>
          </w:p>
          <w:p>
            <w:pPr>
              <w:pStyle w:val="Style29"/>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20"/>
                <w:szCs w:val="20"/>
              </w:rPr>
              <w:t>7</w:t>
            </w:r>
            <w:r>
              <w:rPr>
                <w:rFonts w:ascii="SimSun" w:eastAsia="SimSun" w:hAnsi="SimSun" w:cs="SimSun"/>
                <w:color w:val="000000"/>
                <w:spacing w:val="0"/>
                <w:w w:val="100"/>
                <w:position w:val="0"/>
                <w:sz w:val="18"/>
                <w:szCs w:val="18"/>
              </w:rPr>
              <w:t>）</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改造店项目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1,214,100.0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236,173.4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236,173.4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-1,664,273.2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购置店项目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苏宁易购云店品牌推广项 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847,501.3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847,501.3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847,501.3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收购天天快递股权项目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720"/>
              <w:jc w:val="both"/>
              <w:rPr>
                <w:sz w:val="20"/>
                <w:szCs w:val="20"/>
              </w:rPr>
            </w:pPr>
            <w:r>
              <w:rPr>
                <w:color w:val="000000"/>
                <w:spacing w:val="0"/>
                <w:w w:val="100"/>
                <w:position w:val="0"/>
                <w:sz w:val="20"/>
                <w:szCs w:val="20"/>
              </w:rPr>
              <w:t>2,758,490.0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（注</w:t>
            </w:r>
            <w:r>
              <w:rPr>
                <w:color w:val="000000"/>
                <w:spacing w:val="0"/>
                <w:w w:val="100"/>
                <w:position w:val="0"/>
                <w:sz w:val="20"/>
                <w:szCs w:val="20"/>
              </w:rPr>
              <w:t>5</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2,758,490.0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不适</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用</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（注</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20"/>
                <w:szCs w:val="20"/>
              </w:rPr>
              <w:t>8</w:t>
            </w: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补充金融公司资本金项目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补充易付宝资本金项目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850,000.0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850,000.0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云计算项目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1,100,574.0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720"/>
              <w:jc w:val="both"/>
              <w:rPr>
                <w:sz w:val="20"/>
                <w:szCs w:val="20"/>
              </w:rPr>
            </w:pPr>
            <w:r>
              <w:rPr>
                <w:color w:val="000000"/>
                <w:spacing w:val="0"/>
                <w:w w:val="100"/>
                <w:position w:val="0"/>
                <w:sz w:val="20"/>
                <w:szCs w:val="20"/>
              </w:rPr>
              <w:t>1,100,438.5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（注</w:t>
            </w:r>
            <w:r>
              <w:rPr>
                <w:color w:val="000000"/>
                <w:spacing w:val="0"/>
                <w:w w:val="100"/>
                <w:position w:val="0"/>
                <w:sz w:val="20"/>
                <w:szCs w:val="20"/>
              </w:rPr>
              <w:t>1</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1,100,438.5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不适</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用</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（注</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20"/>
                <w:szCs w:val="20"/>
              </w:rPr>
              <w:t>9</w:t>
            </w:r>
            <w:r>
              <w:rPr>
                <w:rFonts w:ascii="SimSun" w:eastAsia="SimSun" w:hAnsi="SimSun" w:cs="SimSun"/>
                <w:color w:val="000000"/>
                <w:spacing w:val="0"/>
                <w:w w:val="100"/>
                <w:position w:val="0"/>
                <w:sz w:val="18"/>
                <w:szCs w:val="18"/>
              </w:rPr>
              <w:t>）</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大数据项目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491,023.0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491,023.0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491,023.0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智能家居项目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106,561.9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106,561.9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106,561.9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偿还银行贷款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rPr>
                <w:sz w:val="18"/>
                <w:szCs w:val="18"/>
              </w:rPr>
            </w:pPr>
            <w:r>
              <w:rPr>
                <w:rFonts w:ascii="SimSun" w:eastAsia="SimSun" w:hAnsi="SimSun" w:cs="SimSun"/>
                <w:color w:val="000000"/>
                <w:spacing w:val="0"/>
                <w:w w:val="100"/>
                <w:position w:val="0"/>
                <w:sz w:val="18"/>
                <w:szCs w:val="18"/>
              </w:rPr>
              <w:t>不适</w:t>
            </w:r>
          </w:p>
          <w:p>
            <w:pPr>
              <w:pStyle w:val="Style29"/>
              <w:keepNext w:val="0"/>
              <w:keepLines w:val="0"/>
              <w:widowControl w:val="0"/>
              <w:shd w:val="clear" w:color="auto" w:fill="auto"/>
              <w:bidi w:val="0"/>
              <w:spacing w:before="0" w:after="80" w:line="240" w:lineRule="auto"/>
              <w:ind w:left="0" w:right="0" w:firstLine="0"/>
              <w:jc w:val="right"/>
              <w:rPr>
                <w:sz w:val="18"/>
                <w:szCs w:val="18"/>
              </w:rPr>
            </w:pPr>
            <w:r>
              <w:rPr>
                <w:rFonts w:ascii="SimSun" w:eastAsia="SimSun" w:hAnsi="SimSun" w:cs="SimSun"/>
                <w:color w:val="000000"/>
                <w:spacing w:val="0"/>
                <w:w w:val="100"/>
                <w:position w:val="0"/>
                <w:sz w:val="18"/>
                <w:szCs w:val="18"/>
              </w:rPr>
              <w:t>用</w:t>
            </w:r>
          </w:p>
          <w:p>
            <w:pPr>
              <w:pStyle w:val="Style29"/>
              <w:keepNext w:val="0"/>
              <w:keepLines w:val="0"/>
              <w:widowControl w:val="0"/>
              <w:shd w:val="clear" w:color="auto" w:fill="auto"/>
              <w:bidi w:val="0"/>
              <w:spacing w:before="0" w:after="80" w:line="240" w:lineRule="auto"/>
              <w:ind w:left="0" w:right="0" w:firstLine="0"/>
              <w:jc w:val="right"/>
              <w:rPr>
                <w:sz w:val="18"/>
                <w:szCs w:val="18"/>
              </w:rPr>
            </w:pPr>
            <w:r>
              <w:rPr>
                <w:rFonts w:ascii="SimSun" w:eastAsia="SimSun" w:hAnsi="SimSun" w:cs="SimSun"/>
                <w:color w:val="000000"/>
                <w:spacing w:val="0"/>
                <w:w w:val="100"/>
                <w:position w:val="0"/>
                <w:sz w:val="18"/>
                <w:szCs w:val="18"/>
              </w:rPr>
              <w:t>（注</w:t>
            </w:r>
          </w:p>
          <w:p>
            <w:pPr>
              <w:pStyle w:val="Style29"/>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20"/>
                <w:szCs w:val="20"/>
              </w:rPr>
              <w:t>10</w:t>
            </w: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偿还金融机构贷款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720"/>
              <w:jc w:val="both"/>
              <w:rPr>
                <w:sz w:val="20"/>
                <w:szCs w:val="20"/>
              </w:rPr>
            </w:pPr>
            <w:r>
              <w:rPr>
                <w:color w:val="000000"/>
                <w:spacing w:val="0"/>
                <w:w w:val="100"/>
                <w:position w:val="0"/>
                <w:sz w:val="20"/>
                <w:szCs w:val="20"/>
              </w:rPr>
              <w:t>1,500,000.0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（注 </w:t>
            </w:r>
            <w:r>
              <w:rPr>
                <w:color w:val="000000"/>
                <w:spacing w:val="0"/>
                <w:w w:val="100"/>
                <w:position w:val="0"/>
                <w:sz w:val="20"/>
                <w:szCs w:val="20"/>
              </w:rPr>
              <w:t>11</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2020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不适</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新增区域配送中心建设项 目（三）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860"/>
              <w:jc w:val="both"/>
              <w:rPr>
                <w:sz w:val="20"/>
                <w:szCs w:val="20"/>
              </w:rPr>
            </w:pPr>
            <w:r>
              <w:rPr>
                <w:color w:val="000000"/>
                <w:spacing w:val="0"/>
                <w:w w:val="100"/>
                <w:position w:val="0"/>
                <w:sz w:val="20"/>
                <w:szCs w:val="20"/>
              </w:rPr>
              <w:t>843,696.0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（注</w:t>
            </w:r>
            <w:r>
              <w:rPr>
                <w:color w:val="000000"/>
                <w:spacing w:val="0"/>
                <w:w w:val="100"/>
                <w:position w:val="0"/>
                <w:sz w:val="20"/>
                <w:szCs w:val="20"/>
              </w:rPr>
              <w:t>1</w:t>
            </w:r>
            <w:r>
              <w:rPr>
                <w:rFonts w:ascii="SimSun" w:eastAsia="SimSun" w:hAnsi="SimSun" w:cs="SimSun"/>
                <w:color w:val="000000"/>
                <w:spacing w:val="0"/>
                <w:w w:val="100"/>
                <w:position w:val="0"/>
                <w:sz w:val="18"/>
                <w:szCs w:val="18"/>
              </w:rPr>
              <w:t>）（注</w:t>
            </w:r>
            <w:r>
              <w:rPr>
                <w:color w:val="000000"/>
                <w:spacing w:val="0"/>
                <w:w w:val="100"/>
                <w:position w:val="0"/>
                <w:sz w:val="20"/>
                <w:szCs w:val="20"/>
              </w:rPr>
              <w:t>3</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843,696.0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843,696.0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2022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不适</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偿还金融机构贷款项目</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860"/>
              <w:jc w:val="both"/>
              <w:rPr>
                <w:sz w:val="20"/>
                <w:szCs w:val="20"/>
              </w:rPr>
            </w:pPr>
            <w:r>
              <w:rPr>
                <w:color w:val="000000"/>
                <w:spacing w:val="0"/>
                <w:w w:val="100"/>
                <w:position w:val="0"/>
                <w:sz w:val="20"/>
                <w:szCs w:val="20"/>
              </w:rPr>
              <w:t>955,000.0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（注</w:t>
            </w:r>
            <w:r>
              <w:rPr>
                <w:color w:val="000000"/>
                <w:spacing w:val="0"/>
                <w:w w:val="100"/>
                <w:position w:val="0"/>
                <w:sz w:val="20"/>
                <w:szCs w:val="20"/>
              </w:rPr>
              <w:t>1</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不适</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偿还公司债券项目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1,489,161.5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1,482,102.5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1,482,102.5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不适</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偿还公司债券项目（二）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1,732,509.1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1,642,793.7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1,642,793.7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不适</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48"/>
        <w:gridCol w:w="998"/>
        <w:gridCol w:w="1416"/>
        <w:gridCol w:w="1704"/>
        <w:gridCol w:w="1430"/>
        <w:gridCol w:w="1258"/>
        <w:gridCol w:w="1277"/>
        <w:gridCol w:w="850"/>
        <w:gridCol w:w="1277"/>
        <w:gridCol w:w="562"/>
        <w:gridCol w:w="1003"/>
      </w:tblGrid>
      <w:tr>
        <w:trPr>
          <w:trHeight w:val="126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补充流动资金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不适</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用</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（注</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20"/>
                <w:szCs w:val="20"/>
              </w:rPr>
              <w:t>12</w:t>
            </w: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400" w:firstLine="0"/>
              <w:jc w:val="right"/>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永久补充流动资金（二）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45,135.5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（注</w:t>
            </w:r>
            <w:r>
              <w:rPr>
                <w:color w:val="000000"/>
                <w:spacing w:val="0"/>
                <w:w w:val="100"/>
                <w:position w:val="0"/>
                <w:sz w:val="20"/>
                <w:szCs w:val="20"/>
              </w:rPr>
              <w:t>1</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45,135.5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45,135.5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不适</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承诺投资项目小计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29,343,213.4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29,085,309.4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5,156,694.4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28,988,489.3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-1,924,968.9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超募资金投向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归还银行贷款（如有）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补充流动资金（如有）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超募资金投向小计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29,343,213.4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29,085,309.4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5,156,694.4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28,988,489.3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-1,924,968.9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9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未达到计划进度或预计收 益的情况和原因（分具体项 目）</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不适用</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项目可行性发生重大变化 的情况说明</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无</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超募资金的金额、用途及使 用进展情况</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不适用</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募集资金投资项目实施地 点变更情况</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不适用</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募集资金投资项目实施方 式调整情况</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不适用</w:t>
            </w:r>
          </w:p>
        </w:tc>
      </w:tr>
      <w:tr>
        <w:trPr>
          <w:trHeight w:val="189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募集资金投资项目先期投 入及置换情况</w:t>
            </w:r>
          </w:p>
        </w:tc>
        <w:tc>
          <w:tcPr>
            <w:gridSpan w:val="10"/>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经公司第五届董事会第三十六次会议审议通过，公司保荐机构、独立董事、监事会发表明确同意意见后，同意公司以募集资金置换预先 已投入物流平台建设项目、苏宁易购云店发展项目（购置店项目）、互联网金融项目（补充金融公司资本金项目）及</w:t>
            </w:r>
            <w:r>
              <w:rPr>
                <w:color w:val="000000"/>
                <w:spacing w:val="0"/>
                <w:w w:val="100"/>
                <w:position w:val="0"/>
                <w:sz w:val="20"/>
                <w:szCs w:val="20"/>
              </w:rPr>
              <w:t>IT</w:t>
            </w:r>
            <w:r>
              <w:rPr>
                <w:rFonts w:ascii="SimSun" w:eastAsia="SimSun" w:hAnsi="SimSun" w:cs="SimSun"/>
                <w:color w:val="000000"/>
                <w:spacing w:val="0"/>
                <w:w w:val="100"/>
                <w:position w:val="0"/>
                <w:sz w:val="18"/>
                <w:szCs w:val="18"/>
              </w:rPr>
              <w:t>项目的自筹资金 合计</w:t>
            </w:r>
            <w:r>
              <w:rPr>
                <w:color w:val="000000"/>
                <w:spacing w:val="0"/>
                <w:w w:val="100"/>
                <w:position w:val="0"/>
                <w:sz w:val="20"/>
                <w:szCs w:val="20"/>
              </w:rPr>
              <w:t>1,299,020.5</w:t>
            </w:r>
            <w:r>
              <w:rPr>
                <w:rFonts w:ascii="SimSun" w:eastAsia="SimSun" w:hAnsi="SimSun" w:cs="SimSun"/>
                <w:color w:val="000000"/>
                <w:spacing w:val="0"/>
                <w:w w:val="100"/>
                <w:position w:val="0"/>
                <w:sz w:val="18"/>
                <w:szCs w:val="18"/>
              </w:rPr>
              <w:t>千元，具体内容详见公司</w:t>
            </w:r>
            <w:r>
              <w:rPr>
                <w:color w:val="000000"/>
                <w:spacing w:val="0"/>
                <w:w w:val="100"/>
                <w:position w:val="0"/>
                <w:sz w:val="20"/>
                <w:szCs w:val="20"/>
              </w:rPr>
              <w:t>2016-058</w:t>
            </w:r>
            <w:r>
              <w:rPr>
                <w:rFonts w:ascii="SimSun" w:eastAsia="SimSun" w:hAnsi="SimSun" w:cs="SimSun"/>
                <w:color w:val="000000"/>
                <w:spacing w:val="0"/>
                <w:w w:val="100"/>
                <w:position w:val="0"/>
                <w:sz w:val="18"/>
                <w:szCs w:val="18"/>
              </w:rPr>
              <w:t>号公告。</w:t>
            </w:r>
          </w:p>
          <w:p>
            <w:pPr>
              <w:pStyle w:val="Style29"/>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经公司第五届董事会第三十七次会议审议通过，公司保荐机构、独立董事、监事会发表明确同意意见后，同意公司以募集资金置换预先 已投入苏宁易购云店发展项目之租赁店项目、改造店项目、苏宁易购云店品牌推广项目的自筹资金合计</w:t>
            </w:r>
            <w:r>
              <w:rPr>
                <w:color w:val="000000"/>
                <w:spacing w:val="0"/>
                <w:w w:val="100"/>
                <w:position w:val="0"/>
                <w:sz w:val="20"/>
                <w:szCs w:val="20"/>
              </w:rPr>
              <w:t>537,566.1</w:t>
            </w:r>
            <w:r>
              <w:rPr>
                <w:rFonts w:ascii="SimSun" w:eastAsia="SimSun" w:hAnsi="SimSun" w:cs="SimSun"/>
                <w:color w:val="000000"/>
                <w:spacing w:val="0"/>
                <w:w w:val="100"/>
                <w:position w:val="0"/>
                <w:sz w:val="18"/>
                <w:szCs w:val="18"/>
              </w:rPr>
              <w:t>千元，具体内容详见 公司</w:t>
            </w:r>
            <w:r>
              <w:rPr>
                <w:color w:val="000000"/>
                <w:spacing w:val="0"/>
                <w:w w:val="100"/>
                <w:position w:val="0"/>
                <w:sz w:val="20"/>
                <w:szCs w:val="20"/>
              </w:rPr>
              <w:t>2016-063</w:t>
            </w:r>
            <w:r>
              <w:rPr>
                <w:rFonts w:ascii="SimSun" w:eastAsia="SimSun" w:hAnsi="SimSun" w:cs="SimSun"/>
                <w:color w:val="000000"/>
                <w:spacing w:val="0"/>
                <w:w w:val="100"/>
                <w:position w:val="0"/>
                <w:sz w:val="18"/>
                <w:szCs w:val="18"/>
              </w:rPr>
              <w:t>号公告。</w:t>
            </w:r>
          </w:p>
        </w:tc>
      </w:tr>
    </w:tbl>
    <w:tbl>
      <w:tblPr>
        <w:tblOverlap w:val="never"/>
        <w:jc w:val="center"/>
        <w:tblLayout w:type="fixed"/>
      </w:tblPr>
      <w:tblGrid>
        <w:gridCol w:w="2448"/>
        <w:gridCol w:w="11774"/>
      </w:tblGrid>
      <w:tr>
        <w:trPr>
          <w:trHeight w:val="63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用闲置募集资金暂时补充 流动资金情况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不适用</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用闲置募集资金进行现金 管理情况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无</w:t>
            </w:r>
          </w:p>
        </w:tc>
      </w:tr>
      <w:tr>
        <w:trPr>
          <w:trHeight w:val="9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项目实施出现募集资金结 余的金额及原因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公司第七届董事会第十五次会议、</w:t>
            </w:r>
            <w:r>
              <w:rPr>
                <w:color w:val="000000"/>
                <w:spacing w:val="0"/>
                <w:w w:val="100"/>
                <w:position w:val="0"/>
                <w:sz w:val="20"/>
                <w:szCs w:val="20"/>
              </w:rPr>
              <w:t>2021</w:t>
            </w:r>
            <w:r>
              <w:rPr>
                <w:rFonts w:ascii="SimSun" w:eastAsia="SimSun" w:hAnsi="SimSun" w:cs="SimSun"/>
                <w:color w:val="000000"/>
                <w:spacing w:val="0"/>
                <w:w w:val="100"/>
                <w:position w:val="0"/>
                <w:sz w:val="18"/>
                <w:szCs w:val="18"/>
              </w:rPr>
              <w:t>年第三次临时股东大会决议通过《关于变更部分募集资金用途的议案》，同意将部分募投项目剩 余募集资金合计</w:t>
            </w:r>
            <w:r>
              <w:rPr>
                <w:color w:val="000000"/>
                <w:spacing w:val="0"/>
                <w:w w:val="100"/>
                <w:position w:val="0"/>
                <w:sz w:val="20"/>
                <w:szCs w:val="20"/>
              </w:rPr>
              <w:t>173,250.91</w:t>
            </w:r>
            <w:r>
              <w:rPr>
                <w:rFonts w:ascii="SimSun" w:eastAsia="SimSun" w:hAnsi="SimSun" w:cs="SimSun"/>
                <w:color w:val="000000"/>
                <w:spacing w:val="0"/>
                <w:w w:val="100"/>
                <w:position w:val="0"/>
                <w:sz w:val="18"/>
                <w:szCs w:val="18"/>
              </w:rPr>
              <w:t>万元用于偿还公司债券项目（二），将部分募集资金项目节余资金用于永久补充流动资金。项目实施出现募 集资金结余的金额及原因具体内容详见公司</w:t>
            </w:r>
            <w:r>
              <w:rPr>
                <w:color w:val="000000"/>
                <w:spacing w:val="0"/>
                <w:w w:val="100"/>
                <w:position w:val="0"/>
                <w:sz w:val="20"/>
                <w:szCs w:val="20"/>
              </w:rPr>
              <w:t>2021-074</w:t>
            </w:r>
            <w:r>
              <w:rPr>
                <w:rFonts w:ascii="SimSun" w:eastAsia="SimSun" w:hAnsi="SimSun" w:cs="SimSun"/>
                <w:color w:val="000000"/>
                <w:spacing w:val="0"/>
                <w:w w:val="100"/>
                <w:position w:val="0"/>
                <w:sz w:val="18"/>
                <w:szCs w:val="18"/>
              </w:rPr>
              <w:t>号公告。</w:t>
            </w:r>
          </w:p>
        </w:tc>
      </w:tr>
      <w:tr>
        <w:trPr>
          <w:trHeight w:val="9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尚未使用的募集资金用途 及去向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公司尚未使用的募集资金用途为偿还公司债券项目、偿还公司债券项目（二）。截至</w:t>
            </w:r>
            <w:r>
              <w:rPr>
                <w:color w:val="000000"/>
                <w:spacing w:val="0"/>
                <w:w w:val="100"/>
                <w:position w:val="0"/>
                <w:sz w:val="20"/>
                <w:szCs w:val="20"/>
              </w:rPr>
              <w:t>2021</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31</w:t>
            </w:r>
            <w:r>
              <w:rPr>
                <w:rFonts w:ascii="SimSun" w:eastAsia="SimSun" w:hAnsi="SimSun" w:cs="SimSun"/>
                <w:color w:val="000000"/>
                <w:spacing w:val="0"/>
                <w:w w:val="100"/>
                <w:position w:val="0"/>
                <w:sz w:val="18"/>
                <w:szCs w:val="18"/>
              </w:rPr>
              <w:t>日公司将尚未使用的募集资金存放 于本公司专户中，其中为提高资金使用效率，将闲置的募集资金以通知存款的方式存放，不存在存单抵押、质押及其他所有权、使用权 受到限制的情况。</w:t>
            </w:r>
          </w:p>
        </w:tc>
      </w:tr>
      <w:tr>
        <w:trPr>
          <w:trHeight w:val="64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募集资金使用及披露中存 在的问题或其他情况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无</w:t>
            </w:r>
          </w:p>
        </w:tc>
      </w:tr>
    </w:tbl>
    <w:p>
      <w:pPr>
        <w:pStyle w:val="Style26"/>
        <w:keepNext w:val="0"/>
        <w:keepLines w:val="0"/>
        <w:widowControl w:val="0"/>
        <w:shd w:val="clear" w:color="auto" w:fill="auto"/>
        <w:bidi w:val="0"/>
        <w:spacing w:before="0" w:after="0" w:line="240" w:lineRule="auto"/>
        <w:ind w:left="442"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：由于公司实际募集资金净额少于</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年非公开发行股票方案中计划使用募集资金金额，根据公司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年第三次临时股东大会决议，若本次发</w:t>
      </w:r>
    </w:p>
    <w:p>
      <w:pPr>
        <w:pStyle w:val="Style17"/>
        <w:keepNext w:val="0"/>
        <w:keepLines w:val="0"/>
        <w:widowControl w:val="0"/>
        <w:shd w:val="clear" w:color="auto" w:fill="auto"/>
        <w:bidi w:val="0"/>
        <w:spacing w:before="0" w:after="0" w:line="467" w:lineRule="exact"/>
        <w:ind w:left="0" w:right="0" w:firstLine="0"/>
        <w:jc w:val="left"/>
      </w:pPr>
      <w:r>
        <w:rPr>
          <w:color w:val="000000"/>
          <w:spacing w:val="0"/>
          <w:w w:val="100"/>
          <w:position w:val="0"/>
        </w:rPr>
        <w:t>行实际募集资金净额（扣除发行费后）少于本次募投项目投入募集资金总额，公司将根据实际募集资金净额，按照项目的轻重缓急等情况，调整并最终 决定募集资金的具体投资项目、优先顺序及各项目的具体投资金额，募集资金不足部分由公司以自有资金解决。鉴于此，公司按前述原则对物流平台建 设项目之物流运营业务发展项目募集资金投入金额进行了调整，调整后的募集资金初始投入额为</w:t>
      </w:r>
      <w:r>
        <w:rPr>
          <w:rFonts w:ascii="Times New Roman" w:eastAsia="Times New Roman" w:hAnsi="Times New Roman" w:cs="Times New Roman"/>
          <w:color w:val="000000"/>
          <w:spacing w:val="0"/>
          <w:w w:val="100"/>
          <w:position w:val="0"/>
        </w:rPr>
        <w:t>3,242,096.0</w:t>
      </w:r>
      <w:r>
        <w:rPr>
          <w:color w:val="000000"/>
          <w:spacing w:val="0"/>
          <w:w w:val="100"/>
          <w:position w:val="0"/>
        </w:rPr>
        <w:t>千元。</w:t>
      </w:r>
    </w:p>
    <w:p>
      <w:pPr>
        <w:pStyle w:val="Style17"/>
        <w:keepNext w:val="0"/>
        <w:keepLines w:val="0"/>
        <w:widowControl w:val="0"/>
        <w:shd w:val="clear" w:color="auto" w:fill="auto"/>
        <w:bidi w:val="0"/>
        <w:spacing w:before="0" w:after="0" w:line="467" w:lineRule="exact"/>
        <w:ind w:left="0" w:right="0" w:firstLine="460"/>
        <w:jc w:val="left"/>
      </w:pPr>
      <w:r>
        <w:rPr>
          <w:color w:val="000000"/>
          <w:spacing w:val="0"/>
          <w:w w:val="100"/>
          <w:position w:val="0"/>
        </w:rPr>
        <w:t>公司第七届董事会第九次会议审议、</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年第二次临时股东大会决议通过《关于变更部分募集资金用途的议案》，同意将物流运营业务发展项目部分 募集资金</w:t>
      </w:r>
      <w:r>
        <w:rPr>
          <w:rFonts w:ascii="Times New Roman" w:eastAsia="Times New Roman" w:hAnsi="Times New Roman" w:cs="Times New Roman"/>
          <w:color w:val="000000"/>
          <w:spacing w:val="0"/>
          <w:w w:val="100"/>
          <w:position w:val="0"/>
        </w:rPr>
        <w:t>100,292.38</w:t>
      </w:r>
      <w:r>
        <w:rPr>
          <w:color w:val="000000"/>
          <w:spacing w:val="0"/>
          <w:w w:val="100"/>
          <w:position w:val="0"/>
        </w:rPr>
        <w:t>万元及物流运输业务发展项目剩余未使用募集资金</w:t>
      </w:r>
      <w:r>
        <w:rPr>
          <w:rFonts w:ascii="Times New Roman" w:eastAsia="Times New Roman" w:hAnsi="Times New Roman" w:cs="Times New Roman"/>
          <w:color w:val="000000"/>
          <w:spacing w:val="0"/>
          <w:w w:val="100"/>
          <w:position w:val="0"/>
        </w:rPr>
        <w:t>114,073.42</w:t>
      </w:r>
      <w:r>
        <w:rPr>
          <w:color w:val="000000"/>
          <w:spacing w:val="0"/>
          <w:w w:val="100"/>
          <w:position w:val="0"/>
        </w:rPr>
        <w:t>万元用于投入公司“新增区域配送中心建设项目（三）”，将物流运营业 务发展项目部分募集资金</w:t>
      </w:r>
      <w:r>
        <w:rPr>
          <w:rFonts w:ascii="Times New Roman" w:eastAsia="Times New Roman" w:hAnsi="Times New Roman" w:cs="Times New Roman"/>
          <w:color w:val="000000"/>
          <w:spacing w:val="0"/>
          <w:w w:val="100"/>
          <w:position w:val="0"/>
        </w:rPr>
        <w:t>53,647.14</w:t>
      </w:r>
      <w:r>
        <w:rPr>
          <w:color w:val="000000"/>
          <w:spacing w:val="0"/>
          <w:w w:val="100"/>
          <w:position w:val="0"/>
        </w:rPr>
        <w:t>万元及租赁店项目部分募集资金</w:t>
      </w:r>
      <w:r>
        <w:rPr>
          <w:rFonts w:ascii="Times New Roman" w:eastAsia="Times New Roman" w:hAnsi="Times New Roman" w:cs="Times New Roman"/>
          <w:color w:val="000000"/>
          <w:spacing w:val="0"/>
          <w:w w:val="100"/>
          <w:position w:val="0"/>
        </w:rPr>
        <w:t>46,352.86</w:t>
      </w:r>
      <w:r>
        <w:rPr>
          <w:color w:val="000000"/>
          <w:spacing w:val="0"/>
          <w:w w:val="100"/>
          <w:position w:val="0"/>
        </w:rPr>
        <w:t xml:space="preserve">万元用于“偿还金融机构贷款项目（二）”，变更后的募集资金投入额为 </w:t>
      </w:r>
      <w:r>
        <w:rPr>
          <w:rFonts w:ascii="Times New Roman" w:eastAsia="Times New Roman" w:hAnsi="Times New Roman" w:cs="Times New Roman"/>
          <w:color w:val="000000"/>
          <w:spacing w:val="0"/>
          <w:w w:val="100"/>
          <w:position w:val="0"/>
        </w:rPr>
        <w:t>170,270.08</w:t>
      </w:r>
      <w:r>
        <w:rPr>
          <w:color w:val="000000"/>
          <w:spacing w:val="0"/>
          <w:w w:val="100"/>
          <w:position w:val="0"/>
        </w:rPr>
        <w:t>万元，本次变更内容详见公司</w:t>
      </w:r>
      <w:r>
        <w:rPr>
          <w:rFonts w:ascii="Times New Roman" w:eastAsia="Times New Roman" w:hAnsi="Times New Roman" w:cs="Times New Roman"/>
          <w:color w:val="000000"/>
          <w:spacing w:val="0"/>
          <w:w w:val="100"/>
          <w:position w:val="0"/>
        </w:rPr>
        <w:t>2020-084</w:t>
      </w:r>
      <w:r>
        <w:rPr>
          <w:color w:val="000000"/>
          <w:spacing w:val="0"/>
          <w:w w:val="100"/>
          <w:position w:val="0"/>
        </w:rPr>
        <w:t>、</w:t>
      </w:r>
      <w:r>
        <w:rPr>
          <w:rFonts w:ascii="Times New Roman" w:eastAsia="Times New Roman" w:hAnsi="Times New Roman" w:cs="Times New Roman"/>
          <w:color w:val="000000"/>
          <w:spacing w:val="0"/>
          <w:w w:val="100"/>
          <w:position w:val="0"/>
        </w:rPr>
        <w:t>2020-086</w:t>
      </w:r>
      <w:r>
        <w:rPr>
          <w:color w:val="000000"/>
          <w:spacing w:val="0"/>
          <w:w w:val="100"/>
          <w:position w:val="0"/>
        </w:rPr>
        <w:t>号公告。</w:t>
      </w:r>
    </w:p>
    <w:p>
      <w:pPr>
        <w:pStyle w:val="Style17"/>
        <w:keepNext w:val="0"/>
        <w:keepLines w:val="0"/>
        <w:widowControl w:val="0"/>
        <w:shd w:val="clear" w:color="auto" w:fill="auto"/>
        <w:bidi w:val="0"/>
        <w:spacing w:before="0" w:after="0" w:line="467" w:lineRule="exact"/>
        <w:ind w:left="0" w:right="0" w:firstLine="4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日公司召开第七届董事会第十五次会议审议通过《关于变更部分募集资金用途的议案》，并于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 次临时股东大会决议通过，同意将部分募投项目剩余募集资金合计</w:t>
      </w:r>
      <w:r>
        <w:rPr>
          <w:rFonts w:ascii="Times New Roman" w:eastAsia="Times New Roman" w:hAnsi="Times New Roman" w:cs="Times New Roman"/>
          <w:color w:val="000000"/>
          <w:spacing w:val="0"/>
          <w:w w:val="100"/>
          <w:position w:val="0"/>
        </w:rPr>
        <w:t>173,250.91</w:t>
      </w:r>
      <w:r>
        <w:rPr>
          <w:color w:val="000000"/>
          <w:spacing w:val="0"/>
          <w:w w:val="100"/>
          <w:position w:val="0"/>
        </w:rPr>
        <w:t>万元用于偿还公司债券项目（二），将部分募集资金项目节余资金（包含产 生的利息）合计</w:t>
      </w:r>
      <w:r>
        <w:rPr>
          <w:rFonts w:ascii="Times New Roman" w:eastAsia="Times New Roman" w:hAnsi="Times New Roman" w:cs="Times New Roman"/>
          <w:color w:val="000000"/>
          <w:spacing w:val="0"/>
          <w:w w:val="100"/>
          <w:position w:val="0"/>
        </w:rPr>
        <w:t>1,975,847.5</w:t>
      </w:r>
      <w:r>
        <w:rPr>
          <w:color w:val="000000"/>
          <w:spacing w:val="0"/>
          <w:w w:val="100"/>
          <w:position w:val="0"/>
        </w:rPr>
        <w:t>千元（具体金额以实际结转时项目专户资金余额为准）用于永久补充流动资金，支持公司主营业务发展。本次项目变更具体 内容详见公司</w:t>
      </w:r>
      <w:r>
        <w:rPr>
          <w:rFonts w:ascii="Times New Roman" w:eastAsia="Times New Roman" w:hAnsi="Times New Roman" w:cs="Times New Roman"/>
          <w:color w:val="000000"/>
          <w:spacing w:val="0"/>
          <w:w w:val="100"/>
          <w:position w:val="0"/>
        </w:rPr>
        <w:t>2021-074</w:t>
      </w:r>
      <w:r>
        <w:rPr>
          <w:color w:val="000000"/>
          <w:spacing w:val="0"/>
          <w:w w:val="100"/>
          <w:position w:val="0"/>
        </w:rPr>
        <w:t>号公告。</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：公司第六届董事会第二十九次会议审议、</w:t>
      </w:r>
      <w:r>
        <w:rPr>
          <w:rFonts w:ascii="Times New Roman" w:eastAsia="Times New Roman" w:hAnsi="Times New Roman" w:cs="Times New Roman"/>
          <w:color w:val="000000"/>
          <w:spacing w:val="0"/>
          <w:w w:val="100"/>
          <w:position w:val="0"/>
        </w:rPr>
        <w:t>2018</w:t>
      </w:r>
      <w:r>
        <w:rPr>
          <w:color w:val="000000"/>
          <w:spacing w:val="0"/>
          <w:w w:val="100"/>
          <w:position w:val="0"/>
        </w:rPr>
        <w:t>年第六次临时股东大会决议通过《关于变更部分募集资金投资用途的议案》，同意将区域配送中 心建设项目部分募集资金</w:t>
      </w:r>
      <w:r>
        <w:rPr>
          <w:rFonts w:ascii="Times New Roman" w:eastAsia="Times New Roman" w:hAnsi="Times New Roman" w:cs="Times New Roman"/>
          <w:color w:val="000000"/>
          <w:spacing w:val="0"/>
          <w:w w:val="100"/>
          <w:position w:val="0"/>
        </w:rPr>
        <w:t>1,600,000.0</w:t>
      </w:r>
      <w:r>
        <w:rPr>
          <w:color w:val="000000"/>
          <w:spacing w:val="0"/>
          <w:w w:val="100"/>
          <w:position w:val="0"/>
        </w:rPr>
        <w:t>千元用于投入公司“新增区域配送中心建设项目”（以下简称“新增区配项目”），将自动化拣选中心项目部分募集资 金</w:t>
      </w:r>
      <w:r>
        <w:rPr>
          <w:rFonts w:ascii="Times New Roman" w:eastAsia="Times New Roman" w:hAnsi="Times New Roman" w:cs="Times New Roman"/>
          <w:color w:val="000000"/>
          <w:spacing w:val="0"/>
          <w:w w:val="100"/>
          <w:position w:val="0"/>
        </w:rPr>
        <w:t>350,000.0</w:t>
      </w:r>
      <w:r>
        <w:rPr>
          <w:color w:val="000000"/>
          <w:spacing w:val="0"/>
          <w:w w:val="100"/>
          <w:position w:val="0"/>
        </w:rPr>
        <w:t>千元用于投入公司新增区配项目。本次项目变更具体内容详见公司</w:t>
      </w:r>
      <w:r>
        <w:rPr>
          <w:rFonts w:ascii="Times New Roman" w:eastAsia="Times New Roman" w:hAnsi="Times New Roman" w:cs="Times New Roman"/>
          <w:color w:val="000000"/>
          <w:spacing w:val="0"/>
          <w:w w:val="100"/>
          <w:position w:val="0"/>
        </w:rPr>
        <w:t>2018-124</w:t>
      </w:r>
      <w:r>
        <w:rPr>
          <w:color w:val="000000"/>
          <w:spacing w:val="0"/>
          <w:w w:val="100"/>
          <w:position w:val="0"/>
        </w:rPr>
        <w:t>、</w:t>
      </w:r>
      <w:r>
        <w:rPr>
          <w:rFonts w:ascii="Times New Roman" w:eastAsia="Times New Roman" w:hAnsi="Times New Roman" w:cs="Times New Roman"/>
          <w:color w:val="000000"/>
          <w:spacing w:val="0"/>
          <w:w w:val="100"/>
          <w:position w:val="0"/>
        </w:rPr>
        <w:t>2018-138</w:t>
      </w:r>
      <w:r>
        <w:rPr>
          <w:color w:val="000000"/>
          <w:spacing w:val="0"/>
          <w:w w:val="100"/>
          <w:position w:val="0"/>
        </w:rPr>
        <w:t>号公告。</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：公司第六届董事会第二十九次会议审议、</w:t>
      </w:r>
      <w:r>
        <w:rPr>
          <w:rFonts w:ascii="Times New Roman" w:eastAsia="Times New Roman" w:hAnsi="Times New Roman" w:cs="Times New Roman"/>
          <w:color w:val="000000"/>
          <w:spacing w:val="0"/>
          <w:w w:val="100"/>
          <w:position w:val="0"/>
        </w:rPr>
        <w:t>2018</w:t>
      </w:r>
      <w:r>
        <w:rPr>
          <w:color w:val="000000"/>
          <w:spacing w:val="0"/>
          <w:w w:val="100"/>
          <w:position w:val="0"/>
        </w:rPr>
        <w:t>年第六次临时股东大会决议通过《关于变更部分募集资金投资用途的议案》，同意将自动化拣选 中心项目部分募集资金</w:t>
      </w:r>
      <w:r>
        <w:rPr>
          <w:rFonts w:ascii="Times New Roman" w:eastAsia="Times New Roman" w:hAnsi="Times New Roman" w:cs="Times New Roman"/>
          <w:color w:val="000000"/>
          <w:spacing w:val="0"/>
          <w:w w:val="100"/>
          <w:position w:val="0"/>
        </w:rPr>
        <w:t>1,220,000.00</w:t>
      </w:r>
      <w:r>
        <w:rPr>
          <w:color w:val="000000"/>
          <w:spacing w:val="0"/>
          <w:w w:val="100"/>
          <w:position w:val="0"/>
        </w:rPr>
        <w:t>千元用于投入公司“物流运输业务发展项目”。本次项目变更具体内容详见公司</w:t>
      </w:r>
      <w:r>
        <w:rPr>
          <w:rFonts w:ascii="Times New Roman" w:eastAsia="Times New Roman" w:hAnsi="Times New Roman" w:cs="Times New Roman"/>
          <w:color w:val="000000"/>
          <w:spacing w:val="0"/>
          <w:w w:val="100"/>
          <w:position w:val="0"/>
        </w:rPr>
        <w:t>2018-124</w:t>
      </w:r>
      <w:r>
        <w:rPr>
          <w:color w:val="000000"/>
          <w:spacing w:val="0"/>
          <w:w w:val="100"/>
          <w:position w:val="0"/>
        </w:rPr>
        <w:t>、</w:t>
      </w:r>
      <w:r>
        <w:rPr>
          <w:rFonts w:ascii="Times New Roman" w:eastAsia="Times New Roman" w:hAnsi="Times New Roman" w:cs="Times New Roman"/>
          <w:color w:val="000000"/>
          <w:spacing w:val="0"/>
          <w:w w:val="100"/>
          <w:position w:val="0"/>
        </w:rPr>
        <w:t>2018-138</w:t>
      </w:r>
      <w:r>
        <w:rPr>
          <w:color w:val="000000"/>
          <w:spacing w:val="0"/>
          <w:w w:val="100"/>
          <w:position w:val="0"/>
        </w:rPr>
        <w:t>号公告。</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公司第七届董事会第九次会议审议、</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年第二次临时股东大会决议通过《关于变更部分募集资金用途的议案》，同意将物流运营业务发展项目部分 募集资金</w:t>
      </w:r>
      <w:r>
        <w:rPr>
          <w:rFonts w:ascii="Times New Roman" w:eastAsia="Times New Roman" w:hAnsi="Times New Roman" w:cs="Times New Roman"/>
          <w:color w:val="000000"/>
          <w:spacing w:val="0"/>
          <w:w w:val="100"/>
          <w:position w:val="0"/>
        </w:rPr>
        <w:t>100,292.38</w:t>
      </w:r>
      <w:r>
        <w:rPr>
          <w:color w:val="000000"/>
          <w:spacing w:val="0"/>
          <w:w w:val="100"/>
          <w:position w:val="0"/>
        </w:rPr>
        <w:t>万元及物流运输业务发展项目剩余未使用募集资金</w:t>
      </w:r>
      <w:r>
        <w:rPr>
          <w:rFonts w:ascii="Times New Roman" w:eastAsia="Times New Roman" w:hAnsi="Times New Roman" w:cs="Times New Roman"/>
          <w:color w:val="000000"/>
          <w:spacing w:val="0"/>
          <w:w w:val="100"/>
          <w:position w:val="0"/>
        </w:rPr>
        <w:t>114,073.42</w:t>
      </w:r>
      <w:r>
        <w:rPr>
          <w:color w:val="000000"/>
          <w:spacing w:val="0"/>
          <w:w w:val="100"/>
          <w:position w:val="0"/>
        </w:rPr>
        <w:t>万元用于投入公司“新增区域配送中心建设项目（三）”，本次变更内容 详见公司</w:t>
      </w:r>
      <w:r>
        <w:rPr>
          <w:rFonts w:ascii="Times New Roman" w:eastAsia="Times New Roman" w:hAnsi="Times New Roman" w:cs="Times New Roman"/>
          <w:color w:val="000000"/>
          <w:spacing w:val="0"/>
          <w:w w:val="100"/>
          <w:position w:val="0"/>
        </w:rPr>
        <w:t>2020-084</w:t>
      </w:r>
      <w:r>
        <w:rPr>
          <w:color w:val="000000"/>
          <w:spacing w:val="0"/>
          <w:w w:val="100"/>
          <w:position w:val="0"/>
        </w:rPr>
        <w:t>、</w:t>
      </w:r>
      <w:r>
        <w:rPr>
          <w:rFonts w:ascii="Times New Roman" w:eastAsia="Times New Roman" w:hAnsi="Times New Roman" w:cs="Times New Roman"/>
          <w:color w:val="000000"/>
          <w:spacing w:val="0"/>
          <w:w w:val="100"/>
          <w:position w:val="0"/>
        </w:rPr>
        <w:t>2020-086</w:t>
      </w:r>
      <w:r>
        <w:rPr>
          <w:color w:val="000000"/>
          <w:spacing w:val="0"/>
          <w:w w:val="100"/>
          <w:position w:val="0"/>
        </w:rPr>
        <w:t>号公告。</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：公司第六届董事会第四十五次会议、</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年第二次临时股东大会决议通过《关于变更部分募集资金用途的议案》，同意将改造店项目全部节余 募集资金</w:t>
      </w:r>
      <w:r>
        <w:rPr>
          <w:rFonts w:ascii="Times New Roman" w:eastAsia="Times New Roman" w:hAnsi="Times New Roman" w:cs="Times New Roman"/>
          <w:color w:val="000000"/>
          <w:spacing w:val="0"/>
          <w:w w:val="100"/>
          <w:position w:val="0"/>
        </w:rPr>
        <w:t>97,792.66</w:t>
      </w:r>
      <w:r>
        <w:rPr>
          <w:color w:val="000000"/>
          <w:spacing w:val="0"/>
          <w:w w:val="100"/>
          <w:position w:val="0"/>
        </w:rPr>
        <w:t>万元、租赁店项目部分募集资金</w:t>
      </w:r>
      <w:r>
        <w:rPr>
          <w:rFonts w:ascii="Times New Roman" w:eastAsia="Times New Roman" w:hAnsi="Times New Roman" w:cs="Times New Roman"/>
          <w:color w:val="000000"/>
          <w:spacing w:val="0"/>
          <w:w w:val="100"/>
          <w:position w:val="0"/>
        </w:rPr>
        <w:t>200,000.00</w:t>
      </w:r>
      <w:r>
        <w:rPr>
          <w:color w:val="000000"/>
          <w:spacing w:val="0"/>
          <w:w w:val="100"/>
          <w:position w:val="0"/>
        </w:rPr>
        <w:t xml:space="preserve">万元用于投入公司“新增区域配送中心建设项目（二）”。本次项目变更具体内容详见公司 </w:t>
      </w:r>
      <w:r>
        <w:rPr>
          <w:rFonts w:ascii="Times New Roman" w:eastAsia="Times New Roman" w:hAnsi="Times New Roman" w:cs="Times New Roman"/>
          <w:color w:val="000000"/>
          <w:spacing w:val="0"/>
          <w:w w:val="100"/>
          <w:position w:val="0"/>
        </w:rPr>
        <w:t>2019-065</w:t>
      </w:r>
      <w:r>
        <w:rPr>
          <w:color w:val="000000"/>
          <w:spacing w:val="0"/>
          <w:w w:val="100"/>
          <w:position w:val="0"/>
        </w:rPr>
        <w:t>、</w:t>
      </w:r>
      <w:r>
        <w:rPr>
          <w:rFonts w:ascii="Times New Roman" w:eastAsia="Times New Roman" w:hAnsi="Times New Roman" w:cs="Times New Roman"/>
          <w:color w:val="000000"/>
          <w:spacing w:val="0"/>
          <w:w w:val="100"/>
          <w:position w:val="0"/>
        </w:rPr>
        <w:t xml:space="preserve">2019-072 </w:t>
      </w:r>
      <w:r>
        <w:rPr>
          <w:color w:val="000000"/>
          <w:spacing w:val="0"/>
          <w:w w:val="100"/>
          <w:position w:val="0"/>
        </w:rPr>
        <w:t>号公告。</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公司第七届董事会第十四次会议、</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年第二次临时股东大会决议通过《关于变更部分募集资金用途的议案》，同意将新增区域配送中心建设项目（二） 剩余部分募集资金</w:t>
      </w:r>
      <w:r>
        <w:rPr>
          <w:rFonts w:ascii="Times New Roman" w:eastAsia="Times New Roman" w:hAnsi="Times New Roman" w:cs="Times New Roman"/>
          <w:color w:val="000000"/>
          <w:spacing w:val="0"/>
          <w:w w:val="100"/>
          <w:position w:val="0"/>
        </w:rPr>
        <w:t>148,916.15</w:t>
      </w:r>
      <w:r>
        <w:rPr>
          <w:color w:val="000000"/>
          <w:spacing w:val="0"/>
          <w:w w:val="100"/>
          <w:position w:val="0"/>
        </w:rPr>
        <w:t>万元用于偿还公司债券项目。本次项目变更具体内容详见公司</w:t>
      </w:r>
      <w:r>
        <w:rPr>
          <w:rFonts w:ascii="Times New Roman" w:eastAsia="Times New Roman" w:hAnsi="Times New Roman" w:cs="Times New Roman"/>
          <w:color w:val="000000"/>
          <w:spacing w:val="0"/>
          <w:w w:val="100"/>
          <w:position w:val="0"/>
        </w:rPr>
        <w:t>2021-056</w:t>
      </w:r>
      <w:r>
        <w:rPr>
          <w:color w:val="000000"/>
          <w:spacing w:val="0"/>
          <w:w w:val="100"/>
          <w:position w:val="0"/>
        </w:rPr>
        <w:t>号公告。</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公司第七届董事会第十五次会议、</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年第三次临时股东大会决议通过《关于变更部分募集资金用途的议案》，同意将部分募投项目剩余募集资金合 计</w:t>
      </w:r>
      <w:r>
        <w:rPr>
          <w:rFonts w:ascii="Times New Roman" w:eastAsia="Times New Roman" w:hAnsi="Times New Roman" w:cs="Times New Roman"/>
          <w:color w:val="000000"/>
          <w:spacing w:val="0"/>
          <w:w w:val="100"/>
          <w:position w:val="0"/>
        </w:rPr>
        <w:t>173,250.91</w:t>
      </w:r>
      <w:r>
        <w:rPr>
          <w:color w:val="000000"/>
          <w:spacing w:val="0"/>
          <w:w w:val="100"/>
          <w:position w:val="0"/>
        </w:rPr>
        <w:t>万元用于偿还公司债券项目（二），将部分募集资金项目节余资金用于永久补充流动资金。本次项目变更具体内容详见公司</w:t>
      </w:r>
      <w:r>
        <w:rPr>
          <w:rFonts w:ascii="Times New Roman" w:eastAsia="Times New Roman" w:hAnsi="Times New Roman" w:cs="Times New Roman"/>
          <w:color w:val="000000"/>
          <w:spacing w:val="0"/>
          <w:w w:val="100"/>
          <w:position w:val="0"/>
        </w:rPr>
        <w:t>2021-074</w:t>
      </w:r>
      <w:r>
        <w:rPr>
          <w:color w:val="000000"/>
          <w:spacing w:val="0"/>
          <w:w w:val="100"/>
          <w:position w:val="0"/>
        </w:rPr>
        <w:t>号公告。</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：公司第五届董事会第四十五次会议审议、</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年第一次临时股东大会决议通过《关于变更部分募集资金投资项目用于收购公司股权的议案》， 同意将购置店项目实施项目变更，其项目剩余未使用募集资金</w:t>
      </w:r>
      <w:r>
        <w:rPr>
          <w:rFonts w:ascii="Times New Roman" w:eastAsia="Times New Roman" w:hAnsi="Times New Roman" w:cs="Times New Roman"/>
          <w:color w:val="000000"/>
          <w:spacing w:val="0"/>
          <w:w w:val="100"/>
          <w:position w:val="0"/>
        </w:rPr>
        <w:t>2,758,490.0</w:t>
      </w:r>
      <w:r>
        <w:rPr>
          <w:color w:val="000000"/>
          <w:spacing w:val="0"/>
          <w:w w:val="100"/>
          <w:position w:val="0"/>
        </w:rPr>
        <w:t>千元用于收购天天快递股权项目。本次项目变更具体内容详见公司</w:t>
      </w:r>
      <w:r>
        <w:rPr>
          <w:rFonts w:ascii="Times New Roman" w:eastAsia="Times New Roman" w:hAnsi="Times New Roman" w:cs="Times New Roman"/>
          <w:color w:val="000000"/>
          <w:spacing w:val="0"/>
          <w:w w:val="100"/>
          <w:position w:val="0"/>
        </w:rPr>
        <w:t>2017-004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2017-008</w:t>
      </w:r>
      <w:r>
        <w:rPr>
          <w:color w:val="000000"/>
          <w:spacing w:val="0"/>
          <w:w w:val="100"/>
          <w:position w:val="0"/>
        </w:rPr>
        <w:t>号公告。</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 xml:space="preserve">：通过自动化拣选中心项目、区域配送中心建设项目、新增区域配送中心建设项目、新增区域配送中心建设项目（二），公司可高效地进行资源 </w:t>
      </w:r>
      <w:r>
        <w:rPr>
          <w:color w:val="000000"/>
          <w:spacing w:val="0"/>
          <w:w w:val="100"/>
          <w:position w:val="0"/>
        </w:rPr>
        <w:t>配置与调度，降低实际运作成本。未来随着物流社会化运作，在满足自用基础上，公司将部分物流仓储对外租赁，获取租金收入。</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物流运营发展项目符合未来公司战略发展方向，具有良好的市场发展前景和经济效益，项目完成后，能够进一步提升公司服务客户、平台商户的能 力和物流响应时间，有效降低物流运营成本，增强公司竞争力。</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物流运输业务发展项目将极大的提高苏宁物流整体的运输及配送能力，有效确保运输的时效性、安全性，同时项目将降低外包运输比例、控制外包 成本，占比较高的新能源物流车也能有效降低运营成本，增强苏宁物流运营能力。</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：租赁店项目、改造店项目、购置店项目全部投资后，将大大充实公司实体门店网络，增强公司在“互联网</w:t>
      </w:r>
      <w:r>
        <w:rPr>
          <w:rFonts w:ascii="Times New Roman" w:eastAsia="Times New Roman" w:hAnsi="Times New Roman" w:cs="Times New Roman"/>
          <w:color w:val="000000"/>
          <w:spacing w:val="0"/>
          <w:w w:val="100"/>
          <w:position w:val="0"/>
        </w:rPr>
        <w:t>+</w:t>
      </w:r>
      <w:r>
        <w:rPr>
          <w:color w:val="000000"/>
          <w:spacing w:val="0"/>
          <w:w w:val="100"/>
          <w:position w:val="0"/>
        </w:rPr>
        <w:t>”竞争环境下的竞争力，实现公司 线上线下融合，进一步提升公司盈利能力；苏宁易购云店品牌推广项目不直接产生经济效益，项目完成后，将有助于提升苏宁易购云店的消费者认同， 公司的品牌价值与形象将得到大幅提升。</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：本次收购天天快递符合未来公司战略发展方向，具有较好的市场前景和经济效益。项目实施完成后，公司与天天快递开展相关业务整合，随着 业务整合效应的凸显，苏宁物流能力得到极大提升，从而带动前台销售效率的提升，有助于提升公司业务发展能力。</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：云计算项目、大数据项目及智能家居项目不直接产生经济效益。云计算项目完成后，公司的云计算研发实力将进一步增强，云计算研发的投入 为公司互联网转型提供了技术和平台支撑，为公司经营规模的持续增长带来了强有力的后台</w:t>
      </w:r>
      <w:r>
        <w:rPr>
          <w:rFonts w:ascii="Times New Roman" w:eastAsia="Times New Roman" w:hAnsi="Times New Roman" w:cs="Times New Roman"/>
          <w:color w:val="000000"/>
          <w:spacing w:val="0"/>
          <w:w w:val="100"/>
          <w:position w:val="0"/>
        </w:rPr>
        <w:t>IT</w:t>
      </w:r>
      <w:r>
        <w:rPr>
          <w:color w:val="000000"/>
          <w:spacing w:val="0"/>
          <w:w w:val="100"/>
          <w:position w:val="0"/>
        </w:rPr>
        <w:t>技术保障；大数据项目完成后，公司在大数据收集、整理、 加工、分析等方面进行系统化建设，为企业发展提供数据决策性支持，大数据研发的投入为公司互联网转型提供了技术和平台支撑，为公司经营规模的 持续增长带来了强有力的后台</w:t>
      </w:r>
      <w:r>
        <w:rPr>
          <w:rFonts w:ascii="Times New Roman" w:eastAsia="Times New Roman" w:hAnsi="Times New Roman" w:cs="Times New Roman"/>
          <w:color w:val="000000"/>
          <w:spacing w:val="0"/>
          <w:w w:val="100"/>
          <w:position w:val="0"/>
        </w:rPr>
        <w:t>IT</w:t>
      </w:r>
      <w:r>
        <w:rPr>
          <w:color w:val="000000"/>
          <w:spacing w:val="0"/>
          <w:w w:val="100"/>
          <w:position w:val="0"/>
        </w:rPr>
        <w:t>技术保障；智能家居项目的实施，一方面，公司将实现在智能家居的布局，分享智能家居行业巨大的市场空间；另一方 面，本项目将有助于建立苏宁易购生产商、零售商、消费者的完整的生态圈，从而进一步提升公司的市场竞争力。</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：本次募集资金用于偿还部分银行贷款后，公司资产负债率有所下降，资产负债结构得到优化，短期财务费用有所下降，公司盈利能力得到加 强，从而保证公司业务的可持续扩张。</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：公司第六届董事会第五十四次会议审议、</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年第一次临时股东大会决议通过《关于变更部分募集资金用途的议案》，同意将租赁店项目部分 募集资金</w:t>
      </w:r>
      <w:r>
        <w:rPr>
          <w:rFonts w:ascii="Times New Roman" w:eastAsia="Times New Roman" w:hAnsi="Times New Roman" w:cs="Times New Roman"/>
          <w:color w:val="000000"/>
          <w:spacing w:val="0"/>
          <w:w w:val="100"/>
          <w:position w:val="0"/>
        </w:rPr>
        <w:t>150,000</w:t>
      </w:r>
      <w:r>
        <w:rPr>
          <w:color w:val="000000"/>
          <w:spacing w:val="0"/>
          <w:w w:val="100"/>
          <w:position w:val="0"/>
        </w:rPr>
        <w:t>万元用于偿还金融机构贷款项目。本次项目变更具体内容详见公司</w:t>
      </w:r>
      <w:r>
        <w:rPr>
          <w:rFonts w:ascii="Times New Roman" w:eastAsia="Times New Roman" w:hAnsi="Times New Roman" w:cs="Times New Roman"/>
          <w:color w:val="000000"/>
          <w:spacing w:val="0"/>
          <w:w w:val="100"/>
          <w:position w:val="0"/>
        </w:rPr>
        <w:t>2020-007</w:t>
      </w:r>
      <w:r>
        <w:rPr>
          <w:color w:val="000000"/>
          <w:spacing w:val="0"/>
          <w:w w:val="100"/>
          <w:position w:val="0"/>
        </w:rPr>
        <w:t>、</w:t>
      </w:r>
      <w:r>
        <w:rPr>
          <w:rFonts w:ascii="Times New Roman" w:eastAsia="Times New Roman" w:hAnsi="Times New Roman" w:cs="Times New Roman"/>
          <w:color w:val="000000"/>
          <w:spacing w:val="0"/>
          <w:w w:val="100"/>
          <w:position w:val="0"/>
        </w:rPr>
        <w:t>2020-019</w:t>
      </w:r>
      <w:r>
        <w:rPr>
          <w:color w:val="000000"/>
          <w:spacing w:val="0"/>
          <w:w w:val="100"/>
          <w:position w:val="0"/>
        </w:rPr>
        <w:t>号公告。</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：补充流动资金项目募集资金主要用于丰富商品，提高</w:t>
      </w:r>
      <w:r>
        <w:rPr>
          <w:rFonts w:ascii="Times New Roman" w:eastAsia="Times New Roman" w:hAnsi="Times New Roman" w:cs="Times New Roman"/>
          <w:color w:val="000000"/>
          <w:spacing w:val="0"/>
          <w:w w:val="100"/>
          <w:position w:val="0"/>
        </w:rPr>
        <w:t>3C</w:t>
      </w:r>
      <w:r>
        <w:rPr>
          <w:color w:val="000000"/>
          <w:spacing w:val="0"/>
          <w:w w:val="100"/>
          <w:position w:val="0"/>
        </w:rPr>
        <w:t>、</w:t>
      </w:r>
      <w:r>
        <w:rPr>
          <w:color w:val="000000"/>
          <w:spacing w:val="0"/>
          <w:w w:val="100"/>
          <w:position w:val="0"/>
        </w:rPr>
        <w:t>母婴、超市采购规模，以支持全品类经营发展；扩大公司差异化采购能力，提升产 品经营的附加值；围绕</w:t>
      </w:r>
      <w:r>
        <w:rPr>
          <w:rFonts w:ascii="Times New Roman" w:eastAsia="Times New Roman" w:hAnsi="Times New Roman" w:cs="Times New Roman"/>
          <w:color w:val="000000"/>
          <w:spacing w:val="0"/>
          <w:w w:val="100"/>
          <w:position w:val="0"/>
        </w:rPr>
        <w:t>O2O</w:t>
      </w:r>
      <w:r>
        <w:rPr>
          <w:color w:val="000000"/>
          <w:spacing w:val="0"/>
          <w:w w:val="100"/>
          <w:position w:val="0"/>
        </w:rPr>
        <w:t>平台的各个环节，加大推广投入，提升</w:t>
      </w:r>
      <w:r>
        <w:rPr>
          <w:rFonts w:ascii="Times New Roman" w:eastAsia="Times New Roman" w:hAnsi="Times New Roman" w:cs="Times New Roman"/>
          <w:color w:val="000000"/>
          <w:spacing w:val="0"/>
          <w:w w:val="100"/>
          <w:position w:val="0"/>
        </w:rPr>
        <w:t>O2O</w:t>
      </w:r>
      <w:r>
        <w:rPr>
          <w:color w:val="000000"/>
          <w:spacing w:val="0"/>
          <w:w w:val="100"/>
          <w:position w:val="0"/>
        </w:rPr>
        <w:t>平台的市场竞争力；进一步加大对开放平台运营能力的投入，制定积极的商户政</w:t>
      </w:r>
      <w:r>
        <w:br w:type="page"/>
      </w:r>
    </w:p>
    <w:p>
      <w:pPr>
        <w:pStyle w:val="Style17"/>
        <w:keepNext w:val="0"/>
        <w:keepLines w:val="0"/>
        <w:widowControl w:val="0"/>
        <w:shd w:val="clear" w:color="auto" w:fill="auto"/>
        <w:bidi w:val="0"/>
        <w:spacing w:before="0" w:after="520" w:line="240" w:lineRule="auto"/>
        <w:ind w:left="0" w:right="0" w:firstLine="0"/>
        <w:jc w:val="left"/>
      </w:pPr>
      <w:r>
        <w:rPr>
          <w:color w:val="000000"/>
          <w:spacing w:val="0"/>
          <w:w w:val="100"/>
          <w:position w:val="0"/>
        </w:rPr>
        <w:t>策，扶植商户发展，提升开放平台的竞争力。</w:t>
      </w:r>
    </w:p>
    <w:p>
      <w:pPr>
        <w:pStyle w:val="Style35"/>
        <w:keepNext/>
        <w:keepLines/>
        <w:widowControl w:val="0"/>
        <w:shd w:val="clear" w:color="auto" w:fill="auto"/>
        <w:bidi w:val="0"/>
        <w:spacing w:before="0" w:after="520" w:line="240" w:lineRule="auto"/>
        <w:ind w:left="0" w:right="0" w:firstLine="0"/>
        <w:jc w:val="left"/>
      </w:pPr>
      <w:bookmarkStart w:id="191" w:name="bookmark191"/>
      <w:bookmarkStart w:id="192" w:name="bookmark192"/>
      <w:bookmarkStart w:id="193" w:name="bookmark193"/>
      <w:r>
        <w:rPr>
          <w:color w:val="000000"/>
          <w:spacing w:val="0"/>
          <w:w w:val="100"/>
          <w:position w:val="0"/>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)募集资金变更项目情况</w:t>
      </w:r>
      <w:bookmarkEnd w:id="191"/>
      <w:bookmarkEnd w:id="192"/>
      <w:bookmarkEnd w:id="193"/>
    </w:p>
    <w:p>
      <w:pPr>
        <w:pStyle w:val="Style55"/>
        <w:keepNext w:val="0"/>
        <w:keepLines w:val="0"/>
        <w:widowControl w:val="0"/>
        <w:numPr>
          <w:ilvl w:val="0"/>
          <w:numId w:val="3"/>
        </w:numPr>
        <w:shd w:val="clear" w:color="auto" w:fill="auto"/>
        <w:bidi w:val="0"/>
        <w:spacing w:before="0" w:after="220" w:line="240" w:lineRule="auto"/>
        <w:ind w:left="0" w:right="0" w:firstLine="440"/>
        <w:jc w:val="left"/>
      </w:pPr>
      <w:bookmarkStart w:id="194" w:name="bookmark194"/>
      <w:bookmarkEnd w:id="194"/>
      <w:r>
        <w:rPr>
          <w:color w:val="000000"/>
          <w:spacing w:val="0"/>
          <w:w w:val="100"/>
          <w:position w:val="0"/>
        </w:rPr>
        <w:t>区域配送中心建设项目和自动化拣选中心项目部分募集资金变更为新增区域配送中心建设项目</w:t>
      </w:r>
    </w:p>
    <w:p>
      <w:pPr>
        <w:pStyle w:val="Style55"/>
        <w:keepNext w:val="0"/>
        <w:keepLines w:val="0"/>
        <w:widowControl w:val="0"/>
        <w:shd w:val="clear" w:color="auto" w:fill="auto"/>
        <w:bidi w:val="0"/>
        <w:spacing w:before="0" w:line="240" w:lineRule="auto"/>
        <w:ind w:left="0" w:right="240" w:firstLine="0"/>
        <w:jc w:val="right"/>
      </w:pPr>
      <w:r>
        <w:rPr>
          <w:color w:val="000000"/>
          <w:spacing w:val="0"/>
          <w:w w:val="100"/>
          <w:position w:val="0"/>
        </w:rPr>
        <w:t>单位：千元</w:t>
      </w:r>
    </w:p>
    <w:tbl>
      <w:tblPr>
        <w:tblOverlap w:val="never"/>
        <w:jc w:val="center"/>
        <w:tblLayout w:type="fixed"/>
      </w:tblPr>
      <w:tblGrid>
        <w:gridCol w:w="984"/>
        <w:gridCol w:w="1464"/>
        <w:gridCol w:w="1704"/>
        <w:gridCol w:w="1646"/>
        <w:gridCol w:w="1848"/>
        <w:gridCol w:w="1435"/>
        <w:gridCol w:w="1435"/>
        <w:gridCol w:w="1142"/>
        <w:gridCol w:w="1138"/>
        <w:gridCol w:w="1454"/>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变更后的 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对应的原承诺项 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变更后项目投入募</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18"/>
                <w:szCs w:val="18"/>
              </w:rPr>
              <w:t>集资金总额</w:t>
            </w:r>
            <w:r>
              <w:rPr>
                <w:color w:val="000000"/>
                <w:spacing w:val="0"/>
                <w:w w:val="100"/>
                <w:position w:val="0"/>
                <w:sz w:val="20"/>
                <w:szCs w:val="20"/>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本报告期实际投 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color w:val="000000"/>
                <w:spacing w:val="0"/>
                <w:w w:val="100"/>
                <w:position w:val="0"/>
                <w:sz w:val="18"/>
                <w:szCs w:val="18"/>
              </w:rPr>
              <w:t>截至期末实际累计 投入金额</w:t>
            </w:r>
            <w:r>
              <w:rPr>
                <w:color w:val="000000"/>
                <w:spacing w:val="0"/>
                <w:w w:val="100"/>
                <w:position w:val="0"/>
                <w:sz w:val="20"/>
                <w:szCs w:val="20"/>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18"/>
                <w:szCs w:val="18"/>
              </w:rPr>
              <w:t>截至期末投资 进度</w:t>
            </w:r>
            <w:r>
              <w:rPr>
                <w:color w:val="000000"/>
                <w:spacing w:val="0"/>
                <w:w w:val="100"/>
                <w:position w:val="0"/>
                <w:sz w:val="20"/>
                <w:szCs w:val="20"/>
              </w:rPr>
              <w:t>(3)=(2)/(1)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项目达到预定</w:t>
            </w:r>
          </w:p>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可使用状态日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本报告期实 现的效益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是否达到预 计效益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变更后的项目</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可行性是否发</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生重大变化</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新增区域</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配送中心</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建设项目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区域配送中心建 设项目、自动化 拣选中心项目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1,949,954.3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2020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4978" w:hRule="exact"/>
        </w:trPr>
        <w:tc>
          <w:tcPr>
            <w:gridSpan w:val="3"/>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100" w:after="80" w:line="240" w:lineRule="auto"/>
              <w:ind w:left="0" w:right="0" w:firstLine="0"/>
              <w:jc w:val="left"/>
              <w:rPr>
                <w:sz w:val="18"/>
                <w:szCs w:val="18"/>
              </w:rPr>
            </w:pPr>
            <w:r>
              <w:rPr>
                <w:rFonts w:ascii="SimSun" w:eastAsia="SimSun" w:hAnsi="SimSun" w:cs="SimSun"/>
                <w:color w:val="000000"/>
                <w:spacing w:val="0"/>
                <w:w w:val="100"/>
                <w:position w:val="0"/>
                <w:sz w:val="18"/>
                <w:szCs w:val="18"/>
              </w:rPr>
              <w:t>变更原因、决策程序及信息披露情况说明</w:t>
            </w:r>
            <w:r>
              <w:rPr>
                <w:color w:val="000000"/>
                <w:spacing w:val="0"/>
                <w:w w:val="100"/>
                <w:position w:val="0"/>
                <w:sz w:val="20"/>
                <w:szCs w:val="20"/>
              </w:rPr>
              <w:t>(</w:t>
            </w:r>
            <w:r>
              <w:rPr>
                <w:rFonts w:ascii="SimSun" w:eastAsia="SimSun" w:hAnsi="SimSun" w:cs="SimSun"/>
                <w:color w:val="000000"/>
                <w:spacing w:val="0"/>
                <w:w w:val="100"/>
                <w:position w:val="0"/>
                <w:sz w:val="18"/>
                <w:szCs w:val="18"/>
              </w:rPr>
              <w:t>分具</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8"/>
                <w:szCs w:val="18"/>
              </w:rPr>
              <w:t>体项目</w:t>
            </w:r>
            <w:r>
              <w:rPr>
                <w:rFonts w:ascii="SimSun" w:eastAsia="SimSun" w:hAnsi="SimSun" w:cs="SimSun"/>
                <w:color w:val="000000"/>
                <w:spacing w:val="0"/>
                <w:w w:val="100"/>
                <w:position w:val="0"/>
                <w:sz w:val="20"/>
                <w:szCs w:val="20"/>
              </w:rPr>
              <w:t>)</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tabs>
                <w:tab w:pos="264" w:val="left"/>
              </w:tabs>
              <w:bidi w:val="0"/>
              <w:spacing w:before="0" w:after="0" w:line="313" w:lineRule="exact"/>
              <w:ind w:left="0" w:right="0" w:firstLine="0"/>
              <w:jc w:val="both"/>
              <w:rPr>
                <w:sz w:val="18"/>
                <w:szCs w:val="18"/>
              </w:rPr>
            </w:pPr>
            <w:r>
              <w:rPr>
                <w:color w:val="000000"/>
                <w:spacing w:val="0"/>
                <w:w w:val="100"/>
                <w:position w:val="0"/>
                <w:sz w:val="20"/>
                <w:szCs w:val="20"/>
              </w:rPr>
              <w:t>1</w:t>
            </w:r>
            <w:r>
              <w:rPr>
                <w:rFonts w:ascii="SimSun" w:eastAsia="SimSun" w:hAnsi="SimSun" w:cs="SimSun"/>
                <w:color w:val="000000"/>
                <w:spacing w:val="0"/>
                <w:w w:val="100"/>
                <w:position w:val="0"/>
                <w:sz w:val="18"/>
                <w:szCs w:val="18"/>
              </w:rPr>
              <w:t>、</w:t>
              <w:tab/>
              <w:t>变更原因</w:t>
            </w:r>
          </w:p>
          <w:p>
            <w:pPr>
              <w:pStyle w:val="Style29"/>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公司根据业务发展的实际需要以及项目建设规划，有序开展募集资金投入，持续推进公司自动化拣选中心和区域配 送中心项目建设，部分自动化拣选中心和区域配送中心已建成交付并投入运营，由于在项目开展过程中，公司积极 实施项目成本管控，同时公司根据项目属地业务的仓储及运力需求实施分批建设，并对建设方案进行合理优化，使 得资金投资规模得到较好的控制。经审慎论证及测算，自动化拣选中心项目和部分区域配送中心项目建设完成后， 预计募集资金会产生一定节余。其中，区域配送中心项目之长春二期区域配送中心项目，由于公司内部业务规划所 需，长春二期实施主体由公司全资子公司长春苏宁电器有限公司(现更名为长春苏宁易购销售有限公司)变更为公 司全资子公司长春苏宁易达物流有限公司实施，募集资金的使用方向和投资内容未发生改变。</w:t>
            </w:r>
          </w:p>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本次公司将区域配送中心项目和将自动化拣选中心项目部分募集资金变更为新增区域配送中心建设项目，将有利于 提高募集资金使用效益，加快公司物流平台建设。</w:t>
            </w:r>
          </w:p>
          <w:p>
            <w:pPr>
              <w:pStyle w:val="Style29"/>
              <w:keepNext w:val="0"/>
              <w:keepLines w:val="0"/>
              <w:widowControl w:val="0"/>
              <w:shd w:val="clear" w:color="auto" w:fill="auto"/>
              <w:tabs>
                <w:tab w:pos="283" w:val="left"/>
              </w:tabs>
              <w:bidi w:val="0"/>
              <w:spacing w:before="0" w:after="0" w:line="313" w:lineRule="exact"/>
              <w:ind w:left="0" w:right="0" w:firstLine="0"/>
              <w:jc w:val="both"/>
              <w:rPr>
                <w:sz w:val="18"/>
                <w:szCs w:val="18"/>
              </w:rPr>
            </w:pPr>
            <w:r>
              <w:rPr>
                <w:color w:val="000000"/>
                <w:spacing w:val="0"/>
                <w:w w:val="100"/>
                <w:position w:val="0"/>
                <w:sz w:val="20"/>
                <w:szCs w:val="20"/>
              </w:rPr>
              <w:t>2</w:t>
            </w:r>
            <w:r>
              <w:rPr>
                <w:rFonts w:ascii="SimSun" w:eastAsia="SimSun" w:hAnsi="SimSun" w:cs="SimSun"/>
                <w:color w:val="000000"/>
                <w:spacing w:val="0"/>
                <w:w w:val="100"/>
                <w:position w:val="0"/>
                <w:sz w:val="18"/>
                <w:szCs w:val="18"/>
              </w:rPr>
              <w:t>、</w:t>
              <w:tab/>
              <w:t>决策程序</w:t>
            </w:r>
          </w:p>
          <w:p>
            <w:pPr>
              <w:pStyle w:val="Style29"/>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公司第六届董事会第二十九次会议、</w:t>
            </w:r>
            <w:r>
              <w:rPr>
                <w:rFonts w:ascii="SimSun" w:eastAsia="SimSun" w:hAnsi="SimSun" w:cs="SimSun"/>
                <w:color w:val="000000"/>
                <w:spacing w:val="0"/>
                <w:w w:val="100"/>
                <w:position w:val="0"/>
                <w:sz w:val="20"/>
                <w:szCs w:val="20"/>
              </w:rPr>
              <w:t>2018</w:t>
            </w:r>
            <w:r>
              <w:rPr>
                <w:rFonts w:ascii="SimSun" w:eastAsia="SimSun" w:hAnsi="SimSun" w:cs="SimSun"/>
                <w:color w:val="000000"/>
                <w:spacing w:val="0"/>
                <w:w w:val="100"/>
                <w:position w:val="0"/>
                <w:sz w:val="18"/>
                <w:szCs w:val="18"/>
              </w:rPr>
              <w:t>年第六次临时股东大会决议通过《关于变更部分募集资金用途的议案》， 公司独立董事、监事会、保荐机构对变更募投项目发表了明确同意的意见。</w:t>
            </w:r>
          </w:p>
          <w:p>
            <w:pPr>
              <w:pStyle w:val="Style29"/>
              <w:keepNext w:val="0"/>
              <w:keepLines w:val="0"/>
              <w:widowControl w:val="0"/>
              <w:shd w:val="clear" w:color="auto" w:fill="auto"/>
              <w:tabs>
                <w:tab w:pos="302" w:val="left"/>
              </w:tabs>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18"/>
                <w:szCs w:val="18"/>
              </w:rPr>
              <w:t>、</w:t>
              <w:tab/>
              <w:t>信息披露情况说明</w:t>
            </w:r>
          </w:p>
          <w:p>
            <w:pPr>
              <w:pStyle w:val="Style29"/>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公司于</w:t>
            </w:r>
            <w:r>
              <w:rPr>
                <w:rFonts w:ascii="SimSun" w:eastAsia="SimSun" w:hAnsi="SimSun" w:cs="SimSun"/>
                <w:color w:val="000000"/>
                <w:spacing w:val="0"/>
                <w:w w:val="100"/>
                <w:position w:val="0"/>
                <w:sz w:val="20"/>
                <w:szCs w:val="20"/>
              </w:rPr>
              <w:t>2018</w:t>
            </w:r>
            <w:r>
              <w:rPr>
                <w:rFonts w:ascii="SimSun" w:eastAsia="SimSun" w:hAnsi="SimSun" w:cs="SimSun"/>
                <w:color w:val="000000"/>
                <w:spacing w:val="0"/>
                <w:w w:val="100"/>
                <w:position w:val="0"/>
                <w:sz w:val="18"/>
                <w:szCs w:val="18"/>
              </w:rPr>
              <w:t>年</w:t>
            </w: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8"/>
                <w:szCs w:val="18"/>
              </w:rPr>
              <w:t>日、</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20"/>
                <w:szCs w:val="20"/>
              </w:rPr>
              <w:t>8</w:t>
            </w:r>
            <w:r>
              <w:rPr>
                <w:rFonts w:ascii="SimSun" w:eastAsia="SimSun" w:hAnsi="SimSun" w:cs="SimSun"/>
                <w:color w:val="000000"/>
                <w:spacing w:val="0"/>
                <w:w w:val="100"/>
                <w:position w:val="0"/>
                <w:sz w:val="18"/>
                <w:szCs w:val="18"/>
              </w:rPr>
              <w:t>日分别在巨潮资讯网、证券日报、证券时报、上海证券报、中国证券报披露了</w:t>
            </w:r>
          </w:p>
        </w:tc>
      </w:tr>
    </w:tbl>
    <w:p>
      <w:pPr>
        <w:spacing w:lineRule="exact" w:line="1"/>
        <w:rPr>
          <w:sz w:val="2"/>
          <w:szCs w:val="2"/>
        </w:rPr>
      </w:pPr>
      <w:r>
        <w:br w:type="page"/>
      </w:r>
    </w:p>
    <w:tbl>
      <w:tblPr>
        <w:tblOverlap w:val="never"/>
        <w:jc w:val="center"/>
        <w:tblLayout w:type="fixed"/>
      </w:tblPr>
      <w:tblGrid>
        <w:gridCol w:w="4152"/>
        <w:gridCol w:w="1009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《关于变更部分募集资金用途的公告》</w:t>
            </w:r>
            <w:r>
              <w:rPr>
                <w:rFonts w:ascii="SimSun" w:eastAsia="SimSun" w:hAnsi="SimSun" w:cs="SimSun"/>
                <w:color w:val="000000"/>
                <w:spacing w:val="0"/>
                <w:w w:val="100"/>
                <w:position w:val="0"/>
                <w:sz w:val="20"/>
                <w:szCs w:val="20"/>
              </w:rPr>
              <w:t>（2018-126</w:t>
            </w:r>
            <w:r>
              <w:rPr>
                <w:rFonts w:ascii="SimSun" w:eastAsia="SimSun" w:hAnsi="SimSun" w:cs="SimSun"/>
                <w:color w:val="000000"/>
                <w:spacing w:val="0"/>
                <w:w w:val="100"/>
                <w:position w:val="0"/>
                <w:sz w:val="18"/>
                <w:szCs w:val="18"/>
              </w:rPr>
              <w:t>号）、《</w:t>
            </w:r>
            <w:r>
              <w:rPr>
                <w:rFonts w:ascii="SimSun" w:eastAsia="SimSun" w:hAnsi="SimSun" w:cs="SimSun"/>
                <w:color w:val="000000"/>
                <w:spacing w:val="0"/>
                <w:w w:val="100"/>
                <w:position w:val="0"/>
                <w:sz w:val="20"/>
                <w:szCs w:val="20"/>
              </w:rPr>
              <w:t>2018</w:t>
            </w:r>
            <w:r>
              <w:rPr>
                <w:rFonts w:ascii="SimSun" w:eastAsia="SimSun" w:hAnsi="SimSun" w:cs="SimSun"/>
                <w:color w:val="000000"/>
                <w:spacing w:val="0"/>
                <w:w w:val="100"/>
                <w:position w:val="0"/>
                <w:sz w:val="18"/>
                <w:szCs w:val="18"/>
              </w:rPr>
              <w:t>年第六次临时股东大会决议公告》</w:t>
            </w:r>
            <w:r>
              <w:rPr>
                <w:rFonts w:ascii="SimSun" w:eastAsia="SimSun" w:hAnsi="SimSun" w:cs="SimSun"/>
                <w:color w:val="000000"/>
                <w:spacing w:val="0"/>
                <w:w w:val="100"/>
                <w:position w:val="0"/>
                <w:sz w:val="20"/>
                <w:szCs w:val="20"/>
              </w:rPr>
              <w:t>（2018-138</w:t>
            </w:r>
            <w:r>
              <w:rPr>
                <w:rFonts w:ascii="SimSun" w:eastAsia="SimSun" w:hAnsi="SimSun" w:cs="SimSun"/>
                <w:color w:val="000000"/>
                <w:spacing w:val="0"/>
                <w:w w:val="100"/>
                <w:position w:val="0"/>
                <w:sz w:val="18"/>
                <w:szCs w:val="18"/>
              </w:rPr>
              <w:t>号）。</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18"/>
                <w:szCs w:val="18"/>
              </w:rPr>
              <w:t>未达到计划进度或预计收益的情况和原因</w:t>
            </w:r>
            <w:r>
              <w:rPr>
                <w:color w:val="000000"/>
                <w:spacing w:val="0"/>
                <w:w w:val="100"/>
                <w:position w:val="0"/>
                <w:sz w:val="20"/>
                <w:szCs w:val="20"/>
              </w:rPr>
              <w:t>（</w:t>
            </w:r>
            <w:r>
              <w:rPr>
                <w:rFonts w:ascii="SimSun" w:eastAsia="SimSun" w:hAnsi="SimSun" w:cs="SimSun"/>
                <w:color w:val="000000"/>
                <w:spacing w:val="0"/>
                <w:w w:val="100"/>
                <w:position w:val="0"/>
                <w:sz w:val="18"/>
                <w:szCs w:val="18"/>
              </w:rPr>
              <w:t>分具 体项目</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变更后的项目可行性发生重大变化的情况说明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bl>
    <w:p>
      <w:pPr>
        <w:widowControl w:val="0"/>
        <w:spacing w:after="659" w:line="1" w:lineRule="exact"/>
      </w:pPr>
    </w:p>
    <w:p>
      <w:pPr>
        <w:pStyle w:val="Style55"/>
        <w:keepNext w:val="0"/>
        <w:keepLines w:val="0"/>
        <w:widowControl w:val="0"/>
        <w:numPr>
          <w:ilvl w:val="0"/>
          <w:numId w:val="3"/>
        </w:numPr>
        <w:shd w:val="clear" w:color="auto" w:fill="auto"/>
        <w:tabs>
          <w:tab w:pos="827" w:val="left"/>
        </w:tabs>
        <w:bidi w:val="0"/>
        <w:spacing w:before="0" w:after="220" w:line="240" w:lineRule="auto"/>
        <w:ind w:left="0" w:right="0" w:firstLine="440"/>
        <w:jc w:val="left"/>
      </w:pPr>
      <w:bookmarkStart w:id="195" w:name="bookmark195"/>
      <w:bookmarkEnd w:id="195"/>
      <w:r>
        <w:rPr>
          <w:color w:val="000000"/>
          <w:spacing w:val="0"/>
          <w:w w:val="100"/>
          <w:position w:val="0"/>
        </w:rPr>
        <w:t>改造店项目全部节余募集资金和租赁店项目部分募集资金变更为新增区域配送中心建设项目（二）</w:t>
      </w:r>
    </w:p>
    <w:p>
      <w:pPr>
        <w:pStyle w:val="Style55"/>
        <w:keepNext w:val="0"/>
        <w:keepLines w:val="0"/>
        <w:widowControl w:val="0"/>
        <w:shd w:val="clear" w:color="auto" w:fill="auto"/>
        <w:bidi w:val="0"/>
        <w:spacing w:before="0" w:line="240" w:lineRule="auto"/>
        <w:ind w:left="0" w:right="240" w:firstLine="0"/>
        <w:jc w:val="right"/>
      </w:pPr>
      <w:r>
        <w:rPr>
          <w:color w:val="000000"/>
          <w:spacing w:val="0"/>
          <w:w w:val="100"/>
          <w:position w:val="0"/>
        </w:rPr>
        <w:t>单位：千元</w:t>
      </w:r>
    </w:p>
    <w:tbl>
      <w:tblPr>
        <w:tblOverlap w:val="never"/>
        <w:jc w:val="center"/>
        <w:tblLayout w:type="fixed"/>
      </w:tblPr>
      <w:tblGrid>
        <w:gridCol w:w="1315"/>
        <w:gridCol w:w="1272"/>
        <w:gridCol w:w="1704"/>
        <w:gridCol w:w="1507"/>
        <w:gridCol w:w="1752"/>
        <w:gridCol w:w="1531"/>
        <w:gridCol w:w="1728"/>
        <w:gridCol w:w="994"/>
        <w:gridCol w:w="994"/>
        <w:gridCol w:w="1454"/>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变更后的项目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对应的原承诺 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变更后项目投入募</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18"/>
                <w:szCs w:val="18"/>
              </w:rPr>
              <w:t>集资金总额</w:t>
            </w:r>
            <w:r>
              <w:rPr>
                <w:color w:val="000000"/>
                <w:spacing w:val="0"/>
                <w:w w:val="100"/>
                <w:position w:val="0"/>
                <w:sz w:val="20"/>
                <w:szCs w:val="20"/>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本报告期实际投 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color w:val="000000"/>
                <w:spacing w:val="0"/>
                <w:w w:val="100"/>
                <w:position w:val="0"/>
                <w:sz w:val="18"/>
                <w:szCs w:val="18"/>
              </w:rPr>
              <w:t>截至期末实际累计 投入金额</w:t>
            </w:r>
            <w:r>
              <w:rPr>
                <w:color w:val="000000"/>
                <w:spacing w:val="0"/>
                <w:w w:val="100"/>
                <w:position w:val="0"/>
                <w:sz w:val="20"/>
                <w:szCs w:val="20"/>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center"/>
              <w:rPr>
                <w:sz w:val="18"/>
                <w:szCs w:val="18"/>
              </w:rPr>
            </w:pPr>
            <w:r>
              <w:rPr>
                <w:rFonts w:ascii="SimSun" w:eastAsia="SimSun" w:hAnsi="SimSun" w:cs="SimSun"/>
                <w:color w:val="000000"/>
                <w:spacing w:val="0"/>
                <w:w w:val="100"/>
                <w:position w:val="0"/>
                <w:sz w:val="18"/>
                <w:szCs w:val="18"/>
              </w:rPr>
              <w:t>截至期末投资进</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18"/>
                <w:szCs w:val="18"/>
              </w:rPr>
              <w:t>度</w:t>
            </w:r>
            <w:r>
              <w:rPr>
                <w:color w:val="000000"/>
                <w:spacing w:val="0"/>
                <w:w w:val="100"/>
                <w:position w:val="0"/>
                <w:sz w:val="20"/>
                <w:szCs w:val="20"/>
              </w:rPr>
              <w:t>（3）=（2）/（1）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项目达到预定可使 用状态日期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本报告期</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实现的效</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是否达到</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预计效益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变更后的项目</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可行性是否发</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生重大变化</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新增区域配送</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中心建设项目</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改造店项目、</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租赁店项目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1,472,739.8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185,499.5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1,472,739.8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2022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4589" w:hRule="exact"/>
        </w:trPr>
        <w:tc>
          <w:tcPr>
            <w:gridSpan w:val="3"/>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18"/>
                <w:szCs w:val="18"/>
              </w:rPr>
              <w:t>变更原因、决策程序及信息披露情况说明</w:t>
            </w:r>
            <w:r>
              <w:rPr>
                <w:color w:val="000000"/>
                <w:spacing w:val="0"/>
                <w:w w:val="100"/>
                <w:position w:val="0"/>
                <w:sz w:val="20"/>
                <w:szCs w:val="20"/>
              </w:rPr>
              <w:t>（</w:t>
            </w:r>
            <w:r>
              <w:rPr>
                <w:rFonts w:ascii="SimSun" w:eastAsia="SimSun" w:hAnsi="SimSun" w:cs="SimSun"/>
                <w:color w:val="000000"/>
                <w:spacing w:val="0"/>
                <w:w w:val="100"/>
                <w:position w:val="0"/>
                <w:sz w:val="18"/>
                <w:szCs w:val="18"/>
              </w:rPr>
              <w:t>分具体 项目</w:t>
            </w:r>
            <w:r>
              <w:rPr>
                <w:rFonts w:ascii="SimSun" w:eastAsia="SimSun" w:hAnsi="SimSun" w:cs="SimSun"/>
                <w:color w:val="000000"/>
                <w:spacing w:val="0"/>
                <w:w w:val="100"/>
                <w:position w:val="0"/>
                <w:sz w:val="20"/>
                <w:szCs w:val="20"/>
              </w:rPr>
              <w:t>）</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tabs>
                <w:tab w:pos="264" w:val="left"/>
              </w:tabs>
              <w:bidi w:val="0"/>
              <w:spacing w:before="0" w:after="0" w:line="312" w:lineRule="exact"/>
              <w:ind w:left="0" w:right="0" w:firstLine="0"/>
              <w:jc w:val="both"/>
              <w:rPr>
                <w:sz w:val="18"/>
                <w:szCs w:val="18"/>
              </w:rPr>
            </w:pPr>
            <w:r>
              <w:rPr>
                <w:color w:val="000000"/>
                <w:spacing w:val="0"/>
                <w:w w:val="100"/>
                <w:position w:val="0"/>
                <w:sz w:val="20"/>
                <w:szCs w:val="20"/>
              </w:rPr>
              <w:t>1</w:t>
            </w:r>
            <w:r>
              <w:rPr>
                <w:rFonts w:ascii="SimSun" w:eastAsia="SimSun" w:hAnsi="SimSun" w:cs="SimSun"/>
                <w:color w:val="000000"/>
                <w:spacing w:val="0"/>
                <w:w w:val="100"/>
                <w:position w:val="0"/>
                <w:sz w:val="18"/>
                <w:szCs w:val="18"/>
              </w:rPr>
              <w:t>、</w:t>
              <w:tab/>
              <w:t>变更原因</w:t>
            </w:r>
          </w:p>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公司根据业务发展的实际需要以及项目建设规划，有序开展公司租赁店项目和改造店项目的募集资金投入，推进 公司互联网门店苏宁易购云店的开设和改造，通过对</w:t>
            </w:r>
            <w:r>
              <w:rPr>
                <w:color w:val="000000"/>
                <w:spacing w:val="0"/>
                <w:w w:val="100"/>
                <w:position w:val="0"/>
                <w:sz w:val="20"/>
                <w:szCs w:val="20"/>
              </w:rPr>
              <w:t>202</w:t>
            </w:r>
            <w:r>
              <w:rPr>
                <w:rFonts w:ascii="SimSun" w:eastAsia="SimSun" w:hAnsi="SimSun" w:cs="SimSun"/>
                <w:color w:val="000000"/>
                <w:spacing w:val="0"/>
                <w:w w:val="100"/>
                <w:position w:val="0"/>
                <w:sz w:val="18"/>
                <w:szCs w:val="18"/>
              </w:rPr>
              <w:t>家门店改造升级，通过互联网、物联网、人工智能等技 术的运用，进一步促进公司线上线下场景的融合，提升了门店规模盈利能力。同时公司围绕全国范围内的核心商 圈开设云店，加强获客能力，完善线下门店网络布局，截至</w:t>
            </w:r>
            <w:r>
              <w:rPr>
                <w:color w:val="000000"/>
                <w:spacing w:val="0"/>
                <w:w w:val="100"/>
                <w:position w:val="0"/>
                <w:sz w:val="20"/>
                <w:szCs w:val="20"/>
              </w:rPr>
              <w:t>2019</w:t>
            </w:r>
            <w:r>
              <w:rPr>
                <w:rFonts w:ascii="SimSun" w:eastAsia="SimSun" w:hAnsi="SimSun" w:cs="SimSun"/>
                <w:color w:val="000000"/>
                <w:spacing w:val="0"/>
                <w:w w:val="100"/>
                <w:position w:val="0"/>
                <w:sz w:val="18"/>
                <w:szCs w:val="18"/>
              </w:rPr>
              <w:t>年</w:t>
            </w:r>
            <w:r>
              <w:rPr>
                <w:color w:val="000000"/>
                <w:spacing w:val="0"/>
                <w:w w:val="100"/>
                <w:position w:val="0"/>
                <w:sz w:val="20"/>
                <w:szCs w:val="20"/>
              </w:rPr>
              <w:t>5</w:t>
            </w:r>
            <w:r>
              <w:rPr>
                <w:rFonts w:ascii="SimSun" w:eastAsia="SimSun" w:hAnsi="SimSun" w:cs="SimSun"/>
                <w:color w:val="000000"/>
                <w:spacing w:val="0"/>
                <w:w w:val="100"/>
                <w:position w:val="0"/>
                <w:sz w:val="18"/>
                <w:szCs w:val="18"/>
              </w:rPr>
              <w:t>月</w:t>
            </w:r>
            <w:r>
              <w:rPr>
                <w:color w:val="000000"/>
                <w:spacing w:val="0"/>
                <w:w w:val="100"/>
                <w:position w:val="0"/>
                <w:sz w:val="20"/>
                <w:szCs w:val="20"/>
              </w:rPr>
              <w:t>31</w:t>
            </w:r>
            <w:r>
              <w:rPr>
                <w:rFonts w:ascii="SimSun" w:eastAsia="SimSun" w:hAnsi="SimSun" w:cs="SimSun"/>
                <w:color w:val="000000"/>
                <w:spacing w:val="0"/>
                <w:w w:val="100"/>
                <w:position w:val="0"/>
                <w:sz w:val="18"/>
                <w:szCs w:val="18"/>
              </w:rPr>
              <w:t xml:space="preserve">日租赁店项目投入募资资金新开云店 </w:t>
            </w:r>
            <w:r>
              <w:rPr>
                <w:color w:val="000000"/>
                <w:spacing w:val="0"/>
                <w:w w:val="100"/>
                <w:position w:val="0"/>
                <w:sz w:val="20"/>
                <w:szCs w:val="20"/>
              </w:rPr>
              <w:t>143</w:t>
            </w:r>
            <w:r>
              <w:rPr>
                <w:rFonts w:ascii="SimSun" w:eastAsia="SimSun" w:hAnsi="SimSun" w:cs="SimSun"/>
                <w:color w:val="000000"/>
                <w:spacing w:val="0"/>
                <w:w w:val="100"/>
                <w:position w:val="0"/>
                <w:sz w:val="18"/>
                <w:szCs w:val="18"/>
              </w:rPr>
              <w:t>家。由于受到行业发展变化带来的影响，在项目开展过程中，公司通过合理规划设计使得前述项目资金投资规 模得到较好的控制，此外受店面资源的稀缺性、商圈位置布局等影响，租赁店项目开店速度有所放缓，公司将结 合开店计划，有序推进公司云店的开设。为提升募集资金使用效率，减少募集资金闲置，公司将部分募集资金用 于物流基础设施建设，提升公司物流业务的发展能力，为公司零售业务提供基础设施支撑。本次变更后的募集资 金用途仍为支持公司主营业务的开展。公司将持续关注消费者需求，加大在后台购物流程的优化、信息系统的流 畅、物流时效的满足、售后服务的需求等方面的投入，致力于不断提升消费者购物体验。</w:t>
            </w:r>
          </w:p>
          <w:p>
            <w:pPr>
              <w:pStyle w:val="Style29"/>
              <w:keepNext w:val="0"/>
              <w:keepLines w:val="0"/>
              <w:widowControl w:val="0"/>
              <w:shd w:val="clear" w:color="auto" w:fill="auto"/>
              <w:tabs>
                <w:tab w:pos="283" w:val="left"/>
              </w:tabs>
              <w:bidi w:val="0"/>
              <w:spacing w:before="0" w:after="0" w:line="312" w:lineRule="exact"/>
              <w:ind w:left="0" w:right="0" w:firstLine="0"/>
              <w:jc w:val="both"/>
              <w:rPr>
                <w:sz w:val="18"/>
                <w:szCs w:val="18"/>
              </w:rPr>
            </w:pPr>
            <w:r>
              <w:rPr>
                <w:color w:val="000000"/>
                <w:spacing w:val="0"/>
                <w:w w:val="100"/>
                <w:position w:val="0"/>
                <w:sz w:val="20"/>
                <w:szCs w:val="20"/>
              </w:rPr>
              <w:t>2</w:t>
            </w:r>
            <w:r>
              <w:rPr>
                <w:rFonts w:ascii="SimSun" w:eastAsia="SimSun" w:hAnsi="SimSun" w:cs="SimSun"/>
                <w:color w:val="000000"/>
                <w:spacing w:val="0"/>
                <w:w w:val="100"/>
                <w:position w:val="0"/>
                <w:sz w:val="18"/>
                <w:szCs w:val="18"/>
              </w:rPr>
              <w:t>、</w:t>
              <w:tab/>
              <w:t>决策程序</w:t>
            </w:r>
          </w:p>
          <w:p>
            <w:pPr>
              <w:pStyle w:val="Style29"/>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公司第六届董事会第四十五次会议、</w:t>
            </w:r>
            <w:r>
              <w:rPr>
                <w:rFonts w:ascii="SimSun" w:eastAsia="SimSun" w:hAnsi="SimSun" w:cs="SimSun"/>
                <w:color w:val="000000"/>
                <w:spacing w:val="0"/>
                <w:w w:val="100"/>
                <w:position w:val="0"/>
                <w:sz w:val="20"/>
                <w:szCs w:val="20"/>
              </w:rPr>
              <w:t>2019</w:t>
            </w:r>
            <w:r>
              <w:rPr>
                <w:rFonts w:ascii="SimSun" w:eastAsia="SimSun" w:hAnsi="SimSun" w:cs="SimSun"/>
                <w:color w:val="000000"/>
                <w:spacing w:val="0"/>
                <w:w w:val="100"/>
                <w:position w:val="0"/>
                <w:sz w:val="18"/>
                <w:szCs w:val="18"/>
              </w:rPr>
              <w:t>年第二次临时股东大会决议通过《关于变更部分募集资金用途的议案》， 公司独立董事、监事会、保荐机构对变更募投项目发表了明确同意的意见。</w:t>
            </w:r>
          </w:p>
        </w:tc>
      </w:tr>
    </w:tbl>
    <w:p>
      <w:pPr>
        <w:spacing w:lineRule="exact" w:line="1"/>
        <w:rPr>
          <w:sz w:val="2"/>
          <w:szCs w:val="2"/>
        </w:rPr>
      </w:pPr>
      <w:r>
        <w:br w:type="page"/>
      </w:r>
    </w:p>
    <w:tbl>
      <w:tblPr>
        <w:tblOverlap w:val="never"/>
        <w:jc w:val="center"/>
        <w:tblLayout w:type="fixed"/>
      </w:tblPr>
      <w:tblGrid>
        <w:gridCol w:w="4291"/>
        <w:gridCol w:w="9960"/>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18"/>
                <w:szCs w:val="18"/>
              </w:rPr>
              <w:t>、信息披露情况说明</w:t>
            </w:r>
          </w:p>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公司于</w:t>
            </w:r>
            <w:r>
              <w:rPr>
                <w:rFonts w:ascii="SimSun" w:eastAsia="SimSun" w:hAnsi="SimSun" w:cs="SimSun"/>
                <w:color w:val="000000"/>
                <w:spacing w:val="0"/>
                <w:w w:val="100"/>
                <w:position w:val="0"/>
                <w:sz w:val="20"/>
                <w:szCs w:val="20"/>
              </w:rPr>
              <w:t>2019</w:t>
            </w:r>
            <w:r>
              <w:rPr>
                <w:rFonts w:ascii="SimSun" w:eastAsia="SimSun" w:hAnsi="SimSun" w:cs="SimSun"/>
                <w:color w:val="000000"/>
                <w:spacing w:val="0"/>
                <w:w w:val="100"/>
                <w:position w:val="0"/>
                <w:sz w:val="18"/>
                <w:szCs w:val="18"/>
              </w:rPr>
              <w:t>年</w:t>
            </w:r>
            <w:r>
              <w:rPr>
                <w:rFonts w:ascii="SimSun" w:eastAsia="SimSun" w:hAnsi="SimSun" w:cs="SimSun"/>
                <w:color w:val="000000"/>
                <w:spacing w:val="0"/>
                <w:w w:val="100"/>
                <w:position w:val="0"/>
                <w:sz w:val="20"/>
                <w:szCs w:val="20"/>
              </w:rPr>
              <w:t>6</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20"/>
                <w:szCs w:val="20"/>
              </w:rPr>
              <w:t>29</w:t>
            </w:r>
            <w:r>
              <w:rPr>
                <w:rFonts w:ascii="SimSun" w:eastAsia="SimSun" w:hAnsi="SimSun" w:cs="SimSun"/>
                <w:color w:val="000000"/>
                <w:spacing w:val="0"/>
                <w:w w:val="100"/>
                <w:position w:val="0"/>
                <w:sz w:val="18"/>
                <w:szCs w:val="18"/>
              </w:rPr>
              <w:t>日、</w:t>
            </w:r>
            <w:r>
              <w:rPr>
                <w:rFonts w:ascii="SimSun" w:eastAsia="SimSun" w:hAnsi="SimSun" w:cs="SimSun"/>
                <w:color w:val="000000"/>
                <w:spacing w:val="0"/>
                <w:w w:val="100"/>
                <w:position w:val="0"/>
                <w:sz w:val="20"/>
                <w:szCs w:val="20"/>
              </w:rPr>
              <w:t>7</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20"/>
                <w:szCs w:val="20"/>
              </w:rPr>
              <w:t>16</w:t>
            </w:r>
            <w:r>
              <w:rPr>
                <w:rFonts w:ascii="SimSun" w:eastAsia="SimSun" w:hAnsi="SimSun" w:cs="SimSun"/>
                <w:color w:val="000000"/>
                <w:spacing w:val="0"/>
                <w:w w:val="100"/>
                <w:position w:val="0"/>
                <w:sz w:val="18"/>
                <w:szCs w:val="18"/>
              </w:rPr>
              <w:t>日分别在巨潮资讯网、证券日报、证券时报、上海证券报、中国证券报披露了 《关于变更部分募集资金用途的公告》</w:t>
            </w:r>
            <w:r>
              <w:rPr>
                <w:rFonts w:ascii="SimSun" w:eastAsia="SimSun" w:hAnsi="SimSun" w:cs="SimSun"/>
                <w:color w:val="000000"/>
                <w:spacing w:val="0"/>
                <w:w w:val="100"/>
                <w:position w:val="0"/>
                <w:sz w:val="20"/>
                <w:szCs w:val="20"/>
              </w:rPr>
              <w:t>（2019-065</w:t>
            </w:r>
            <w:r>
              <w:rPr>
                <w:rFonts w:ascii="SimSun" w:eastAsia="SimSun" w:hAnsi="SimSun" w:cs="SimSun"/>
                <w:color w:val="000000"/>
                <w:spacing w:val="0"/>
                <w:w w:val="100"/>
                <w:position w:val="0"/>
                <w:sz w:val="18"/>
                <w:szCs w:val="18"/>
              </w:rPr>
              <w:t>号）、《</w:t>
            </w:r>
            <w:r>
              <w:rPr>
                <w:rFonts w:ascii="SimSun" w:eastAsia="SimSun" w:hAnsi="SimSun" w:cs="SimSun"/>
                <w:color w:val="000000"/>
                <w:spacing w:val="0"/>
                <w:w w:val="100"/>
                <w:position w:val="0"/>
                <w:sz w:val="20"/>
                <w:szCs w:val="20"/>
              </w:rPr>
              <w:t>2019</w:t>
            </w:r>
            <w:r>
              <w:rPr>
                <w:rFonts w:ascii="SimSun" w:eastAsia="SimSun" w:hAnsi="SimSun" w:cs="SimSun"/>
                <w:color w:val="000000"/>
                <w:spacing w:val="0"/>
                <w:w w:val="100"/>
                <w:position w:val="0"/>
                <w:sz w:val="18"/>
                <w:szCs w:val="18"/>
              </w:rPr>
              <w:t>年第二次临时股东大会决议公告》</w:t>
            </w:r>
            <w:r>
              <w:rPr>
                <w:rFonts w:ascii="SimSun" w:eastAsia="SimSun" w:hAnsi="SimSun" w:cs="SimSun"/>
                <w:color w:val="000000"/>
                <w:spacing w:val="0"/>
                <w:w w:val="100"/>
                <w:position w:val="0"/>
                <w:sz w:val="20"/>
                <w:szCs w:val="20"/>
              </w:rPr>
              <w:t>（2019-072</w:t>
            </w:r>
            <w:r>
              <w:rPr>
                <w:rFonts w:ascii="SimSun" w:eastAsia="SimSun" w:hAnsi="SimSun" w:cs="SimSun"/>
                <w:color w:val="000000"/>
                <w:spacing w:val="0"/>
                <w:w w:val="100"/>
                <w:position w:val="0"/>
                <w:sz w:val="18"/>
                <w:szCs w:val="18"/>
              </w:rPr>
              <w:t>号）。</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18"/>
                <w:szCs w:val="18"/>
              </w:rPr>
              <w:t>未达到计划进度或预计收益的情况和原因</w:t>
            </w:r>
            <w:r>
              <w:rPr>
                <w:color w:val="000000"/>
                <w:spacing w:val="0"/>
                <w:w w:val="100"/>
                <w:position w:val="0"/>
                <w:sz w:val="20"/>
                <w:szCs w:val="20"/>
              </w:rPr>
              <w:t>（</w:t>
            </w:r>
            <w:r>
              <w:rPr>
                <w:rFonts w:ascii="SimSun" w:eastAsia="SimSun" w:hAnsi="SimSun" w:cs="SimSun"/>
                <w:color w:val="000000"/>
                <w:spacing w:val="0"/>
                <w:w w:val="100"/>
                <w:position w:val="0"/>
                <w:sz w:val="18"/>
                <w:szCs w:val="18"/>
              </w:rPr>
              <w:t>分具 体项目</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无</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变更后的项目可行性发生重大变化的情况说明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无</w:t>
            </w:r>
          </w:p>
        </w:tc>
      </w:tr>
    </w:tbl>
    <w:p>
      <w:pPr>
        <w:widowControl w:val="0"/>
        <w:spacing w:after="659" w:line="1" w:lineRule="exact"/>
      </w:pPr>
    </w:p>
    <w:p>
      <w:pPr>
        <w:pStyle w:val="Style55"/>
        <w:keepNext w:val="0"/>
        <w:keepLines w:val="0"/>
        <w:widowControl w:val="0"/>
        <w:numPr>
          <w:ilvl w:val="0"/>
          <w:numId w:val="3"/>
        </w:numPr>
        <w:shd w:val="clear" w:color="auto" w:fill="auto"/>
        <w:tabs>
          <w:tab w:pos="827" w:val="left"/>
        </w:tabs>
        <w:bidi w:val="0"/>
        <w:spacing w:before="0" w:after="200" w:line="240" w:lineRule="auto"/>
        <w:ind w:left="0" w:right="0" w:firstLine="440"/>
        <w:jc w:val="left"/>
      </w:pPr>
      <w:bookmarkStart w:id="196" w:name="bookmark196"/>
      <w:bookmarkEnd w:id="196"/>
      <w:r>
        <w:rPr>
          <w:color w:val="000000"/>
          <w:spacing w:val="0"/>
          <w:w w:val="100"/>
          <w:position w:val="0"/>
        </w:rPr>
        <w:t>物流运营业务发展项目部分募集资金及物流运输业务发展项目剩余未使用募集资金变更为新增区域配送中心建设项目（三）</w:t>
      </w:r>
    </w:p>
    <w:p>
      <w:pPr>
        <w:pStyle w:val="Style26"/>
        <w:keepNext w:val="0"/>
        <w:keepLines w:val="0"/>
        <w:widowControl w:val="0"/>
        <w:shd w:val="clear" w:color="auto" w:fill="auto"/>
        <w:bidi w:val="0"/>
        <w:spacing w:before="0" w:after="0" w:line="240" w:lineRule="auto"/>
        <w:ind w:left="12979" w:right="0" w:firstLine="0"/>
        <w:jc w:val="left"/>
        <w:rPr>
          <w:sz w:val="18"/>
          <w:szCs w:val="18"/>
        </w:rPr>
      </w:pPr>
      <w:r>
        <w:rPr>
          <w:color w:val="000000"/>
          <w:spacing w:val="0"/>
          <w:w w:val="100"/>
          <w:position w:val="0"/>
          <w:sz w:val="18"/>
          <w:szCs w:val="18"/>
        </w:rPr>
        <w:t>单位：千元</w:t>
      </w:r>
    </w:p>
    <w:tbl>
      <w:tblPr>
        <w:tblOverlap w:val="never"/>
        <w:jc w:val="center"/>
        <w:tblLayout w:type="fixed"/>
      </w:tblPr>
      <w:tblGrid>
        <w:gridCol w:w="1598"/>
        <w:gridCol w:w="1416"/>
        <w:gridCol w:w="1277"/>
        <w:gridCol w:w="1507"/>
        <w:gridCol w:w="1843"/>
        <w:gridCol w:w="1435"/>
        <w:gridCol w:w="1435"/>
        <w:gridCol w:w="1291"/>
        <w:gridCol w:w="994"/>
        <w:gridCol w:w="1454"/>
      </w:tblGrid>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变更后的项目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对应的原承诺 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变更后项目投</w:t>
            </w:r>
          </w:p>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入募集资金总 额⑴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本报告期实际投 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color w:val="000000"/>
                <w:spacing w:val="0"/>
                <w:w w:val="100"/>
                <w:position w:val="0"/>
                <w:sz w:val="18"/>
                <w:szCs w:val="18"/>
              </w:rPr>
              <w:t>截至期末实际累计 投入金额</w:t>
            </w:r>
            <w:r>
              <w:rPr>
                <w:color w:val="000000"/>
                <w:spacing w:val="0"/>
                <w:w w:val="100"/>
                <w:position w:val="0"/>
                <w:sz w:val="20"/>
                <w:szCs w:val="20"/>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18"/>
                <w:szCs w:val="18"/>
              </w:rPr>
              <w:t>截至期末投资 进度</w:t>
            </w:r>
            <w:r>
              <w:rPr>
                <w:color w:val="000000"/>
                <w:spacing w:val="0"/>
                <w:w w:val="100"/>
                <w:position w:val="0"/>
                <w:sz w:val="20"/>
                <w:szCs w:val="20"/>
              </w:rPr>
              <w:t>（3）=（2）/（1）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项目达到预定</w:t>
            </w:r>
          </w:p>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可使用状态日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本报告期实现 的效益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是否达到</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预计效益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变更后的项目</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可行性是否发</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生重大变化</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新增区域配送中 心建设项目（三）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物流运营业务 发展项目、物流 运输业务发展 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843,696.0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843,696.0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843,696.0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2022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379" w:hRule="exact"/>
        </w:trPr>
        <w:tc>
          <w:tcPr>
            <w:gridSpan w:val="3"/>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18"/>
                <w:szCs w:val="18"/>
              </w:rPr>
              <w:t>变更原因、决策程序及信息披露情况说明</w:t>
            </w:r>
            <w:r>
              <w:rPr>
                <w:color w:val="000000"/>
                <w:spacing w:val="0"/>
                <w:w w:val="100"/>
                <w:position w:val="0"/>
                <w:sz w:val="20"/>
                <w:szCs w:val="20"/>
              </w:rPr>
              <w:t>（</w:t>
            </w:r>
            <w:r>
              <w:rPr>
                <w:rFonts w:ascii="SimSun" w:eastAsia="SimSun" w:hAnsi="SimSun" w:cs="SimSun"/>
                <w:color w:val="000000"/>
                <w:spacing w:val="0"/>
                <w:w w:val="100"/>
                <w:position w:val="0"/>
                <w:sz w:val="18"/>
                <w:szCs w:val="18"/>
              </w:rPr>
              <w:t>分具体 项目</w:t>
            </w:r>
            <w:r>
              <w:rPr>
                <w:rFonts w:ascii="SimSun" w:eastAsia="SimSun" w:hAnsi="SimSun" w:cs="SimSun"/>
                <w:color w:val="000000"/>
                <w:spacing w:val="0"/>
                <w:w w:val="100"/>
                <w:position w:val="0"/>
                <w:sz w:val="20"/>
                <w:szCs w:val="20"/>
              </w:rPr>
              <w:t>）</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tabs>
                <w:tab w:pos="264" w:val="left"/>
              </w:tabs>
              <w:bidi w:val="0"/>
              <w:spacing w:before="0" w:after="0" w:line="312" w:lineRule="exact"/>
              <w:ind w:left="0" w:right="0" w:firstLine="0"/>
              <w:jc w:val="both"/>
              <w:rPr>
                <w:sz w:val="18"/>
                <w:szCs w:val="18"/>
              </w:rPr>
            </w:pPr>
            <w:r>
              <w:rPr>
                <w:color w:val="000000"/>
                <w:spacing w:val="0"/>
                <w:w w:val="100"/>
                <w:position w:val="0"/>
                <w:sz w:val="20"/>
                <w:szCs w:val="20"/>
              </w:rPr>
              <w:t>1</w:t>
            </w:r>
            <w:r>
              <w:rPr>
                <w:rFonts w:ascii="SimSun" w:eastAsia="SimSun" w:hAnsi="SimSun" w:cs="SimSun"/>
                <w:color w:val="000000"/>
                <w:spacing w:val="0"/>
                <w:w w:val="100"/>
                <w:position w:val="0"/>
                <w:sz w:val="18"/>
                <w:szCs w:val="18"/>
              </w:rPr>
              <w:t>、</w:t>
              <w:tab/>
              <w:t>变更原因</w:t>
            </w:r>
          </w:p>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公司根据业务发展的实际需要以及项目实施规划，有序开展募集资金投入，持续推进公司物流运营业务发展项目 和物流运输业务发展项目。由于在项目开展过程中，公司加强项目管理，合理规划资金使用，结合公司物流业务 发展规划，将募集资金有序优先投入项目中，为此，本次将物流运营业务发展项目部分募集资金和物流运输业务 发展项目剩余资金优先投入新增区域配送中心建设项目</w:t>
            </w:r>
            <w:r>
              <w:rPr>
                <w:color w:val="000000"/>
                <w:spacing w:val="0"/>
                <w:w w:val="100"/>
                <w:position w:val="0"/>
                <w:sz w:val="20"/>
                <w:szCs w:val="20"/>
              </w:rPr>
              <w:t>（</w:t>
            </w:r>
            <w:r>
              <w:rPr>
                <w:rFonts w:ascii="SimSun" w:eastAsia="SimSun" w:hAnsi="SimSun" w:cs="SimSun"/>
                <w:color w:val="000000"/>
                <w:spacing w:val="0"/>
                <w:w w:val="100"/>
                <w:position w:val="0"/>
                <w:sz w:val="18"/>
                <w:szCs w:val="18"/>
              </w:rPr>
              <w:t>三</w:t>
            </w:r>
            <w:r>
              <w:rPr>
                <w:color w:val="000000"/>
                <w:spacing w:val="0"/>
                <w:w w:val="100"/>
                <w:position w:val="0"/>
                <w:sz w:val="20"/>
                <w:szCs w:val="20"/>
              </w:rPr>
              <w:t>）</w:t>
            </w:r>
            <w:r>
              <w:rPr>
                <w:rFonts w:ascii="SimSun" w:eastAsia="SimSun" w:hAnsi="SimSun" w:cs="SimSun"/>
                <w:color w:val="000000"/>
                <w:spacing w:val="0"/>
                <w:w w:val="100"/>
                <w:position w:val="0"/>
                <w:sz w:val="18"/>
                <w:szCs w:val="18"/>
              </w:rPr>
              <w:t>，将有利于加快物流基地建设，为公司零售业务提供物 流基础设施支撑。</w:t>
            </w:r>
          </w:p>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本次变更后的募集资金用途仍为支持公司主营业务的开展。</w:t>
            </w:r>
          </w:p>
          <w:p>
            <w:pPr>
              <w:pStyle w:val="Style29"/>
              <w:keepNext w:val="0"/>
              <w:keepLines w:val="0"/>
              <w:widowControl w:val="0"/>
              <w:shd w:val="clear" w:color="auto" w:fill="auto"/>
              <w:tabs>
                <w:tab w:pos="283" w:val="left"/>
              </w:tabs>
              <w:bidi w:val="0"/>
              <w:spacing w:before="0" w:after="0" w:line="312" w:lineRule="exact"/>
              <w:ind w:left="0" w:right="0" w:firstLine="0"/>
              <w:jc w:val="both"/>
              <w:rPr>
                <w:sz w:val="18"/>
                <w:szCs w:val="18"/>
              </w:rPr>
            </w:pPr>
            <w:r>
              <w:rPr>
                <w:color w:val="000000"/>
                <w:spacing w:val="0"/>
                <w:w w:val="100"/>
                <w:position w:val="0"/>
                <w:sz w:val="20"/>
                <w:szCs w:val="20"/>
              </w:rPr>
              <w:t>2</w:t>
            </w:r>
            <w:r>
              <w:rPr>
                <w:rFonts w:ascii="SimSun" w:eastAsia="SimSun" w:hAnsi="SimSun" w:cs="SimSun"/>
                <w:color w:val="000000"/>
                <w:spacing w:val="0"/>
                <w:w w:val="100"/>
                <w:position w:val="0"/>
                <w:sz w:val="18"/>
                <w:szCs w:val="18"/>
              </w:rPr>
              <w:t>、</w:t>
              <w:tab/>
              <w:t>决策程序</w:t>
            </w:r>
          </w:p>
          <w:p>
            <w:pPr>
              <w:pStyle w:val="Style29"/>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公司第七届董事会第九次会议、</w:t>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18"/>
                <w:szCs w:val="18"/>
              </w:rPr>
              <w:t>年第二次临时股东大会决议通过《关于变更部分募集资金用途的议案》，公司 独立董事、监事会、保荐机构对变更募投项目发表了明确同意的意见。</w:t>
            </w:r>
          </w:p>
        </w:tc>
      </w:tr>
    </w:tbl>
    <w:p>
      <w:pPr>
        <w:spacing w:lineRule="exact" w:line="1"/>
        <w:rPr>
          <w:sz w:val="2"/>
          <w:szCs w:val="2"/>
        </w:rPr>
      </w:pPr>
      <w:r>
        <w:br w:type="page"/>
      </w:r>
    </w:p>
    <w:tbl>
      <w:tblPr>
        <w:tblOverlap w:val="never"/>
        <w:jc w:val="center"/>
        <w:tblLayout w:type="fixed"/>
      </w:tblPr>
      <w:tblGrid>
        <w:gridCol w:w="4291"/>
        <w:gridCol w:w="9960"/>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18"/>
                <w:szCs w:val="18"/>
              </w:rPr>
              <w:t>、信息披露情况说明</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公司于</w:t>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18"/>
                <w:szCs w:val="18"/>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18"/>
                <w:szCs w:val="18"/>
              </w:rPr>
              <w:t>日、</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20"/>
                <w:szCs w:val="20"/>
              </w:rPr>
              <w:t>24</w:t>
            </w:r>
            <w:r>
              <w:rPr>
                <w:rFonts w:ascii="SimSun" w:eastAsia="SimSun" w:hAnsi="SimSun" w:cs="SimSun"/>
                <w:color w:val="000000"/>
                <w:spacing w:val="0"/>
                <w:w w:val="100"/>
                <w:position w:val="0"/>
                <w:sz w:val="18"/>
                <w:szCs w:val="18"/>
              </w:rPr>
              <w:t>日分别在巨潮资讯网、证券日报、证券时报、上海证券报、中国证券报披露了 《关于变更部分募集资金用途的公告》</w:t>
            </w:r>
            <w:r>
              <w:rPr>
                <w:rFonts w:ascii="SimSun" w:eastAsia="SimSun" w:hAnsi="SimSun" w:cs="SimSun"/>
                <w:color w:val="000000"/>
                <w:spacing w:val="0"/>
                <w:w w:val="100"/>
                <w:position w:val="0"/>
                <w:sz w:val="20"/>
                <w:szCs w:val="20"/>
              </w:rPr>
              <w:t>（</w:t>
            </w:r>
            <w:r>
              <w:rPr>
                <w:color w:val="000000"/>
                <w:spacing w:val="0"/>
                <w:w w:val="100"/>
                <w:position w:val="0"/>
                <w:sz w:val="20"/>
                <w:szCs w:val="20"/>
              </w:rPr>
              <w:t>2020-086</w:t>
            </w:r>
            <w:r>
              <w:rPr>
                <w:rFonts w:ascii="SimSun" w:eastAsia="SimSun" w:hAnsi="SimSun" w:cs="SimSun"/>
                <w:color w:val="000000"/>
                <w:spacing w:val="0"/>
                <w:w w:val="100"/>
                <w:position w:val="0"/>
                <w:sz w:val="18"/>
                <w:szCs w:val="18"/>
              </w:rPr>
              <w:t>号）、《</w:t>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18"/>
                <w:szCs w:val="18"/>
              </w:rPr>
              <w:t>年第二次临时股东大会决议公告》</w:t>
            </w:r>
            <w:r>
              <w:rPr>
                <w:rFonts w:ascii="SimSun" w:eastAsia="SimSun" w:hAnsi="SimSun" w:cs="SimSun"/>
                <w:color w:val="000000"/>
                <w:spacing w:val="0"/>
                <w:w w:val="100"/>
                <w:position w:val="0"/>
                <w:sz w:val="20"/>
                <w:szCs w:val="20"/>
              </w:rPr>
              <w:t>（</w:t>
            </w:r>
            <w:r>
              <w:rPr>
                <w:color w:val="000000"/>
                <w:spacing w:val="0"/>
                <w:w w:val="100"/>
                <w:position w:val="0"/>
                <w:sz w:val="20"/>
                <w:szCs w:val="20"/>
              </w:rPr>
              <w:t>2020-096</w:t>
            </w:r>
            <w:r>
              <w:rPr>
                <w:rFonts w:ascii="SimSun" w:eastAsia="SimSun" w:hAnsi="SimSun" w:cs="SimSun"/>
                <w:color w:val="000000"/>
                <w:spacing w:val="0"/>
                <w:w w:val="100"/>
                <w:position w:val="0"/>
                <w:sz w:val="18"/>
                <w:szCs w:val="18"/>
              </w:rPr>
              <w:t>号）。</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18"/>
                <w:szCs w:val="18"/>
              </w:rPr>
              <w:t>未达到计划进度或预计收益的情况和原因</w:t>
            </w:r>
            <w:r>
              <w:rPr>
                <w:color w:val="000000"/>
                <w:spacing w:val="0"/>
                <w:w w:val="100"/>
                <w:position w:val="0"/>
                <w:sz w:val="20"/>
                <w:szCs w:val="20"/>
              </w:rPr>
              <w:t>（</w:t>
            </w:r>
            <w:r>
              <w:rPr>
                <w:rFonts w:ascii="SimSun" w:eastAsia="SimSun" w:hAnsi="SimSun" w:cs="SimSun"/>
                <w:color w:val="000000"/>
                <w:spacing w:val="0"/>
                <w:w w:val="100"/>
                <w:position w:val="0"/>
                <w:sz w:val="18"/>
                <w:szCs w:val="18"/>
              </w:rPr>
              <w:t>分具 体项目</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变更后的项目可行性发生重大变化的情况说明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bl>
    <w:p>
      <w:pPr>
        <w:widowControl w:val="0"/>
        <w:spacing w:after="519" w:line="1" w:lineRule="exact"/>
      </w:pPr>
    </w:p>
    <w:p>
      <w:pPr>
        <w:pStyle w:val="Style55"/>
        <w:keepNext w:val="0"/>
        <w:keepLines w:val="0"/>
        <w:widowControl w:val="0"/>
        <w:numPr>
          <w:ilvl w:val="0"/>
          <w:numId w:val="3"/>
        </w:numPr>
        <w:shd w:val="clear" w:color="auto" w:fill="auto"/>
        <w:tabs>
          <w:tab w:pos="827" w:val="left"/>
        </w:tabs>
        <w:bidi w:val="0"/>
        <w:spacing w:before="0" w:after="220" w:line="240" w:lineRule="auto"/>
        <w:ind w:left="0" w:right="0" w:firstLine="440"/>
        <w:jc w:val="left"/>
      </w:pPr>
      <w:bookmarkStart w:id="197" w:name="bookmark197"/>
      <w:bookmarkEnd w:id="197"/>
      <w:r>
        <w:rPr>
          <w:color w:val="000000"/>
          <w:spacing w:val="0"/>
          <w:w w:val="100"/>
          <w:position w:val="0"/>
        </w:rPr>
        <w:t>物流运营业务发展项目部分募集资金及租赁店项目部分募集资金变更为偿还金融机构贷款项目（二）</w:t>
      </w:r>
    </w:p>
    <w:p>
      <w:pPr>
        <w:pStyle w:val="Style55"/>
        <w:keepNext w:val="0"/>
        <w:keepLines w:val="0"/>
        <w:widowControl w:val="0"/>
        <w:shd w:val="clear" w:color="auto" w:fill="auto"/>
        <w:bidi w:val="0"/>
        <w:spacing w:before="0" w:line="240" w:lineRule="auto"/>
        <w:ind w:left="0" w:right="240" w:firstLine="0"/>
        <w:jc w:val="right"/>
      </w:pPr>
      <w:r>
        <w:rPr>
          <w:color w:val="000000"/>
          <w:spacing w:val="0"/>
          <w:w w:val="100"/>
          <w:position w:val="0"/>
        </w:rPr>
        <w:t>单位：千元</w:t>
      </w:r>
    </w:p>
    <w:tbl>
      <w:tblPr>
        <w:tblOverlap w:val="never"/>
        <w:jc w:val="center"/>
        <w:tblLayout w:type="fixed"/>
      </w:tblPr>
      <w:tblGrid>
        <w:gridCol w:w="1598"/>
        <w:gridCol w:w="1416"/>
        <w:gridCol w:w="1277"/>
        <w:gridCol w:w="1507"/>
        <w:gridCol w:w="1843"/>
        <w:gridCol w:w="1435"/>
        <w:gridCol w:w="1435"/>
        <w:gridCol w:w="1291"/>
        <w:gridCol w:w="994"/>
        <w:gridCol w:w="1454"/>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变更后的项目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对应的原承诺 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变更后项目投</w:t>
            </w:r>
          </w:p>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入募集资金总 额⑴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本报告期实际投 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color w:val="000000"/>
                <w:spacing w:val="0"/>
                <w:w w:val="100"/>
                <w:position w:val="0"/>
                <w:sz w:val="18"/>
                <w:szCs w:val="18"/>
              </w:rPr>
              <w:t>截至期末实际累计 投入金额</w:t>
            </w:r>
            <w:r>
              <w:rPr>
                <w:color w:val="000000"/>
                <w:spacing w:val="0"/>
                <w:w w:val="100"/>
                <w:position w:val="0"/>
                <w:sz w:val="20"/>
                <w:szCs w:val="20"/>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18"/>
                <w:szCs w:val="18"/>
              </w:rPr>
              <w:t>截至期末投资 进度</w:t>
            </w:r>
            <w:r>
              <w:rPr>
                <w:color w:val="000000"/>
                <w:spacing w:val="0"/>
                <w:w w:val="100"/>
                <w:position w:val="0"/>
                <w:sz w:val="20"/>
                <w:szCs w:val="20"/>
              </w:rPr>
              <w:t>（3）=（2）/（1）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项目达到预定</w:t>
            </w:r>
          </w:p>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可使用状态日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本报告期实现 的效益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是否达到</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预计效益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变更后的项目</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可行性是否发</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生重大变化</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偿还金融机构贷 款项目（二）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物流运营业务 发展项目、租赁 店项目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955,000.0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955,000.0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955,000.0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4042" w:hRule="exact"/>
        </w:trPr>
        <w:tc>
          <w:tcPr>
            <w:gridSpan w:val="3"/>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18"/>
                <w:szCs w:val="18"/>
              </w:rPr>
              <w:t>变更原因、决策程序及信息披露情况说明</w:t>
            </w:r>
            <w:r>
              <w:rPr>
                <w:color w:val="000000"/>
                <w:spacing w:val="0"/>
                <w:w w:val="100"/>
                <w:position w:val="0"/>
                <w:sz w:val="20"/>
                <w:szCs w:val="20"/>
              </w:rPr>
              <w:t>（</w:t>
            </w:r>
            <w:r>
              <w:rPr>
                <w:rFonts w:ascii="SimSun" w:eastAsia="SimSun" w:hAnsi="SimSun" w:cs="SimSun"/>
                <w:color w:val="000000"/>
                <w:spacing w:val="0"/>
                <w:w w:val="100"/>
                <w:position w:val="0"/>
                <w:sz w:val="18"/>
                <w:szCs w:val="18"/>
              </w:rPr>
              <w:t>分具体 项目</w:t>
            </w:r>
            <w:r>
              <w:rPr>
                <w:rFonts w:ascii="SimSun" w:eastAsia="SimSun" w:hAnsi="SimSun" w:cs="SimSun"/>
                <w:color w:val="000000"/>
                <w:spacing w:val="0"/>
                <w:w w:val="100"/>
                <w:position w:val="0"/>
                <w:sz w:val="20"/>
                <w:szCs w:val="20"/>
              </w:rPr>
              <w:t>）</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tabs>
                <w:tab w:pos="264" w:val="left"/>
              </w:tabs>
              <w:bidi w:val="0"/>
              <w:spacing w:before="0" w:after="0" w:line="314" w:lineRule="exact"/>
              <w:ind w:left="0" w:right="0" w:firstLine="0"/>
              <w:jc w:val="left"/>
              <w:rPr>
                <w:sz w:val="18"/>
                <w:szCs w:val="18"/>
              </w:rPr>
            </w:pPr>
            <w:r>
              <w:rPr>
                <w:color w:val="000000"/>
                <w:spacing w:val="0"/>
                <w:w w:val="100"/>
                <w:position w:val="0"/>
                <w:sz w:val="20"/>
                <w:szCs w:val="20"/>
              </w:rPr>
              <w:t>1</w:t>
            </w:r>
            <w:r>
              <w:rPr>
                <w:rFonts w:ascii="SimSun" w:eastAsia="SimSun" w:hAnsi="SimSun" w:cs="SimSun"/>
                <w:color w:val="000000"/>
                <w:spacing w:val="0"/>
                <w:w w:val="100"/>
                <w:position w:val="0"/>
                <w:sz w:val="18"/>
                <w:szCs w:val="18"/>
              </w:rPr>
              <w:t>、</w:t>
              <w:tab/>
              <w:t>变更原因</w:t>
            </w:r>
          </w:p>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公司根据业务发展的实际需要以及项目建设规划，有序安排租赁店项目的募集资金投入，截至</w:t>
            </w:r>
            <w:r>
              <w:rPr>
                <w:color w:val="000000"/>
                <w:spacing w:val="0"/>
                <w:w w:val="100"/>
                <w:position w:val="0"/>
                <w:sz w:val="20"/>
                <w:szCs w:val="20"/>
              </w:rPr>
              <w:t>2020</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31</w:t>
            </w:r>
            <w:r>
              <w:rPr>
                <w:rFonts w:ascii="SimSun" w:eastAsia="SimSun" w:hAnsi="SimSun" w:cs="SimSun"/>
                <w:color w:val="000000"/>
                <w:spacing w:val="0"/>
                <w:w w:val="100"/>
                <w:position w:val="0"/>
                <w:sz w:val="18"/>
                <w:szCs w:val="18"/>
              </w:rPr>
              <w:t>日 租赁店项目累计投入新开苏宁易购云店</w:t>
            </w:r>
            <w:r>
              <w:rPr>
                <w:color w:val="000000"/>
                <w:spacing w:val="0"/>
                <w:w w:val="100"/>
                <w:position w:val="0"/>
                <w:sz w:val="20"/>
                <w:szCs w:val="20"/>
              </w:rPr>
              <w:t>238</w:t>
            </w:r>
            <w:r>
              <w:rPr>
                <w:rFonts w:ascii="SimSun" w:eastAsia="SimSun" w:hAnsi="SimSun" w:cs="SimSun"/>
                <w:color w:val="000000"/>
                <w:spacing w:val="0"/>
                <w:w w:val="100"/>
                <w:position w:val="0"/>
                <w:sz w:val="18"/>
                <w:szCs w:val="18"/>
              </w:rPr>
              <w:t>家，完成预计开店计划的</w:t>
            </w:r>
            <w:r>
              <w:rPr>
                <w:color w:val="000000"/>
                <w:spacing w:val="0"/>
                <w:w w:val="100"/>
                <w:position w:val="0"/>
                <w:sz w:val="20"/>
                <w:szCs w:val="20"/>
              </w:rPr>
              <w:t>71.90%</w:t>
            </w:r>
            <w:r>
              <w:rPr>
                <w:rFonts w:ascii="SimSun" w:eastAsia="SimSun" w:hAnsi="SimSun" w:cs="SimSun"/>
                <w:color w:val="000000"/>
                <w:spacing w:val="0"/>
                <w:w w:val="100"/>
                <w:position w:val="0"/>
                <w:sz w:val="18"/>
                <w:szCs w:val="18"/>
              </w:rPr>
              <w:t>。由于</w:t>
            </w:r>
            <w:r>
              <w:rPr>
                <w:color w:val="000000"/>
                <w:spacing w:val="0"/>
                <w:w w:val="100"/>
                <w:position w:val="0"/>
                <w:sz w:val="20"/>
                <w:szCs w:val="20"/>
              </w:rPr>
              <w:t>2020</w:t>
            </w:r>
            <w:r>
              <w:rPr>
                <w:rFonts w:ascii="SimSun" w:eastAsia="SimSun" w:hAnsi="SimSun" w:cs="SimSun"/>
                <w:color w:val="000000"/>
                <w:spacing w:val="0"/>
                <w:w w:val="100"/>
                <w:position w:val="0"/>
                <w:sz w:val="18"/>
                <w:szCs w:val="18"/>
              </w:rPr>
              <w:t>年受到疫情对线下门店的 影响、公司开发策略的主动调整也带来了一定的影响，租赁店项目开店速度有所放缓，资金需求程度也有所降低。 为进一步提升公司募集资金使用效率，减少募集资金闲置，本次公司将租赁店项目部分募集资金用于偿还金融机 构贷款，将有利于降低公司融资规模，改善资产负债结构，提升公司盈利能力。</w:t>
            </w:r>
          </w:p>
          <w:p>
            <w:pPr>
              <w:pStyle w:val="Style29"/>
              <w:keepNext w:val="0"/>
              <w:keepLines w:val="0"/>
              <w:widowControl w:val="0"/>
              <w:shd w:val="clear" w:color="auto" w:fill="auto"/>
              <w:tabs>
                <w:tab w:pos="283" w:val="left"/>
              </w:tabs>
              <w:bidi w:val="0"/>
              <w:spacing w:before="0" w:after="0" w:line="314" w:lineRule="exact"/>
              <w:ind w:left="0" w:right="0" w:firstLine="0"/>
              <w:jc w:val="left"/>
              <w:rPr>
                <w:sz w:val="18"/>
                <w:szCs w:val="18"/>
              </w:rPr>
            </w:pPr>
            <w:r>
              <w:rPr>
                <w:color w:val="000000"/>
                <w:spacing w:val="0"/>
                <w:w w:val="100"/>
                <w:position w:val="0"/>
                <w:sz w:val="20"/>
                <w:szCs w:val="20"/>
              </w:rPr>
              <w:t>2</w:t>
            </w:r>
            <w:r>
              <w:rPr>
                <w:rFonts w:ascii="SimSun" w:eastAsia="SimSun" w:hAnsi="SimSun" w:cs="SimSun"/>
                <w:color w:val="000000"/>
                <w:spacing w:val="0"/>
                <w:w w:val="100"/>
                <w:position w:val="0"/>
                <w:sz w:val="18"/>
                <w:szCs w:val="18"/>
              </w:rPr>
              <w:t>、</w:t>
              <w:tab/>
              <w:t>决策程序</w:t>
            </w:r>
          </w:p>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公司第七届董事会第九次会议、</w:t>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18"/>
                <w:szCs w:val="18"/>
              </w:rPr>
              <w:t>年第二次临时股东大会决议通过《关于变更部分募集资金用途的议案》，公司 独立董事、监事会、保荐机构对变更募投项目发表了明确同意的意见。</w:t>
            </w:r>
          </w:p>
          <w:p>
            <w:pPr>
              <w:pStyle w:val="Style29"/>
              <w:keepNext w:val="0"/>
              <w:keepLines w:val="0"/>
              <w:widowControl w:val="0"/>
              <w:shd w:val="clear" w:color="auto" w:fill="auto"/>
              <w:tabs>
                <w:tab w:pos="302" w:val="left"/>
              </w:tabs>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18"/>
                <w:szCs w:val="18"/>
              </w:rPr>
              <w:t>、</w:t>
              <w:tab/>
              <w:t>信息披露情况说明</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公司于</w:t>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18"/>
                <w:szCs w:val="18"/>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18"/>
                <w:szCs w:val="18"/>
              </w:rPr>
              <w:t>日、</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20"/>
                <w:szCs w:val="20"/>
              </w:rPr>
              <w:t>24</w:t>
            </w:r>
            <w:r>
              <w:rPr>
                <w:rFonts w:ascii="SimSun" w:eastAsia="SimSun" w:hAnsi="SimSun" w:cs="SimSun"/>
                <w:color w:val="000000"/>
                <w:spacing w:val="0"/>
                <w:w w:val="100"/>
                <w:position w:val="0"/>
                <w:sz w:val="18"/>
                <w:szCs w:val="18"/>
              </w:rPr>
              <w:t>日分别在巨潮资讯网、证券日报、证券时报、上海证券报、中国证券报披露了 《关于变更部分募集资金用途的公告》</w:t>
            </w:r>
            <w:r>
              <w:rPr>
                <w:rFonts w:ascii="SimSun" w:eastAsia="SimSun" w:hAnsi="SimSun" w:cs="SimSun"/>
                <w:color w:val="000000"/>
                <w:spacing w:val="0"/>
                <w:w w:val="100"/>
                <w:position w:val="0"/>
                <w:sz w:val="20"/>
                <w:szCs w:val="20"/>
              </w:rPr>
              <w:t>（</w:t>
            </w:r>
            <w:r>
              <w:rPr>
                <w:color w:val="000000"/>
                <w:spacing w:val="0"/>
                <w:w w:val="100"/>
                <w:position w:val="0"/>
                <w:sz w:val="20"/>
                <w:szCs w:val="20"/>
              </w:rPr>
              <w:t>2020-086</w:t>
            </w:r>
            <w:r>
              <w:rPr>
                <w:rFonts w:ascii="SimSun" w:eastAsia="SimSun" w:hAnsi="SimSun" w:cs="SimSun"/>
                <w:color w:val="000000"/>
                <w:spacing w:val="0"/>
                <w:w w:val="100"/>
                <w:position w:val="0"/>
                <w:sz w:val="18"/>
                <w:szCs w:val="18"/>
              </w:rPr>
              <w:t>号）、《</w:t>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18"/>
                <w:szCs w:val="18"/>
              </w:rPr>
              <w:t>年第二次临时股东大会决议公告》</w:t>
            </w:r>
            <w:r>
              <w:rPr>
                <w:rFonts w:ascii="SimSun" w:eastAsia="SimSun" w:hAnsi="SimSun" w:cs="SimSun"/>
                <w:color w:val="000000"/>
                <w:spacing w:val="0"/>
                <w:w w:val="100"/>
                <w:position w:val="0"/>
                <w:sz w:val="20"/>
                <w:szCs w:val="20"/>
              </w:rPr>
              <w:t>（</w:t>
            </w:r>
            <w:r>
              <w:rPr>
                <w:color w:val="000000"/>
                <w:spacing w:val="0"/>
                <w:w w:val="100"/>
                <w:position w:val="0"/>
                <w:sz w:val="20"/>
                <w:szCs w:val="20"/>
              </w:rPr>
              <w:t>2020-096</w:t>
            </w:r>
            <w:r>
              <w:rPr>
                <w:rFonts w:ascii="SimSun" w:eastAsia="SimSun" w:hAnsi="SimSun" w:cs="SimSun"/>
                <w:color w:val="000000"/>
                <w:spacing w:val="0"/>
                <w:w w:val="100"/>
                <w:position w:val="0"/>
                <w:sz w:val="18"/>
                <w:szCs w:val="18"/>
              </w:rPr>
              <w:t>号）。</w:t>
            </w:r>
          </w:p>
        </w:tc>
      </w:tr>
    </w:tbl>
    <w:p>
      <w:pPr>
        <w:spacing w:lineRule="exact" w:line="1"/>
        <w:rPr>
          <w:sz w:val="2"/>
          <w:szCs w:val="2"/>
        </w:rPr>
      </w:pPr>
      <w:r>
        <w:br w:type="page"/>
      </w:r>
    </w:p>
    <w:tbl>
      <w:tblPr>
        <w:tblOverlap w:val="never"/>
        <w:jc w:val="center"/>
        <w:tblLayout w:type="fixed"/>
      </w:tblPr>
      <w:tblGrid>
        <w:gridCol w:w="4291"/>
        <w:gridCol w:w="996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18"/>
                <w:szCs w:val="18"/>
              </w:rPr>
              <w:t>未达到计划进度或预计收益的情况和原因</w:t>
            </w:r>
            <w:r>
              <w:rPr>
                <w:color w:val="000000"/>
                <w:spacing w:val="0"/>
                <w:w w:val="100"/>
                <w:position w:val="0"/>
                <w:sz w:val="20"/>
                <w:szCs w:val="20"/>
              </w:rPr>
              <w:t>（</w:t>
            </w:r>
            <w:r>
              <w:rPr>
                <w:rFonts w:ascii="SimSun" w:eastAsia="SimSun" w:hAnsi="SimSun" w:cs="SimSun"/>
                <w:color w:val="000000"/>
                <w:spacing w:val="0"/>
                <w:w w:val="100"/>
                <w:position w:val="0"/>
                <w:sz w:val="18"/>
                <w:szCs w:val="18"/>
              </w:rPr>
              <w:t>分具 体项目</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无</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变更后的项目可行性发生重大变化的情况说明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无</w:t>
            </w:r>
          </w:p>
        </w:tc>
      </w:tr>
    </w:tbl>
    <w:p>
      <w:pPr>
        <w:widowControl w:val="0"/>
        <w:spacing w:after="379" w:line="1" w:lineRule="exact"/>
      </w:pPr>
    </w:p>
    <w:p>
      <w:pPr>
        <w:pStyle w:val="Style55"/>
        <w:keepNext w:val="0"/>
        <w:keepLines w:val="0"/>
        <w:widowControl w:val="0"/>
        <w:numPr>
          <w:ilvl w:val="0"/>
          <w:numId w:val="3"/>
        </w:numPr>
        <w:shd w:val="clear" w:color="auto" w:fill="auto"/>
        <w:tabs>
          <w:tab w:pos="387" w:val="left"/>
        </w:tabs>
        <w:bidi w:val="0"/>
        <w:spacing w:before="0" w:after="140" w:line="240" w:lineRule="auto"/>
        <w:ind w:left="0" w:right="0" w:firstLine="0"/>
        <w:jc w:val="left"/>
      </w:pPr>
      <w:bookmarkStart w:id="198" w:name="bookmark198"/>
      <w:bookmarkEnd w:id="198"/>
      <w:r>
        <w:rPr>
          <w:color w:val="000000"/>
          <w:spacing w:val="0"/>
          <w:w w:val="100"/>
          <w:position w:val="0"/>
        </w:rPr>
        <w:t>新增区域配送中心建设项目（二）剩余部分募集资金用于偿还公司债券项目</w:t>
      </w:r>
    </w:p>
    <w:p>
      <w:pPr>
        <w:pStyle w:val="Style55"/>
        <w:keepNext w:val="0"/>
        <w:keepLines w:val="0"/>
        <w:widowControl w:val="0"/>
        <w:shd w:val="clear" w:color="auto" w:fill="auto"/>
        <w:bidi w:val="0"/>
        <w:spacing w:before="0" w:line="240" w:lineRule="auto"/>
        <w:ind w:left="0" w:right="240" w:firstLine="0"/>
        <w:jc w:val="right"/>
      </w:pPr>
      <w:r>
        <w:rPr>
          <w:color w:val="000000"/>
          <w:spacing w:val="0"/>
          <w:w w:val="100"/>
          <w:position w:val="0"/>
        </w:rPr>
        <w:t>单位：千元</w:t>
      </w:r>
    </w:p>
    <w:tbl>
      <w:tblPr>
        <w:tblOverlap w:val="never"/>
        <w:jc w:val="center"/>
        <w:tblLayout w:type="fixed"/>
      </w:tblPr>
      <w:tblGrid>
        <w:gridCol w:w="1598"/>
        <w:gridCol w:w="1416"/>
        <w:gridCol w:w="1277"/>
        <w:gridCol w:w="1507"/>
        <w:gridCol w:w="1843"/>
        <w:gridCol w:w="1435"/>
        <w:gridCol w:w="1435"/>
        <w:gridCol w:w="1291"/>
        <w:gridCol w:w="994"/>
        <w:gridCol w:w="1454"/>
      </w:tblGrid>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变更后的项目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对应的原承诺 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变更后项目投</w:t>
            </w:r>
          </w:p>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入募集资金总 额⑴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本报告期实际投 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color w:val="000000"/>
                <w:spacing w:val="0"/>
                <w:w w:val="100"/>
                <w:position w:val="0"/>
                <w:sz w:val="18"/>
                <w:szCs w:val="18"/>
              </w:rPr>
              <w:t>截至期末实际累计 投入金额</w:t>
            </w:r>
            <w:r>
              <w:rPr>
                <w:color w:val="000000"/>
                <w:spacing w:val="0"/>
                <w:w w:val="100"/>
                <w:position w:val="0"/>
                <w:sz w:val="20"/>
                <w:szCs w:val="20"/>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18"/>
                <w:szCs w:val="18"/>
              </w:rPr>
              <w:t>截至期末投资 进度</w:t>
            </w:r>
            <w:r>
              <w:rPr>
                <w:color w:val="000000"/>
                <w:spacing w:val="0"/>
                <w:w w:val="100"/>
                <w:position w:val="0"/>
                <w:sz w:val="20"/>
                <w:szCs w:val="20"/>
              </w:rPr>
              <w:t>（3）=（2）/（1）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项目达到预定</w:t>
            </w:r>
          </w:p>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可使用状态日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本报告期实现 的效益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是否达到</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预计效益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变更后的项目</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可行性是否发</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生重大变化</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偿还公司债券项 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新增区域配送</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中心建设项目</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1,489,161.5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1,482,102.5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1,482,102.5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5021" w:hRule="exact"/>
        </w:trPr>
        <w:tc>
          <w:tcPr>
            <w:gridSpan w:val="3"/>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18"/>
                <w:szCs w:val="18"/>
              </w:rPr>
              <w:t>变更原因、决策程序及信息披露情况说明</w:t>
            </w:r>
            <w:r>
              <w:rPr>
                <w:color w:val="000000"/>
                <w:spacing w:val="0"/>
                <w:w w:val="100"/>
                <w:position w:val="0"/>
                <w:sz w:val="20"/>
                <w:szCs w:val="20"/>
              </w:rPr>
              <w:t>（</w:t>
            </w:r>
            <w:r>
              <w:rPr>
                <w:rFonts w:ascii="SimSun" w:eastAsia="SimSun" w:hAnsi="SimSun" w:cs="SimSun"/>
                <w:color w:val="000000"/>
                <w:spacing w:val="0"/>
                <w:w w:val="100"/>
                <w:position w:val="0"/>
                <w:sz w:val="18"/>
                <w:szCs w:val="18"/>
              </w:rPr>
              <w:t>分具体 项目</w:t>
            </w:r>
            <w:r>
              <w:rPr>
                <w:rFonts w:ascii="SimSun" w:eastAsia="SimSun" w:hAnsi="SimSun" w:cs="SimSun"/>
                <w:color w:val="000000"/>
                <w:spacing w:val="0"/>
                <w:w w:val="100"/>
                <w:position w:val="0"/>
                <w:sz w:val="20"/>
                <w:szCs w:val="20"/>
              </w:rPr>
              <w:t>）</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tabs>
                <w:tab w:pos="264" w:val="left"/>
              </w:tabs>
              <w:bidi w:val="0"/>
              <w:spacing w:before="0" w:after="0" w:line="312" w:lineRule="exact"/>
              <w:ind w:left="0" w:right="0" w:firstLine="0"/>
              <w:jc w:val="both"/>
              <w:rPr>
                <w:sz w:val="18"/>
                <w:szCs w:val="18"/>
              </w:rPr>
            </w:pPr>
            <w:r>
              <w:rPr>
                <w:color w:val="000000"/>
                <w:spacing w:val="0"/>
                <w:w w:val="100"/>
                <w:position w:val="0"/>
                <w:sz w:val="20"/>
                <w:szCs w:val="20"/>
              </w:rPr>
              <w:t>1</w:t>
            </w:r>
            <w:r>
              <w:rPr>
                <w:rFonts w:ascii="SimSun" w:eastAsia="SimSun" w:hAnsi="SimSun" w:cs="SimSun"/>
                <w:color w:val="000000"/>
                <w:spacing w:val="0"/>
                <w:w w:val="100"/>
                <w:position w:val="0"/>
                <w:sz w:val="18"/>
                <w:szCs w:val="18"/>
              </w:rPr>
              <w:t>、</w:t>
              <w:tab/>
              <w:t>变更原因</w:t>
            </w:r>
          </w:p>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公司根据业务发展的实际需要以及项目建设规划，有序开展募集资金投入，公司区域配送中心项目建设（二）部 分物流项目已建成交付并投入运营，对于尚未投入运营的广州从化、贵阳高新物流项目，公司将依据项目属地业 务的仓储及运力需求实施分批建设，若本次变更完成后，区域配送中心项目建设（二）剩余募集资金</w:t>
            </w:r>
            <w:r>
              <w:rPr>
                <w:color w:val="000000"/>
                <w:spacing w:val="0"/>
                <w:w w:val="100"/>
                <w:position w:val="0"/>
                <w:sz w:val="20"/>
                <w:szCs w:val="20"/>
              </w:rPr>
              <w:t>3,046.93</w:t>
            </w:r>
            <w:r>
              <w:rPr>
                <w:rFonts w:ascii="SimSun" w:eastAsia="SimSun" w:hAnsi="SimSun" w:cs="SimSun"/>
                <w:color w:val="000000"/>
                <w:spacing w:val="0"/>
                <w:w w:val="100"/>
                <w:position w:val="0"/>
                <w:sz w:val="18"/>
                <w:szCs w:val="18"/>
              </w:rPr>
              <w:t>万 元将继续投入项目，不足资金由公司自有资金解决，公司近年来也在持续完善物流基础设施网络及服务网络的建 设，通过与行业领先的不动产投资及运营机构合作，实现轻资产运营模式，加速资金循环，回笼资金支持公司物 流仓储建设。</w:t>
            </w:r>
          </w:p>
          <w:p>
            <w:pPr>
              <w:pStyle w:val="Style29"/>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为此，为进一步提升募集资金使用效率，公司计划变更募投项目用途用于偿还公司债券项目，将有利于减少公司 有息负债，改善公司负债规模。本次变更募集资金用途不会对公司业务发展带来不利影响。</w:t>
            </w:r>
          </w:p>
          <w:p>
            <w:pPr>
              <w:pStyle w:val="Style29"/>
              <w:keepNext w:val="0"/>
              <w:keepLines w:val="0"/>
              <w:widowControl w:val="0"/>
              <w:shd w:val="clear" w:color="auto" w:fill="auto"/>
              <w:tabs>
                <w:tab w:pos="283" w:val="left"/>
              </w:tabs>
              <w:bidi w:val="0"/>
              <w:spacing w:before="0" w:after="0" w:line="312" w:lineRule="exact"/>
              <w:ind w:left="0" w:right="0" w:firstLine="0"/>
              <w:jc w:val="both"/>
              <w:rPr>
                <w:sz w:val="18"/>
                <w:szCs w:val="18"/>
              </w:rPr>
            </w:pPr>
            <w:r>
              <w:rPr>
                <w:color w:val="000000"/>
                <w:spacing w:val="0"/>
                <w:w w:val="100"/>
                <w:position w:val="0"/>
                <w:sz w:val="20"/>
                <w:szCs w:val="20"/>
              </w:rPr>
              <w:t>2</w:t>
            </w:r>
            <w:r>
              <w:rPr>
                <w:rFonts w:ascii="SimSun" w:eastAsia="SimSun" w:hAnsi="SimSun" w:cs="SimSun"/>
                <w:color w:val="000000"/>
                <w:spacing w:val="0"/>
                <w:w w:val="100"/>
                <w:position w:val="0"/>
                <w:sz w:val="18"/>
                <w:szCs w:val="18"/>
              </w:rPr>
              <w:t>、</w:t>
              <w:tab/>
              <w:t>决策程序</w:t>
            </w:r>
          </w:p>
          <w:p>
            <w:pPr>
              <w:pStyle w:val="Style29"/>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公司第七届董事会第十四次会议、</w:t>
            </w: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18"/>
                <w:szCs w:val="18"/>
              </w:rPr>
              <w:t>年第二次临时股东大会决议通过《关于变更部分募集资金用途的议案》，公 司独立董事、监事会、保荐机构对变更募投项目发表了明确同意的意见。</w:t>
            </w:r>
          </w:p>
          <w:p>
            <w:pPr>
              <w:pStyle w:val="Style29"/>
              <w:keepNext w:val="0"/>
              <w:keepLines w:val="0"/>
              <w:widowControl w:val="0"/>
              <w:shd w:val="clear" w:color="auto" w:fill="auto"/>
              <w:tabs>
                <w:tab w:pos="302" w:val="left"/>
              </w:tabs>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18"/>
                <w:szCs w:val="18"/>
              </w:rPr>
              <w:t>、</w:t>
              <w:tab/>
              <w:t>信息披露情况说明</w:t>
            </w:r>
          </w:p>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公司于</w:t>
            </w: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18"/>
                <w:szCs w:val="18"/>
              </w:rPr>
              <w:t>年</w:t>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18"/>
                <w:szCs w:val="18"/>
              </w:rPr>
              <w:t>日、</w:t>
            </w:r>
            <w:r>
              <w:rPr>
                <w:rFonts w:ascii="SimSun" w:eastAsia="SimSun" w:hAnsi="SimSun" w:cs="SimSun"/>
                <w:color w:val="000000"/>
                <w:spacing w:val="0"/>
                <w:w w:val="100"/>
                <w:position w:val="0"/>
                <w:sz w:val="20"/>
                <w:szCs w:val="20"/>
              </w:rPr>
              <w:t>5</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20"/>
                <w:szCs w:val="20"/>
              </w:rPr>
              <w:t>29</w:t>
            </w:r>
            <w:r>
              <w:rPr>
                <w:rFonts w:ascii="SimSun" w:eastAsia="SimSun" w:hAnsi="SimSun" w:cs="SimSun"/>
                <w:color w:val="000000"/>
                <w:spacing w:val="0"/>
                <w:w w:val="100"/>
                <w:position w:val="0"/>
                <w:sz w:val="18"/>
                <w:szCs w:val="18"/>
              </w:rPr>
              <w:t>日分别在巨潮资讯网、证券日报、证券时报、上海证券报、中国证券报披露了 《关于变更部分募集资金用途的公告》</w:t>
            </w:r>
            <w:r>
              <w:rPr>
                <w:rFonts w:ascii="SimSun" w:eastAsia="SimSun" w:hAnsi="SimSun" w:cs="SimSun"/>
                <w:color w:val="000000"/>
                <w:spacing w:val="0"/>
                <w:w w:val="100"/>
                <w:position w:val="0"/>
                <w:sz w:val="20"/>
                <w:szCs w:val="20"/>
              </w:rPr>
              <w:t>（</w:t>
            </w:r>
            <w:r>
              <w:rPr>
                <w:color w:val="000000"/>
                <w:spacing w:val="0"/>
                <w:w w:val="100"/>
                <w:position w:val="0"/>
                <w:sz w:val="20"/>
                <w:szCs w:val="20"/>
              </w:rPr>
              <w:t>2021-056</w:t>
            </w:r>
            <w:r>
              <w:rPr>
                <w:rFonts w:ascii="SimSun" w:eastAsia="SimSun" w:hAnsi="SimSun" w:cs="SimSun"/>
                <w:color w:val="000000"/>
                <w:spacing w:val="0"/>
                <w:w w:val="100"/>
                <w:position w:val="0"/>
                <w:sz w:val="18"/>
                <w:szCs w:val="18"/>
              </w:rPr>
              <w:t>号）、《</w:t>
            </w: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18"/>
                <w:szCs w:val="18"/>
              </w:rPr>
              <w:t>年第二次临时股东大会决议公告》</w:t>
            </w:r>
            <w:r>
              <w:rPr>
                <w:rFonts w:ascii="SimSun" w:eastAsia="SimSun" w:hAnsi="SimSun" w:cs="SimSun"/>
                <w:color w:val="000000"/>
                <w:spacing w:val="0"/>
                <w:w w:val="100"/>
                <w:position w:val="0"/>
                <w:sz w:val="20"/>
                <w:szCs w:val="20"/>
              </w:rPr>
              <w:t>（</w:t>
            </w:r>
            <w:r>
              <w:rPr>
                <w:color w:val="000000"/>
                <w:spacing w:val="0"/>
                <w:w w:val="100"/>
                <w:position w:val="0"/>
                <w:sz w:val="20"/>
                <w:szCs w:val="20"/>
              </w:rPr>
              <w:t>2021-065</w:t>
            </w:r>
            <w:r>
              <w:rPr>
                <w:rFonts w:ascii="SimSun" w:eastAsia="SimSun" w:hAnsi="SimSun" w:cs="SimSun"/>
                <w:color w:val="000000"/>
                <w:spacing w:val="0"/>
                <w:w w:val="100"/>
                <w:position w:val="0"/>
                <w:sz w:val="18"/>
                <w:szCs w:val="18"/>
              </w:rPr>
              <w:t>号）。</w:t>
            </w:r>
          </w:p>
        </w:tc>
      </w:tr>
    </w:tbl>
    <w:p>
      <w:pPr>
        <w:spacing w:lineRule="exact" w:line="1"/>
        <w:rPr>
          <w:sz w:val="2"/>
          <w:szCs w:val="2"/>
        </w:rPr>
      </w:pPr>
      <w:r>
        <w:br w:type="page"/>
      </w:r>
    </w:p>
    <w:tbl>
      <w:tblPr>
        <w:tblOverlap w:val="never"/>
        <w:jc w:val="center"/>
        <w:tblLayout w:type="fixed"/>
      </w:tblPr>
      <w:tblGrid>
        <w:gridCol w:w="4291"/>
        <w:gridCol w:w="996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18"/>
                <w:szCs w:val="18"/>
              </w:rPr>
              <w:t>未达到计划进度或预计收益的情况和原因</w:t>
            </w:r>
            <w:r>
              <w:rPr>
                <w:color w:val="000000"/>
                <w:spacing w:val="0"/>
                <w:w w:val="100"/>
                <w:position w:val="0"/>
                <w:sz w:val="20"/>
                <w:szCs w:val="20"/>
              </w:rPr>
              <w:t>（</w:t>
            </w:r>
            <w:r>
              <w:rPr>
                <w:rFonts w:ascii="SimSun" w:eastAsia="SimSun" w:hAnsi="SimSun" w:cs="SimSun"/>
                <w:color w:val="000000"/>
                <w:spacing w:val="0"/>
                <w:w w:val="100"/>
                <w:position w:val="0"/>
                <w:sz w:val="18"/>
                <w:szCs w:val="18"/>
              </w:rPr>
              <w:t>分具 体项目</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无</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变更后的项目可行性发生重大变化的情况说明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无</w:t>
            </w:r>
          </w:p>
        </w:tc>
      </w:tr>
    </w:tbl>
    <w:p>
      <w:pPr>
        <w:widowControl w:val="0"/>
        <w:spacing w:after="319" w:line="1" w:lineRule="exact"/>
      </w:pPr>
    </w:p>
    <w:p>
      <w:pPr>
        <w:pStyle w:val="Style55"/>
        <w:keepNext w:val="0"/>
        <w:keepLines w:val="0"/>
        <w:widowControl w:val="0"/>
        <w:numPr>
          <w:ilvl w:val="0"/>
          <w:numId w:val="3"/>
        </w:numPr>
        <w:shd w:val="clear" w:color="auto" w:fill="auto"/>
        <w:tabs>
          <w:tab w:pos="387" w:val="left"/>
        </w:tabs>
        <w:bidi w:val="0"/>
        <w:spacing w:before="0" w:after="0" w:line="317" w:lineRule="exact"/>
        <w:ind w:left="0" w:right="0" w:firstLine="0"/>
        <w:jc w:val="left"/>
      </w:pPr>
      <w:bookmarkStart w:id="199" w:name="bookmark199"/>
      <w:bookmarkEnd w:id="199"/>
      <w:r>
        <w:rPr>
          <w:color w:val="000000"/>
          <w:spacing w:val="0"/>
          <w:w w:val="100"/>
          <w:position w:val="0"/>
        </w:rPr>
        <w:t>物流运营业务发展项目、新增区域配送中心建设项目（二）、新增区域配送中心建设项目（三）、租赁店项目、购置店项目剩余募集资金用于偿还公司债券项 目（二）</w:t>
      </w:r>
    </w:p>
    <w:p>
      <w:pPr>
        <w:pStyle w:val="Style55"/>
        <w:keepNext w:val="0"/>
        <w:keepLines w:val="0"/>
        <w:widowControl w:val="0"/>
        <w:shd w:val="clear" w:color="auto" w:fill="auto"/>
        <w:bidi w:val="0"/>
        <w:spacing w:before="0" w:line="317" w:lineRule="exact"/>
        <w:ind w:left="0" w:right="240" w:firstLine="0"/>
        <w:jc w:val="right"/>
      </w:pPr>
      <w:r>
        <w:rPr>
          <w:color w:val="000000"/>
          <w:spacing w:val="0"/>
          <w:w w:val="100"/>
          <w:position w:val="0"/>
        </w:rPr>
        <w:t>单位：千元</w:t>
      </w:r>
    </w:p>
    <w:tbl>
      <w:tblPr>
        <w:tblOverlap w:val="never"/>
        <w:jc w:val="center"/>
        <w:tblLayout w:type="fixed"/>
      </w:tblPr>
      <w:tblGrid>
        <w:gridCol w:w="1171"/>
        <w:gridCol w:w="1843"/>
        <w:gridCol w:w="1277"/>
        <w:gridCol w:w="1507"/>
        <w:gridCol w:w="1843"/>
        <w:gridCol w:w="1435"/>
        <w:gridCol w:w="1435"/>
        <w:gridCol w:w="1291"/>
        <w:gridCol w:w="994"/>
        <w:gridCol w:w="1454"/>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变更后的项 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对应的原承诺项目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变更后项目投</w:t>
            </w:r>
          </w:p>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入募集资金总 额⑴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本报告期实际投 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color w:val="000000"/>
                <w:spacing w:val="0"/>
                <w:w w:val="100"/>
                <w:position w:val="0"/>
                <w:sz w:val="18"/>
                <w:szCs w:val="18"/>
              </w:rPr>
              <w:t>截至期末实际累计 投入金额</w:t>
            </w:r>
            <w:r>
              <w:rPr>
                <w:color w:val="000000"/>
                <w:spacing w:val="0"/>
                <w:w w:val="100"/>
                <w:position w:val="0"/>
                <w:sz w:val="20"/>
                <w:szCs w:val="20"/>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18"/>
                <w:szCs w:val="18"/>
              </w:rPr>
              <w:t>截至期末投资 进度</w:t>
            </w:r>
            <w:r>
              <w:rPr>
                <w:color w:val="000000"/>
                <w:spacing w:val="0"/>
                <w:w w:val="100"/>
                <w:position w:val="0"/>
                <w:sz w:val="20"/>
                <w:szCs w:val="20"/>
              </w:rPr>
              <w:t>（3）=（2）/（1）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项目达到预定</w:t>
            </w:r>
          </w:p>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可使用状态日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本报告期实现 的效益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是否达到</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预计效益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变更后的项目</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可行性是否发</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生重大变化</w:t>
            </w:r>
          </w:p>
        </w:tc>
      </w:tr>
      <w:tr>
        <w:trPr>
          <w:trHeight w:val="22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偿还公司债</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券项目（二）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rPr>
                <w:sz w:val="18"/>
                <w:szCs w:val="18"/>
              </w:rPr>
            </w:pPr>
            <w:r>
              <w:rPr>
                <w:rFonts w:ascii="SimSun" w:eastAsia="SimSun" w:hAnsi="SimSun" w:cs="SimSun"/>
                <w:color w:val="000000"/>
                <w:spacing w:val="0"/>
                <w:w w:val="100"/>
                <w:position w:val="0"/>
                <w:sz w:val="18"/>
                <w:szCs w:val="18"/>
              </w:rPr>
              <w:t>物流运营业务发展 项目、新增区域配送 中心建设项目（二）、 新增区域配送中心 建设项目（三）、租 赁店项目、购置店项 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1,732,509.1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1,642,793.7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1,642,793.7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653" w:hRule="exact"/>
        </w:trPr>
        <w:tc>
          <w:tcPr>
            <w:gridSpan w:val="3"/>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18"/>
                <w:szCs w:val="18"/>
              </w:rPr>
              <w:t>变更原因、决策程序及信息披露情况说明</w:t>
            </w:r>
            <w:r>
              <w:rPr>
                <w:color w:val="000000"/>
                <w:spacing w:val="0"/>
                <w:w w:val="100"/>
                <w:position w:val="0"/>
                <w:sz w:val="20"/>
                <w:szCs w:val="20"/>
              </w:rPr>
              <w:t>（</w:t>
            </w:r>
            <w:r>
              <w:rPr>
                <w:rFonts w:ascii="SimSun" w:eastAsia="SimSun" w:hAnsi="SimSun" w:cs="SimSun"/>
                <w:color w:val="000000"/>
                <w:spacing w:val="0"/>
                <w:w w:val="100"/>
                <w:position w:val="0"/>
                <w:sz w:val="18"/>
                <w:szCs w:val="18"/>
              </w:rPr>
              <w:t>分具体 项目</w:t>
            </w:r>
            <w:r>
              <w:rPr>
                <w:rFonts w:ascii="SimSun" w:eastAsia="SimSun" w:hAnsi="SimSun" w:cs="SimSun"/>
                <w:color w:val="000000"/>
                <w:spacing w:val="0"/>
                <w:w w:val="100"/>
                <w:position w:val="0"/>
                <w:sz w:val="20"/>
                <w:szCs w:val="20"/>
              </w:rPr>
              <w:t>）</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20"/>
                <w:szCs w:val="20"/>
              </w:rPr>
              <w:t>1</w:t>
            </w:r>
            <w:r>
              <w:rPr>
                <w:rFonts w:ascii="SimSun" w:eastAsia="SimSun" w:hAnsi="SimSun" w:cs="SimSun"/>
                <w:color w:val="000000"/>
                <w:spacing w:val="0"/>
                <w:w w:val="100"/>
                <w:position w:val="0"/>
                <w:sz w:val="18"/>
                <w:szCs w:val="18"/>
              </w:rPr>
              <w:t>、变更原因</w:t>
            </w:r>
          </w:p>
          <w:p>
            <w:pPr>
              <w:pStyle w:val="Style29"/>
              <w:keepNext w:val="0"/>
              <w:keepLines w:val="0"/>
              <w:widowControl w:val="0"/>
              <w:shd w:val="clear" w:color="auto" w:fill="auto"/>
              <w:tabs>
                <w:tab w:pos="394" w:val="left"/>
              </w:tabs>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20"/>
                <w:szCs w:val="20"/>
              </w:rPr>
              <w:t>1</w:t>
            </w:r>
            <w:r>
              <w:rPr>
                <w:rFonts w:ascii="SimSun" w:eastAsia="SimSun" w:hAnsi="SimSun" w:cs="SimSun"/>
                <w:color w:val="000000"/>
                <w:spacing w:val="0"/>
                <w:w w:val="100"/>
                <w:position w:val="0"/>
                <w:sz w:val="18"/>
                <w:szCs w:val="18"/>
              </w:rPr>
              <w:t>）</w:t>
              <w:tab/>
              <w:t>物流运营业务发展项目</w:t>
            </w:r>
          </w:p>
          <w:p>
            <w:pPr>
              <w:pStyle w:val="Style29"/>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公司对于南京、上海、西安、北京、广州、重庆等自建物流仓储通过投入大型、先进的自动化存储、分拣设备及 配送设备等提升物流仓储运营效率，提升物流响应时间，上述物流基地中的仓储、拣选等配套设备已经具备规模， 为此公司终止物流运营业务发展项目募集资金投入，将剩余募集资金实施变更。</w:t>
            </w:r>
          </w:p>
          <w:p>
            <w:pPr>
              <w:pStyle w:val="Style29"/>
              <w:keepNext w:val="0"/>
              <w:keepLines w:val="0"/>
              <w:widowControl w:val="0"/>
              <w:shd w:val="clear" w:color="auto" w:fill="auto"/>
              <w:tabs>
                <w:tab w:pos="394" w:val="left"/>
              </w:tabs>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20"/>
                <w:szCs w:val="20"/>
              </w:rPr>
              <w:t>2</w:t>
            </w:r>
            <w:r>
              <w:rPr>
                <w:rFonts w:ascii="SimSun" w:eastAsia="SimSun" w:hAnsi="SimSun" w:cs="SimSun"/>
                <w:color w:val="000000"/>
                <w:spacing w:val="0"/>
                <w:w w:val="100"/>
                <w:position w:val="0"/>
                <w:sz w:val="18"/>
                <w:szCs w:val="18"/>
              </w:rPr>
              <w:t>）</w:t>
              <w:tab/>
              <w:t>新增区域配送中心建设项目（二）和新增区域配送中心建设项目（三）</w:t>
            </w:r>
          </w:p>
          <w:p>
            <w:pPr>
              <w:pStyle w:val="Style29"/>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公司根据业务发展的实际需要以及项目建设规划，有序开展募集资金投入，公司区域配送中心项目建设（二）部 分物流项目已建成交付并投入运营，区域配送中心项目建设（三）物流项目处于在建，公司近年来也在持续完善 物流基础设施网络及服务网络的建设，通过与行业领先的不动产投资及运营机构合作，实现轻资产运营模式，加 速资金循环，回笼资金支持公司物流仓储建设。为此，公司将终止新增区域配送中心建设项目（二）项目募集资 金投入，将剩余募集资金实施变更；新增区域配送中心建设项目（三）剩余募集资金</w:t>
            </w:r>
            <w:r>
              <w:rPr>
                <w:color w:val="000000"/>
                <w:spacing w:val="0"/>
                <w:w w:val="100"/>
                <w:position w:val="0"/>
                <w:sz w:val="20"/>
                <w:szCs w:val="20"/>
              </w:rPr>
              <w:t>5,070.19</w:t>
            </w:r>
            <w:r>
              <w:rPr>
                <w:rFonts w:ascii="SimSun" w:eastAsia="SimSun" w:hAnsi="SimSun" w:cs="SimSun"/>
                <w:color w:val="000000"/>
                <w:spacing w:val="0"/>
                <w:w w:val="100"/>
                <w:position w:val="0"/>
                <w:sz w:val="18"/>
                <w:szCs w:val="18"/>
              </w:rPr>
              <w:t>万元将继续投入项</w:t>
            </w:r>
          </w:p>
        </w:tc>
      </w:tr>
    </w:tbl>
    <w:p>
      <w:pPr>
        <w:spacing w:lineRule="exact" w:line="1"/>
        <w:rPr>
          <w:sz w:val="2"/>
          <w:szCs w:val="2"/>
        </w:rPr>
      </w:pPr>
      <w:r>
        <w:br w:type="page"/>
      </w:r>
    </w:p>
    <w:tbl>
      <w:tblPr>
        <w:tblOverlap w:val="never"/>
        <w:jc w:val="center"/>
        <w:tblLayout w:type="fixed"/>
      </w:tblPr>
      <w:tblGrid>
        <w:gridCol w:w="4291"/>
        <w:gridCol w:w="9960"/>
      </w:tblGrid>
      <w:tr>
        <w:trPr>
          <w:trHeight w:val="50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目，不足资金由公司自有资金解决。</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20"/>
                <w:szCs w:val="20"/>
              </w:rPr>
              <w:t>3</w:t>
            </w:r>
            <w:r>
              <w:rPr>
                <w:rFonts w:ascii="SimSun" w:eastAsia="SimSun" w:hAnsi="SimSun" w:cs="SimSun"/>
                <w:color w:val="000000"/>
                <w:spacing w:val="0"/>
                <w:w w:val="100"/>
                <w:position w:val="0"/>
                <w:sz w:val="18"/>
                <w:szCs w:val="18"/>
              </w:rPr>
              <w:t>）租赁店项目和购置店项目</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公司根据业务发展的实际需要以及项目建设规划，有序安排租赁店项目的募集资金投入，截至</w:t>
            </w:r>
            <w:r>
              <w:rPr>
                <w:color w:val="000000"/>
                <w:spacing w:val="0"/>
                <w:w w:val="100"/>
                <w:position w:val="0"/>
                <w:sz w:val="20"/>
                <w:szCs w:val="20"/>
              </w:rPr>
              <w:t>2021</w:t>
            </w:r>
            <w:r>
              <w:rPr>
                <w:rFonts w:ascii="SimSun" w:eastAsia="SimSun" w:hAnsi="SimSun" w:cs="SimSun"/>
                <w:color w:val="000000"/>
                <w:spacing w:val="0"/>
                <w:w w:val="100"/>
                <w:position w:val="0"/>
                <w:sz w:val="18"/>
                <w:szCs w:val="18"/>
              </w:rPr>
              <w:t>年</w:t>
            </w:r>
            <w:r>
              <w:rPr>
                <w:color w:val="000000"/>
                <w:spacing w:val="0"/>
                <w:w w:val="100"/>
                <w:position w:val="0"/>
                <w:sz w:val="20"/>
                <w:szCs w:val="20"/>
              </w:rPr>
              <w:t>5</w:t>
            </w:r>
            <w:r>
              <w:rPr>
                <w:rFonts w:ascii="SimSun" w:eastAsia="SimSun" w:hAnsi="SimSun" w:cs="SimSun"/>
                <w:color w:val="000000"/>
                <w:spacing w:val="0"/>
                <w:w w:val="100"/>
                <w:position w:val="0"/>
                <w:sz w:val="18"/>
                <w:szCs w:val="18"/>
              </w:rPr>
              <w:t>月</w:t>
            </w:r>
            <w:r>
              <w:rPr>
                <w:color w:val="000000"/>
                <w:spacing w:val="0"/>
                <w:w w:val="100"/>
                <w:position w:val="0"/>
                <w:sz w:val="20"/>
                <w:szCs w:val="20"/>
              </w:rPr>
              <w:t>31</w:t>
            </w:r>
            <w:r>
              <w:rPr>
                <w:rFonts w:ascii="SimSun" w:eastAsia="SimSun" w:hAnsi="SimSun" w:cs="SimSun"/>
                <w:color w:val="000000"/>
                <w:spacing w:val="0"/>
                <w:w w:val="100"/>
                <w:position w:val="0"/>
                <w:sz w:val="18"/>
                <w:szCs w:val="18"/>
              </w:rPr>
              <w:t>日 租赁店项目累计投入新开苏宁易购云店</w:t>
            </w:r>
            <w:r>
              <w:rPr>
                <w:color w:val="000000"/>
                <w:spacing w:val="0"/>
                <w:w w:val="100"/>
                <w:position w:val="0"/>
                <w:sz w:val="20"/>
                <w:szCs w:val="20"/>
              </w:rPr>
              <w:t>238</w:t>
            </w:r>
            <w:r>
              <w:rPr>
                <w:rFonts w:ascii="SimSun" w:eastAsia="SimSun" w:hAnsi="SimSun" w:cs="SimSun"/>
                <w:color w:val="000000"/>
                <w:spacing w:val="0"/>
                <w:w w:val="100"/>
                <w:position w:val="0"/>
                <w:sz w:val="18"/>
                <w:szCs w:val="18"/>
              </w:rPr>
              <w:t>家，完成预计开店计划的</w:t>
            </w:r>
            <w:r>
              <w:rPr>
                <w:color w:val="000000"/>
                <w:spacing w:val="0"/>
                <w:w w:val="100"/>
                <w:position w:val="0"/>
                <w:sz w:val="20"/>
                <w:szCs w:val="20"/>
              </w:rPr>
              <w:t>71.90%</w:t>
            </w:r>
            <w:r>
              <w:rPr>
                <w:rFonts w:ascii="SimSun" w:eastAsia="SimSun" w:hAnsi="SimSun" w:cs="SimSun"/>
                <w:color w:val="000000"/>
                <w:spacing w:val="0"/>
                <w:w w:val="100"/>
                <w:position w:val="0"/>
                <w:sz w:val="18"/>
                <w:szCs w:val="18"/>
              </w:rPr>
              <w:t>，购置店项目</w:t>
            </w:r>
            <w:r>
              <w:rPr>
                <w:color w:val="000000"/>
                <w:spacing w:val="0"/>
                <w:w w:val="100"/>
                <w:position w:val="0"/>
                <w:sz w:val="20"/>
                <w:szCs w:val="20"/>
              </w:rPr>
              <w:t>1</w:t>
            </w:r>
            <w:r>
              <w:rPr>
                <w:rFonts w:ascii="SimSun" w:eastAsia="SimSun" w:hAnsi="SimSun" w:cs="SimSun"/>
                <w:color w:val="000000"/>
                <w:spacing w:val="0"/>
                <w:w w:val="100"/>
                <w:position w:val="0"/>
                <w:sz w:val="18"/>
                <w:szCs w:val="18"/>
              </w:rPr>
              <w:t>家。</w:t>
            </w:r>
          </w:p>
          <w:p>
            <w:pPr>
              <w:pStyle w:val="Style29"/>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由于受到疫情对线下门店的影响、公司开发策略的主动调整也带来了一定的影响，租赁店项目开店速度有所放缓， 同时，公司终止购置店项目的投入，资金需求程度也有所降低。</w:t>
            </w:r>
          </w:p>
          <w:p>
            <w:pPr>
              <w:pStyle w:val="Style29"/>
              <w:keepNext w:val="0"/>
              <w:keepLines w:val="0"/>
              <w:widowControl w:val="0"/>
              <w:shd w:val="clear" w:color="auto" w:fill="auto"/>
              <w:bidi w:val="0"/>
              <w:spacing w:before="0" w:after="120" w:line="310" w:lineRule="exact"/>
              <w:ind w:left="0" w:right="0" w:firstLine="0"/>
              <w:jc w:val="left"/>
              <w:rPr>
                <w:sz w:val="18"/>
                <w:szCs w:val="18"/>
              </w:rPr>
            </w:pPr>
            <w:r>
              <w:rPr>
                <w:rFonts w:ascii="SimSun" w:eastAsia="SimSun" w:hAnsi="SimSun" w:cs="SimSun"/>
                <w:color w:val="000000"/>
                <w:spacing w:val="0"/>
                <w:w w:val="100"/>
                <w:position w:val="0"/>
                <w:sz w:val="18"/>
                <w:szCs w:val="18"/>
              </w:rPr>
              <w:t>综上，为进一步提升公司募集资金使用效率，本次公司将物流运营业务发展项目、新增区域配送中心建设项目（二） 和新增区域配送中心建设项目（三）、租赁店项目和购置店项目变更用于偿还公司债券项目（二），将有利于减少 公司有息负债，改善公司负债规模。本次变更募集资金用途不会对公司业务发展带来不利影响。</w:t>
            </w:r>
          </w:p>
          <w:p>
            <w:pPr>
              <w:pStyle w:val="Style29"/>
              <w:keepNext w:val="0"/>
              <w:keepLines w:val="0"/>
              <w:widowControl w:val="0"/>
              <w:shd w:val="clear" w:color="auto" w:fill="auto"/>
              <w:tabs>
                <w:tab w:pos="283" w:val="left"/>
              </w:tabs>
              <w:bidi w:val="0"/>
              <w:spacing w:before="0" w:after="0" w:line="326" w:lineRule="auto"/>
              <w:ind w:left="0" w:right="0" w:firstLine="0"/>
              <w:jc w:val="left"/>
              <w:rPr>
                <w:sz w:val="18"/>
                <w:szCs w:val="18"/>
              </w:rPr>
            </w:pPr>
            <w:r>
              <w:rPr>
                <w:color w:val="000000"/>
                <w:spacing w:val="0"/>
                <w:w w:val="100"/>
                <w:position w:val="0"/>
                <w:sz w:val="20"/>
                <w:szCs w:val="20"/>
              </w:rPr>
              <w:t>2</w:t>
            </w:r>
            <w:r>
              <w:rPr>
                <w:rFonts w:ascii="SimSun" w:eastAsia="SimSun" w:hAnsi="SimSun" w:cs="SimSun"/>
                <w:color w:val="000000"/>
                <w:spacing w:val="0"/>
                <w:w w:val="100"/>
                <w:position w:val="0"/>
                <w:sz w:val="18"/>
                <w:szCs w:val="18"/>
              </w:rPr>
              <w:t>、</w:t>
              <w:tab/>
              <w:t>决策程序</w:t>
            </w:r>
          </w:p>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公司第七届董事会第十五次会议、</w:t>
            </w: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18"/>
                <w:szCs w:val="18"/>
              </w:rPr>
              <w:t>年第三次临时股东大会决议通过《关于变更部分募集资金用途的议案》，公 司独立董事、监事会、保荐机构对变更募投项目发表了明确同意的意见。</w:t>
            </w:r>
          </w:p>
          <w:p>
            <w:pPr>
              <w:pStyle w:val="Style29"/>
              <w:keepNext w:val="0"/>
              <w:keepLines w:val="0"/>
              <w:widowControl w:val="0"/>
              <w:shd w:val="clear" w:color="auto" w:fill="auto"/>
              <w:tabs>
                <w:tab w:pos="302" w:val="left"/>
              </w:tabs>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18"/>
                <w:szCs w:val="18"/>
              </w:rPr>
              <w:t>、</w:t>
              <w:tab/>
              <w:t>信息披露情况说明</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公司于</w:t>
            </w: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18"/>
                <w:szCs w:val="18"/>
              </w:rPr>
              <w:t>年</w:t>
            </w:r>
            <w:r>
              <w:rPr>
                <w:rFonts w:ascii="SimSun" w:eastAsia="SimSun" w:hAnsi="SimSun" w:cs="SimSun"/>
                <w:color w:val="000000"/>
                <w:spacing w:val="0"/>
                <w:w w:val="100"/>
                <w:position w:val="0"/>
                <w:sz w:val="20"/>
                <w:szCs w:val="20"/>
              </w:rPr>
              <w:t>6</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8"/>
                <w:szCs w:val="18"/>
              </w:rPr>
              <w:t>日、</w:t>
            </w:r>
            <w:r>
              <w:rPr>
                <w:rFonts w:ascii="SimSun" w:eastAsia="SimSun" w:hAnsi="SimSun" w:cs="SimSun"/>
                <w:color w:val="000000"/>
                <w:spacing w:val="0"/>
                <w:w w:val="100"/>
                <w:position w:val="0"/>
                <w:sz w:val="20"/>
                <w:szCs w:val="20"/>
              </w:rPr>
              <w:t>6</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20"/>
                <w:szCs w:val="20"/>
              </w:rPr>
              <w:t>29</w:t>
            </w:r>
            <w:r>
              <w:rPr>
                <w:rFonts w:ascii="SimSun" w:eastAsia="SimSun" w:hAnsi="SimSun" w:cs="SimSun"/>
                <w:color w:val="000000"/>
                <w:spacing w:val="0"/>
                <w:w w:val="100"/>
                <w:position w:val="0"/>
                <w:sz w:val="18"/>
                <w:szCs w:val="18"/>
              </w:rPr>
              <w:t>日分别在巨潮资讯网、证券日报、证券时报、上海证券报、中国证券报披露了 《关于变更部分募集资金用途的公告》</w:t>
            </w:r>
            <w:r>
              <w:rPr>
                <w:rFonts w:ascii="SimSun" w:eastAsia="SimSun" w:hAnsi="SimSun" w:cs="SimSun"/>
                <w:color w:val="000000"/>
                <w:spacing w:val="0"/>
                <w:w w:val="100"/>
                <w:position w:val="0"/>
                <w:sz w:val="20"/>
                <w:szCs w:val="20"/>
              </w:rPr>
              <w:t>（</w:t>
            </w:r>
            <w:r>
              <w:rPr>
                <w:color w:val="000000"/>
                <w:spacing w:val="0"/>
                <w:w w:val="100"/>
                <w:position w:val="0"/>
                <w:sz w:val="20"/>
                <w:szCs w:val="20"/>
              </w:rPr>
              <w:t>2021-074</w:t>
            </w:r>
            <w:r>
              <w:rPr>
                <w:rFonts w:ascii="SimSun" w:eastAsia="SimSun" w:hAnsi="SimSun" w:cs="SimSun"/>
                <w:color w:val="000000"/>
                <w:spacing w:val="0"/>
                <w:w w:val="100"/>
                <w:position w:val="0"/>
                <w:sz w:val="18"/>
                <w:szCs w:val="18"/>
              </w:rPr>
              <w:t>号）、《</w:t>
            </w: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18"/>
                <w:szCs w:val="18"/>
              </w:rPr>
              <w:t>年第三次临时股东大会决议公告》</w:t>
            </w:r>
            <w:r>
              <w:rPr>
                <w:rFonts w:ascii="SimSun" w:eastAsia="SimSun" w:hAnsi="SimSun" w:cs="SimSun"/>
                <w:color w:val="000000"/>
                <w:spacing w:val="0"/>
                <w:w w:val="100"/>
                <w:position w:val="0"/>
                <w:sz w:val="20"/>
                <w:szCs w:val="20"/>
              </w:rPr>
              <w:t>（</w:t>
            </w:r>
            <w:r>
              <w:rPr>
                <w:color w:val="000000"/>
                <w:spacing w:val="0"/>
                <w:w w:val="100"/>
                <w:position w:val="0"/>
                <w:sz w:val="20"/>
                <w:szCs w:val="20"/>
              </w:rPr>
              <w:t>2021-087</w:t>
            </w:r>
            <w:r>
              <w:rPr>
                <w:rFonts w:ascii="SimSun" w:eastAsia="SimSun" w:hAnsi="SimSun" w:cs="SimSun"/>
                <w:color w:val="000000"/>
                <w:spacing w:val="0"/>
                <w:w w:val="100"/>
                <w:position w:val="0"/>
                <w:sz w:val="18"/>
                <w:szCs w:val="18"/>
              </w:rPr>
              <w:t>号）。</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18"/>
                <w:szCs w:val="18"/>
              </w:rPr>
              <w:t>未达到计划进度或预计收益的情况和原因</w:t>
            </w:r>
            <w:r>
              <w:rPr>
                <w:color w:val="000000"/>
                <w:spacing w:val="0"/>
                <w:w w:val="100"/>
                <w:position w:val="0"/>
                <w:sz w:val="20"/>
                <w:szCs w:val="20"/>
              </w:rPr>
              <w:t>（</w:t>
            </w:r>
            <w:r>
              <w:rPr>
                <w:rFonts w:ascii="SimSun" w:eastAsia="SimSun" w:hAnsi="SimSun" w:cs="SimSun"/>
                <w:color w:val="000000"/>
                <w:spacing w:val="0"/>
                <w:w w:val="100"/>
                <w:position w:val="0"/>
                <w:sz w:val="18"/>
                <w:szCs w:val="18"/>
              </w:rPr>
              <w:t>分具 体项目</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变更后的项目可行性发生重大变化的情况说明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bl>
    <w:p>
      <w:pPr>
        <w:widowControl w:val="0"/>
        <w:spacing w:after="439" w:line="1" w:lineRule="exact"/>
      </w:pPr>
    </w:p>
    <w:p>
      <w:pPr>
        <w:pStyle w:val="Style55"/>
        <w:keepNext w:val="0"/>
        <w:keepLines w:val="0"/>
        <w:widowControl w:val="0"/>
        <w:numPr>
          <w:ilvl w:val="0"/>
          <w:numId w:val="3"/>
        </w:numPr>
        <w:shd w:val="clear" w:color="auto" w:fill="auto"/>
        <w:tabs>
          <w:tab w:pos="387" w:val="left"/>
        </w:tabs>
        <w:bidi w:val="0"/>
        <w:spacing w:before="0" w:after="140" w:line="240" w:lineRule="auto"/>
        <w:ind w:left="0" w:right="0" w:firstLine="0"/>
        <w:jc w:val="left"/>
      </w:pPr>
      <w:bookmarkStart w:id="200" w:name="bookmark200"/>
      <w:bookmarkEnd w:id="200"/>
      <w:r>
        <w:rPr>
          <w:color w:val="000000"/>
          <w:spacing w:val="0"/>
          <w:w w:val="100"/>
          <w:position w:val="0"/>
        </w:rPr>
        <w:t>云计算项目、偿还金融机构贷款项目（二）节余募集资金物用于永久补充流动资金（二）</w:t>
      </w:r>
    </w:p>
    <w:p>
      <w:pPr>
        <w:pStyle w:val="Style55"/>
        <w:keepNext w:val="0"/>
        <w:keepLines w:val="0"/>
        <w:widowControl w:val="0"/>
        <w:shd w:val="clear" w:color="auto" w:fill="auto"/>
        <w:bidi w:val="0"/>
        <w:spacing w:before="0" w:line="240" w:lineRule="auto"/>
        <w:ind w:left="0" w:right="240" w:firstLine="0"/>
        <w:jc w:val="right"/>
      </w:pPr>
      <w:r>
        <w:rPr>
          <w:color w:val="000000"/>
          <w:spacing w:val="0"/>
          <w:w w:val="100"/>
          <w:position w:val="0"/>
        </w:rPr>
        <w:t>单位：千元</w:t>
      </w:r>
    </w:p>
    <w:tbl>
      <w:tblPr>
        <w:tblOverlap w:val="never"/>
        <w:jc w:val="center"/>
        <w:tblLayout w:type="fixed"/>
      </w:tblPr>
      <w:tblGrid>
        <w:gridCol w:w="984"/>
        <w:gridCol w:w="1464"/>
        <w:gridCol w:w="1704"/>
        <w:gridCol w:w="1646"/>
        <w:gridCol w:w="1848"/>
        <w:gridCol w:w="1435"/>
        <w:gridCol w:w="1435"/>
        <w:gridCol w:w="1142"/>
        <w:gridCol w:w="1138"/>
        <w:gridCol w:w="1454"/>
      </w:tblGrid>
      <w:tr>
        <w:trPr>
          <w:trHeight w:val="9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变更后的 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对应的原承诺项 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变更后项目投入募</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18"/>
                <w:szCs w:val="18"/>
              </w:rPr>
              <w:t>集资金总额</w:t>
            </w:r>
            <w:r>
              <w:rPr>
                <w:color w:val="000000"/>
                <w:spacing w:val="0"/>
                <w:w w:val="100"/>
                <w:position w:val="0"/>
                <w:sz w:val="20"/>
                <w:szCs w:val="20"/>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本报告期实际投 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color w:val="000000"/>
                <w:spacing w:val="0"/>
                <w:w w:val="100"/>
                <w:position w:val="0"/>
                <w:sz w:val="18"/>
                <w:szCs w:val="18"/>
              </w:rPr>
              <w:t>截至期末实际累计 投入金额</w:t>
            </w:r>
            <w:r>
              <w:rPr>
                <w:color w:val="000000"/>
                <w:spacing w:val="0"/>
                <w:w w:val="100"/>
                <w:position w:val="0"/>
                <w:sz w:val="20"/>
                <w:szCs w:val="20"/>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18"/>
                <w:szCs w:val="18"/>
              </w:rPr>
              <w:t>截至期末投资 进度</w:t>
            </w:r>
            <w:r>
              <w:rPr>
                <w:color w:val="000000"/>
                <w:spacing w:val="0"/>
                <w:w w:val="100"/>
                <w:position w:val="0"/>
                <w:sz w:val="20"/>
                <w:szCs w:val="20"/>
              </w:rPr>
              <w:t>（3）=（2）/（1）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项目达到预定</w:t>
            </w:r>
          </w:p>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可使用状态日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本报告期实 现的效益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是否达到预 计效益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变更后的项目</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可行性是否发</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生重大变化</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永久补充</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流动资金</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云计算项目、偿 还金融机构贷款 项目（二）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45,135.5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45,135.5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45,135.5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31" w:hRule="exact"/>
        </w:trPr>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变更原因、决策程序及信息披露情况说明</w:t>
            </w:r>
            <w:r>
              <w:rPr>
                <w:color w:val="000000"/>
                <w:spacing w:val="0"/>
                <w:w w:val="100"/>
                <w:position w:val="0"/>
                <w:sz w:val="20"/>
                <w:szCs w:val="20"/>
              </w:rPr>
              <w:t>（</w:t>
            </w:r>
            <w:r>
              <w:rPr>
                <w:rFonts w:ascii="SimSun" w:eastAsia="SimSun" w:hAnsi="SimSun" w:cs="SimSun"/>
                <w:color w:val="000000"/>
                <w:spacing w:val="0"/>
                <w:w w:val="100"/>
                <w:position w:val="0"/>
                <w:sz w:val="18"/>
                <w:szCs w:val="18"/>
              </w:rPr>
              <w:t>分具</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1</w:t>
            </w:r>
            <w:r>
              <w:rPr>
                <w:rFonts w:ascii="SimSun" w:eastAsia="SimSun" w:hAnsi="SimSun" w:cs="SimSun"/>
                <w:color w:val="000000"/>
                <w:spacing w:val="0"/>
                <w:w w:val="100"/>
                <w:position w:val="0"/>
                <w:sz w:val="18"/>
                <w:szCs w:val="18"/>
              </w:rPr>
              <w:t>、变更原因</w:t>
            </w:r>
          </w:p>
        </w:tc>
      </w:tr>
    </w:tbl>
    <w:p>
      <w:pPr>
        <w:spacing w:lineRule="exact" w:line="1"/>
        <w:rPr>
          <w:sz w:val="2"/>
          <w:szCs w:val="2"/>
        </w:rPr>
      </w:pPr>
      <w:r>
        <w:br w:type="page"/>
      </w:r>
    </w:p>
    <w:tbl>
      <w:tblPr>
        <w:tblOverlap w:val="never"/>
        <w:jc w:val="center"/>
        <w:tblLayout w:type="fixed"/>
      </w:tblPr>
      <w:tblGrid>
        <w:gridCol w:w="4152"/>
        <w:gridCol w:w="10099"/>
      </w:tblGrid>
      <w:tr>
        <w:trPr>
          <w:trHeight w:val="3134"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8"/>
                <w:szCs w:val="18"/>
              </w:rPr>
              <w:t>体项目</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公司已经完成云计算项目和偿还金融机构贷款项目（二）投入，节余募集资金用于永久补充流动资金，有利于支持 公司业务发展，提升募集资金使用效率。</w:t>
            </w:r>
          </w:p>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公司将募集资金项目节余资金用于公司日常经营，支持公司主营业务发展，有利于维护上市公司和股东的利益。</w:t>
            </w:r>
          </w:p>
          <w:p>
            <w:pPr>
              <w:pStyle w:val="Style29"/>
              <w:keepNext w:val="0"/>
              <w:keepLines w:val="0"/>
              <w:widowControl w:val="0"/>
              <w:shd w:val="clear" w:color="auto" w:fill="auto"/>
              <w:bidi w:val="0"/>
              <w:spacing w:before="0" w:after="80" w:line="317" w:lineRule="exact"/>
              <w:ind w:left="0" w:right="0" w:firstLine="0"/>
              <w:jc w:val="left"/>
              <w:rPr>
                <w:sz w:val="18"/>
                <w:szCs w:val="18"/>
              </w:rPr>
            </w:pPr>
            <w:r>
              <w:rPr>
                <w:rFonts w:ascii="SimSun" w:eastAsia="SimSun" w:hAnsi="SimSun" w:cs="SimSun"/>
                <w:color w:val="000000"/>
                <w:spacing w:val="0"/>
                <w:w w:val="100"/>
                <w:position w:val="0"/>
                <w:sz w:val="18"/>
                <w:szCs w:val="18"/>
              </w:rPr>
              <w:t>本次变更募集资金用途不会对公司业务发展带来不利影响。</w:t>
            </w:r>
          </w:p>
          <w:p>
            <w:pPr>
              <w:pStyle w:val="Style29"/>
              <w:keepNext w:val="0"/>
              <w:keepLines w:val="0"/>
              <w:widowControl w:val="0"/>
              <w:shd w:val="clear" w:color="auto" w:fill="auto"/>
              <w:tabs>
                <w:tab w:pos="283" w:val="left"/>
              </w:tabs>
              <w:bidi w:val="0"/>
              <w:spacing w:before="0" w:after="0" w:line="331" w:lineRule="auto"/>
              <w:ind w:left="0" w:right="0" w:firstLine="0"/>
              <w:jc w:val="left"/>
              <w:rPr>
                <w:sz w:val="18"/>
                <w:szCs w:val="18"/>
              </w:rPr>
            </w:pPr>
            <w:r>
              <w:rPr>
                <w:color w:val="000000"/>
                <w:spacing w:val="0"/>
                <w:w w:val="100"/>
                <w:position w:val="0"/>
                <w:sz w:val="20"/>
                <w:szCs w:val="20"/>
              </w:rPr>
              <w:t>2</w:t>
            </w:r>
            <w:r>
              <w:rPr>
                <w:rFonts w:ascii="SimSun" w:eastAsia="SimSun" w:hAnsi="SimSun" w:cs="SimSun"/>
                <w:color w:val="000000"/>
                <w:spacing w:val="0"/>
                <w:w w:val="100"/>
                <w:position w:val="0"/>
                <w:sz w:val="18"/>
                <w:szCs w:val="18"/>
              </w:rPr>
              <w:t>、</w:t>
              <w:tab/>
              <w:t>决策程序</w:t>
            </w:r>
          </w:p>
          <w:p>
            <w:pPr>
              <w:pStyle w:val="Style29"/>
              <w:keepNext w:val="0"/>
              <w:keepLines w:val="0"/>
              <w:widowControl w:val="0"/>
              <w:shd w:val="clear" w:color="auto" w:fill="auto"/>
              <w:bidi w:val="0"/>
              <w:spacing w:before="0" w:after="80" w:line="317" w:lineRule="exact"/>
              <w:ind w:left="0" w:right="0" w:firstLine="0"/>
              <w:jc w:val="left"/>
              <w:rPr>
                <w:sz w:val="18"/>
                <w:szCs w:val="18"/>
              </w:rPr>
            </w:pPr>
            <w:r>
              <w:rPr>
                <w:rFonts w:ascii="SimSun" w:eastAsia="SimSun" w:hAnsi="SimSun" w:cs="SimSun"/>
                <w:color w:val="000000"/>
                <w:spacing w:val="0"/>
                <w:w w:val="100"/>
                <w:position w:val="0"/>
                <w:sz w:val="18"/>
                <w:szCs w:val="18"/>
              </w:rPr>
              <w:t>公司第七届董事会第十五次会议、</w:t>
            </w:r>
            <w:r>
              <w:rPr>
                <w:color w:val="000000"/>
                <w:spacing w:val="0"/>
                <w:w w:val="100"/>
                <w:position w:val="0"/>
                <w:sz w:val="20"/>
                <w:szCs w:val="20"/>
              </w:rPr>
              <w:t>2021</w:t>
            </w:r>
            <w:r>
              <w:rPr>
                <w:rFonts w:ascii="SimSun" w:eastAsia="SimSun" w:hAnsi="SimSun" w:cs="SimSun"/>
                <w:color w:val="000000"/>
                <w:spacing w:val="0"/>
                <w:w w:val="100"/>
                <w:position w:val="0"/>
                <w:sz w:val="18"/>
                <w:szCs w:val="18"/>
              </w:rPr>
              <w:t>年第三次临时股东大会决议通过《关于变更部分募集资金用途的议案》，公 司独立董事、监事会、保荐机构对变更募投项目发表了明确同意的意见。</w:t>
            </w:r>
          </w:p>
          <w:p>
            <w:pPr>
              <w:pStyle w:val="Style29"/>
              <w:keepNext w:val="0"/>
              <w:keepLines w:val="0"/>
              <w:widowControl w:val="0"/>
              <w:shd w:val="clear" w:color="auto" w:fill="auto"/>
              <w:tabs>
                <w:tab w:pos="302" w:val="left"/>
              </w:tabs>
              <w:bidi w:val="0"/>
              <w:spacing w:before="0" w:after="0" w:line="331" w:lineRule="auto"/>
              <w:ind w:left="0" w:right="0" w:firstLine="0"/>
              <w:jc w:val="left"/>
              <w:rPr>
                <w:sz w:val="18"/>
                <w:szCs w:val="18"/>
              </w:rPr>
            </w:pPr>
            <w:r>
              <w:rPr>
                <w:color w:val="000000"/>
                <w:spacing w:val="0"/>
                <w:w w:val="100"/>
                <w:position w:val="0"/>
                <w:sz w:val="20"/>
                <w:szCs w:val="20"/>
              </w:rPr>
              <w:t>3</w:t>
            </w:r>
            <w:r>
              <w:rPr>
                <w:rFonts w:ascii="SimSun" w:eastAsia="SimSun" w:hAnsi="SimSun" w:cs="SimSun"/>
                <w:color w:val="000000"/>
                <w:spacing w:val="0"/>
                <w:w w:val="100"/>
                <w:position w:val="0"/>
                <w:sz w:val="18"/>
                <w:szCs w:val="18"/>
              </w:rPr>
              <w:t>、</w:t>
              <w:tab/>
              <w:t>信息披露情况说明</w:t>
            </w:r>
          </w:p>
          <w:p>
            <w:pPr>
              <w:pStyle w:val="Style29"/>
              <w:keepNext w:val="0"/>
              <w:keepLines w:val="0"/>
              <w:widowControl w:val="0"/>
              <w:shd w:val="clear" w:color="auto" w:fill="auto"/>
              <w:bidi w:val="0"/>
              <w:spacing w:before="0" w:after="80" w:line="317" w:lineRule="exact"/>
              <w:ind w:left="0" w:right="0" w:firstLine="0"/>
              <w:jc w:val="left"/>
              <w:rPr>
                <w:sz w:val="18"/>
                <w:szCs w:val="18"/>
              </w:rPr>
            </w:pPr>
            <w:r>
              <w:rPr>
                <w:rFonts w:ascii="SimSun" w:eastAsia="SimSun" w:hAnsi="SimSun" w:cs="SimSun"/>
                <w:color w:val="000000"/>
                <w:spacing w:val="0"/>
                <w:w w:val="100"/>
                <w:position w:val="0"/>
                <w:sz w:val="18"/>
                <w:szCs w:val="18"/>
              </w:rPr>
              <w:t>公司于</w:t>
            </w:r>
            <w:r>
              <w:rPr>
                <w:color w:val="000000"/>
                <w:spacing w:val="0"/>
                <w:w w:val="100"/>
                <w:position w:val="0"/>
                <w:sz w:val="20"/>
                <w:szCs w:val="20"/>
              </w:rPr>
              <w:t>2021</w:t>
            </w:r>
            <w:r>
              <w:rPr>
                <w:rFonts w:ascii="SimSun" w:eastAsia="SimSun" w:hAnsi="SimSun" w:cs="SimSun"/>
                <w:color w:val="000000"/>
                <w:spacing w:val="0"/>
                <w:w w:val="100"/>
                <w:position w:val="0"/>
                <w:sz w:val="18"/>
                <w:szCs w:val="18"/>
              </w:rPr>
              <w:t>年</w:t>
            </w:r>
            <w:r>
              <w:rPr>
                <w:color w:val="000000"/>
                <w:spacing w:val="0"/>
                <w:w w:val="100"/>
                <w:position w:val="0"/>
                <w:sz w:val="20"/>
                <w:szCs w:val="20"/>
              </w:rPr>
              <w:t>6</w:t>
            </w:r>
            <w:r>
              <w:rPr>
                <w:rFonts w:ascii="SimSun" w:eastAsia="SimSun" w:hAnsi="SimSun" w:cs="SimSun"/>
                <w:color w:val="000000"/>
                <w:spacing w:val="0"/>
                <w:w w:val="100"/>
                <w:position w:val="0"/>
                <w:sz w:val="18"/>
                <w:szCs w:val="18"/>
              </w:rPr>
              <w:t>月</w:t>
            </w:r>
            <w:r>
              <w:rPr>
                <w:color w:val="000000"/>
                <w:spacing w:val="0"/>
                <w:w w:val="100"/>
                <w:position w:val="0"/>
                <w:sz w:val="20"/>
                <w:szCs w:val="20"/>
              </w:rPr>
              <w:t>10</w:t>
            </w:r>
            <w:r>
              <w:rPr>
                <w:rFonts w:ascii="SimSun" w:eastAsia="SimSun" w:hAnsi="SimSun" w:cs="SimSun"/>
                <w:color w:val="000000"/>
                <w:spacing w:val="0"/>
                <w:w w:val="100"/>
                <w:position w:val="0"/>
                <w:sz w:val="18"/>
                <w:szCs w:val="18"/>
              </w:rPr>
              <w:t>日、</w:t>
            </w:r>
            <w:r>
              <w:rPr>
                <w:color w:val="000000"/>
                <w:spacing w:val="0"/>
                <w:w w:val="100"/>
                <w:position w:val="0"/>
                <w:sz w:val="20"/>
                <w:szCs w:val="20"/>
              </w:rPr>
              <w:t>6</w:t>
            </w:r>
            <w:r>
              <w:rPr>
                <w:rFonts w:ascii="SimSun" w:eastAsia="SimSun" w:hAnsi="SimSun" w:cs="SimSun"/>
                <w:color w:val="000000"/>
                <w:spacing w:val="0"/>
                <w:w w:val="100"/>
                <w:position w:val="0"/>
                <w:sz w:val="18"/>
                <w:szCs w:val="18"/>
              </w:rPr>
              <w:t>月</w:t>
            </w:r>
            <w:r>
              <w:rPr>
                <w:color w:val="000000"/>
                <w:spacing w:val="0"/>
                <w:w w:val="100"/>
                <w:position w:val="0"/>
                <w:sz w:val="20"/>
                <w:szCs w:val="20"/>
              </w:rPr>
              <w:t>29</w:t>
            </w:r>
            <w:r>
              <w:rPr>
                <w:rFonts w:ascii="SimSun" w:eastAsia="SimSun" w:hAnsi="SimSun" w:cs="SimSun"/>
                <w:color w:val="000000"/>
                <w:spacing w:val="0"/>
                <w:w w:val="100"/>
                <w:position w:val="0"/>
                <w:sz w:val="18"/>
                <w:szCs w:val="18"/>
              </w:rPr>
              <w:t>日分别在巨潮资讯网、证券日报、证券时报、上海证券报、中国证券报披露了《关 于变更部分募集资金用途的公告》</w:t>
            </w:r>
            <w:r>
              <w:rPr>
                <w:rFonts w:ascii="SimSun" w:eastAsia="SimSun" w:hAnsi="SimSun" w:cs="SimSun"/>
                <w:color w:val="000000"/>
                <w:spacing w:val="0"/>
                <w:w w:val="100"/>
                <w:position w:val="0"/>
                <w:sz w:val="18"/>
                <w:szCs w:val="18"/>
              </w:rPr>
              <w:t>（</w:t>
            </w:r>
            <w:r>
              <w:rPr>
                <w:color w:val="000000"/>
                <w:spacing w:val="0"/>
                <w:w w:val="100"/>
                <w:position w:val="0"/>
                <w:sz w:val="20"/>
                <w:szCs w:val="20"/>
              </w:rPr>
              <w:t>2021-074</w:t>
            </w:r>
            <w:r>
              <w:rPr>
                <w:rFonts w:ascii="SimSun" w:eastAsia="SimSun" w:hAnsi="SimSun" w:cs="SimSun"/>
                <w:color w:val="000000"/>
                <w:spacing w:val="0"/>
                <w:w w:val="100"/>
                <w:position w:val="0"/>
                <w:sz w:val="18"/>
                <w:szCs w:val="18"/>
              </w:rPr>
              <w:t>号）、《</w:t>
            </w:r>
            <w:r>
              <w:rPr>
                <w:color w:val="000000"/>
                <w:spacing w:val="0"/>
                <w:w w:val="100"/>
                <w:position w:val="0"/>
                <w:sz w:val="20"/>
                <w:szCs w:val="20"/>
              </w:rPr>
              <w:t>2021</w:t>
            </w:r>
            <w:r>
              <w:rPr>
                <w:rFonts w:ascii="SimSun" w:eastAsia="SimSun" w:hAnsi="SimSun" w:cs="SimSun"/>
                <w:color w:val="000000"/>
                <w:spacing w:val="0"/>
                <w:w w:val="100"/>
                <w:position w:val="0"/>
                <w:sz w:val="18"/>
                <w:szCs w:val="18"/>
              </w:rPr>
              <w:t>年第三次临时股东大会决议公告》</w:t>
            </w:r>
            <w:r>
              <w:rPr>
                <w:rFonts w:ascii="SimSun" w:eastAsia="SimSun" w:hAnsi="SimSun" w:cs="SimSun"/>
                <w:color w:val="000000"/>
                <w:spacing w:val="0"/>
                <w:w w:val="100"/>
                <w:position w:val="0"/>
                <w:sz w:val="18"/>
                <w:szCs w:val="18"/>
              </w:rPr>
              <w:t>（</w:t>
            </w:r>
            <w:r>
              <w:rPr>
                <w:color w:val="000000"/>
                <w:spacing w:val="0"/>
                <w:w w:val="100"/>
                <w:position w:val="0"/>
                <w:sz w:val="20"/>
                <w:szCs w:val="20"/>
              </w:rPr>
              <w:t>2021-087</w:t>
            </w:r>
            <w:r>
              <w:rPr>
                <w:rFonts w:ascii="SimSun" w:eastAsia="SimSun" w:hAnsi="SimSun" w:cs="SimSun"/>
                <w:color w:val="000000"/>
                <w:spacing w:val="0"/>
                <w:w w:val="100"/>
                <w:position w:val="0"/>
                <w:sz w:val="18"/>
                <w:szCs w:val="18"/>
              </w:rPr>
              <w:t>号）。</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18"/>
                <w:szCs w:val="18"/>
              </w:rPr>
              <w:t>未达到计划进度或预计收益的情况和原因</w:t>
            </w:r>
            <w:r>
              <w:rPr>
                <w:color w:val="000000"/>
                <w:spacing w:val="0"/>
                <w:w w:val="100"/>
                <w:position w:val="0"/>
                <w:sz w:val="20"/>
                <w:szCs w:val="20"/>
              </w:rPr>
              <w:t>（</w:t>
            </w:r>
            <w:r>
              <w:rPr>
                <w:rFonts w:ascii="SimSun" w:eastAsia="SimSun" w:hAnsi="SimSun" w:cs="SimSun"/>
                <w:color w:val="000000"/>
                <w:spacing w:val="0"/>
                <w:w w:val="100"/>
                <w:position w:val="0"/>
                <w:sz w:val="18"/>
                <w:szCs w:val="18"/>
              </w:rPr>
              <w:t>分具 体项目</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变更后的项目可行性发生重大变化的情况说明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bl>
    <w:p>
      <w:pPr>
        <w:sectPr>
          <w:footnotePr>
            <w:pos w:val="pageBottom"/>
            <w:numFmt w:val="decimal"/>
            <w:numStart w:val="1"/>
            <w:numRestart w:val="continuous"/>
            <w15:footnoteColumns w:val="1"/>
          </w:footnotePr>
          <w:pgSz w:w="16840" w:h="11900" w:orient="landscape"/>
          <w:pgMar w:top="915" w:right="1213" w:bottom="1243" w:left="1377" w:header="0" w:footer="3" w:gutter="0"/>
          <w:cols w:space="720"/>
          <w:noEndnote/>
          <w:rtlGutter w:val="0"/>
          <w:docGrid w:linePitch="360"/>
        </w:sectPr>
      </w:pPr>
    </w:p>
    <w:p>
      <w:pPr>
        <w:pStyle w:val="Style32"/>
        <w:keepNext/>
        <w:keepLines/>
        <w:widowControl w:val="0"/>
        <w:shd w:val="clear" w:color="auto" w:fill="auto"/>
        <w:bidi w:val="0"/>
        <w:spacing w:before="32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八</w:t>
      </w:r>
      <w:bookmarkEnd w:id="203"/>
      <w:r>
        <w:rPr>
          <w:color w:val="000000"/>
          <w:spacing w:val="0"/>
          <w:w w:val="100"/>
          <w:position w:val="0"/>
          <w:sz w:val="24"/>
          <w:szCs w:val="24"/>
        </w:rPr>
        <w:t>、重大资产和股权出售</w:t>
      </w:r>
      <w:bookmarkEnd w:id="201"/>
      <w:bookmarkEnd w:id="202"/>
      <w:bookmarkEnd w:id="204"/>
    </w:p>
    <w:p>
      <w:pPr>
        <w:pStyle w:val="Style35"/>
        <w:keepNext/>
        <w:keepLines/>
        <w:widowControl w:val="0"/>
        <w:shd w:val="clear" w:color="auto" w:fill="auto"/>
        <w:tabs>
          <w:tab w:pos="368" w:val="left"/>
        </w:tabs>
        <w:bidi w:val="0"/>
        <w:spacing w:before="0" w:after="42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w:t>
        <w:tab/>
        <w:t>出售重大资产情况</w:t>
      </w:r>
      <w:bookmarkEnd w:id="205"/>
      <w:bookmarkEnd w:id="206"/>
      <w:bookmarkEnd w:id="208"/>
    </w:p>
    <w:p>
      <w:pPr>
        <w:pStyle w:val="Style17"/>
        <w:keepNext w:val="0"/>
        <w:keepLines w:val="0"/>
        <w:widowControl w:val="0"/>
        <w:shd w:val="clear" w:color="auto" w:fill="auto"/>
        <w:bidi w:val="0"/>
        <w:spacing w:before="0" w:after="200" w:line="240" w:lineRule="auto"/>
        <w:ind w:left="0" w:right="0" w:firstLine="48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420" w:line="240" w:lineRule="auto"/>
        <w:ind w:left="0" w:right="0" w:firstLine="480"/>
        <w:jc w:val="both"/>
      </w:pPr>
      <w:r>
        <w:rPr>
          <w:color w:val="000000"/>
          <w:spacing w:val="0"/>
          <w:w w:val="100"/>
          <w:position w:val="0"/>
        </w:rPr>
        <w:t>公司报告期未出售重大资产。</w:t>
      </w:r>
    </w:p>
    <w:p>
      <w:pPr>
        <w:pStyle w:val="Style35"/>
        <w:keepNext/>
        <w:keepLines/>
        <w:widowControl w:val="0"/>
        <w:shd w:val="clear" w:color="auto" w:fill="auto"/>
        <w:tabs>
          <w:tab w:pos="378" w:val="left"/>
        </w:tabs>
        <w:bidi w:val="0"/>
        <w:spacing w:before="0" w:after="42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w:t>
        <w:tab/>
        <w:t>出售重大股权情况</w:t>
      </w:r>
      <w:bookmarkEnd w:id="209"/>
      <w:bookmarkEnd w:id="210"/>
      <w:bookmarkEnd w:id="212"/>
    </w:p>
    <w:p>
      <w:pPr>
        <w:pStyle w:val="Style17"/>
        <w:keepNext w:val="0"/>
        <w:keepLines w:val="0"/>
        <w:widowControl w:val="0"/>
        <w:shd w:val="clear" w:color="auto" w:fill="auto"/>
        <w:bidi w:val="0"/>
        <w:spacing w:before="0" w:after="420" w:line="240" w:lineRule="auto"/>
        <w:ind w:left="0" w:right="0" w:firstLine="48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2"/>
        <w:keepNext/>
        <w:keepLines/>
        <w:widowControl w:val="0"/>
        <w:shd w:val="clear" w:color="auto" w:fill="auto"/>
        <w:bidi w:val="0"/>
        <w:spacing w:before="0" w:after="42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九</w:t>
      </w:r>
      <w:bookmarkEnd w:id="215"/>
      <w:r>
        <w:rPr>
          <w:color w:val="000000"/>
          <w:spacing w:val="0"/>
          <w:w w:val="100"/>
          <w:position w:val="0"/>
          <w:sz w:val="24"/>
          <w:szCs w:val="24"/>
        </w:rPr>
        <w:t>、主要控股参股公司分析</w:t>
      </w:r>
      <w:bookmarkEnd w:id="213"/>
      <w:bookmarkEnd w:id="214"/>
      <w:bookmarkEnd w:id="216"/>
    </w:p>
    <w:p>
      <w:pPr>
        <w:pStyle w:val="Style17"/>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以上控股参股公司情况</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单位：千元</w:t>
      </w:r>
    </w:p>
    <w:tbl>
      <w:tblPr>
        <w:tblOverlap w:val="never"/>
        <w:jc w:val="center"/>
        <w:tblLayout w:type="fixed"/>
      </w:tblPr>
      <w:tblGrid>
        <w:gridCol w:w="1440"/>
        <w:gridCol w:w="1147"/>
        <w:gridCol w:w="859"/>
        <w:gridCol w:w="1003"/>
        <w:gridCol w:w="1147"/>
        <w:gridCol w:w="998"/>
        <w:gridCol w:w="965"/>
        <w:gridCol w:w="1070"/>
        <w:gridCol w:w="1085"/>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主要业 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总资产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净资产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营业利润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净利润</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深圳市恒宁商 业发展有限公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参股公司，</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持股</w:t>
            </w:r>
            <w:r>
              <w:rPr>
                <w:color w:val="000000"/>
                <w:spacing w:val="0"/>
                <w:w w:val="100"/>
                <w:position w:val="0"/>
                <w:sz w:val="20"/>
                <w:szCs w:val="2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20"/>
                <w:szCs w:val="20"/>
              </w:rPr>
            </w:pPr>
            <w:r>
              <w:rPr>
                <w:rFonts w:ascii="SimSun" w:eastAsia="SimSun" w:hAnsi="SimSun" w:cs="SimSun"/>
                <w:color w:val="000000"/>
                <w:spacing w:val="0"/>
                <w:w w:val="100"/>
                <w:position w:val="0"/>
                <w:sz w:val="20"/>
                <w:szCs w:val="20"/>
              </w:rPr>
              <w:t>商业地</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2,332,470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1,184,022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-20,990,407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-20,990,407</w:t>
            </w:r>
          </w:p>
        </w:tc>
      </w:tr>
      <w:tr>
        <w:trPr>
          <w:trHeight w:val="9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上海星图金融</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服务集团有限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0" w:lineRule="exact"/>
              <w:ind w:left="0" w:right="0" w:firstLine="0"/>
              <w:jc w:val="left"/>
              <w:rPr>
                <w:sz w:val="20"/>
                <w:szCs w:val="20"/>
              </w:rPr>
            </w:pPr>
            <w:r>
              <w:rPr>
                <w:rFonts w:ascii="SimSun" w:eastAsia="SimSun" w:hAnsi="SimSun" w:cs="SimSun"/>
                <w:color w:val="000000"/>
                <w:spacing w:val="0"/>
                <w:w w:val="100"/>
                <w:position w:val="0"/>
                <w:sz w:val="20"/>
                <w:szCs w:val="20"/>
              </w:rPr>
              <w:t xml:space="preserve">参股公司， 持股 </w:t>
            </w:r>
            <w:r>
              <w:rPr>
                <w:color w:val="000000"/>
                <w:spacing w:val="0"/>
                <w:w w:val="100"/>
                <w:position w:val="0"/>
                <w:sz w:val="20"/>
                <w:szCs w:val="20"/>
              </w:rPr>
              <w:t>41.15%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互联网</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1,356,349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23,563,380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17,768,590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4,046,355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-10,924,899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-9,826,782</w:t>
            </w:r>
          </w:p>
        </w:tc>
      </w:tr>
    </w:tbl>
    <w:p>
      <w:pPr>
        <w:widowControl w:val="0"/>
        <w:spacing w:after="579" w:line="1" w:lineRule="exact"/>
      </w:pPr>
    </w:p>
    <w:p>
      <w:pPr>
        <w:pStyle w:val="Style17"/>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主要控股参股公司情况说明</w:t>
      </w:r>
    </w:p>
    <w:p>
      <w:pPr>
        <w:pStyle w:val="Style17"/>
        <w:keepNext w:val="0"/>
        <w:keepLines w:val="0"/>
        <w:widowControl w:val="0"/>
        <w:shd w:val="clear" w:color="auto" w:fill="auto"/>
        <w:tabs>
          <w:tab w:pos="838" w:val="left"/>
        </w:tabs>
        <w:bidi w:val="0"/>
        <w:spacing w:before="0" w:after="200" w:line="240" w:lineRule="auto"/>
        <w:ind w:left="0" w:right="0" w:firstLine="480"/>
        <w:jc w:val="both"/>
      </w:pPr>
      <w:bookmarkStart w:id="217" w:name="bookmark217"/>
      <w:r>
        <w:rPr>
          <w:rFonts w:ascii="Times New Roman" w:eastAsia="Times New Roman" w:hAnsi="Times New Roman" w:cs="Times New Roman"/>
          <w:color w:val="000000"/>
          <w:spacing w:val="0"/>
          <w:w w:val="100"/>
          <w:position w:val="0"/>
          <w:sz w:val="22"/>
          <w:szCs w:val="22"/>
        </w:rPr>
        <w:t>1</w:t>
      </w:r>
      <w:bookmarkEnd w:id="217"/>
      <w:r>
        <w:rPr>
          <w:color w:val="000000"/>
          <w:spacing w:val="0"/>
          <w:w w:val="100"/>
          <w:position w:val="0"/>
        </w:rPr>
        <w:t>、</w:t>
        <w:tab/>
        <w:t>深圳市恒宁商业发展有限公司由于报告期内计提了减值损失，带来净利润大额亏损。</w:t>
      </w:r>
    </w:p>
    <w:p>
      <w:pPr>
        <w:pStyle w:val="Style17"/>
        <w:keepNext w:val="0"/>
        <w:keepLines w:val="0"/>
        <w:widowControl w:val="0"/>
        <w:shd w:val="clear" w:color="auto" w:fill="auto"/>
        <w:tabs>
          <w:tab w:pos="862" w:val="left"/>
        </w:tabs>
        <w:bidi w:val="0"/>
        <w:spacing w:before="0" w:after="680" w:line="240" w:lineRule="auto"/>
        <w:ind w:left="0" w:right="0" w:firstLine="480"/>
        <w:jc w:val="both"/>
      </w:pPr>
      <w:bookmarkStart w:id="218" w:name="bookmark218"/>
      <w:r>
        <w:rPr>
          <w:rFonts w:ascii="Times New Roman" w:eastAsia="Times New Roman" w:hAnsi="Times New Roman" w:cs="Times New Roman"/>
          <w:color w:val="000000"/>
          <w:spacing w:val="0"/>
          <w:w w:val="100"/>
          <w:position w:val="0"/>
          <w:sz w:val="22"/>
          <w:szCs w:val="22"/>
        </w:rPr>
        <w:t>2</w:t>
      </w:r>
      <w:bookmarkEnd w:id="218"/>
      <w:r>
        <w:rPr>
          <w:color w:val="000000"/>
          <w:spacing w:val="0"/>
          <w:w w:val="100"/>
          <w:position w:val="0"/>
        </w:rPr>
        <w:t>、</w:t>
        <w:tab/>
        <w:t>上海星图金融服务集团有限公司由于报告期内利润亏损。</w:t>
      </w:r>
    </w:p>
    <w:p>
      <w:pPr>
        <w:pStyle w:val="Style17"/>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报告期内取得和处置子公司的情况</w:t>
      </w:r>
    </w:p>
    <w:p>
      <w:pPr>
        <w:pStyle w:val="Style17"/>
        <w:keepNext w:val="0"/>
        <w:keepLines w:val="0"/>
        <w:widowControl w:val="0"/>
        <w:shd w:val="clear" w:color="auto" w:fill="auto"/>
        <w:bidi w:val="0"/>
        <w:spacing w:before="0" w:after="100" w:line="240" w:lineRule="auto"/>
        <w:ind w:left="0" w:right="0" w:firstLine="480"/>
        <w:jc w:val="both"/>
      </w:pPr>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3130"/>
        <w:gridCol w:w="3259"/>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报告期内取得和处置子公司方式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对整体生产经营和业绩的影响</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珠海普易物流项目处置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出售</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20"/>
                <w:szCs w:val="20"/>
              </w:rPr>
              <w:t>具体内容详见第十一节财务报 告附注</w:t>
            </w:r>
            <w:r>
              <w:rPr>
                <w:color w:val="000000"/>
                <w:spacing w:val="0"/>
                <w:w w:val="100"/>
                <w:position w:val="0"/>
              </w:rPr>
              <w:t>“</w:t>
            </w:r>
            <w:r>
              <w:rPr>
                <w:rFonts w:ascii="SimSun" w:eastAsia="SimSun" w:hAnsi="SimSun" w:cs="SimSun"/>
                <w:color w:val="000000"/>
                <w:spacing w:val="0"/>
                <w:w w:val="100"/>
                <w:position w:val="0"/>
                <w:sz w:val="20"/>
                <w:szCs w:val="20"/>
              </w:rPr>
              <w:t>五合并范围的变更</w:t>
            </w: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安庆苏宁悦城置业有限公司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出售</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南京悦百家网络技术服务有限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出售</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云仓物流处置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出售</w:t>
            </w:r>
          </w:p>
        </w:tc>
        <w:tc>
          <w:tcPr>
            <w:vMerge/>
            <w:tcBorders>
              <w:left w:val="single" w:sz="4"/>
              <w:bottom w:val="single" w:sz="4"/>
              <w:right w:val="single" w:sz="4"/>
            </w:tcBorders>
            <w:shd w:val="clear" w:color="auto" w:fill="FFFFFF"/>
            <w:vAlign w:val="center"/>
          </w:tcPr>
          <w:p>
            <w:pPr/>
          </w:p>
        </w:tc>
      </w:tr>
    </w:tbl>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报告期内取得和处置子公司其他情况具体内容见第十一节财务报告附注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五、合并范围的变更</w:t>
      </w:r>
      <w:r>
        <w:rPr>
          <w:rFonts w:ascii="Times New Roman" w:eastAsia="Times New Roman" w:hAnsi="Times New Roman" w:cs="Times New Roman"/>
          <w:color w:val="000000"/>
          <w:spacing w:val="0"/>
          <w:w w:val="100"/>
          <w:position w:val="0"/>
          <w:sz w:val="22"/>
          <w:szCs w:val="22"/>
        </w:rPr>
        <w:t>”</w:t>
      </w:r>
      <w:r>
        <w:br w:type="page"/>
      </w:r>
    </w:p>
    <w:p>
      <w:pPr>
        <w:pStyle w:val="Style32"/>
        <w:keepNext/>
        <w:keepLines/>
        <w:widowControl w:val="0"/>
        <w:shd w:val="clear" w:color="auto" w:fill="auto"/>
        <w:bidi w:val="0"/>
        <w:spacing w:before="0" w:after="400" w:line="240" w:lineRule="auto"/>
        <w:ind w:left="0" w:right="0" w:firstLine="0"/>
        <w:jc w:val="left"/>
      </w:pPr>
      <w:bookmarkStart w:id="219" w:name="bookmark219"/>
      <w:bookmarkStart w:id="220" w:name="bookmark220"/>
      <w:bookmarkStart w:id="221" w:name="bookmark221"/>
      <w:r>
        <w:rPr>
          <w:color w:val="000000"/>
          <w:spacing w:val="0"/>
          <w:w w:val="100"/>
          <w:position w:val="0"/>
          <w:sz w:val="24"/>
          <w:szCs w:val="24"/>
        </w:rPr>
        <w:t>十、公司控制的结构化主体情况</w:t>
      </w:r>
      <w:bookmarkEnd w:id="219"/>
      <w:bookmarkEnd w:id="220"/>
      <w:bookmarkEnd w:id="221"/>
    </w:p>
    <w:p>
      <w:pPr>
        <w:pStyle w:val="Style17"/>
        <w:keepNext w:val="0"/>
        <w:keepLines w:val="0"/>
        <w:widowControl w:val="0"/>
        <w:shd w:val="clear" w:color="auto" w:fill="auto"/>
        <w:bidi w:val="0"/>
        <w:spacing w:before="0" w:after="400" w:line="240"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96" w:right="0" w:firstLine="0"/>
        <w:jc w:val="left"/>
        <w:rPr>
          <w:sz w:val="24"/>
          <w:szCs w:val="24"/>
        </w:rPr>
      </w:pPr>
      <w:bookmarkStart w:id="222" w:name="bookmark222"/>
      <w:r>
        <w:rPr>
          <w:b/>
          <w:bCs/>
          <w:color w:val="000000"/>
          <w:spacing w:val="0"/>
          <w:w w:val="100"/>
          <w:position w:val="0"/>
          <w:sz w:val="24"/>
          <w:szCs w:val="24"/>
        </w:rPr>
        <w:t>十一、报告期内接待调研、沟通、采访等活动</w:t>
      </w:r>
      <w:bookmarkEnd w:id="222"/>
    </w:p>
    <w:tbl>
      <w:tblPr>
        <w:tblOverlap w:val="never"/>
        <w:jc w:val="center"/>
        <w:tblLayout w:type="fixed"/>
      </w:tblPr>
      <w:tblGrid>
        <w:gridCol w:w="869"/>
        <w:gridCol w:w="1090"/>
        <w:gridCol w:w="850"/>
        <w:gridCol w:w="710"/>
        <w:gridCol w:w="1416"/>
        <w:gridCol w:w="2419"/>
        <w:gridCol w:w="2515"/>
      </w:tblGrid>
      <w:tr>
        <w:trPr>
          <w:trHeight w:val="1032"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接待 时间</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接待地 点</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100" w:after="60" w:line="240" w:lineRule="auto"/>
              <w:ind w:left="0" w:right="0" w:firstLine="200"/>
              <w:jc w:val="left"/>
              <w:rPr>
                <w:sz w:val="20"/>
                <w:szCs w:val="20"/>
              </w:rPr>
            </w:pPr>
            <w:r>
              <w:rPr>
                <w:rFonts w:ascii="SimSun" w:eastAsia="SimSun" w:hAnsi="SimSun" w:cs="SimSun"/>
                <w:color w:val="000000"/>
                <w:spacing w:val="0"/>
                <w:w w:val="100"/>
                <w:position w:val="0"/>
                <w:sz w:val="20"/>
                <w:szCs w:val="20"/>
              </w:rPr>
              <w:t>接待</w:t>
            </w:r>
          </w:p>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接待</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对象</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类型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color w:val="000000"/>
                <w:spacing w:val="0"/>
                <w:w w:val="100"/>
                <w:position w:val="0"/>
                <w:sz w:val="20"/>
                <w:szCs w:val="20"/>
              </w:rPr>
              <w:t>接待对象</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谈论的主要内容及提供 的资料</w:t>
            </w:r>
          </w:p>
        </w:tc>
        <w:tc>
          <w:tcPr>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color w:val="000000"/>
                <w:spacing w:val="0"/>
                <w:w w:val="100"/>
                <w:position w:val="0"/>
                <w:sz w:val="20"/>
                <w:szCs w:val="20"/>
              </w:rPr>
              <w:t>调研的基本情况索引</w:t>
            </w:r>
          </w:p>
        </w:tc>
      </w:tr>
      <w:tr>
        <w:trPr>
          <w:trHeight w:val="165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2021</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年</w:t>
            </w:r>
            <w:r>
              <w:rPr>
                <w:color w:val="000000"/>
                <w:spacing w:val="0"/>
                <w:w w:val="100"/>
                <w:position w:val="0"/>
                <w:sz w:val="22"/>
                <w:szCs w:val="22"/>
              </w:rPr>
              <w:t>2</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2"/>
                <w:szCs w:val="22"/>
              </w:rPr>
              <w:t>25</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总部办 公室</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60" w:line="240" w:lineRule="auto"/>
              <w:ind w:left="0" w:right="0" w:firstLine="0"/>
              <w:jc w:val="left"/>
              <w:rPr>
                <w:sz w:val="20"/>
                <w:szCs w:val="20"/>
              </w:rPr>
            </w:pPr>
            <w:r>
              <w:rPr>
                <w:rFonts w:ascii="SimSun" w:eastAsia="SimSun" w:hAnsi="SimSun" w:cs="SimSun"/>
                <w:color w:val="000000"/>
                <w:spacing w:val="0"/>
                <w:w w:val="100"/>
                <w:position w:val="0"/>
                <w:sz w:val="20"/>
                <w:szCs w:val="20"/>
              </w:rPr>
              <w:t>电话</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沟通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机构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8" w:lineRule="exact"/>
              <w:ind w:left="0" w:right="0" w:firstLine="0"/>
              <w:jc w:val="left"/>
              <w:rPr>
                <w:sz w:val="20"/>
                <w:szCs w:val="20"/>
              </w:rPr>
            </w:pPr>
            <w:r>
              <w:rPr>
                <w:color w:val="000000"/>
                <w:spacing w:val="0"/>
                <w:w w:val="100"/>
                <w:position w:val="0"/>
                <w:sz w:val="22"/>
                <w:szCs w:val="22"/>
              </w:rPr>
              <w:t>Sylebra HK Company Limited</w:t>
            </w:r>
            <w:r>
              <w:rPr>
                <w:rFonts w:ascii="SimSun" w:eastAsia="SimSun" w:hAnsi="SimSun" w:cs="SimSun"/>
                <w:color w:val="000000"/>
                <w:spacing w:val="0"/>
                <w:w w:val="100"/>
                <w:position w:val="0"/>
                <w:sz w:val="20"/>
                <w:szCs w:val="20"/>
              </w:rPr>
              <w:t>，魏 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主要了解了目前店面布 局思路、线下家电店、 家乐福、零售云、线上 业务的发展情况及未来 规划展望</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巨潮资讯网：</w:t>
            </w:r>
            <w:r>
              <w:rPr>
                <w:color w:val="000000"/>
                <w:spacing w:val="0"/>
                <w:w w:val="100"/>
                <w:position w:val="0"/>
                <w:sz w:val="22"/>
                <w:szCs w:val="22"/>
              </w:rPr>
              <w:t xml:space="preserve">2021-02-25 </w:t>
            </w:r>
            <w:r>
              <w:rPr>
                <w:rFonts w:ascii="SimSun" w:eastAsia="SimSun" w:hAnsi="SimSun" w:cs="SimSun"/>
                <w:color w:val="000000"/>
                <w:spacing w:val="0"/>
                <w:w w:val="100"/>
                <w:position w:val="0"/>
                <w:sz w:val="20"/>
                <w:szCs w:val="20"/>
              </w:rPr>
              <w:t>编号</w:t>
            </w:r>
            <w:r>
              <w:rPr>
                <w:color w:val="000000"/>
                <w:spacing w:val="0"/>
                <w:w w:val="100"/>
                <w:position w:val="0"/>
                <w:sz w:val="22"/>
                <w:szCs w:val="22"/>
              </w:rPr>
              <w:t>20210225</w:t>
            </w:r>
            <w:r>
              <w:rPr>
                <w:rFonts w:ascii="SimSun" w:eastAsia="SimSun" w:hAnsi="SimSun" w:cs="SimSun"/>
                <w:color w:val="000000"/>
                <w:spacing w:val="0"/>
                <w:w w:val="100"/>
                <w:position w:val="0"/>
                <w:sz w:val="20"/>
                <w:szCs w:val="20"/>
              </w:rPr>
              <w:t>苏宁易购 集团股份有限公司投资 者关系活动记录表</w:t>
            </w:r>
          </w:p>
        </w:tc>
      </w:tr>
      <w:tr>
        <w:trPr>
          <w:trHeight w:val="13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2021</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年</w:t>
            </w:r>
            <w:r>
              <w:rPr>
                <w:color w:val="000000"/>
                <w:spacing w:val="0"/>
                <w:w w:val="100"/>
                <w:position w:val="0"/>
                <w:sz w:val="22"/>
                <w:szCs w:val="22"/>
              </w:rPr>
              <w:t>2</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2"/>
                <w:szCs w:val="22"/>
              </w:rPr>
              <w:t>26</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总部办 公室</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60" w:line="240" w:lineRule="auto"/>
              <w:ind w:left="0" w:right="0" w:firstLine="0"/>
              <w:jc w:val="left"/>
              <w:rPr>
                <w:sz w:val="20"/>
                <w:szCs w:val="20"/>
              </w:rPr>
            </w:pPr>
            <w:r>
              <w:rPr>
                <w:rFonts w:ascii="SimSun" w:eastAsia="SimSun" w:hAnsi="SimSun" w:cs="SimSun"/>
                <w:color w:val="000000"/>
                <w:spacing w:val="0"/>
                <w:w w:val="100"/>
                <w:position w:val="0"/>
                <w:sz w:val="20"/>
                <w:szCs w:val="20"/>
              </w:rPr>
              <w:t>电话</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沟通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auto"/>
              <w:ind w:left="0" w:right="0" w:firstLine="0"/>
              <w:jc w:val="left"/>
            </w:pPr>
            <w:r>
              <w:rPr>
                <w:color w:val="000000"/>
                <w:spacing w:val="0"/>
                <w:w w:val="100"/>
                <w:position w:val="0"/>
              </w:rPr>
              <w:t>Teton Capital Partners, LP</w:t>
            </w:r>
            <w:r>
              <w:rPr>
                <w:rFonts w:ascii="SimSun" w:eastAsia="SimSun" w:hAnsi="SimSun" w:cs="SimSun"/>
                <w:color w:val="000000"/>
                <w:spacing w:val="0"/>
                <w:w w:val="100"/>
                <w:position w:val="0"/>
                <w:sz w:val="20"/>
                <w:szCs w:val="20"/>
              </w:rPr>
              <w:t xml:space="preserve">： </w:t>
            </w:r>
            <w:r>
              <w:rPr>
                <w:color w:val="000000"/>
                <w:spacing w:val="0"/>
                <w:w w:val="100"/>
                <w:position w:val="0"/>
              </w:rPr>
              <w:t>Aileen Huang</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20"/>
                <w:szCs w:val="20"/>
              </w:rPr>
            </w:pPr>
            <w:r>
              <w:rPr>
                <w:rFonts w:ascii="SimSun" w:eastAsia="SimSun" w:hAnsi="SimSun" w:cs="SimSun"/>
                <w:color w:val="000000"/>
                <w:spacing w:val="0"/>
                <w:w w:val="100"/>
                <w:position w:val="0"/>
                <w:sz w:val="20"/>
                <w:szCs w:val="20"/>
              </w:rPr>
              <w:t>主要了解了目前线上线 下的发展情况、零售云 的进展、云网万店的规 划及未来展望等内容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巨潮资讯网：</w:t>
            </w:r>
            <w:r>
              <w:rPr>
                <w:color w:val="000000"/>
                <w:spacing w:val="0"/>
                <w:w w:val="100"/>
                <w:position w:val="0"/>
                <w:sz w:val="22"/>
                <w:szCs w:val="22"/>
              </w:rPr>
              <w:t xml:space="preserve">2021-02-26 </w:t>
            </w:r>
            <w:r>
              <w:rPr>
                <w:rFonts w:ascii="SimSun" w:eastAsia="SimSun" w:hAnsi="SimSun" w:cs="SimSun"/>
                <w:color w:val="000000"/>
                <w:spacing w:val="0"/>
                <w:w w:val="100"/>
                <w:position w:val="0"/>
                <w:sz w:val="20"/>
                <w:szCs w:val="20"/>
              </w:rPr>
              <w:t>编号</w:t>
            </w:r>
            <w:r>
              <w:rPr>
                <w:color w:val="000000"/>
                <w:spacing w:val="0"/>
                <w:w w:val="100"/>
                <w:position w:val="0"/>
                <w:sz w:val="22"/>
                <w:szCs w:val="22"/>
              </w:rPr>
              <w:t>20210226</w:t>
            </w:r>
            <w:r>
              <w:rPr>
                <w:rFonts w:ascii="SimSun" w:eastAsia="SimSun" w:hAnsi="SimSun" w:cs="SimSun"/>
                <w:color w:val="000000"/>
                <w:spacing w:val="0"/>
                <w:w w:val="100"/>
                <w:position w:val="0"/>
                <w:sz w:val="20"/>
                <w:szCs w:val="20"/>
              </w:rPr>
              <w:t>苏宁易购 集团股份有限公司投资 者关系活动记录表</w:t>
            </w:r>
          </w:p>
        </w:tc>
      </w:tr>
      <w:tr>
        <w:trPr>
          <w:trHeight w:val="195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2021</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年</w:t>
            </w:r>
            <w:r>
              <w:rPr>
                <w:color w:val="000000"/>
                <w:spacing w:val="0"/>
                <w:w w:val="100"/>
                <w:position w:val="0"/>
                <w:sz w:val="22"/>
                <w:szCs w:val="22"/>
              </w:rPr>
              <w:t>2</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2"/>
                <w:szCs w:val="22"/>
              </w:rPr>
              <w:t>28</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深圳会 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60" w:line="240" w:lineRule="auto"/>
              <w:ind w:left="0" w:right="0" w:firstLine="0"/>
              <w:jc w:val="left"/>
              <w:rPr>
                <w:sz w:val="20"/>
                <w:szCs w:val="20"/>
              </w:rPr>
            </w:pPr>
            <w:r>
              <w:rPr>
                <w:rFonts w:ascii="SimSun" w:eastAsia="SimSun" w:hAnsi="SimSun" w:cs="SimSun"/>
                <w:color w:val="000000"/>
                <w:spacing w:val="0"/>
                <w:w w:val="100"/>
                <w:position w:val="0"/>
                <w:sz w:val="20"/>
                <w:szCs w:val="20"/>
              </w:rPr>
              <w:t>电话</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沟通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rPr>
                <w:sz w:val="20"/>
                <w:szCs w:val="20"/>
              </w:rPr>
            </w:pPr>
            <w:r>
              <w:rPr>
                <w:rFonts w:ascii="SimSun" w:eastAsia="SimSun" w:hAnsi="SimSun" w:cs="SimSun"/>
                <w:color w:val="000000"/>
                <w:spacing w:val="0"/>
                <w:w w:val="100"/>
                <w:position w:val="0"/>
                <w:sz w:val="20"/>
                <w:szCs w:val="20"/>
              </w:rPr>
              <w:t>海内外投资 人</w:t>
            </w:r>
            <w:r>
              <w:rPr>
                <w:color w:val="000000"/>
                <w:spacing w:val="0"/>
                <w:w w:val="100"/>
                <w:position w:val="0"/>
                <w:sz w:val="22"/>
                <w:szCs w:val="22"/>
              </w:rPr>
              <w:t>480</w:t>
            </w:r>
            <w:r>
              <w:rPr>
                <w:rFonts w:ascii="SimSun" w:eastAsia="SimSun" w:hAnsi="SimSun" w:cs="SimSun"/>
                <w:color w:val="000000"/>
                <w:spacing w:val="0"/>
                <w:w w:val="100"/>
                <w:position w:val="0"/>
                <w:sz w:val="20"/>
                <w:szCs w:val="20"/>
              </w:rPr>
              <w:t>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2"/>
                <w:szCs w:val="22"/>
              </w:rPr>
              <w:t>2</w:t>
            </w:r>
            <w:r>
              <w:rPr>
                <w:rFonts w:ascii="SimSun" w:eastAsia="SimSun" w:hAnsi="SimSun" w:cs="SimSun"/>
                <w:color w:val="000000"/>
                <w:spacing w:val="0"/>
                <w:w w:val="100"/>
                <w:position w:val="0"/>
                <w:sz w:val="20"/>
                <w:szCs w:val="20"/>
              </w:rPr>
              <w:t>月</w:t>
            </w:r>
            <w:r>
              <w:rPr>
                <w:color w:val="000000"/>
                <w:spacing w:val="0"/>
                <w:w w:val="100"/>
                <w:position w:val="0"/>
                <w:sz w:val="22"/>
                <w:szCs w:val="22"/>
              </w:rPr>
              <w:t>28</w:t>
            </w:r>
            <w:r>
              <w:rPr>
                <w:rFonts w:ascii="SimSun" w:eastAsia="SimSun" w:hAnsi="SimSun" w:cs="SimSun"/>
                <w:color w:val="000000"/>
                <w:spacing w:val="0"/>
                <w:w w:val="100"/>
                <w:position w:val="0"/>
                <w:sz w:val="20"/>
                <w:szCs w:val="20"/>
              </w:rPr>
              <w:t>日，公司在发布 复牌公告后，针对公司 拟引入战投深国际及鲲 鹏资本事宜与海内外投 资人进行了电话会议交 流</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5" w:lineRule="exact"/>
              <w:ind w:left="0" w:right="0" w:firstLine="0"/>
              <w:jc w:val="both"/>
              <w:rPr>
                <w:sz w:val="20"/>
                <w:szCs w:val="20"/>
              </w:rPr>
            </w:pPr>
            <w:r>
              <w:rPr>
                <w:rFonts w:ascii="SimSun" w:eastAsia="SimSun" w:hAnsi="SimSun" w:cs="SimSun"/>
                <w:color w:val="000000"/>
                <w:spacing w:val="0"/>
                <w:w w:val="100"/>
                <w:position w:val="0"/>
                <w:sz w:val="20"/>
                <w:szCs w:val="20"/>
              </w:rPr>
              <w:t>巨潮资讯网：</w:t>
            </w:r>
            <w:r>
              <w:rPr>
                <w:color w:val="000000"/>
                <w:spacing w:val="0"/>
                <w:w w:val="100"/>
                <w:position w:val="0"/>
                <w:sz w:val="22"/>
                <w:szCs w:val="22"/>
              </w:rPr>
              <w:t xml:space="preserve">2021-03-01 </w:t>
            </w:r>
            <w:r>
              <w:rPr>
                <w:rFonts w:ascii="SimSun" w:eastAsia="SimSun" w:hAnsi="SimSun" w:cs="SimSun"/>
                <w:color w:val="000000"/>
                <w:spacing w:val="0"/>
                <w:w w:val="100"/>
                <w:position w:val="0"/>
                <w:sz w:val="20"/>
                <w:szCs w:val="20"/>
              </w:rPr>
              <w:t>编号</w:t>
            </w:r>
            <w:r>
              <w:rPr>
                <w:color w:val="000000"/>
                <w:spacing w:val="0"/>
                <w:w w:val="100"/>
                <w:position w:val="0"/>
                <w:sz w:val="22"/>
                <w:szCs w:val="22"/>
              </w:rPr>
              <w:t>20210228</w:t>
            </w:r>
            <w:r>
              <w:rPr>
                <w:rFonts w:ascii="SimSun" w:eastAsia="SimSun" w:hAnsi="SimSun" w:cs="SimSun"/>
                <w:color w:val="000000"/>
                <w:spacing w:val="0"/>
                <w:w w:val="100"/>
                <w:position w:val="0"/>
                <w:sz w:val="20"/>
                <w:szCs w:val="20"/>
              </w:rPr>
              <w:t>苏宁易购 集团股份有限公司投资 者关系活动记录表</w:t>
            </w:r>
          </w:p>
        </w:tc>
      </w:tr>
      <w:tr>
        <w:trPr>
          <w:trHeight w:val="13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2021</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年</w:t>
            </w:r>
            <w:r>
              <w:rPr>
                <w:color w:val="000000"/>
                <w:spacing w:val="0"/>
                <w:w w:val="100"/>
                <w:position w:val="0"/>
                <w:sz w:val="22"/>
                <w:szCs w:val="22"/>
              </w:rPr>
              <w:t>3</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2"/>
                <w:szCs w:val="22"/>
              </w:rPr>
              <w:t>3</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80" w:line="240" w:lineRule="auto"/>
              <w:ind w:left="0" w:right="0" w:firstLine="0"/>
              <w:jc w:val="left"/>
              <w:rPr>
                <w:sz w:val="20"/>
                <w:szCs w:val="20"/>
              </w:rPr>
            </w:pPr>
            <w:r>
              <w:rPr>
                <w:rFonts w:ascii="SimSun" w:eastAsia="SimSun" w:hAnsi="SimSun" w:cs="SimSun"/>
                <w:color w:val="000000"/>
                <w:spacing w:val="0"/>
                <w:w w:val="100"/>
                <w:position w:val="0"/>
                <w:sz w:val="20"/>
                <w:szCs w:val="20"/>
              </w:rPr>
              <w:t>总部会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议室</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80" w:line="240" w:lineRule="auto"/>
              <w:ind w:left="0" w:right="0" w:firstLine="0"/>
              <w:jc w:val="left"/>
              <w:rPr>
                <w:sz w:val="20"/>
                <w:szCs w:val="20"/>
              </w:rPr>
            </w:pPr>
            <w:r>
              <w:rPr>
                <w:rFonts w:ascii="SimSun" w:eastAsia="SimSun" w:hAnsi="SimSun" w:cs="SimSun"/>
                <w:color w:val="000000"/>
                <w:spacing w:val="0"/>
                <w:w w:val="100"/>
                <w:position w:val="0"/>
                <w:sz w:val="20"/>
                <w:szCs w:val="20"/>
              </w:rPr>
              <w:t>实地</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调研</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机构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华创证券： 姚靖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目前线上线下的发展情 况、零售云的进展、物 流发展、与抖音的合作 及未来展望等内容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巨潮资讯网：</w:t>
            </w:r>
            <w:r>
              <w:rPr>
                <w:color w:val="000000"/>
                <w:spacing w:val="0"/>
                <w:w w:val="100"/>
                <w:position w:val="0"/>
                <w:sz w:val="22"/>
                <w:szCs w:val="22"/>
              </w:rPr>
              <w:t xml:space="preserve">2021-03-03 </w:t>
            </w:r>
            <w:r>
              <w:rPr>
                <w:rFonts w:ascii="SimSun" w:eastAsia="SimSun" w:hAnsi="SimSun" w:cs="SimSun"/>
                <w:color w:val="000000"/>
                <w:spacing w:val="0"/>
                <w:w w:val="100"/>
                <w:position w:val="0"/>
                <w:sz w:val="20"/>
                <w:szCs w:val="20"/>
              </w:rPr>
              <w:t>编号</w:t>
            </w:r>
            <w:r>
              <w:rPr>
                <w:color w:val="000000"/>
                <w:spacing w:val="0"/>
                <w:w w:val="100"/>
                <w:position w:val="0"/>
                <w:sz w:val="22"/>
                <w:szCs w:val="22"/>
              </w:rPr>
              <w:t>20210303</w:t>
            </w:r>
            <w:r>
              <w:rPr>
                <w:rFonts w:ascii="SimSun" w:eastAsia="SimSun" w:hAnsi="SimSun" w:cs="SimSun"/>
                <w:color w:val="000000"/>
                <w:spacing w:val="0"/>
                <w:w w:val="100"/>
                <w:position w:val="0"/>
                <w:sz w:val="20"/>
                <w:szCs w:val="20"/>
              </w:rPr>
              <w:t>苏宁易购 集团股份有限公司投资 者关系活动记录表</w:t>
            </w:r>
          </w:p>
        </w:tc>
      </w:tr>
      <w:tr>
        <w:trPr>
          <w:trHeight w:val="13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2021</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年</w:t>
            </w:r>
            <w:r>
              <w:rPr>
                <w:color w:val="000000"/>
                <w:spacing w:val="0"/>
                <w:w w:val="100"/>
                <w:position w:val="0"/>
                <w:sz w:val="22"/>
                <w:szCs w:val="22"/>
              </w:rPr>
              <w:t>3</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2"/>
                <w:szCs w:val="22"/>
              </w:rPr>
              <w:t>10</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60" w:line="240" w:lineRule="auto"/>
              <w:ind w:left="0" w:right="0" w:firstLine="0"/>
              <w:jc w:val="left"/>
              <w:rPr>
                <w:sz w:val="20"/>
                <w:szCs w:val="20"/>
              </w:rPr>
            </w:pPr>
            <w:r>
              <w:rPr>
                <w:rFonts w:ascii="SimSun" w:eastAsia="SimSun" w:hAnsi="SimSun" w:cs="SimSun"/>
                <w:color w:val="000000"/>
                <w:spacing w:val="0"/>
                <w:w w:val="100"/>
                <w:position w:val="0"/>
                <w:sz w:val="20"/>
                <w:szCs w:val="20"/>
              </w:rPr>
              <w:t>总部会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议室</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80" w:line="240" w:lineRule="auto"/>
              <w:ind w:left="0" w:right="0" w:firstLine="0"/>
              <w:jc w:val="left"/>
              <w:rPr>
                <w:sz w:val="20"/>
                <w:szCs w:val="20"/>
              </w:rPr>
            </w:pPr>
            <w:r>
              <w:rPr>
                <w:rFonts w:ascii="SimSun" w:eastAsia="SimSun" w:hAnsi="SimSun" w:cs="SimSun"/>
                <w:color w:val="000000"/>
                <w:spacing w:val="0"/>
                <w:w w:val="100"/>
                <w:position w:val="0"/>
                <w:sz w:val="20"/>
                <w:szCs w:val="20"/>
              </w:rPr>
              <w:t>实地</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调研</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平安证券： 何沛滨；暖 流资产：高 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目前线上线下的发展情 况、零售云的进展、物 流发展、与抖音的合作 及未来展望等内容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巨潮资讯网：</w:t>
            </w:r>
            <w:r>
              <w:rPr>
                <w:color w:val="000000"/>
                <w:spacing w:val="0"/>
                <w:w w:val="100"/>
                <w:position w:val="0"/>
                <w:sz w:val="22"/>
                <w:szCs w:val="22"/>
              </w:rPr>
              <w:t xml:space="preserve">2021-03-10 </w:t>
            </w:r>
            <w:r>
              <w:rPr>
                <w:rFonts w:ascii="SimSun" w:eastAsia="SimSun" w:hAnsi="SimSun" w:cs="SimSun"/>
                <w:color w:val="000000"/>
                <w:spacing w:val="0"/>
                <w:w w:val="100"/>
                <w:position w:val="0"/>
                <w:sz w:val="20"/>
                <w:szCs w:val="20"/>
              </w:rPr>
              <w:t>编号</w:t>
            </w:r>
            <w:r>
              <w:rPr>
                <w:color w:val="000000"/>
                <w:spacing w:val="0"/>
                <w:w w:val="100"/>
                <w:position w:val="0"/>
                <w:sz w:val="22"/>
                <w:szCs w:val="22"/>
              </w:rPr>
              <w:t>20210310</w:t>
            </w:r>
            <w:r>
              <w:rPr>
                <w:rFonts w:ascii="SimSun" w:eastAsia="SimSun" w:hAnsi="SimSun" w:cs="SimSun"/>
                <w:color w:val="000000"/>
                <w:spacing w:val="0"/>
                <w:w w:val="100"/>
                <w:position w:val="0"/>
                <w:sz w:val="20"/>
                <w:szCs w:val="20"/>
              </w:rPr>
              <w:t>苏宁易购 集团股份有限公司投资 者关系活动记录表</w:t>
            </w:r>
          </w:p>
        </w:tc>
      </w:tr>
      <w:tr>
        <w:trPr>
          <w:trHeight w:val="197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2021</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年</w:t>
            </w:r>
            <w:r>
              <w:rPr>
                <w:color w:val="000000"/>
                <w:spacing w:val="0"/>
                <w:w w:val="100"/>
                <w:position w:val="0"/>
                <w:sz w:val="22"/>
                <w:szCs w:val="22"/>
              </w:rPr>
              <w:t>5</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2"/>
                <w:szCs w:val="22"/>
              </w:rPr>
              <w:t>14</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全景网</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2"/>
                <w:szCs w:val="22"/>
              </w:rPr>
              <w:t>“</w:t>
            </w:r>
            <w:r>
              <w:rPr>
                <w:rFonts w:ascii="SimSun" w:eastAsia="SimSun" w:hAnsi="SimSun" w:cs="SimSun"/>
                <w:color w:val="000000"/>
                <w:spacing w:val="0"/>
                <w:w w:val="100"/>
                <w:position w:val="0"/>
                <w:sz w:val="20"/>
                <w:szCs w:val="20"/>
              </w:rPr>
              <w:t>投资者</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关系互</w:t>
            </w:r>
          </w:p>
          <w:p>
            <w:pPr>
              <w:pStyle w:val="Style29"/>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sz w:val="20"/>
                <w:szCs w:val="20"/>
              </w:rPr>
              <w:t>动平台</w:t>
            </w:r>
            <w:r>
              <w:rPr>
                <w:color w:val="000000"/>
                <w:spacing w:val="0"/>
                <w:w w:val="100"/>
                <w:position w:val="0"/>
              </w:rPr>
              <w:t>”</w:t>
            </w:r>
          </w:p>
          <w:p>
            <w:pPr>
              <w:pStyle w:val="Style29"/>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sz w:val="20"/>
                <w:szCs w:val="20"/>
              </w:rPr>
              <w:t>(</w:t>
            </w:r>
            <w:r>
              <w:fldChar w:fldCharType="begin"/>
            </w:r>
            <w:r>
              <w:rPr/>
              <w:instrText> HYPERLINK "http://ir" </w:instrText>
            </w:r>
            <w:r>
              <w:fldChar w:fldCharType="separate"/>
            </w:r>
            <w:r>
              <w:rPr>
                <w:color w:val="000000"/>
                <w:spacing w:val="0"/>
                <w:w w:val="100"/>
                <w:position w:val="0"/>
              </w:rPr>
              <w:t>http://ir</w:t>
            </w:r>
            <w:r>
              <w:fldChar w:fldCharType="end"/>
            </w:r>
          </w:p>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2"/>
                <w:szCs w:val="22"/>
              </w:rPr>
              <w:t>.</w:t>
            </w:r>
            <w:r>
              <w:rPr>
                <w:color w:val="000000"/>
                <w:spacing w:val="0"/>
                <w:w w:val="100"/>
                <w:position w:val="0"/>
                <w:sz w:val="22"/>
                <w:szCs w:val="22"/>
              </w:rPr>
              <w:t>p5w.net</w:t>
            </w:r>
            <w:r>
              <w:rPr>
                <w:rFonts w:ascii="SimSun" w:eastAsia="SimSun" w:hAnsi="SimSun" w:cs="SimSu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60" w:line="240" w:lineRule="auto"/>
              <w:ind w:left="0" w:right="0" w:firstLine="0"/>
              <w:jc w:val="both"/>
              <w:rPr>
                <w:sz w:val="20"/>
                <w:szCs w:val="20"/>
              </w:rPr>
            </w:pPr>
            <w:r>
              <w:rPr>
                <w:rFonts w:ascii="SimSun" w:eastAsia="SimSun" w:hAnsi="SimSun" w:cs="SimSun"/>
                <w:color w:val="000000"/>
                <w:spacing w:val="0"/>
                <w:w w:val="100"/>
                <w:position w:val="0"/>
                <w:sz w:val="20"/>
                <w:szCs w:val="20"/>
              </w:rPr>
              <w:t>参加本次网</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上业绩说明</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会的投资者</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firstLine="0"/>
              <w:jc w:val="both"/>
              <w:rPr>
                <w:sz w:val="20"/>
                <w:szCs w:val="20"/>
              </w:rPr>
            </w:pPr>
            <w:r>
              <w:rPr>
                <w:rFonts w:ascii="SimSun" w:eastAsia="SimSun" w:hAnsi="SimSun" w:cs="SimSun"/>
                <w:color w:val="000000"/>
                <w:spacing w:val="0"/>
                <w:w w:val="100"/>
                <w:position w:val="0"/>
                <w:sz w:val="20"/>
                <w:szCs w:val="20"/>
              </w:rPr>
              <w:t>公司经营业绩、业务发 展、未来发展规划、用 户体验、回购股票等内 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巨潮资讯网：</w:t>
            </w:r>
            <w:r>
              <w:rPr>
                <w:color w:val="000000"/>
                <w:spacing w:val="0"/>
                <w:w w:val="100"/>
                <w:position w:val="0"/>
                <w:sz w:val="22"/>
                <w:szCs w:val="22"/>
              </w:rPr>
              <w:t xml:space="preserve">2021-05-14 </w:t>
            </w:r>
            <w:r>
              <w:rPr>
                <w:rFonts w:ascii="SimSun" w:eastAsia="SimSun" w:hAnsi="SimSun" w:cs="SimSun"/>
                <w:color w:val="000000"/>
                <w:spacing w:val="0"/>
                <w:w w:val="100"/>
                <w:position w:val="0"/>
                <w:sz w:val="20"/>
                <w:szCs w:val="20"/>
              </w:rPr>
              <w:t>编号</w:t>
            </w:r>
            <w:r>
              <w:rPr>
                <w:color w:val="000000"/>
                <w:spacing w:val="0"/>
                <w:w w:val="100"/>
                <w:position w:val="0"/>
                <w:sz w:val="22"/>
                <w:szCs w:val="22"/>
              </w:rPr>
              <w:t>20210514</w:t>
            </w:r>
            <w:r>
              <w:rPr>
                <w:rFonts w:ascii="SimSun" w:eastAsia="SimSun" w:hAnsi="SimSun" w:cs="SimSun"/>
                <w:color w:val="000000"/>
                <w:spacing w:val="0"/>
                <w:w w:val="100"/>
                <w:position w:val="0"/>
                <w:sz w:val="20"/>
                <w:szCs w:val="20"/>
              </w:rPr>
              <w:t>苏宁易购 集团股份有限公司投资 者关系活动记录表</w:t>
            </w:r>
          </w:p>
        </w:tc>
      </w:tr>
    </w:tbl>
    <w:p>
      <w:pPr>
        <w:pStyle w:val="Style15"/>
        <w:keepNext/>
        <w:keepLines/>
        <w:widowControl w:val="0"/>
        <w:shd w:val="clear" w:color="auto" w:fill="auto"/>
        <w:bidi w:val="0"/>
        <w:spacing w:before="0" w:after="340" w:line="240" w:lineRule="auto"/>
        <w:ind w:left="0" w:right="0" w:firstLine="0"/>
        <w:jc w:val="center"/>
      </w:pPr>
      <w:bookmarkStart w:id="223" w:name="bookmark223"/>
      <w:bookmarkStart w:id="224" w:name="bookmark224"/>
      <w:bookmarkStart w:id="225" w:name="bookmark225"/>
      <w:r>
        <w:rPr>
          <w:color w:val="000000"/>
          <w:spacing w:val="0"/>
          <w:w w:val="100"/>
          <w:position w:val="0"/>
        </w:rPr>
        <w:t>第四节公司未来发展展望</w:t>
      </w:r>
      <w:bookmarkEnd w:id="223"/>
      <w:bookmarkEnd w:id="224"/>
      <w:bookmarkEnd w:id="225"/>
    </w:p>
    <w:p>
      <w:pPr>
        <w:pStyle w:val="Style32"/>
        <w:keepNext/>
        <w:keepLines/>
        <w:widowControl w:val="0"/>
        <w:shd w:val="clear" w:color="auto" w:fill="auto"/>
        <w:tabs>
          <w:tab w:pos="480" w:val="left"/>
        </w:tabs>
        <w:bidi w:val="0"/>
        <w:spacing w:before="0" w:after="0" w:line="472" w:lineRule="exact"/>
        <w:ind w:left="0" w:right="0" w:firstLine="0"/>
        <w:jc w:val="both"/>
      </w:pPr>
      <w:bookmarkStart w:id="226" w:name="bookmark226"/>
      <w:bookmarkStart w:id="227" w:name="bookmark227"/>
      <w:bookmarkStart w:id="228" w:name="bookmark228"/>
      <w:bookmarkStart w:id="229" w:name="bookmark229"/>
      <w:bookmarkStart w:id="230" w:name="bookmark230"/>
      <w:r>
        <w:rPr>
          <w:color w:val="000000"/>
          <w:spacing w:val="0"/>
          <w:w w:val="100"/>
          <w:position w:val="0"/>
          <w:sz w:val="24"/>
          <w:szCs w:val="24"/>
        </w:rPr>
        <w:t>一</w:t>
      </w:r>
      <w:bookmarkEnd w:id="229"/>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年回顾</w:t>
      </w:r>
      <w:bookmarkEnd w:id="227"/>
      <w:bookmarkEnd w:id="228"/>
      <w:bookmarkEnd w:id="230"/>
      <w:bookmarkEnd w:id="226"/>
    </w:p>
    <w:p>
      <w:pPr>
        <w:pStyle w:val="Style17"/>
        <w:keepNext w:val="0"/>
        <w:keepLines w:val="0"/>
        <w:widowControl w:val="0"/>
        <w:shd w:val="clear" w:color="auto" w:fill="auto"/>
        <w:bidi w:val="0"/>
        <w:spacing w:before="0" w:after="0" w:line="472" w:lineRule="exact"/>
        <w:ind w:left="0" w:right="0" w:firstLine="460"/>
        <w:jc w:val="both"/>
      </w:pPr>
      <w:r>
        <w:rPr>
          <w:color w:val="000000"/>
          <w:spacing w:val="0"/>
          <w:w w:val="100"/>
          <w:position w:val="0"/>
          <w:sz w:val="22"/>
          <w:szCs w:val="22"/>
        </w:rPr>
        <w:t>2021</w:t>
      </w:r>
      <w:r>
        <w:rPr>
          <w:color w:val="000000"/>
          <w:spacing w:val="0"/>
          <w:w w:val="100"/>
          <w:position w:val="0"/>
        </w:rPr>
        <w:t>年是苏宁易购发展历程中异常艰难的一年，经历了多重因素的影响，公司经营状况降至历史 低点。三季度以来，公司在省市政府大力支持之下，通过银企合作模式推进逐步解决流动性问题，从 收入提升、费用压降、资产盘活、供应链恢复等几个关键方面齐头并进，多措并举。在</w:t>
      </w:r>
      <w:r>
        <w:rPr>
          <w:color w:val="000000"/>
          <w:spacing w:val="0"/>
          <w:w w:val="100"/>
          <w:position w:val="0"/>
          <w:sz w:val="22"/>
          <w:szCs w:val="22"/>
        </w:rPr>
        <w:t>11</w:t>
      </w:r>
      <w:r>
        <w:rPr>
          <w:color w:val="000000"/>
          <w:spacing w:val="0"/>
          <w:w w:val="100"/>
          <w:position w:val="0"/>
        </w:rPr>
        <w:t>月份开始实 现了单月</w:t>
      </w:r>
      <w:r>
        <w:rPr>
          <w:color w:val="000000"/>
          <w:spacing w:val="0"/>
          <w:w w:val="100"/>
          <w:position w:val="0"/>
          <w:sz w:val="22"/>
          <w:szCs w:val="22"/>
        </w:rPr>
        <w:t>EBITDA</w:t>
      </w:r>
      <w:r>
        <w:rPr>
          <w:color w:val="000000"/>
          <w:spacing w:val="0"/>
          <w:w w:val="100"/>
          <w:position w:val="0"/>
        </w:rPr>
        <w:t>盈利，逐步稳住经营，恢复造血能力，收入环比持续改善，费用同比显著下降，资产 盘活深入开展，供应链合作有序恢复。</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面对</w:t>
      </w:r>
      <w:r>
        <w:rPr>
          <w:color w:val="000000"/>
          <w:spacing w:val="0"/>
          <w:w w:val="100"/>
          <w:position w:val="0"/>
          <w:sz w:val="22"/>
          <w:szCs w:val="22"/>
        </w:rPr>
        <w:t>2021</w:t>
      </w:r>
      <w:r>
        <w:rPr>
          <w:color w:val="000000"/>
          <w:spacing w:val="0"/>
          <w:w w:val="100"/>
          <w:position w:val="0"/>
        </w:rPr>
        <w:t>年的经营结果，我们需要深刻总结；同时这也是苏宁易购过去十年发展的一个节点，这 十年的发展经验和教训必须要深刻总结。虽然在这个过程中，我们制定了正确的战略方向和前瞻性的、 坚定的进行发展升级，也在全面参与竞争中形成了对零售行业更深刻的认知，建立了以互联网经营为 导向的新的基础设施，开展了部分基于自身特色的业务创新，形成了在用户运营和供应链服务方面的 一些新的能力。但我们也清醒的知道在战略执行的体系化、组织能力的升级、专业人才的配套等方面 都存在着严重的不足，在持续复盘、快速优化的把握应对上欠缺很大。这也导致了公司投入了巨大的 资金和资源，带着多方的期许和信任，但我们并没有取得成功，反而在市场宏观环境变化的情况下， 给公司带来了危机。我们也认识到在规划经营的同时要时刻保持大胆假设、小心求证的态度，要把握 好确定性和不确定性的平衡，更要从文化、组织、人才机制这些深层次领域进行配套。</w:t>
      </w:r>
    </w:p>
    <w:p>
      <w:pPr>
        <w:pStyle w:val="Style17"/>
        <w:keepNext w:val="0"/>
        <w:keepLines w:val="0"/>
        <w:widowControl w:val="0"/>
        <w:shd w:val="clear" w:color="auto" w:fill="auto"/>
        <w:bidi w:val="0"/>
        <w:spacing w:before="0" w:after="0" w:line="480" w:lineRule="exact"/>
        <w:ind w:left="0" w:right="0" w:firstLine="460"/>
        <w:jc w:val="both"/>
      </w:pPr>
      <w:r>
        <w:rPr>
          <w:color w:val="000000"/>
          <w:spacing w:val="0"/>
          <w:w w:val="100"/>
          <w:position w:val="0"/>
        </w:rPr>
        <w:t>不破不立，</w:t>
      </w:r>
      <w:r>
        <w:rPr>
          <w:color w:val="000000"/>
          <w:spacing w:val="0"/>
          <w:w w:val="100"/>
          <w:position w:val="0"/>
          <w:sz w:val="22"/>
          <w:szCs w:val="22"/>
        </w:rPr>
        <w:t>2021</w:t>
      </w:r>
      <w:r>
        <w:rPr>
          <w:color w:val="000000"/>
          <w:spacing w:val="0"/>
          <w:w w:val="100"/>
          <w:position w:val="0"/>
        </w:rPr>
        <w:t>年是艰难的，</w:t>
      </w:r>
      <w:r>
        <w:rPr>
          <w:color w:val="000000"/>
          <w:spacing w:val="0"/>
          <w:w w:val="100"/>
          <w:position w:val="0"/>
          <w:sz w:val="22"/>
          <w:szCs w:val="22"/>
        </w:rPr>
        <w:t>2022</w:t>
      </w:r>
      <w:r>
        <w:rPr>
          <w:color w:val="000000"/>
          <w:spacing w:val="0"/>
          <w:w w:val="100"/>
          <w:position w:val="0"/>
        </w:rPr>
        <w:t>年又是崭新的开始。不仅是苏宁易购，这是一个所有企业都要 开始新的发展思考和转变发展方式的时代，与其哀叹和埋怨，不如果断的规划和行动。</w:t>
      </w:r>
    </w:p>
    <w:p>
      <w:pPr>
        <w:pStyle w:val="Style17"/>
        <w:keepNext w:val="0"/>
        <w:keepLines w:val="0"/>
        <w:widowControl w:val="0"/>
        <w:shd w:val="clear" w:color="auto" w:fill="auto"/>
        <w:bidi w:val="0"/>
        <w:spacing w:before="0" w:after="0" w:line="474" w:lineRule="exact"/>
        <w:ind w:left="0" w:right="0" w:firstLine="460"/>
        <w:jc w:val="both"/>
      </w:pPr>
      <w:r>
        <w:rPr>
          <w:color w:val="000000"/>
          <w:spacing w:val="0"/>
          <w:w w:val="100"/>
          <w:position w:val="0"/>
        </w:rPr>
        <w:t>回顾</w:t>
      </w:r>
      <w:r>
        <w:rPr>
          <w:color w:val="000000"/>
          <w:spacing w:val="0"/>
          <w:w w:val="100"/>
          <w:position w:val="0"/>
          <w:sz w:val="22"/>
          <w:szCs w:val="22"/>
        </w:rPr>
        <w:t>2021</w:t>
      </w:r>
      <w:r>
        <w:rPr>
          <w:color w:val="000000"/>
          <w:spacing w:val="0"/>
          <w:w w:val="100"/>
          <w:position w:val="0"/>
        </w:rPr>
        <w:t>年，我们应该感谢投资者对苏宁易购的理解和信任，感谢政府、产业合作伙伴对苏宁易 购的支持；我们更应该感谢全体苏宁易购团队的坚守，无论在多大困难面前，“执着拼搏、永不言败” 的企业精神一直在激励鼓舞我们要走下去、要走出来，这也是公司始终能保持发展信心，用于重新启 航的动能所在。</w:t>
      </w:r>
    </w:p>
    <w:p>
      <w:pPr>
        <w:pStyle w:val="Style32"/>
        <w:keepNext/>
        <w:keepLines/>
        <w:widowControl w:val="0"/>
        <w:shd w:val="clear" w:color="auto" w:fill="auto"/>
        <w:tabs>
          <w:tab w:pos="480" w:val="left"/>
        </w:tabs>
        <w:bidi w:val="0"/>
        <w:spacing w:before="0" w:after="0" w:line="472" w:lineRule="exact"/>
        <w:ind w:left="0" w:right="0" w:firstLine="0"/>
        <w:jc w:val="both"/>
      </w:pPr>
      <w:bookmarkStart w:id="231" w:name="bookmark231"/>
      <w:bookmarkStart w:id="232" w:name="bookmark232"/>
      <w:bookmarkStart w:id="233" w:name="bookmark233"/>
      <w:bookmarkStart w:id="234" w:name="bookmark234"/>
      <w:r>
        <w:rPr>
          <w:color w:val="000000"/>
          <w:spacing w:val="0"/>
          <w:w w:val="100"/>
          <w:position w:val="0"/>
          <w:sz w:val="24"/>
          <w:szCs w:val="24"/>
        </w:rPr>
        <w:t>二</w:t>
      </w:r>
      <w:bookmarkEnd w:id="233"/>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4"/>
          <w:szCs w:val="24"/>
        </w:rPr>
        <w:t>年市场分析</w:t>
      </w:r>
      <w:bookmarkEnd w:id="231"/>
      <w:bookmarkEnd w:id="232"/>
      <w:bookmarkEnd w:id="234"/>
    </w:p>
    <w:p>
      <w:pPr>
        <w:pStyle w:val="Style17"/>
        <w:keepNext w:val="0"/>
        <w:keepLines w:val="0"/>
        <w:widowControl w:val="0"/>
        <w:shd w:val="clear" w:color="auto" w:fill="auto"/>
        <w:bidi w:val="0"/>
        <w:spacing w:before="0" w:after="0" w:line="472" w:lineRule="exact"/>
        <w:ind w:left="0" w:right="0" w:firstLine="460"/>
        <w:jc w:val="both"/>
      </w:pPr>
      <w:r>
        <w:rPr>
          <w:color w:val="000000"/>
          <w:spacing w:val="0"/>
          <w:w w:val="100"/>
          <w:position w:val="0"/>
          <w:sz w:val="22"/>
          <w:szCs w:val="22"/>
        </w:rPr>
        <w:t>2022</w:t>
      </w:r>
      <w:r>
        <w:rPr>
          <w:color w:val="000000"/>
          <w:spacing w:val="0"/>
          <w:w w:val="100"/>
          <w:position w:val="0"/>
        </w:rPr>
        <w:t>年的外部环境依然复杂，零售业必然承受更大的挑战和压力，因此</w:t>
      </w:r>
      <w:r>
        <w:rPr>
          <w:color w:val="000000"/>
          <w:spacing w:val="0"/>
          <w:w w:val="100"/>
          <w:position w:val="0"/>
          <w:sz w:val="22"/>
          <w:szCs w:val="22"/>
        </w:rPr>
        <w:t>2022</w:t>
      </w:r>
      <w:r>
        <w:rPr>
          <w:color w:val="000000"/>
          <w:spacing w:val="0"/>
          <w:w w:val="100"/>
          <w:position w:val="0"/>
        </w:rPr>
        <w:t xml:space="preserve">年的计划制定必须要 考虑到更多的困难、更多的不确定性，才能准备的更充分、执行的更坚决。同时，我们对中国经济的 发展充满信心，对零售市场、对家电行业充满信心。不论是国家的一系列推动消费的产业政策不断出 台，还是消费分层分级所带来的品质化、场景化、智能化的消费趋势，也是消费者基于服务体验、服 </w:t>
      </w:r>
      <w:r>
        <w:rPr>
          <w:color w:val="000000"/>
          <w:spacing w:val="0"/>
          <w:w w:val="100"/>
          <w:position w:val="0"/>
        </w:rPr>
        <w:t>务内容的个性化需求而形成的购物渠道的多元化选择，对于苏宁易购在核心业务领域已经具备的商品 供应链、全渠道运营以及履约服务能力来说，空间与机遇是非常大的。而且我们相信能够把握这些空 间和机遇。但我们都不能再以或者盲目粗狂、或者迷失自我、或者患得患失的方式开展经营，只有深 刻的认识和梳理在经营管理效率、在用户体验服务、在供应链专业经营等方向的问题始终把握行业本 质和自身定位系统性的转变发展方式、深刻的改革管理和体制，踏实的提升用户体验，才真正有可能 把握机遇。</w:t>
      </w:r>
    </w:p>
    <w:p>
      <w:pPr>
        <w:pStyle w:val="Style32"/>
        <w:keepNext/>
        <w:keepLines/>
        <w:widowControl w:val="0"/>
        <w:shd w:val="clear" w:color="auto" w:fill="auto"/>
        <w:bidi w:val="0"/>
        <w:spacing w:before="0" w:after="0" w:line="469" w:lineRule="exact"/>
        <w:ind w:left="0" w:right="0" w:firstLine="0"/>
        <w:jc w:val="both"/>
      </w:pPr>
      <w:bookmarkStart w:id="235" w:name="bookmark235"/>
      <w:bookmarkStart w:id="236" w:name="bookmark236"/>
      <w:bookmarkStart w:id="237" w:name="bookmark237"/>
      <w:bookmarkStart w:id="238" w:name="bookmark238"/>
      <w:r>
        <w:rPr>
          <w:color w:val="000000"/>
          <w:spacing w:val="0"/>
          <w:w w:val="100"/>
          <w:position w:val="0"/>
          <w:sz w:val="24"/>
          <w:szCs w:val="24"/>
        </w:rPr>
        <w:t>三</w:t>
      </w:r>
      <w:bookmarkEnd w:id="237"/>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4"/>
          <w:szCs w:val="24"/>
        </w:rPr>
        <w:t>年主要工作内容</w:t>
      </w:r>
      <w:bookmarkEnd w:id="235"/>
      <w:bookmarkEnd w:id="236"/>
      <w:bookmarkEnd w:id="238"/>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sz w:val="22"/>
          <w:szCs w:val="22"/>
        </w:rPr>
        <w:t>2022</w:t>
      </w:r>
      <w:r>
        <w:rPr>
          <w:color w:val="000000"/>
          <w:spacing w:val="0"/>
          <w:w w:val="100"/>
          <w:position w:val="0"/>
        </w:rPr>
        <w:t xml:space="preserve">年是苏宁易购发展历程中极为关键的一年，公司需要力争扭转经营效益亏损的不利局面，需 要在零售市场重塑品牌心智和影响力，也需要形成具有行业影响力的业务增长点，这关系到公司未来 </w:t>
      </w:r>
      <w:r>
        <w:rPr>
          <w:color w:val="000000"/>
          <w:spacing w:val="0"/>
          <w:w w:val="100"/>
          <w:position w:val="0"/>
          <w:sz w:val="22"/>
          <w:szCs w:val="22"/>
        </w:rPr>
        <w:t>3-5</w:t>
      </w:r>
      <w:r>
        <w:rPr>
          <w:color w:val="000000"/>
          <w:spacing w:val="0"/>
          <w:w w:val="100"/>
          <w:position w:val="0"/>
        </w:rPr>
        <w:t>年的可持续发展。同时公司也必须通过</w:t>
      </w:r>
      <w:r>
        <w:rPr>
          <w:color w:val="000000"/>
          <w:spacing w:val="0"/>
          <w:w w:val="100"/>
          <w:position w:val="0"/>
          <w:sz w:val="22"/>
          <w:szCs w:val="22"/>
        </w:rPr>
        <w:t>2022</w:t>
      </w:r>
      <w:r>
        <w:rPr>
          <w:color w:val="000000"/>
          <w:spacing w:val="0"/>
          <w:w w:val="100"/>
          <w:position w:val="0"/>
        </w:rPr>
        <w:t>年经营业绩的改善、资产负债状况的改善，扭转</w:t>
      </w:r>
      <w:r>
        <w:rPr>
          <w:color w:val="000000"/>
          <w:spacing w:val="0"/>
          <w:w w:val="100"/>
          <w:position w:val="0"/>
          <w:sz w:val="22"/>
          <w:szCs w:val="22"/>
        </w:rPr>
        <w:t xml:space="preserve">2021 </w:t>
      </w:r>
      <w:r>
        <w:rPr>
          <w:color w:val="000000"/>
          <w:spacing w:val="0"/>
          <w:w w:val="100"/>
          <w:position w:val="0"/>
        </w:rPr>
        <w:t>年经营工作带来的各方面的不利影响，开启新的征程。</w:t>
      </w:r>
    </w:p>
    <w:p>
      <w:pPr>
        <w:pStyle w:val="Style17"/>
        <w:keepNext w:val="0"/>
        <w:keepLines w:val="0"/>
        <w:widowControl w:val="0"/>
        <w:shd w:val="clear" w:color="auto" w:fill="auto"/>
        <w:tabs>
          <w:tab w:pos="1013" w:val="left"/>
        </w:tabs>
        <w:bidi w:val="0"/>
        <w:spacing w:before="0" w:after="0" w:line="469" w:lineRule="exact"/>
        <w:ind w:left="0" w:right="0" w:firstLine="460"/>
        <w:jc w:val="both"/>
      </w:pPr>
      <w:bookmarkStart w:id="239" w:name="bookmark239"/>
      <w:r>
        <w:rPr>
          <w:b/>
          <w:bCs/>
          <w:color w:val="000000"/>
          <w:spacing w:val="0"/>
          <w:w w:val="100"/>
          <w:position w:val="0"/>
        </w:rPr>
        <w:t>（</w:t>
      </w:r>
      <w:bookmarkEnd w:id="239"/>
      <w:r>
        <w:rPr>
          <w:b/>
          <w:bCs/>
          <w:color w:val="000000"/>
          <w:spacing w:val="0"/>
          <w:w w:val="100"/>
          <w:position w:val="0"/>
        </w:rPr>
        <w:t>一）</w:t>
        <w:tab/>
        <w:t>从经营目标角度来看</w:t>
      </w:r>
    </w:p>
    <w:p>
      <w:pPr>
        <w:pStyle w:val="Style17"/>
        <w:keepNext w:val="0"/>
        <w:keepLines w:val="0"/>
        <w:widowControl w:val="0"/>
        <w:shd w:val="clear" w:color="auto" w:fill="auto"/>
        <w:tabs>
          <w:tab w:pos="759" w:val="left"/>
        </w:tabs>
        <w:bidi w:val="0"/>
        <w:spacing w:before="0" w:after="0" w:line="470" w:lineRule="exact"/>
        <w:ind w:left="0" w:right="0" w:firstLine="460"/>
        <w:jc w:val="both"/>
      </w:pPr>
      <w:bookmarkStart w:id="240" w:name="bookmark240"/>
      <w:r>
        <w:rPr>
          <w:color w:val="000000"/>
          <w:spacing w:val="0"/>
          <w:w w:val="100"/>
          <w:position w:val="0"/>
          <w:sz w:val="22"/>
          <w:szCs w:val="22"/>
        </w:rPr>
        <w:t>1</w:t>
      </w:r>
      <w:bookmarkEnd w:id="240"/>
      <w:r>
        <w:rPr>
          <w:color w:val="000000"/>
          <w:spacing w:val="0"/>
          <w:w w:val="100"/>
          <w:position w:val="0"/>
        </w:rPr>
        <w:t>、</w:t>
        <w:tab/>
        <w:t>通过银企合作深化扩大、资产盘活加快实现公司流动性进一步改善，商品供应链进一步改善， 全力加快经营修复；在此基础上，通过毛利水平恢复、费用管控、坪效与人效的提升，实现家电</w:t>
      </w:r>
      <w:r>
        <w:rPr>
          <w:color w:val="000000"/>
          <w:spacing w:val="0"/>
          <w:w w:val="100"/>
          <w:position w:val="0"/>
          <w:sz w:val="22"/>
          <w:szCs w:val="22"/>
        </w:rPr>
        <w:t xml:space="preserve">3C </w:t>
      </w:r>
      <w:r>
        <w:rPr>
          <w:color w:val="000000"/>
          <w:spacing w:val="0"/>
          <w:w w:val="100"/>
          <w:position w:val="0"/>
        </w:rPr>
        <w:t>核心业务一季度</w:t>
      </w:r>
      <w:r>
        <w:rPr>
          <w:color w:val="000000"/>
          <w:spacing w:val="0"/>
          <w:w w:val="100"/>
          <w:position w:val="0"/>
          <w:sz w:val="22"/>
          <w:szCs w:val="22"/>
        </w:rPr>
        <w:t>3</w:t>
      </w:r>
      <w:r>
        <w:rPr>
          <w:color w:val="000000"/>
          <w:spacing w:val="0"/>
          <w:w w:val="100"/>
          <w:position w:val="0"/>
        </w:rPr>
        <w:t>月单月开始盈利和全年盈利这两个阶段性目标，确保家电</w:t>
      </w:r>
      <w:r>
        <w:rPr>
          <w:color w:val="000000"/>
          <w:spacing w:val="0"/>
          <w:w w:val="100"/>
          <w:position w:val="0"/>
          <w:sz w:val="22"/>
          <w:szCs w:val="22"/>
        </w:rPr>
        <w:t>3C</w:t>
      </w:r>
      <w:r>
        <w:rPr>
          <w:color w:val="000000"/>
          <w:spacing w:val="0"/>
          <w:w w:val="100"/>
          <w:position w:val="0"/>
        </w:rPr>
        <w:t>核心业务回归盈利轨 道，这是全年的工作主线。</w:t>
      </w:r>
    </w:p>
    <w:p>
      <w:pPr>
        <w:pStyle w:val="Style17"/>
        <w:keepNext w:val="0"/>
        <w:keepLines w:val="0"/>
        <w:widowControl w:val="0"/>
        <w:shd w:val="clear" w:color="auto" w:fill="auto"/>
        <w:tabs>
          <w:tab w:pos="759" w:val="left"/>
        </w:tabs>
        <w:bidi w:val="0"/>
        <w:spacing w:before="0" w:after="0" w:line="473" w:lineRule="exact"/>
        <w:ind w:left="0" w:right="0" w:firstLine="460"/>
        <w:jc w:val="both"/>
      </w:pPr>
      <w:bookmarkStart w:id="241" w:name="bookmark241"/>
      <w:r>
        <w:rPr>
          <w:color w:val="000000"/>
          <w:spacing w:val="0"/>
          <w:w w:val="100"/>
          <w:position w:val="0"/>
          <w:sz w:val="22"/>
          <w:szCs w:val="22"/>
        </w:rPr>
        <w:t>2</w:t>
      </w:r>
      <w:bookmarkEnd w:id="241"/>
      <w:r>
        <w:rPr>
          <w:color w:val="000000"/>
          <w:spacing w:val="0"/>
          <w:w w:val="100"/>
          <w:position w:val="0"/>
        </w:rPr>
        <w:t>、</w:t>
        <w:tab/>
        <w:t>积极推动具有明确增长动能和盈利模式的业务增长点，也就是需要实现零售云、易采云、社 交云三个业务体系的快速发展，实现整体规模和盈利的突破，成为</w:t>
      </w:r>
      <w:r>
        <w:rPr>
          <w:color w:val="000000"/>
          <w:spacing w:val="0"/>
          <w:w w:val="100"/>
          <w:position w:val="0"/>
          <w:sz w:val="22"/>
          <w:szCs w:val="22"/>
        </w:rPr>
        <w:t>2022</w:t>
      </w:r>
      <w:r>
        <w:rPr>
          <w:color w:val="000000"/>
          <w:spacing w:val="0"/>
          <w:w w:val="100"/>
          <w:position w:val="0"/>
        </w:rPr>
        <w:t>年公司经营目标实现的重要 保障。</w:t>
      </w:r>
    </w:p>
    <w:p>
      <w:pPr>
        <w:pStyle w:val="Style17"/>
        <w:keepNext w:val="0"/>
        <w:keepLines w:val="0"/>
        <w:widowControl w:val="0"/>
        <w:shd w:val="clear" w:color="auto" w:fill="auto"/>
        <w:tabs>
          <w:tab w:pos="764" w:val="left"/>
        </w:tabs>
        <w:bidi w:val="0"/>
        <w:spacing w:before="0" w:after="0" w:line="469" w:lineRule="exact"/>
        <w:ind w:left="0" w:right="0" w:firstLine="460"/>
        <w:jc w:val="both"/>
      </w:pPr>
      <w:bookmarkStart w:id="242" w:name="bookmark242"/>
      <w:r>
        <w:rPr>
          <w:color w:val="000000"/>
          <w:spacing w:val="0"/>
          <w:w w:val="100"/>
          <w:position w:val="0"/>
          <w:sz w:val="22"/>
          <w:szCs w:val="22"/>
        </w:rPr>
        <w:t>3</w:t>
      </w:r>
      <w:bookmarkEnd w:id="242"/>
      <w:r>
        <w:rPr>
          <w:color w:val="000000"/>
          <w:spacing w:val="0"/>
          <w:w w:val="100"/>
          <w:position w:val="0"/>
        </w:rPr>
        <w:t>、</w:t>
        <w:tab/>
        <w:t>加快梳理和调整尚不盈利、不具备经营优势的业务体系。家乐福、百货要结合自身的物业区 位优势，结合自身的核心引流产品的优势，加快店面模型升级优化，快速调整效率低的商品类别，为 店面效率、效益提升腾出空间，综合利用好既有店面客流资源价值。苏宁易购主站立足于进入良性发 展轨道，以挖掘和服务好忠诚用户，以做大做强家电</w:t>
      </w:r>
      <w:r>
        <w:rPr>
          <w:color w:val="000000"/>
          <w:spacing w:val="0"/>
          <w:w w:val="100"/>
          <w:position w:val="0"/>
          <w:sz w:val="22"/>
          <w:szCs w:val="22"/>
        </w:rPr>
        <w:t>3C</w:t>
      </w:r>
      <w:r>
        <w:rPr>
          <w:color w:val="000000"/>
          <w:spacing w:val="0"/>
          <w:w w:val="100"/>
          <w:position w:val="0"/>
        </w:rPr>
        <w:t>业务作为基础，要在上半年全面实现盈利， 为重启电商快速发展提供有利条件。</w:t>
      </w:r>
    </w:p>
    <w:p>
      <w:pPr>
        <w:pStyle w:val="Style17"/>
        <w:keepNext w:val="0"/>
        <w:keepLines w:val="0"/>
        <w:widowControl w:val="0"/>
        <w:shd w:val="clear" w:color="auto" w:fill="auto"/>
        <w:tabs>
          <w:tab w:pos="1013" w:val="left"/>
        </w:tabs>
        <w:bidi w:val="0"/>
        <w:spacing w:before="0" w:after="0" w:line="469" w:lineRule="exact"/>
        <w:ind w:left="0" w:right="0" w:firstLine="460"/>
        <w:jc w:val="both"/>
      </w:pPr>
      <w:bookmarkStart w:id="243" w:name="bookmark243"/>
      <w:r>
        <w:rPr>
          <w:b/>
          <w:bCs/>
          <w:color w:val="000000"/>
          <w:spacing w:val="0"/>
          <w:w w:val="100"/>
          <w:position w:val="0"/>
        </w:rPr>
        <w:t>（</w:t>
      </w:r>
      <w:bookmarkEnd w:id="243"/>
      <w:r>
        <w:rPr>
          <w:b/>
          <w:bCs/>
          <w:color w:val="000000"/>
          <w:spacing w:val="0"/>
          <w:w w:val="100"/>
          <w:position w:val="0"/>
        </w:rPr>
        <w:t>二）</w:t>
        <w:tab/>
        <w:t>从核心竞争角度来看</w:t>
      </w:r>
    </w:p>
    <w:p>
      <w:pPr>
        <w:pStyle w:val="Style17"/>
        <w:keepNext w:val="0"/>
        <w:keepLines w:val="0"/>
        <w:widowControl w:val="0"/>
        <w:shd w:val="clear" w:color="auto" w:fill="auto"/>
        <w:bidi w:val="0"/>
        <w:spacing w:before="0" w:after="0" w:line="470" w:lineRule="exact"/>
        <w:ind w:left="0" w:right="0" w:firstLine="460"/>
        <w:jc w:val="both"/>
      </w:pPr>
      <w:bookmarkStart w:id="244" w:name="bookmark244"/>
      <w:r>
        <w:rPr>
          <w:color w:val="000000"/>
          <w:spacing w:val="0"/>
          <w:w w:val="100"/>
          <w:position w:val="0"/>
          <w:sz w:val="22"/>
          <w:szCs w:val="22"/>
        </w:rPr>
        <w:t>1</w:t>
      </w:r>
      <w:bookmarkEnd w:id="244"/>
      <w:r>
        <w:rPr>
          <w:color w:val="000000"/>
          <w:spacing w:val="0"/>
          <w:w w:val="100"/>
          <w:position w:val="0"/>
        </w:rPr>
        <w:t xml:space="preserve">、结合当前的用户发展趋势与苏宁易购的能力特点，公司进一步明确定位于为用户提供家庭场 景解决方案的零售服务商。苏宁易购的战略方向，就是服务升级战略，就是基于用户的家庭场景需求 构建细分场景的产品运营体验能力、商品搭配组合的所见所得能力、全程标准化的物流安装履约能力。 只有服务升级，对用户体验才能升级，才能形成苏宁易购的独特的差异化优势，要从买家电到苏宁， </w:t>
      </w:r>
      <w:r>
        <w:rPr>
          <w:color w:val="000000"/>
          <w:spacing w:val="0"/>
          <w:w w:val="100"/>
          <w:position w:val="0"/>
        </w:rPr>
        <w:t>升级到定制家庭场景到苏宁。</w:t>
      </w:r>
    </w:p>
    <w:p>
      <w:pPr>
        <w:pStyle w:val="Style17"/>
        <w:keepNext w:val="0"/>
        <w:keepLines w:val="0"/>
        <w:widowControl w:val="0"/>
        <w:shd w:val="clear" w:color="auto" w:fill="auto"/>
        <w:bidi w:val="0"/>
        <w:spacing w:before="0" w:after="0" w:line="472" w:lineRule="exact"/>
        <w:ind w:left="0" w:right="0" w:firstLine="460"/>
        <w:jc w:val="both"/>
      </w:pPr>
      <w:r>
        <w:rPr>
          <w:color w:val="000000"/>
          <w:spacing w:val="0"/>
          <w:w w:val="100"/>
          <w:position w:val="0"/>
        </w:rPr>
        <w:t>苏宁易购的服务能力首先是面向</w:t>
      </w:r>
      <w:r>
        <w:rPr>
          <w:color w:val="000000"/>
          <w:spacing w:val="0"/>
          <w:w w:val="100"/>
          <w:position w:val="0"/>
          <w:sz w:val="22"/>
          <w:szCs w:val="22"/>
        </w:rPr>
        <w:t>C</w:t>
      </w:r>
      <w:r>
        <w:rPr>
          <w:color w:val="000000"/>
          <w:spacing w:val="0"/>
          <w:w w:val="100"/>
          <w:position w:val="0"/>
        </w:rPr>
        <w:t>端用户的，但是作为零售服务商，我们也要面向上游的品牌企 业，形成更专业的品牌提升能力和新产品的高效推广能力；同时，苏宁易购的服务能力也要面向大量 中小型家电零售企业，提供基于家电家装一体化趋势之下涵盖商品供应链、零售运营、履约服务的一 揽子服务产品，延展零售云的赛道和内涵。</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 xml:space="preserve">苏宁易购服务战略的升级需要尽快完成新型店面模型的升级打造，公司的“一号店”模型计划在 </w:t>
      </w:r>
      <w:r>
        <w:rPr>
          <w:color w:val="000000"/>
          <w:spacing w:val="0"/>
          <w:w w:val="100"/>
          <w:position w:val="0"/>
          <w:sz w:val="22"/>
          <w:szCs w:val="22"/>
        </w:rPr>
        <w:t>7-8</w:t>
      </w:r>
      <w:r>
        <w:rPr>
          <w:color w:val="000000"/>
          <w:spacing w:val="0"/>
          <w:w w:val="100"/>
          <w:position w:val="0"/>
        </w:rPr>
        <w:t>月期间推出，本年度将会在全国开设</w:t>
      </w:r>
      <w:r>
        <w:rPr>
          <w:color w:val="000000"/>
          <w:spacing w:val="0"/>
          <w:w w:val="100"/>
          <w:position w:val="0"/>
          <w:sz w:val="22"/>
          <w:szCs w:val="22"/>
        </w:rPr>
        <w:t>2-3</w:t>
      </w:r>
      <w:r>
        <w:rPr>
          <w:color w:val="000000"/>
          <w:spacing w:val="0"/>
          <w:w w:val="100"/>
          <w:position w:val="0"/>
        </w:rPr>
        <w:t>家，同时也会尝试将此类型店面的核心能力模块化嵌入 原有店面类型，本年计划完成</w:t>
      </w:r>
      <w:r>
        <w:rPr>
          <w:color w:val="000000"/>
          <w:spacing w:val="0"/>
          <w:w w:val="100"/>
          <w:position w:val="0"/>
          <w:sz w:val="22"/>
          <w:szCs w:val="22"/>
        </w:rPr>
        <w:t>30-40</w:t>
      </w:r>
      <w:r>
        <w:rPr>
          <w:color w:val="000000"/>
          <w:spacing w:val="0"/>
          <w:w w:val="100"/>
          <w:position w:val="0"/>
        </w:rPr>
        <w:t>家试点，之后逐步推开以实现全国性的店面升级覆盖。同时，公 司也会完成在电商业务中推出配套产品，完善用户全渠道体验，在知识内容、设计参与、场景体验、 交易达成、履约服务等环节实现线上线下各自的优势融合互补，更进一步形成苏宁易购的独有心智。</w:t>
      </w:r>
    </w:p>
    <w:p>
      <w:pPr>
        <w:pStyle w:val="Style17"/>
        <w:keepNext w:val="0"/>
        <w:keepLines w:val="0"/>
        <w:widowControl w:val="0"/>
        <w:shd w:val="clear" w:color="auto" w:fill="auto"/>
        <w:bidi w:val="0"/>
        <w:spacing w:before="0" w:after="0" w:line="467" w:lineRule="exact"/>
        <w:ind w:left="0" w:right="0" w:firstLine="460"/>
        <w:jc w:val="both"/>
      </w:pPr>
      <w:bookmarkStart w:id="245" w:name="bookmark245"/>
      <w:r>
        <w:rPr>
          <w:color w:val="000000"/>
          <w:spacing w:val="0"/>
          <w:w w:val="100"/>
          <w:position w:val="0"/>
          <w:sz w:val="22"/>
          <w:szCs w:val="22"/>
        </w:rPr>
        <w:t>2</w:t>
      </w:r>
      <w:bookmarkEnd w:id="245"/>
      <w:r>
        <w:rPr>
          <w:color w:val="000000"/>
          <w:spacing w:val="0"/>
          <w:w w:val="100"/>
          <w:position w:val="0"/>
        </w:rPr>
        <w:t>、下定决心，解决各种难题，全面突破大规模定制采购模式，实现业务规模和收入占比的大幅 提升。苏宁易购建立的全渠道体系，就是为了更好地满足用户的需求，而这方面最核心、最基础的环 节就是为不同偏好的用户提供最符合其场景使用需求、最符合其性价比需求的产品；另一方面，苏宁 易购作为零售商的一个重要使命就是协同供应商提升效率，公司也是以此作为对团队的重要的评价体 系和工作要求，以使苏宁易购能够成为供应商认可的最具资金效率、最具推广效率、最具合作效率和 最具经济效益的合作伙伴。而这其中一个最重要的抓手即是双方共同基于用户需求开展大规模订制生 产的商品供应链体系与销售推广体系的升级优化，这是零供双方在互联网时代最有可能节约流通成本、 提升用户经营价值、提高经营效益的合作路径。而随着定制商品的能力提升，苏宁易购零售云、易采 云、社交云体系对外提供商品服务的能力也将进一步提升，合作伙伴的成本和收益都将进一步优化， 从而巩固和扩大“三朵云”业务的市场地位和价值。公司目标在</w:t>
      </w:r>
      <w:r>
        <w:rPr>
          <w:color w:val="000000"/>
          <w:spacing w:val="0"/>
          <w:w w:val="100"/>
          <w:position w:val="0"/>
          <w:sz w:val="22"/>
          <w:szCs w:val="22"/>
        </w:rPr>
        <w:t>2022</w:t>
      </w:r>
      <w:r>
        <w:rPr>
          <w:color w:val="000000"/>
          <w:spacing w:val="0"/>
          <w:w w:val="100"/>
          <w:position w:val="0"/>
        </w:rPr>
        <w:t>年率先在家电进行突破，全渠 道占比目标</w:t>
      </w:r>
      <w:r>
        <w:rPr>
          <w:color w:val="000000"/>
          <w:spacing w:val="0"/>
          <w:w w:val="100"/>
          <w:position w:val="0"/>
          <w:sz w:val="22"/>
          <w:szCs w:val="22"/>
        </w:rPr>
        <w:t>15%-20%，</w:t>
      </w:r>
      <w:r>
        <w:rPr>
          <w:color w:val="000000"/>
          <w:spacing w:val="0"/>
          <w:w w:val="100"/>
          <w:position w:val="0"/>
        </w:rPr>
        <w:t>在此基础上公司的毛利水平也将进一步提升。</w:t>
      </w:r>
    </w:p>
    <w:p>
      <w:pPr>
        <w:pStyle w:val="Style17"/>
        <w:keepNext w:val="0"/>
        <w:keepLines w:val="0"/>
        <w:widowControl w:val="0"/>
        <w:shd w:val="clear" w:color="auto" w:fill="auto"/>
        <w:bidi w:val="0"/>
        <w:spacing w:before="0" w:after="0" w:line="468" w:lineRule="exact"/>
        <w:ind w:left="0" w:right="0" w:firstLine="460"/>
        <w:jc w:val="both"/>
      </w:pPr>
      <w:bookmarkStart w:id="246" w:name="bookmark246"/>
      <w:r>
        <w:rPr>
          <w:b/>
          <w:bCs/>
          <w:color w:val="000000"/>
          <w:spacing w:val="0"/>
          <w:w w:val="100"/>
          <w:position w:val="0"/>
        </w:rPr>
        <w:t>（</w:t>
      </w:r>
      <w:bookmarkEnd w:id="246"/>
      <w:r>
        <w:rPr>
          <w:b/>
          <w:bCs/>
          <w:color w:val="000000"/>
          <w:spacing w:val="0"/>
          <w:w w:val="100"/>
          <w:position w:val="0"/>
        </w:rPr>
        <w:t>三）从企业管理角度来看</w:t>
      </w:r>
    </w:p>
    <w:p>
      <w:pPr>
        <w:pStyle w:val="Style17"/>
        <w:keepNext w:val="0"/>
        <w:keepLines w:val="0"/>
        <w:widowControl w:val="0"/>
        <w:shd w:val="clear" w:color="auto" w:fill="auto"/>
        <w:tabs>
          <w:tab w:pos="763" w:val="left"/>
        </w:tabs>
        <w:bidi w:val="0"/>
        <w:spacing w:before="0" w:after="0" w:line="469" w:lineRule="exact"/>
        <w:ind w:left="0" w:right="0" w:firstLine="460"/>
        <w:jc w:val="both"/>
      </w:pPr>
      <w:bookmarkStart w:id="247" w:name="bookmark247"/>
      <w:r>
        <w:rPr>
          <w:color w:val="000000"/>
          <w:spacing w:val="0"/>
          <w:w w:val="100"/>
          <w:position w:val="0"/>
          <w:sz w:val="22"/>
          <w:szCs w:val="22"/>
        </w:rPr>
        <w:t>1</w:t>
      </w:r>
      <w:bookmarkEnd w:id="247"/>
      <w:r>
        <w:rPr>
          <w:color w:val="000000"/>
          <w:spacing w:val="0"/>
          <w:w w:val="100"/>
          <w:position w:val="0"/>
        </w:rPr>
        <w:t>、</w:t>
        <w:tab/>
        <w:t>文化氛围的建立是</w:t>
      </w:r>
      <w:r>
        <w:rPr>
          <w:color w:val="000000"/>
          <w:spacing w:val="0"/>
          <w:w w:val="100"/>
          <w:position w:val="0"/>
          <w:sz w:val="22"/>
          <w:szCs w:val="22"/>
        </w:rPr>
        <w:t>2022</w:t>
      </w:r>
      <w:r>
        <w:rPr>
          <w:color w:val="000000"/>
          <w:spacing w:val="0"/>
          <w:w w:val="100"/>
          <w:position w:val="0"/>
        </w:rPr>
        <w:t>年经营工作的基础保障。客观来看，当前公司还面临着诸多困难，但 依然有巨大的发展机会。公司要求强化个体的主体责任，上下一心，同甘共苦；弘扬勤俭节约、效率 为先的工作风气；弘扬全员营销、全员创效的工作氛围。重振企业文化内核，共同创造一个蒸蒸日上 的工作氛围，也是所有苏宁人的心愿。</w:t>
      </w:r>
    </w:p>
    <w:p>
      <w:pPr>
        <w:pStyle w:val="Style17"/>
        <w:keepNext w:val="0"/>
        <w:keepLines w:val="0"/>
        <w:widowControl w:val="0"/>
        <w:shd w:val="clear" w:color="auto" w:fill="auto"/>
        <w:tabs>
          <w:tab w:pos="763" w:val="left"/>
        </w:tabs>
        <w:bidi w:val="0"/>
        <w:spacing w:before="0" w:after="0" w:line="475" w:lineRule="exact"/>
        <w:ind w:left="0" w:right="0" w:firstLine="460"/>
        <w:jc w:val="both"/>
      </w:pPr>
      <w:bookmarkStart w:id="248" w:name="bookmark248"/>
      <w:r>
        <w:rPr>
          <w:color w:val="000000"/>
          <w:spacing w:val="0"/>
          <w:w w:val="100"/>
          <w:position w:val="0"/>
          <w:sz w:val="22"/>
          <w:szCs w:val="22"/>
        </w:rPr>
        <w:t>2</w:t>
      </w:r>
      <w:bookmarkEnd w:id="248"/>
      <w:r>
        <w:rPr>
          <w:color w:val="000000"/>
          <w:spacing w:val="0"/>
          <w:w w:val="100"/>
          <w:position w:val="0"/>
        </w:rPr>
        <w:t>、</w:t>
        <w:tab/>
        <w:t>组织自驱力的建设是</w:t>
      </w:r>
      <w:r>
        <w:rPr>
          <w:color w:val="000000"/>
          <w:spacing w:val="0"/>
          <w:w w:val="100"/>
          <w:position w:val="0"/>
          <w:sz w:val="22"/>
          <w:szCs w:val="22"/>
        </w:rPr>
        <w:t>2022</w:t>
      </w:r>
      <w:r>
        <w:rPr>
          <w:color w:val="000000"/>
          <w:spacing w:val="0"/>
          <w:w w:val="100"/>
          <w:position w:val="0"/>
        </w:rPr>
        <w:t xml:space="preserve">年经营工作的组织保障。进一步完善责权利的匹配，尤其在激励体 系的建设方面，以全员利润分享为导向的薪酬体系优化和面向中高层的长期股权激励方案的实施，是 保障履行责任、高质量完成目标的重点工作。另一方面，总部在完善标准、经营规则和核心资源管控 </w:t>
      </w:r>
      <w:r>
        <w:rPr>
          <w:color w:val="000000"/>
          <w:spacing w:val="0"/>
          <w:w w:val="100"/>
          <w:position w:val="0"/>
        </w:rPr>
        <w:t>的基础上，要进一步对区域、终端放权授权，面向市场的体系形成战区化的运作机制，敏捷作战。苏 宁易购零售云的模式和理念不仅仅是面向外部合作伙伴，也可以在内部组织活力释放中予以充分借鉴 和应用，公司搭建的是一个统一的团队赋能共享平台，每个经营团队都要成为其中一个经营体，在规 则之下独立经营，共同推动生态繁荣也分享平台价值提升。</w:t>
      </w:r>
    </w:p>
    <w:p>
      <w:pPr>
        <w:pStyle w:val="Style17"/>
        <w:keepNext w:val="0"/>
        <w:keepLines w:val="0"/>
        <w:widowControl w:val="0"/>
        <w:shd w:val="clear" w:color="auto" w:fill="auto"/>
        <w:bidi w:val="0"/>
        <w:spacing w:before="0" w:after="0" w:line="468" w:lineRule="exact"/>
        <w:ind w:left="0" w:right="0" w:firstLine="460"/>
        <w:jc w:val="both"/>
      </w:pPr>
      <w:bookmarkStart w:id="249" w:name="bookmark249"/>
      <w:r>
        <w:rPr>
          <w:color w:val="000000"/>
          <w:spacing w:val="0"/>
          <w:w w:val="100"/>
          <w:position w:val="0"/>
          <w:sz w:val="22"/>
          <w:szCs w:val="22"/>
        </w:rPr>
        <w:t>3</w:t>
      </w:r>
      <w:bookmarkEnd w:id="249"/>
      <w:r>
        <w:rPr>
          <w:color w:val="000000"/>
          <w:spacing w:val="0"/>
          <w:w w:val="100"/>
          <w:position w:val="0"/>
        </w:rPr>
        <w:t>、人才建设是</w:t>
      </w:r>
      <w:r>
        <w:rPr>
          <w:color w:val="000000"/>
          <w:spacing w:val="0"/>
          <w:w w:val="100"/>
          <w:position w:val="0"/>
          <w:sz w:val="22"/>
          <w:szCs w:val="22"/>
        </w:rPr>
        <w:t>2022</w:t>
      </w:r>
      <w:r>
        <w:rPr>
          <w:color w:val="000000"/>
          <w:spacing w:val="0"/>
          <w:w w:val="100"/>
          <w:position w:val="0"/>
        </w:rPr>
        <w:t>年经营工作的能力保障。</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公司在推进全员创效的过程中要坚持持续淘汰冗员庸员，但同时也会把人才梯队建设、人才发展 路径建设作为重点，在苏宁易购发展的关键阶段，公司会创造更多的人才涌现机制、大胆提拔任用， 在实践中锻炼成长一批年轻干部。公司会持续加强</w:t>
      </w:r>
      <w:r>
        <w:rPr>
          <w:color w:val="000000"/>
          <w:spacing w:val="0"/>
          <w:w w:val="100"/>
          <w:position w:val="0"/>
          <w:sz w:val="22"/>
          <w:szCs w:val="22"/>
        </w:rPr>
        <w:t>1200</w:t>
      </w:r>
      <w:r>
        <w:rPr>
          <w:color w:val="000000"/>
          <w:spacing w:val="0"/>
          <w:w w:val="100"/>
          <w:position w:val="0"/>
        </w:rPr>
        <w:t>工程体系建设，把有质量的引进和有质量的 培育作为近阶段工作的重点。公司也会结合当前业务发展规划，对于重点专业性岗位引入更资深的中 高层，持续完善公司的能力结构与专业结构，支持战略的有效落地。</w:t>
      </w:r>
    </w:p>
    <w:p>
      <w:pPr>
        <w:pStyle w:val="Style17"/>
        <w:keepNext w:val="0"/>
        <w:keepLines w:val="0"/>
        <w:widowControl w:val="0"/>
        <w:shd w:val="clear" w:color="auto" w:fill="auto"/>
        <w:bidi w:val="0"/>
        <w:spacing w:before="0" w:after="0" w:line="463" w:lineRule="exact"/>
        <w:ind w:left="0" w:right="0" w:firstLine="460"/>
        <w:jc w:val="both"/>
        <w:sectPr>
          <w:footnotePr>
            <w:pos w:val="pageBottom"/>
            <w:numFmt w:val="decimal"/>
            <w:numStart w:val="1"/>
            <w:numRestart w:val="continuous"/>
            <w15:footnoteColumns w:val="1"/>
          </w:footnotePr>
          <w:pgSz w:w="11900" w:h="16840"/>
          <w:pgMar w:top="1346" w:right="957" w:bottom="1370" w:left="1046" w:header="0" w:footer="3" w:gutter="0"/>
          <w:cols w:space="720"/>
          <w:noEndnote/>
          <w:rtlGutter w:val="0"/>
          <w:docGrid w:linePitch="360"/>
        </w:sectPr>
      </w:pPr>
      <w:r>
        <w:rPr>
          <w:color w:val="000000"/>
          <w:spacing w:val="0"/>
          <w:w w:val="100"/>
          <w:position w:val="0"/>
        </w:rPr>
        <w:t>苏宁经历了三十多年的发展，虽然我们当前面临阶段性的困难，但企业的积累和底蕴、文化的内 涵和价值观、团队的坚守和能力，都使得公司有充分的信心朝着既定的战略目标、持之以恒地奋斗， 在</w:t>
      </w:r>
      <w:r>
        <w:rPr>
          <w:color w:val="000000"/>
          <w:spacing w:val="0"/>
          <w:w w:val="100"/>
          <w:position w:val="0"/>
          <w:sz w:val="22"/>
          <w:szCs w:val="22"/>
        </w:rPr>
        <w:t>2022</w:t>
      </w:r>
      <w:r>
        <w:rPr>
          <w:color w:val="000000"/>
          <w:spacing w:val="0"/>
          <w:w w:val="100"/>
          <w:position w:val="0"/>
        </w:rPr>
        <w:t>年交出一份满意的答卷。</w:t>
      </w:r>
    </w:p>
    <w:p>
      <w:pPr>
        <w:pStyle w:val="Style15"/>
        <w:keepNext/>
        <w:keepLines/>
        <w:widowControl w:val="0"/>
        <w:shd w:val="clear" w:color="auto" w:fill="auto"/>
        <w:bidi w:val="0"/>
        <w:spacing w:before="700" w:after="340" w:line="240" w:lineRule="auto"/>
        <w:ind w:left="0" w:right="0" w:firstLine="0"/>
        <w:jc w:val="center"/>
      </w:pPr>
      <w:bookmarkStart w:id="250" w:name="bookmark250"/>
      <w:bookmarkStart w:id="251" w:name="bookmark251"/>
      <w:bookmarkStart w:id="252" w:name="bookmark252"/>
      <w:r>
        <w:rPr>
          <w:color w:val="000000"/>
          <w:spacing w:val="0"/>
          <w:w w:val="100"/>
          <w:position w:val="0"/>
        </w:rPr>
        <w:t>第五节公司治理</w:t>
      </w:r>
      <w:bookmarkEnd w:id="250"/>
      <w:bookmarkEnd w:id="251"/>
      <w:bookmarkEnd w:id="252"/>
    </w:p>
    <w:p>
      <w:pPr>
        <w:pStyle w:val="Style32"/>
        <w:keepNext/>
        <w:keepLines/>
        <w:widowControl w:val="0"/>
        <w:shd w:val="clear" w:color="auto" w:fill="auto"/>
        <w:bidi w:val="0"/>
        <w:spacing w:before="0" w:after="220" w:line="469" w:lineRule="exact"/>
        <w:ind w:left="0" w:right="0" w:firstLine="0"/>
        <w:jc w:val="both"/>
      </w:pPr>
      <w:bookmarkStart w:id="253" w:name="bookmark253"/>
      <w:bookmarkStart w:id="254" w:name="bookmark254"/>
      <w:bookmarkStart w:id="255" w:name="bookmark255"/>
      <w:bookmarkStart w:id="256" w:name="bookmark256"/>
      <w:bookmarkStart w:id="257" w:name="bookmark257"/>
      <w:r>
        <w:rPr>
          <w:color w:val="000000"/>
          <w:spacing w:val="0"/>
          <w:w w:val="100"/>
          <w:position w:val="0"/>
          <w:sz w:val="24"/>
          <w:szCs w:val="24"/>
        </w:rPr>
        <w:t>一</w:t>
      </w:r>
      <w:bookmarkEnd w:id="256"/>
      <w:r>
        <w:rPr>
          <w:color w:val="000000"/>
          <w:spacing w:val="0"/>
          <w:w w:val="100"/>
          <w:position w:val="0"/>
          <w:sz w:val="24"/>
          <w:szCs w:val="24"/>
        </w:rPr>
        <w:t>、公司治理的基本状况</w:t>
      </w:r>
      <w:bookmarkEnd w:id="254"/>
      <w:bookmarkEnd w:id="255"/>
      <w:bookmarkEnd w:id="257"/>
      <w:bookmarkEnd w:id="253"/>
    </w:p>
    <w:p>
      <w:pPr>
        <w:pStyle w:val="Style17"/>
        <w:keepNext w:val="0"/>
        <w:keepLines w:val="0"/>
        <w:widowControl w:val="0"/>
        <w:shd w:val="clear" w:color="auto" w:fill="auto"/>
        <w:tabs>
          <w:tab w:pos="818" w:val="left"/>
        </w:tabs>
        <w:bidi w:val="0"/>
        <w:spacing w:before="0" w:after="0" w:line="469" w:lineRule="exact"/>
        <w:ind w:left="0" w:right="0" w:firstLine="460"/>
        <w:jc w:val="both"/>
      </w:pPr>
      <w:bookmarkStart w:id="258" w:name="bookmark258"/>
      <w:r>
        <w:rPr>
          <w:rFonts w:ascii="Times New Roman" w:eastAsia="Times New Roman" w:hAnsi="Times New Roman" w:cs="Times New Roman"/>
          <w:color w:val="000000"/>
          <w:spacing w:val="0"/>
          <w:w w:val="100"/>
          <w:position w:val="0"/>
          <w:sz w:val="22"/>
          <w:szCs w:val="22"/>
        </w:rPr>
        <w:t>1</w:t>
      </w:r>
      <w:bookmarkEnd w:id="258"/>
      <w:r>
        <w:rPr>
          <w:color w:val="000000"/>
          <w:spacing w:val="0"/>
          <w:w w:val="100"/>
          <w:position w:val="0"/>
        </w:rPr>
        <w:t>、</w:t>
        <w:tab/>
        <w:t>关于股东及股东大会</w:t>
      </w:r>
    </w:p>
    <w:p>
      <w:pPr>
        <w:pStyle w:val="Style17"/>
        <w:keepNext w:val="0"/>
        <w:keepLines w:val="0"/>
        <w:widowControl w:val="0"/>
        <w:shd w:val="clear" w:color="auto" w:fill="auto"/>
        <w:bidi w:val="0"/>
        <w:spacing w:before="0" w:after="0" w:line="469" w:lineRule="exact"/>
        <w:ind w:left="0" w:right="0" w:firstLine="460"/>
        <w:jc w:val="left"/>
      </w:pPr>
      <w:r>
        <w:rPr>
          <w:color w:val="000000"/>
          <w:spacing w:val="0"/>
          <w:w w:val="100"/>
          <w:position w:val="0"/>
        </w:rPr>
        <w:t xml:space="preserve">公司通过深交所互动易、电话、电子邮件、投资者交流会等多种方式建立与股东间的互动，报告 期内公司举办了 </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年年度报告网上说明会，召开了六次股东大会，审议通过了全部议案内容。</w:t>
      </w:r>
    </w:p>
    <w:p>
      <w:pPr>
        <w:pStyle w:val="Style17"/>
        <w:keepNext w:val="0"/>
        <w:keepLines w:val="0"/>
        <w:widowControl w:val="0"/>
        <w:shd w:val="clear" w:color="auto" w:fill="auto"/>
        <w:tabs>
          <w:tab w:pos="842" w:val="left"/>
        </w:tabs>
        <w:bidi w:val="0"/>
        <w:spacing w:before="0" w:after="0" w:line="469" w:lineRule="exact"/>
        <w:ind w:left="0" w:right="0" w:firstLine="460"/>
        <w:jc w:val="left"/>
      </w:pPr>
      <w:bookmarkStart w:id="259" w:name="bookmark259"/>
      <w:r>
        <w:rPr>
          <w:rFonts w:ascii="Times New Roman" w:eastAsia="Times New Roman" w:hAnsi="Times New Roman" w:cs="Times New Roman"/>
          <w:color w:val="000000"/>
          <w:spacing w:val="0"/>
          <w:w w:val="100"/>
          <w:position w:val="0"/>
          <w:sz w:val="22"/>
          <w:szCs w:val="22"/>
        </w:rPr>
        <w:t>2</w:t>
      </w:r>
      <w:bookmarkEnd w:id="259"/>
      <w:r>
        <w:rPr>
          <w:color w:val="000000"/>
          <w:spacing w:val="0"/>
          <w:w w:val="100"/>
          <w:position w:val="0"/>
        </w:rPr>
        <w:t>、</w:t>
        <w:tab/>
        <w:t>关于董事及董事会</w:t>
      </w:r>
    </w:p>
    <w:p>
      <w:pPr>
        <w:pStyle w:val="Style17"/>
        <w:keepNext w:val="0"/>
        <w:keepLines w:val="0"/>
        <w:widowControl w:val="0"/>
        <w:shd w:val="clear" w:color="auto" w:fill="auto"/>
        <w:bidi w:val="0"/>
        <w:spacing w:before="0" w:after="0" w:line="469" w:lineRule="exact"/>
        <w:ind w:left="0" w:right="0" w:firstLine="460"/>
        <w:jc w:val="left"/>
      </w:pPr>
      <w:r>
        <w:rPr>
          <w:color w:val="000000"/>
          <w:spacing w:val="0"/>
          <w:w w:val="100"/>
          <w:position w:val="0"/>
        </w:rPr>
        <w:t>报告期内，全体董事勤勉尽责，董事会及各专门委员会高效运作，审议通过各项议案，确保了公 司规范运作。</w:t>
      </w:r>
    </w:p>
    <w:p>
      <w:pPr>
        <w:pStyle w:val="Style17"/>
        <w:keepNext w:val="0"/>
        <w:keepLines w:val="0"/>
        <w:widowControl w:val="0"/>
        <w:shd w:val="clear" w:color="auto" w:fill="auto"/>
        <w:tabs>
          <w:tab w:pos="842" w:val="left"/>
        </w:tabs>
        <w:bidi w:val="0"/>
        <w:spacing w:before="0" w:after="0" w:line="469" w:lineRule="exact"/>
        <w:ind w:left="0" w:right="0" w:firstLine="460"/>
        <w:jc w:val="left"/>
      </w:pPr>
      <w:bookmarkStart w:id="260" w:name="bookmark260"/>
      <w:r>
        <w:rPr>
          <w:rFonts w:ascii="Times New Roman" w:eastAsia="Times New Roman" w:hAnsi="Times New Roman" w:cs="Times New Roman"/>
          <w:color w:val="000000"/>
          <w:spacing w:val="0"/>
          <w:w w:val="100"/>
          <w:position w:val="0"/>
          <w:sz w:val="22"/>
          <w:szCs w:val="22"/>
        </w:rPr>
        <w:t>3</w:t>
      </w:r>
      <w:bookmarkEnd w:id="260"/>
      <w:r>
        <w:rPr>
          <w:color w:val="000000"/>
          <w:spacing w:val="0"/>
          <w:w w:val="100"/>
          <w:position w:val="0"/>
        </w:rPr>
        <w:t>、</w:t>
        <w:tab/>
        <w:t>关于监事及监事会</w:t>
      </w:r>
    </w:p>
    <w:p>
      <w:pPr>
        <w:pStyle w:val="Style17"/>
        <w:keepNext w:val="0"/>
        <w:keepLines w:val="0"/>
        <w:widowControl w:val="0"/>
        <w:shd w:val="clear" w:color="auto" w:fill="auto"/>
        <w:bidi w:val="0"/>
        <w:spacing w:before="0" w:after="0" w:line="469" w:lineRule="exact"/>
        <w:ind w:left="0" w:right="0" w:firstLine="460"/>
        <w:jc w:val="left"/>
      </w:pPr>
      <w:r>
        <w:rPr>
          <w:color w:val="000000"/>
          <w:spacing w:val="0"/>
          <w:w w:val="100"/>
          <w:position w:val="0"/>
        </w:rPr>
        <w:t>报告期内，全体监事勤勉尽责，充分发挥监事会职责，对公司财务以及董事、高级管理人员履行 职责的合法合规性进行监督，维护公司及股东的合法权益。</w:t>
      </w:r>
    </w:p>
    <w:p>
      <w:pPr>
        <w:pStyle w:val="Style17"/>
        <w:keepNext w:val="0"/>
        <w:keepLines w:val="0"/>
        <w:widowControl w:val="0"/>
        <w:shd w:val="clear" w:color="auto" w:fill="auto"/>
        <w:bidi w:val="0"/>
        <w:spacing w:before="0" w:after="0" w:line="469" w:lineRule="exact"/>
        <w:ind w:left="0" w:right="0" w:firstLine="460"/>
        <w:jc w:val="left"/>
      </w:pPr>
      <w:r>
        <w:rPr>
          <w:color w:val="000000"/>
          <w:spacing w:val="0"/>
          <w:w w:val="100"/>
          <w:position w:val="0"/>
        </w:rPr>
        <w:t>报告期内，公司监事列席股东大会、董事会会议，听取公司管理层、财务负责人关于公司</w:t>
      </w: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rPr>
        <w:t>年年度报告、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年半年度报告内容汇报，并对公司员工持股计划、关联交易、募集资金等重要事项 发表合规意见。</w:t>
      </w:r>
    </w:p>
    <w:p>
      <w:pPr>
        <w:pStyle w:val="Style17"/>
        <w:keepNext w:val="0"/>
        <w:keepLines w:val="0"/>
        <w:widowControl w:val="0"/>
        <w:shd w:val="clear" w:color="auto" w:fill="auto"/>
        <w:tabs>
          <w:tab w:pos="842" w:val="left"/>
        </w:tabs>
        <w:bidi w:val="0"/>
        <w:spacing w:before="0" w:after="0" w:line="469" w:lineRule="exact"/>
        <w:ind w:left="0" w:right="0" w:firstLine="460"/>
        <w:jc w:val="both"/>
      </w:pPr>
      <w:bookmarkStart w:id="261" w:name="bookmark261"/>
      <w:r>
        <w:rPr>
          <w:rFonts w:ascii="Times New Roman" w:eastAsia="Times New Roman" w:hAnsi="Times New Roman" w:cs="Times New Roman"/>
          <w:color w:val="000000"/>
          <w:spacing w:val="0"/>
          <w:w w:val="100"/>
          <w:position w:val="0"/>
          <w:sz w:val="22"/>
          <w:szCs w:val="22"/>
        </w:rPr>
        <w:t>4</w:t>
      </w:r>
      <w:bookmarkEnd w:id="261"/>
      <w:r>
        <w:rPr>
          <w:color w:val="000000"/>
          <w:spacing w:val="0"/>
          <w:w w:val="100"/>
          <w:position w:val="0"/>
        </w:rPr>
        <w:t>、</w:t>
        <w:tab/>
        <w:t>关于绩效评价与激励约束机制</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公司通过建立公正透明的董事、监事、高级管理人员的绩效评价标准和激励约束机制，设立具有 竞争性的岗位绩效考核机制，促进管理绩效的提升。公司董事会薪酬与考核委员会负责组织实施对公 司董事、高级管理人员的绩效评价，对于公司监事结合所任公司岗位，依据公司内部管理绩效进行考 核。</w:t>
      </w:r>
    </w:p>
    <w:p>
      <w:pPr>
        <w:pStyle w:val="Style17"/>
        <w:keepNext w:val="0"/>
        <w:keepLines w:val="0"/>
        <w:widowControl w:val="0"/>
        <w:shd w:val="clear" w:color="auto" w:fill="auto"/>
        <w:tabs>
          <w:tab w:pos="842" w:val="left"/>
        </w:tabs>
        <w:bidi w:val="0"/>
        <w:spacing w:before="0" w:after="0" w:line="469" w:lineRule="exact"/>
        <w:ind w:left="0" w:right="0" w:firstLine="460"/>
        <w:jc w:val="both"/>
      </w:pPr>
      <w:bookmarkStart w:id="262" w:name="bookmark262"/>
      <w:r>
        <w:rPr>
          <w:rFonts w:ascii="Times New Roman" w:eastAsia="Times New Roman" w:hAnsi="Times New Roman" w:cs="Times New Roman"/>
          <w:color w:val="000000"/>
          <w:spacing w:val="0"/>
          <w:w w:val="100"/>
          <w:position w:val="0"/>
          <w:sz w:val="22"/>
          <w:szCs w:val="22"/>
        </w:rPr>
        <w:t>5</w:t>
      </w:r>
      <w:bookmarkEnd w:id="262"/>
      <w:r>
        <w:rPr>
          <w:color w:val="000000"/>
          <w:spacing w:val="0"/>
          <w:w w:val="100"/>
          <w:position w:val="0"/>
        </w:rPr>
        <w:t>、</w:t>
        <w:tab/>
        <w:t>关于相关利益者</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公司能够充分尊重和维护相关利益者的合法权益，积极与相关利益者合作，加强与各方的沟通和 交流，实现股东、员工、社会等各方利益的均衡，以推动公司持续、稳定、健康地发展。</w:t>
      </w:r>
    </w:p>
    <w:p>
      <w:pPr>
        <w:pStyle w:val="Style17"/>
        <w:keepNext w:val="0"/>
        <w:keepLines w:val="0"/>
        <w:widowControl w:val="0"/>
        <w:shd w:val="clear" w:color="auto" w:fill="auto"/>
        <w:tabs>
          <w:tab w:pos="842" w:val="left"/>
        </w:tabs>
        <w:bidi w:val="0"/>
        <w:spacing w:before="0" w:after="0" w:line="469" w:lineRule="exact"/>
        <w:ind w:left="0" w:right="0" w:firstLine="460"/>
        <w:jc w:val="both"/>
      </w:pPr>
      <w:bookmarkStart w:id="263" w:name="bookmark263"/>
      <w:r>
        <w:rPr>
          <w:rFonts w:ascii="Times New Roman" w:eastAsia="Times New Roman" w:hAnsi="Times New Roman" w:cs="Times New Roman"/>
          <w:color w:val="000000"/>
          <w:spacing w:val="0"/>
          <w:w w:val="100"/>
          <w:position w:val="0"/>
          <w:sz w:val="22"/>
          <w:szCs w:val="22"/>
        </w:rPr>
        <w:t>6</w:t>
      </w:r>
      <w:bookmarkEnd w:id="263"/>
      <w:r>
        <w:rPr>
          <w:color w:val="000000"/>
          <w:spacing w:val="0"/>
          <w:w w:val="100"/>
          <w:position w:val="0"/>
        </w:rPr>
        <w:t>、</w:t>
        <w:tab/>
        <w:t>关于信息披露与透明度</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公司严格按照《信息披露管理制度》、《投资者关系管理制度》的要求，加强公司信息披露的规范 性，由公司董事会秘书负责信息披露工作、接待投资者来访和咨询。公司严格按照有关规定，真实、 准确、完整、及时地披露有关信息，确保公司所有股东能够以平等的机会获得信息。</w:t>
      </w:r>
    </w:p>
    <w:p>
      <w:pPr>
        <w:pStyle w:val="Style17"/>
        <w:keepNext w:val="0"/>
        <w:keepLines w:val="0"/>
        <w:widowControl w:val="0"/>
        <w:shd w:val="clear" w:color="auto" w:fill="auto"/>
        <w:bidi w:val="0"/>
        <w:spacing w:before="0" w:after="200" w:line="473" w:lineRule="exact"/>
        <w:ind w:left="0" w:right="0" w:firstLine="460"/>
        <w:jc w:val="both"/>
      </w:pPr>
      <w:r>
        <w:rPr>
          <w:color w:val="000000"/>
          <w:spacing w:val="0"/>
          <w:w w:val="100"/>
          <w:position w:val="0"/>
        </w:rPr>
        <w:t>公司治理的实际状况与法律、行政法规和中国证监会发布的关于上市公司治理的规定是否存在重 大差异</w:t>
      </w:r>
    </w:p>
    <w:p>
      <w:pPr>
        <w:pStyle w:val="Style17"/>
        <w:keepNext w:val="0"/>
        <w:keepLines w:val="0"/>
        <w:widowControl w:val="0"/>
        <w:shd w:val="clear" w:color="auto" w:fill="auto"/>
        <w:bidi w:val="0"/>
        <w:spacing w:before="0" w:after="0" w:line="449"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17"/>
        <w:keepNext w:val="0"/>
        <w:keepLines w:val="0"/>
        <w:widowControl w:val="0"/>
        <w:shd w:val="clear" w:color="auto" w:fill="auto"/>
        <w:bidi w:val="0"/>
        <w:spacing w:before="0" w:after="260" w:line="473" w:lineRule="exact"/>
        <w:ind w:left="0" w:right="0" w:firstLine="460"/>
        <w:jc w:val="both"/>
      </w:pPr>
      <w:r>
        <w:rPr>
          <w:color w:val="000000"/>
          <w:spacing w:val="0"/>
          <w:w w:val="100"/>
          <w:position w:val="0"/>
        </w:rPr>
        <w:t>公司治理的实际状况与法律、行政法规和中国证监会发布的关于上市公司治理的规定不存在重大 差异。</w:t>
      </w:r>
    </w:p>
    <w:p>
      <w:pPr>
        <w:pStyle w:val="Style32"/>
        <w:keepNext/>
        <w:keepLines/>
        <w:widowControl w:val="0"/>
        <w:shd w:val="clear" w:color="auto" w:fill="auto"/>
        <w:bidi w:val="0"/>
        <w:spacing w:before="0" w:after="260" w:line="485" w:lineRule="exact"/>
        <w:ind w:left="0" w:right="0" w:firstLine="0"/>
        <w:jc w:val="both"/>
      </w:pPr>
      <w:bookmarkStart w:id="264" w:name="bookmark264"/>
      <w:bookmarkStart w:id="265" w:name="bookmark265"/>
      <w:bookmarkStart w:id="266" w:name="bookmark266"/>
      <w:bookmarkStart w:id="267" w:name="bookmark267"/>
      <w:r>
        <w:rPr>
          <w:color w:val="000000"/>
          <w:spacing w:val="0"/>
          <w:w w:val="100"/>
          <w:position w:val="0"/>
          <w:sz w:val="24"/>
          <w:szCs w:val="24"/>
        </w:rPr>
        <w:t>二</w:t>
      </w:r>
      <w:bookmarkEnd w:id="266"/>
      <w:r>
        <w:rPr>
          <w:color w:val="000000"/>
          <w:spacing w:val="0"/>
          <w:w w:val="100"/>
          <w:position w:val="0"/>
          <w:sz w:val="24"/>
          <w:szCs w:val="24"/>
        </w:rPr>
        <w:t>、公司相对于控股股东、实际控制人在保证公司资产、人员、财务、机构、业务等方面的 独立情况</w:t>
      </w:r>
      <w:bookmarkEnd w:id="264"/>
      <w:bookmarkEnd w:id="265"/>
      <w:bookmarkEnd w:id="267"/>
    </w:p>
    <w:p>
      <w:pPr>
        <w:pStyle w:val="Style17"/>
        <w:keepNext w:val="0"/>
        <w:keepLines w:val="0"/>
        <w:widowControl w:val="0"/>
        <w:shd w:val="clear" w:color="auto" w:fill="auto"/>
        <w:bidi w:val="0"/>
        <w:spacing w:before="0" w:after="200" w:line="470" w:lineRule="exact"/>
        <w:ind w:left="0" w:right="0" w:firstLine="460"/>
        <w:jc w:val="both"/>
      </w:pPr>
      <w:r>
        <w:rPr>
          <w:color w:val="000000"/>
          <w:spacing w:val="0"/>
          <w:w w:val="100"/>
          <w:position w:val="0"/>
        </w:rPr>
        <w:t>公司严格按照《公司法》、《证券法》等有关法律法规和《公司章程》规范运作，建立健全公司法 人治理结构，在业务、资产、人员、机构、财务等方面独立于控股股东、实际控制人及其控制的其他 企业，具有独立完整的业务体系以及独立面向市场自主经营的能力。</w:t>
      </w:r>
    </w:p>
    <w:p>
      <w:pPr>
        <w:pStyle w:val="Style17"/>
        <w:keepNext w:val="0"/>
        <w:keepLines w:val="0"/>
        <w:widowControl w:val="0"/>
        <w:shd w:val="clear" w:color="auto" w:fill="auto"/>
        <w:tabs>
          <w:tab w:pos="807" w:val="left"/>
        </w:tabs>
        <w:bidi w:val="0"/>
        <w:spacing w:before="0" w:after="0" w:line="446" w:lineRule="auto"/>
        <w:ind w:left="0" w:right="0" w:firstLine="460"/>
        <w:jc w:val="both"/>
      </w:pPr>
      <w:bookmarkStart w:id="268" w:name="bookmark268"/>
      <w:r>
        <w:rPr>
          <w:rFonts w:ascii="Times New Roman" w:eastAsia="Times New Roman" w:hAnsi="Times New Roman" w:cs="Times New Roman"/>
          <w:color w:val="000000"/>
          <w:spacing w:val="0"/>
          <w:w w:val="100"/>
          <w:position w:val="0"/>
          <w:sz w:val="22"/>
          <w:szCs w:val="22"/>
        </w:rPr>
        <w:t>1</w:t>
      </w:r>
      <w:bookmarkEnd w:id="268"/>
      <w:r>
        <w:rPr>
          <w:color w:val="000000"/>
          <w:spacing w:val="0"/>
          <w:w w:val="100"/>
          <w:position w:val="0"/>
        </w:rPr>
        <w:t>、</w:t>
        <w:tab/>
        <w:t>业务独立情况</w:t>
      </w:r>
    </w:p>
    <w:p>
      <w:pPr>
        <w:pStyle w:val="Style17"/>
        <w:keepNext w:val="0"/>
        <w:keepLines w:val="0"/>
        <w:widowControl w:val="0"/>
        <w:shd w:val="clear" w:color="auto" w:fill="auto"/>
        <w:bidi w:val="0"/>
        <w:spacing w:before="0" w:after="200" w:line="470" w:lineRule="exact"/>
        <w:ind w:left="0" w:right="0" w:firstLine="460"/>
        <w:jc w:val="both"/>
      </w:pPr>
      <w:r>
        <w:rPr>
          <w:color w:val="000000"/>
          <w:spacing w:val="0"/>
          <w:w w:val="100"/>
          <w:position w:val="0"/>
        </w:rPr>
        <w:t>公司的业务独立于控股股东、实际控制人及其控制的其他企业，具有独立的生产经营、办公用场 所，拥有独立、完整的采购、销售体系，生产经营所需的技术为公司合法、独立拥有或被许可使用， 没有产权争议。公司独立对外签订所有合同，具有独立做出生产经营决策、独立从事生产经营活动的 能力。</w:t>
      </w:r>
    </w:p>
    <w:p>
      <w:pPr>
        <w:pStyle w:val="Style17"/>
        <w:keepNext w:val="0"/>
        <w:keepLines w:val="0"/>
        <w:widowControl w:val="0"/>
        <w:shd w:val="clear" w:color="auto" w:fill="auto"/>
        <w:tabs>
          <w:tab w:pos="831" w:val="left"/>
        </w:tabs>
        <w:bidi w:val="0"/>
        <w:spacing w:before="0" w:after="0" w:line="446" w:lineRule="auto"/>
        <w:ind w:left="0" w:right="0" w:firstLine="460"/>
        <w:jc w:val="both"/>
      </w:pPr>
      <w:bookmarkStart w:id="269" w:name="bookmark269"/>
      <w:r>
        <w:rPr>
          <w:rFonts w:ascii="Times New Roman" w:eastAsia="Times New Roman" w:hAnsi="Times New Roman" w:cs="Times New Roman"/>
          <w:color w:val="000000"/>
          <w:spacing w:val="0"/>
          <w:w w:val="100"/>
          <w:position w:val="0"/>
          <w:sz w:val="22"/>
          <w:szCs w:val="22"/>
        </w:rPr>
        <w:t>2</w:t>
      </w:r>
      <w:bookmarkEnd w:id="269"/>
      <w:r>
        <w:rPr>
          <w:color w:val="000000"/>
          <w:spacing w:val="0"/>
          <w:w w:val="100"/>
          <w:position w:val="0"/>
        </w:rPr>
        <w:t>、</w:t>
        <w:tab/>
        <w:t>人员独立情况</w:t>
      </w:r>
    </w:p>
    <w:p>
      <w:pPr>
        <w:pStyle w:val="Style17"/>
        <w:keepNext w:val="0"/>
        <w:keepLines w:val="0"/>
        <w:widowControl w:val="0"/>
        <w:shd w:val="clear" w:color="auto" w:fill="auto"/>
        <w:bidi w:val="0"/>
        <w:spacing w:before="0" w:after="200" w:line="470" w:lineRule="exact"/>
        <w:ind w:left="0" w:right="0" w:firstLine="460"/>
        <w:jc w:val="both"/>
      </w:pPr>
      <w:r>
        <w:rPr>
          <w:color w:val="000000"/>
          <w:spacing w:val="0"/>
          <w:w w:val="100"/>
          <w:position w:val="0"/>
        </w:rPr>
        <w:t>公司拥有完整、独立的劳动、人事及工资管理体系。公司董事、监事及高级管理人员严格按照《公 司法》、《公司章程》的有关规定选举产生；公司总裁、副总裁、财务负责人和董事会秘书等高级管理 人员未在控股股东、实际控制人及其控制的其他企业担任除董事、监事以外的其他职务，也未在与公 司业务相同或相似、或存在其他利益冲突的企业任职；公司财务人员未在控股股东、实际控制人及其 控制的其他企业中兼职。</w:t>
      </w:r>
    </w:p>
    <w:p>
      <w:pPr>
        <w:pStyle w:val="Style17"/>
        <w:keepNext w:val="0"/>
        <w:keepLines w:val="0"/>
        <w:widowControl w:val="0"/>
        <w:shd w:val="clear" w:color="auto" w:fill="auto"/>
        <w:tabs>
          <w:tab w:pos="827" w:val="left"/>
        </w:tabs>
        <w:bidi w:val="0"/>
        <w:spacing w:before="0" w:after="0" w:line="446" w:lineRule="auto"/>
        <w:ind w:left="0" w:right="0" w:firstLine="460"/>
        <w:jc w:val="both"/>
      </w:pPr>
      <w:bookmarkStart w:id="270" w:name="bookmark270"/>
      <w:r>
        <w:rPr>
          <w:rFonts w:ascii="Times New Roman" w:eastAsia="Times New Roman" w:hAnsi="Times New Roman" w:cs="Times New Roman"/>
          <w:color w:val="000000"/>
          <w:spacing w:val="0"/>
          <w:w w:val="100"/>
          <w:position w:val="0"/>
          <w:sz w:val="22"/>
          <w:szCs w:val="22"/>
        </w:rPr>
        <w:t>3</w:t>
      </w:r>
      <w:bookmarkEnd w:id="270"/>
      <w:r>
        <w:rPr>
          <w:color w:val="000000"/>
          <w:spacing w:val="0"/>
          <w:w w:val="100"/>
          <w:position w:val="0"/>
        </w:rPr>
        <w:t>、</w:t>
        <w:tab/>
        <w:t>资产独立情况</w:t>
      </w:r>
    </w:p>
    <w:p>
      <w:pPr>
        <w:pStyle w:val="Style17"/>
        <w:keepNext w:val="0"/>
        <w:keepLines w:val="0"/>
        <w:widowControl w:val="0"/>
        <w:shd w:val="clear" w:color="auto" w:fill="auto"/>
        <w:bidi w:val="0"/>
        <w:spacing w:before="0" w:after="200" w:line="470" w:lineRule="exact"/>
        <w:ind w:left="0" w:right="0" w:firstLine="460"/>
        <w:jc w:val="both"/>
      </w:pPr>
      <w:r>
        <w:rPr>
          <w:color w:val="000000"/>
          <w:spacing w:val="0"/>
          <w:w w:val="100"/>
          <w:position w:val="0"/>
        </w:rPr>
        <w:t>公司具备与经营有关的业务体系及主要相关资产，合法拥有主要软、硬件设备以及商标、专利、 非专利技术等的所有权或者使用权，具有独立的采购、实施和销售系统，上述资产产权清晰，完全独 立于控股股东及主要股东。目前不存在依赖股东的资产进行生产经营的情况，不存在关联方违规占用 公司资金、资产和其他资源的情形。</w:t>
      </w:r>
    </w:p>
    <w:p>
      <w:pPr>
        <w:pStyle w:val="Style17"/>
        <w:keepNext w:val="0"/>
        <w:keepLines w:val="0"/>
        <w:widowControl w:val="0"/>
        <w:shd w:val="clear" w:color="auto" w:fill="auto"/>
        <w:tabs>
          <w:tab w:pos="831" w:val="left"/>
        </w:tabs>
        <w:bidi w:val="0"/>
        <w:spacing w:before="0" w:after="0" w:line="446" w:lineRule="auto"/>
        <w:ind w:left="0" w:right="0" w:firstLine="460"/>
        <w:jc w:val="both"/>
      </w:pPr>
      <w:bookmarkStart w:id="271" w:name="bookmark271"/>
      <w:r>
        <w:rPr>
          <w:rFonts w:ascii="Times New Roman" w:eastAsia="Times New Roman" w:hAnsi="Times New Roman" w:cs="Times New Roman"/>
          <w:color w:val="000000"/>
          <w:spacing w:val="0"/>
          <w:w w:val="100"/>
          <w:position w:val="0"/>
          <w:sz w:val="22"/>
          <w:szCs w:val="22"/>
        </w:rPr>
        <w:t>4</w:t>
      </w:r>
      <w:bookmarkEnd w:id="271"/>
      <w:r>
        <w:rPr>
          <w:color w:val="000000"/>
          <w:spacing w:val="0"/>
          <w:w w:val="100"/>
          <w:position w:val="0"/>
        </w:rPr>
        <w:t>、</w:t>
        <w:tab/>
        <w:t>机构独立情况</w:t>
      </w:r>
    </w:p>
    <w:p>
      <w:pPr>
        <w:pStyle w:val="Style17"/>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 xml:space="preserve">公司建立了健全的法人治理结构，设置了股东大会、董事会、监事会等决策及监督机构，同时建 </w:t>
      </w:r>
      <w:r>
        <w:rPr>
          <w:color w:val="000000"/>
          <w:spacing w:val="0"/>
          <w:w w:val="100"/>
          <w:position w:val="0"/>
        </w:rPr>
        <w:t>立了独立完整的内部组织机构，各机构按照相关规定在各自职责范围内独立决策、规范运作。公司独 立行使经营管理职权，与控股股东及其控制的其他企业完全分开。</w:t>
      </w:r>
    </w:p>
    <w:p>
      <w:pPr>
        <w:pStyle w:val="Style17"/>
        <w:keepNext w:val="0"/>
        <w:keepLines w:val="0"/>
        <w:widowControl w:val="0"/>
        <w:shd w:val="clear" w:color="auto" w:fill="auto"/>
        <w:bidi w:val="0"/>
        <w:spacing w:before="0" w:after="0" w:line="449" w:lineRule="auto"/>
        <w:ind w:left="0" w:right="0" w:firstLine="460"/>
        <w:jc w:val="left"/>
      </w:pPr>
      <w:bookmarkStart w:id="272" w:name="bookmark272"/>
      <w:r>
        <w:rPr>
          <w:rFonts w:ascii="Times New Roman" w:eastAsia="Times New Roman" w:hAnsi="Times New Roman" w:cs="Times New Roman"/>
          <w:color w:val="000000"/>
          <w:spacing w:val="0"/>
          <w:w w:val="100"/>
          <w:position w:val="0"/>
          <w:sz w:val="22"/>
          <w:szCs w:val="22"/>
        </w:rPr>
        <w:t>5</w:t>
      </w:r>
      <w:bookmarkEnd w:id="272"/>
      <w:r>
        <w:rPr>
          <w:color w:val="000000"/>
          <w:spacing w:val="0"/>
          <w:w w:val="100"/>
          <w:position w:val="0"/>
        </w:rPr>
        <w:t>、财务独立情况</w:t>
      </w:r>
    </w:p>
    <w:p>
      <w:pPr>
        <w:pStyle w:val="Style17"/>
        <w:keepNext w:val="0"/>
        <w:keepLines w:val="0"/>
        <w:widowControl w:val="0"/>
        <w:shd w:val="clear" w:color="auto" w:fill="auto"/>
        <w:bidi w:val="0"/>
        <w:spacing w:before="0" w:after="220" w:line="472" w:lineRule="exact"/>
        <w:ind w:left="0" w:right="0" w:firstLine="460"/>
        <w:jc w:val="left"/>
      </w:pPr>
      <w:r>
        <w:rPr>
          <w:color w:val="000000"/>
          <w:spacing w:val="0"/>
          <w:w w:val="100"/>
          <w:position w:val="0"/>
        </w:rPr>
        <w:t>公司设立了独立的财务部门，配备了专职财务人员，建立了独立的会计核算体系；公司按照《公 司章程》规定独立进行财务决策，不存在控股股东干预公司资金使用的情况。公司拥有独立的银行账 户，不存在与股东单位及其他关联方共用银行账户的情形。公司依法独立进行纳税申报和履行纳税义 务。公司建立了规范、独立的财务会计制度和对下属子公司的财务管理制度。</w:t>
      </w:r>
    </w:p>
    <w:p>
      <w:pPr>
        <w:pStyle w:val="Style17"/>
        <w:keepNext w:val="0"/>
        <w:keepLines w:val="0"/>
        <w:widowControl w:val="0"/>
        <w:shd w:val="clear" w:color="auto" w:fill="auto"/>
        <w:bidi w:val="0"/>
        <w:spacing w:before="0" w:after="80" w:line="449" w:lineRule="auto"/>
        <w:ind w:left="0" w:right="0" w:firstLine="460"/>
        <w:jc w:val="left"/>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日公司变更为无控股股东、无实际控制人。</w:t>
      </w:r>
    </w:p>
    <w:p>
      <w:pPr>
        <w:pStyle w:val="Style32"/>
        <w:keepNext/>
        <w:keepLines/>
        <w:widowControl w:val="0"/>
        <w:shd w:val="clear" w:color="auto" w:fill="auto"/>
        <w:bidi w:val="0"/>
        <w:spacing w:before="0" w:after="500" w:line="472" w:lineRule="exact"/>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三</w:t>
      </w:r>
      <w:bookmarkEnd w:id="275"/>
      <w:r>
        <w:rPr>
          <w:color w:val="000000"/>
          <w:spacing w:val="0"/>
          <w:w w:val="100"/>
          <w:position w:val="0"/>
          <w:sz w:val="24"/>
          <w:szCs w:val="24"/>
        </w:rPr>
        <w:t>、同业竞争情况</w:t>
      </w:r>
      <w:bookmarkEnd w:id="273"/>
      <w:bookmarkEnd w:id="274"/>
      <w:bookmarkEnd w:id="276"/>
    </w:p>
    <w:p>
      <w:pPr>
        <w:pStyle w:val="Style17"/>
        <w:keepNext w:val="0"/>
        <w:keepLines w:val="0"/>
        <w:widowControl w:val="0"/>
        <w:shd w:val="clear" w:color="auto" w:fill="auto"/>
        <w:bidi w:val="0"/>
        <w:spacing w:before="0" w:after="0" w:line="437" w:lineRule="auto"/>
        <w:ind w:left="0" w:right="0" w:firstLine="46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220" w:line="461" w:lineRule="exact"/>
        <w:ind w:left="0" w:right="0" w:firstLine="460"/>
        <w:jc w:val="left"/>
      </w:pPr>
      <w:r>
        <w:rPr>
          <w:color w:val="000000"/>
          <w:spacing w:val="0"/>
          <w:w w:val="100"/>
          <w:position w:val="0"/>
        </w:rPr>
        <w:t>为避免同业竞争损害本公司及其他股东的利益，公司股东张近东先生、苏宁电器集团有限公司、 陈金凤女士、赵蓓女士已于</w:t>
      </w:r>
      <w:r>
        <w:rPr>
          <w:rFonts w:ascii="Times New Roman" w:eastAsia="Times New Roman" w:hAnsi="Times New Roman" w:cs="Times New Roman"/>
          <w:color w:val="000000"/>
          <w:spacing w:val="0"/>
          <w:w w:val="100"/>
          <w:position w:val="0"/>
          <w:sz w:val="22"/>
          <w:szCs w:val="22"/>
        </w:rPr>
        <w:t>2002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日分别向公司出具《不竞争承诺函》；苏宁电器集团有限 公司</w:t>
      </w:r>
      <w:r>
        <w:rPr>
          <w:rFonts w:ascii="Times New Roman" w:eastAsia="Times New Roman" w:hAnsi="Times New Roman" w:cs="Times New Roman"/>
          <w:color w:val="000000"/>
          <w:spacing w:val="0"/>
          <w:w w:val="100"/>
          <w:position w:val="0"/>
          <w:sz w:val="22"/>
          <w:szCs w:val="22"/>
        </w:rPr>
        <w:t>2003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日出具承诺函，保证今后避免发生除正常业务外的一切资金往来。</w:t>
      </w:r>
    </w:p>
    <w:p>
      <w:pPr>
        <w:pStyle w:val="Style17"/>
        <w:keepNext w:val="0"/>
        <w:keepLines w:val="0"/>
        <w:widowControl w:val="0"/>
        <w:shd w:val="clear" w:color="auto" w:fill="auto"/>
        <w:bidi w:val="0"/>
        <w:spacing w:before="0" w:after="300" w:line="437" w:lineRule="auto"/>
        <w:ind w:left="0" w:right="0" w:firstLine="460"/>
        <w:jc w:val="left"/>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日公司变更为无控股股东、无实际控制人。</w:t>
      </w:r>
    </w:p>
    <w:p>
      <w:pPr>
        <w:pStyle w:val="Style32"/>
        <w:keepNext/>
        <w:keepLines/>
        <w:widowControl w:val="0"/>
        <w:shd w:val="clear" w:color="auto" w:fill="auto"/>
        <w:bidi w:val="0"/>
        <w:spacing w:before="0" w:after="44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四</w:t>
      </w:r>
      <w:bookmarkEnd w:id="279"/>
      <w:r>
        <w:rPr>
          <w:color w:val="000000"/>
          <w:spacing w:val="0"/>
          <w:w w:val="100"/>
          <w:position w:val="0"/>
          <w:sz w:val="24"/>
          <w:szCs w:val="24"/>
        </w:rPr>
        <w:t>、报告期内召开的年度股东大会和临时股东大会的有关情况</w:t>
      </w:r>
      <w:bookmarkEnd w:id="277"/>
      <w:bookmarkEnd w:id="278"/>
      <w:bookmarkEnd w:id="280"/>
    </w:p>
    <w:p>
      <w:pPr>
        <w:pStyle w:val="Style35"/>
        <w:keepNext/>
        <w:keepLines/>
        <w:widowControl w:val="0"/>
        <w:shd w:val="clear" w:color="auto" w:fill="auto"/>
        <w:bidi w:val="0"/>
        <w:spacing w:before="0" w:after="30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sz w:val="22"/>
          <w:szCs w:val="22"/>
        </w:rPr>
        <w:t>1</w:t>
      </w:r>
      <w:bookmarkEnd w:id="283"/>
      <w:r>
        <w:rPr>
          <w:color w:val="000000"/>
          <w:spacing w:val="0"/>
          <w:w w:val="100"/>
          <w:position w:val="0"/>
        </w:rPr>
        <w:t>、本报告期股东大会情况</w:t>
      </w:r>
      <w:bookmarkEnd w:id="281"/>
      <w:bookmarkEnd w:id="282"/>
      <w:bookmarkEnd w:id="284"/>
    </w:p>
    <w:tbl>
      <w:tblPr>
        <w:tblOverlap w:val="never"/>
        <w:jc w:val="center"/>
        <w:tblLayout w:type="fixed"/>
      </w:tblPr>
      <w:tblGrid>
        <w:gridCol w:w="1627"/>
        <w:gridCol w:w="1075"/>
        <w:gridCol w:w="994"/>
        <w:gridCol w:w="1416"/>
        <w:gridCol w:w="1416"/>
        <w:gridCol w:w="3552"/>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会议类型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color w:val="000000"/>
                <w:spacing w:val="0"/>
                <w:w w:val="100"/>
                <w:position w:val="0"/>
                <w:sz w:val="20"/>
                <w:szCs w:val="20"/>
              </w:rPr>
              <w:t>投资者参 与比例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会议决议</w:t>
            </w:r>
          </w:p>
        </w:tc>
      </w:tr>
      <w:tr>
        <w:trPr>
          <w:trHeight w:val="25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年第一次 临时股东大会决 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临时股东 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2 </w:t>
            </w:r>
            <w:r>
              <w:rPr>
                <w:rFonts w:ascii="SimSun" w:eastAsia="SimSun" w:hAnsi="SimSun" w:cs="SimSun"/>
                <w:color w:val="000000"/>
                <w:spacing w:val="0"/>
                <w:w w:val="100"/>
                <w:position w:val="0"/>
                <w:sz w:val="20"/>
                <w:szCs w:val="20"/>
              </w:rPr>
              <w:t xml:space="preserve">月 </w:t>
            </w:r>
            <w:r>
              <w:rPr>
                <w:color w:val="000000"/>
                <w:spacing w:val="0"/>
                <w:w w:val="100"/>
                <w:position w:val="0"/>
              </w:rPr>
              <w:t>22</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2 </w:t>
            </w:r>
            <w:r>
              <w:rPr>
                <w:rFonts w:ascii="SimSun" w:eastAsia="SimSun" w:hAnsi="SimSun" w:cs="SimSun"/>
                <w:color w:val="000000"/>
                <w:spacing w:val="0"/>
                <w:w w:val="100"/>
                <w:position w:val="0"/>
                <w:sz w:val="20"/>
                <w:szCs w:val="20"/>
              </w:rPr>
              <w:t xml:space="preserve">月 </w:t>
            </w:r>
            <w:r>
              <w:rPr>
                <w:color w:val="000000"/>
                <w:spacing w:val="0"/>
                <w:w w:val="100"/>
                <w:position w:val="0"/>
              </w:rPr>
              <w:t>23</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8" w:lineRule="exact"/>
              <w:ind w:left="0" w:right="0" w:firstLine="0"/>
              <w:jc w:val="left"/>
              <w:rPr>
                <w:sz w:val="20"/>
                <w:szCs w:val="20"/>
              </w:rPr>
            </w:pPr>
            <w:r>
              <w:rPr>
                <w:rFonts w:ascii="SimSun" w:eastAsia="SimSun" w:hAnsi="SimSun" w:cs="SimSun"/>
                <w:color w:val="000000"/>
                <w:spacing w:val="0"/>
                <w:w w:val="100"/>
                <w:position w:val="0"/>
                <w:sz w:val="20"/>
                <w:szCs w:val="20"/>
              </w:rPr>
              <w:t>决议通过《苏宁易购集团股份有限公 司第四期员工持股计划（草案）》及</w:t>
            </w:r>
          </w:p>
          <w:p>
            <w:pPr>
              <w:pStyle w:val="Style29"/>
              <w:keepNext w:val="0"/>
              <w:keepLines w:val="0"/>
              <w:widowControl w:val="0"/>
              <w:shd w:val="clear" w:color="auto" w:fill="auto"/>
              <w:bidi w:val="0"/>
              <w:spacing w:before="0" w:after="0" w:line="308" w:lineRule="exact"/>
              <w:ind w:left="0" w:right="0" w:firstLine="0"/>
              <w:jc w:val="left"/>
              <w:rPr>
                <w:sz w:val="20"/>
                <w:szCs w:val="20"/>
              </w:rPr>
            </w:pPr>
            <w:r>
              <w:rPr>
                <w:rFonts w:ascii="SimSun" w:eastAsia="SimSun" w:hAnsi="SimSun" w:cs="SimSun"/>
                <w:color w:val="000000"/>
                <w:spacing w:val="0"/>
                <w:w w:val="100"/>
                <w:position w:val="0"/>
                <w:sz w:val="20"/>
                <w:szCs w:val="20"/>
              </w:rPr>
              <w:t>《苏宁易购集团股份有限公司第四 期员工持股计划（草案）摘要》、《苏 宁易购集团股份有限公司第四期员 工持股计划管理办法》、《关于提请股 东大会授权董事会办理公司第四期 员工持股计划相关事宜的议案》</w:t>
            </w:r>
          </w:p>
        </w:tc>
      </w:tr>
      <w:tr>
        <w:trPr>
          <w:trHeight w:val="16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2"/>
                <w:szCs w:val="22"/>
              </w:rPr>
              <w:t>2020</w:t>
            </w:r>
            <w:r>
              <w:rPr>
                <w:rFonts w:ascii="SimSun" w:eastAsia="SimSun" w:hAnsi="SimSun" w:cs="SimSun"/>
                <w:color w:val="000000"/>
                <w:spacing w:val="0"/>
                <w:w w:val="100"/>
                <w:position w:val="0"/>
                <w:sz w:val="20"/>
                <w:szCs w:val="20"/>
              </w:rPr>
              <w:t>年年度股 东大会决议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年度股东 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rPr>
              <w:t>18</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rPr>
              <w:t>19</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决议通过《</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年度董事会工作报 告》、《</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年度监事会工作报告》、</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年度财务决算报告》、《</w:t>
            </w:r>
            <w:r>
              <w:rPr>
                <w:color w:val="000000"/>
                <w:spacing w:val="0"/>
                <w:w w:val="100"/>
                <w:position w:val="0"/>
                <w:sz w:val="22"/>
                <w:szCs w:val="22"/>
              </w:rPr>
              <w:t xml:space="preserve">2020 </w:t>
            </w:r>
            <w:r>
              <w:rPr>
                <w:rFonts w:ascii="SimSun" w:eastAsia="SimSun" w:hAnsi="SimSun" w:cs="SimSun"/>
                <w:color w:val="000000"/>
                <w:spacing w:val="0"/>
                <w:w w:val="100"/>
                <w:position w:val="0"/>
                <w:sz w:val="20"/>
                <w:szCs w:val="20"/>
              </w:rPr>
              <w:t>年年度报告》及《</w:t>
            </w:r>
            <w:r>
              <w:rPr>
                <w:color w:val="000000"/>
                <w:spacing w:val="0"/>
                <w:w w:val="100"/>
                <w:position w:val="0"/>
                <w:sz w:val="22"/>
                <w:szCs w:val="22"/>
              </w:rPr>
              <w:t>2020</w:t>
            </w:r>
            <w:r>
              <w:rPr>
                <w:rFonts w:ascii="SimSun" w:eastAsia="SimSun" w:hAnsi="SimSun" w:cs="SimSun"/>
                <w:color w:val="000000"/>
                <w:spacing w:val="0"/>
                <w:w w:val="100"/>
                <w:position w:val="0"/>
                <w:sz w:val="20"/>
                <w:szCs w:val="20"/>
              </w:rPr>
              <w:t>年年度报告摘 要》、《</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年度利润分配预案》、《关</w:t>
            </w:r>
          </w:p>
        </w:tc>
      </w:tr>
    </w:tbl>
    <w:p>
      <w:pPr>
        <w:spacing w:lineRule="exact" w:line="1"/>
        <w:rPr>
          <w:sz w:val="2"/>
          <w:szCs w:val="2"/>
        </w:rPr>
      </w:pPr>
      <w:r>
        <w:br w:type="page"/>
      </w:r>
    </w:p>
    <w:tbl>
      <w:tblPr>
        <w:tblOverlap w:val="never"/>
        <w:jc w:val="center"/>
        <w:tblLayout w:type="fixed"/>
      </w:tblPr>
      <w:tblGrid>
        <w:gridCol w:w="1627"/>
        <w:gridCol w:w="1075"/>
        <w:gridCol w:w="994"/>
        <w:gridCol w:w="1416"/>
        <w:gridCol w:w="1416"/>
        <w:gridCol w:w="3552"/>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会议类型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color w:val="000000"/>
                <w:spacing w:val="0"/>
                <w:w w:val="100"/>
                <w:position w:val="0"/>
                <w:sz w:val="20"/>
                <w:szCs w:val="20"/>
              </w:rPr>
              <w:t>投资者参 与比例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会议决议</w:t>
            </w:r>
          </w:p>
        </w:tc>
      </w:tr>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于</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年度募集资金存放与实际使 用情况的专项报告》、《关于拟聘任会 计师事务所的议案》、《关于公司未来 三年（</w:t>
            </w:r>
            <w:r>
              <w:rPr>
                <w:color w:val="000000"/>
                <w:spacing w:val="0"/>
                <w:w w:val="100"/>
                <w:position w:val="0"/>
                <w:sz w:val="22"/>
                <w:szCs w:val="22"/>
              </w:rPr>
              <w:t>2021-2023</w:t>
            </w:r>
            <w:r>
              <w:rPr>
                <w:rFonts w:ascii="SimSun" w:eastAsia="SimSun" w:hAnsi="SimSun" w:cs="SimSun"/>
                <w:color w:val="000000"/>
                <w:spacing w:val="0"/>
                <w:w w:val="100"/>
                <w:position w:val="0"/>
                <w:sz w:val="20"/>
                <w:szCs w:val="20"/>
              </w:rPr>
              <w:t>年）股东回报规划 的议案》、《关于增加公司经营范围并 修改</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公司章程</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的议案》</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年第二次 临时股东大会决 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临时股东 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rPr>
              <w:t>28</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rPr>
              <w:t>29</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决议通过《关于变更部分募集资金用 途的议案》</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年第三次 临时股东大会决 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临时股东 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6 </w:t>
            </w:r>
            <w:r>
              <w:rPr>
                <w:rFonts w:ascii="SimSun" w:eastAsia="SimSun" w:hAnsi="SimSun" w:cs="SimSun"/>
                <w:color w:val="000000"/>
                <w:spacing w:val="0"/>
                <w:w w:val="100"/>
                <w:position w:val="0"/>
                <w:sz w:val="20"/>
                <w:szCs w:val="20"/>
              </w:rPr>
              <w:t xml:space="preserve">月 </w:t>
            </w:r>
            <w:r>
              <w:rPr>
                <w:color w:val="000000"/>
                <w:spacing w:val="0"/>
                <w:w w:val="100"/>
                <w:position w:val="0"/>
              </w:rPr>
              <w:t>28</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6 </w:t>
            </w:r>
            <w:r>
              <w:rPr>
                <w:rFonts w:ascii="SimSun" w:eastAsia="SimSun" w:hAnsi="SimSun" w:cs="SimSun"/>
                <w:color w:val="000000"/>
                <w:spacing w:val="0"/>
                <w:w w:val="100"/>
                <w:position w:val="0"/>
                <w:sz w:val="20"/>
                <w:szCs w:val="20"/>
              </w:rPr>
              <w:t xml:space="preserve">月 </w:t>
            </w:r>
            <w:r>
              <w:rPr>
                <w:color w:val="000000"/>
                <w:spacing w:val="0"/>
                <w:w w:val="100"/>
                <w:position w:val="0"/>
              </w:rPr>
              <w:t>29</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决议通过《关于变更部分募集资金用 途的议案》、《关于增加公司经营范围 并修改</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公司章程</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的议案》</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年第四次 临时股东大会决 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临时股东 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7 </w:t>
            </w:r>
            <w:r>
              <w:rPr>
                <w:rFonts w:ascii="SimSun" w:eastAsia="SimSun" w:hAnsi="SimSun" w:cs="SimSun"/>
                <w:color w:val="000000"/>
                <w:spacing w:val="0"/>
                <w:w w:val="100"/>
                <w:position w:val="0"/>
                <w:sz w:val="20"/>
                <w:szCs w:val="20"/>
              </w:rPr>
              <w:t xml:space="preserve">月 </w:t>
            </w:r>
            <w:r>
              <w:rPr>
                <w:color w:val="000000"/>
                <w:spacing w:val="0"/>
                <w:w w:val="100"/>
                <w:position w:val="0"/>
              </w:rPr>
              <w:t>29</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7 </w:t>
            </w:r>
            <w:r>
              <w:rPr>
                <w:rFonts w:ascii="SimSun" w:eastAsia="SimSun" w:hAnsi="SimSun" w:cs="SimSun"/>
                <w:color w:val="000000"/>
                <w:spacing w:val="0"/>
                <w:w w:val="100"/>
                <w:position w:val="0"/>
                <w:sz w:val="20"/>
                <w:szCs w:val="20"/>
              </w:rPr>
              <w:t xml:space="preserve">月 </w:t>
            </w:r>
            <w:r>
              <w:rPr>
                <w:color w:val="000000"/>
                <w:spacing w:val="0"/>
                <w:w w:val="100"/>
                <w:position w:val="0"/>
              </w:rPr>
              <w:t>30</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决议通过《关于公司改选董事的议 案》、《关于改选公司第七届董事会专 门委员会的议案》、《关于修改</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公司 章程</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的议案》</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年第五次 临时股东大会决 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临时股东 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9 </w:t>
            </w:r>
            <w:r>
              <w:rPr>
                <w:rFonts w:ascii="SimSun" w:eastAsia="SimSun" w:hAnsi="SimSun" w:cs="SimSun"/>
                <w:color w:val="000000"/>
                <w:spacing w:val="0"/>
                <w:w w:val="100"/>
                <w:position w:val="0"/>
                <w:sz w:val="20"/>
                <w:szCs w:val="20"/>
              </w:rPr>
              <w:t xml:space="preserve">月 </w:t>
            </w:r>
            <w:r>
              <w:rPr>
                <w:color w:val="000000"/>
                <w:spacing w:val="0"/>
                <w:w w:val="100"/>
                <w:position w:val="0"/>
              </w:rPr>
              <w:t>06</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9 </w:t>
            </w:r>
            <w:r>
              <w:rPr>
                <w:rFonts w:ascii="SimSun" w:eastAsia="SimSun" w:hAnsi="SimSun" w:cs="SimSun"/>
                <w:color w:val="000000"/>
                <w:spacing w:val="0"/>
                <w:w w:val="100"/>
                <w:position w:val="0"/>
                <w:sz w:val="20"/>
                <w:szCs w:val="20"/>
              </w:rPr>
              <w:t xml:space="preserve">月 </w:t>
            </w:r>
            <w:r>
              <w:rPr>
                <w:color w:val="000000"/>
                <w:spacing w:val="0"/>
                <w:w w:val="100"/>
                <w:position w:val="0"/>
              </w:rPr>
              <w:t>07</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决议通过《关于改选董事的议案》、</w:t>
            </w:r>
          </w:p>
          <w:p>
            <w:pPr>
              <w:pStyle w:val="Style29"/>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《关于修改公司</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 xml:space="preserve">章程 </w:t>
            </w:r>
            <w:r>
              <w:rPr>
                <w:color w:val="000000"/>
                <w:spacing w:val="0"/>
                <w:w w:val="100"/>
                <w:position w:val="0"/>
                <w:sz w:val="22"/>
                <w:szCs w:val="22"/>
              </w:rPr>
              <w:t>＞</w:t>
            </w:r>
            <w:r>
              <w:rPr>
                <w:rFonts w:ascii="SimSun" w:eastAsia="SimSun" w:hAnsi="SimSun" w:cs="SimSun"/>
                <w:color w:val="000000"/>
                <w:spacing w:val="0"/>
                <w:w w:val="100"/>
                <w:position w:val="0"/>
                <w:sz w:val="20"/>
                <w:szCs w:val="20"/>
              </w:rPr>
              <w:t>的议案》、《关 于增加日常关联交易预计的议案》</w:t>
            </w:r>
          </w:p>
        </w:tc>
      </w:tr>
    </w:tbl>
    <w:p>
      <w:pPr>
        <w:pStyle w:val="Style26"/>
        <w:keepNext w:val="0"/>
        <w:keepLines w:val="0"/>
        <w:widowControl w:val="0"/>
        <w:shd w:val="clear" w:color="auto" w:fill="auto"/>
        <w:bidi w:val="0"/>
        <w:spacing w:before="0" w:after="0" w:line="240" w:lineRule="auto"/>
        <w:ind w:left="432" w:right="0" w:firstLine="0"/>
        <w:jc w:val="left"/>
      </w:pPr>
      <w:r>
        <w:rPr>
          <w:color w:val="000000"/>
          <w:spacing w:val="0"/>
          <w:w w:val="100"/>
          <w:position w:val="0"/>
        </w:rPr>
        <w:t>注：投资者参与比例是指参会的投资者持股数占公司有表决权股份总数的比例。</w:t>
      </w:r>
    </w:p>
    <w:p>
      <w:pPr>
        <w:widowControl w:val="0"/>
        <w:spacing w:after="419" w:line="1" w:lineRule="exact"/>
      </w:pPr>
    </w:p>
    <w:p>
      <w:pPr>
        <w:pStyle w:val="Style35"/>
        <w:keepNext/>
        <w:keepLines/>
        <w:widowControl w:val="0"/>
        <w:shd w:val="clear" w:color="auto" w:fill="auto"/>
        <w:bidi w:val="0"/>
        <w:spacing w:before="0" w:after="42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sz w:val="22"/>
          <w:szCs w:val="22"/>
        </w:rPr>
        <w:t>2</w:t>
      </w:r>
      <w:bookmarkEnd w:id="287"/>
      <w:r>
        <w:rPr>
          <w:color w:val="000000"/>
          <w:spacing w:val="0"/>
          <w:w w:val="100"/>
          <w:position w:val="0"/>
        </w:rPr>
        <w:t>、表决权恢复的优先股股东请求召开临时股东大会</w:t>
      </w:r>
      <w:bookmarkEnd w:id="285"/>
      <w:bookmarkEnd w:id="286"/>
      <w:bookmarkEnd w:id="288"/>
    </w:p>
    <w:p>
      <w:pPr>
        <w:pStyle w:val="Style17"/>
        <w:keepNext w:val="0"/>
        <w:keepLines w:val="0"/>
        <w:widowControl w:val="0"/>
        <w:shd w:val="clear" w:color="auto" w:fill="auto"/>
        <w:bidi w:val="0"/>
        <w:spacing w:before="0" w:after="480" w:line="240" w:lineRule="auto"/>
        <w:ind w:left="0" w:right="0" w:firstLine="48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2"/>
        <w:keepNext/>
        <w:keepLines/>
        <w:widowControl w:val="0"/>
        <w:shd w:val="clear" w:color="auto" w:fill="auto"/>
        <w:bidi w:val="0"/>
        <w:spacing w:before="0" w:after="42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五</w:t>
      </w:r>
      <w:bookmarkEnd w:id="291"/>
      <w:r>
        <w:rPr>
          <w:color w:val="000000"/>
          <w:spacing w:val="0"/>
          <w:w w:val="100"/>
          <w:position w:val="0"/>
          <w:sz w:val="24"/>
          <w:szCs w:val="24"/>
        </w:rPr>
        <w:t>、董事、监事和高级管理人员情况</w:t>
      </w:r>
      <w:bookmarkEnd w:id="289"/>
      <w:bookmarkEnd w:id="290"/>
      <w:bookmarkEnd w:id="292"/>
    </w:p>
    <w:p>
      <w:pPr>
        <w:pStyle w:val="Style26"/>
        <w:keepNext w:val="0"/>
        <w:keepLines w:val="0"/>
        <w:widowControl w:val="0"/>
        <w:shd w:val="clear" w:color="auto" w:fill="auto"/>
        <w:bidi w:val="0"/>
        <w:spacing w:before="0" w:after="0" w:line="240" w:lineRule="auto"/>
        <w:ind w:left="24" w:right="0" w:firstLine="0"/>
        <w:jc w:val="left"/>
      </w:pPr>
      <w:bookmarkStart w:id="293" w:name="bookmark293"/>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rPr>
        <w:t>、基本情况</w:t>
      </w:r>
      <w:bookmarkEnd w:id="293"/>
    </w:p>
    <w:tbl>
      <w:tblPr>
        <w:tblOverlap w:val="never"/>
        <w:jc w:val="center"/>
        <w:tblLayout w:type="fixed"/>
      </w:tblPr>
      <w:tblGrid>
        <w:gridCol w:w="739"/>
        <w:gridCol w:w="874"/>
        <w:gridCol w:w="586"/>
        <w:gridCol w:w="437"/>
        <w:gridCol w:w="437"/>
        <w:gridCol w:w="1022"/>
        <w:gridCol w:w="965"/>
        <w:gridCol w:w="931"/>
        <w:gridCol w:w="648"/>
        <w:gridCol w:w="586"/>
        <w:gridCol w:w="581"/>
        <w:gridCol w:w="1315"/>
        <w:gridCol w:w="595"/>
      </w:tblGrid>
      <w:tr>
        <w:trPr>
          <w:trHeight w:val="157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任职</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性 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年 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任期起始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任期终止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期初持股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rPr>
                <w:sz w:val="18"/>
                <w:szCs w:val="18"/>
              </w:rPr>
            </w:pPr>
            <w:r>
              <w:rPr>
                <w:rFonts w:ascii="SimSun" w:eastAsia="SimSun" w:hAnsi="SimSun" w:cs="SimSun"/>
                <w:color w:val="000000"/>
                <w:spacing w:val="0"/>
                <w:w w:val="100"/>
                <w:position w:val="0"/>
                <w:sz w:val="18"/>
                <w:szCs w:val="18"/>
              </w:rPr>
              <w:t>本期 增持 股份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本期 减持 股份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其他</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增减 变动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期末持股数</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rPr>
                <w:sz w:val="18"/>
                <w:szCs w:val="18"/>
              </w:rPr>
            </w:pPr>
            <w:r>
              <w:rPr>
                <w:rFonts w:ascii="SimSun" w:eastAsia="SimSun" w:hAnsi="SimSun" w:cs="SimSun"/>
                <w:color w:val="000000"/>
                <w:spacing w:val="0"/>
                <w:w w:val="100"/>
                <w:position w:val="0"/>
                <w:sz w:val="18"/>
                <w:szCs w:val="18"/>
              </w:rPr>
              <w:t>股份</w:t>
            </w:r>
          </w:p>
          <w:p>
            <w:pPr>
              <w:pStyle w:val="Style29"/>
              <w:keepNext w:val="0"/>
              <w:keepLines w:val="0"/>
              <w:widowControl w:val="0"/>
              <w:shd w:val="clear" w:color="auto" w:fill="auto"/>
              <w:bidi w:val="0"/>
              <w:spacing w:before="0" w:after="0" w:line="310" w:lineRule="exact"/>
              <w:ind w:left="0" w:right="0" w:firstLine="0"/>
              <w:jc w:val="left"/>
              <w:rPr>
                <w:sz w:val="18"/>
                <w:szCs w:val="18"/>
              </w:rPr>
            </w:pPr>
            <w:r>
              <w:rPr>
                <w:rFonts w:ascii="SimSun" w:eastAsia="SimSun" w:hAnsi="SimSun" w:cs="SimSun"/>
                <w:color w:val="000000"/>
                <w:spacing w:val="0"/>
                <w:w w:val="100"/>
                <w:position w:val="0"/>
                <w:sz w:val="18"/>
                <w:szCs w:val="18"/>
              </w:rPr>
              <w:t>增减</w:t>
            </w:r>
          </w:p>
          <w:p>
            <w:pPr>
              <w:pStyle w:val="Style29"/>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变动 的原 因</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黄明端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7</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任峻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2004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6</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4,807,197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4,807,197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曹群</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874"/>
        <w:gridCol w:w="586"/>
        <w:gridCol w:w="437"/>
        <w:gridCol w:w="437"/>
        <w:gridCol w:w="1022"/>
        <w:gridCol w:w="965"/>
        <w:gridCol w:w="931"/>
        <w:gridCol w:w="648"/>
        <w:gridCol w:w="586"/>
        <w:gridCol w:w="581"/>
        <w:gridCol w:w="1315"/>
        <w:gridCol w:w="595"/>
      </w:tblGrid>
      <w:tr>
        <w:trPr>
          <w:trHeight w:val="15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任职</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性 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年 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任期起始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任期终止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期初持股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rPr>
                <w:sz w:val="18"/>
                <w:szCs w:val="18"/>
              </w:rPr>
            </w:pPr>
            <w:r>
              <w:rPr>
                <w:rFonts w:ascii="SimSun" w:eastAsia="SimSun" w:hAnsi="SimSun" w:cs="SimSun"/>
                <w:color w:val="000000"/>
                <w:spacing w:val="0"/>
                <w:w w:val="100"/>
                <w:position w:val="0"/>
                <w:sz w:val="18"/>
                <w:szCs w:val="18"/>
              </w:rPr>
              <w:t>本期 增持 股份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rPr>
                <w:sz w:val="18"/>
                <w:szCs w:val="18"/>
              </w:rPr>
            </w:pPr>
            <w:r>
              <w:rPr>
                <w:rFonts w:ascii="SimSun" w:eastAsia="SimSun" w:hAnsi="SimSun" w:cs="SimSun"/>
                <w:color w:val="000000"/>
                <w:spacing w:val="0"/>
                <w:w w:val="100"/>
                <w:position w:val="0"/>
                <w:sz w:val="18"/>
                <w:szCs w:val="18"/>
              </w:rPr>
              <w:t>本期 减持 股份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其他</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增减 变动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期末持股数</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股份</w:t>
            </w:r>
          </w:p>
          <w:p>
            <w:pPr>
              <w:pStyle w:val="Style29"/>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增减</w:t>
            </w:r>
          </w:p>
          <w:p>
            <w:pPr>
              <w:pStyle w:val="Style29"/>
              <w:keepNext w:val="0"/>
              <w:keepLines w:val="0"/>
              <w:widowControl w:val="0"/>
              <w:shd w:val="clear" w:color="auto" w:fill="auto"/>
              <w:bidi w:val="0"/>
              <w:spacing w:before="0" w:after="0" w:line="310" w:lineRule="exact"/>
              <w:ind w:left="0" w:right="0" w:firstLine="0"/>
              <w:jc w:val="left"/>
              <w:rPr>
                <w:sz w:val="18"/>
                <w:szCs w:val="18"/>
              </w:rPr>
            </w:pPr>
            <w:r>
              <w:rPr>
                <w:rFonts w:ascii="SimSun" w:eastAsia="SimSun" w:hAnsi="SimSun" w:cs="SimSun"/>
                <w:color w:val="000000"/>
                <w:spacing w:val="0"/>
                <w:w w:val="100"/>
                <w:position w:val="0"/>
                <w:sz w:val="18"/>
                <w:szCs w:val="18"/>
              </w:rPr>
              <w:t>变动 的原 因</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冼汉迪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7</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张康阳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7</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刘鹏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9</w:t>
            </w:r>
          </w:p>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柳世平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方先明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陈振宇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汪晓玲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340" w:right="0" w:hanging="340"/>
              <w:jc w:val="left"/>
              <w:rPr>
                <w:sz w:val="18"/>
                <w:szCs w:val="18"/>
              </w:rPr>
            </w:pPr>
            <w:r>
              <w:rPr>
                <w:rFonts w:ascii="SimSun" w:eastAsia="SimSun" w:hAnsi="SimSun" w:cs="SimSun"/>
                <w:color w:val="000000"/>
                <w:spacing w:val="0"/>
                <w:w w:val="100"/>
                <w:position w:val="0"/>
                <w:sz w:val="18"/>
                <w:szCs w:val="18"/>
              </w:rPr>
              <w:t>监事会主 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2007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7</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13</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李建颖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2004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6</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华志松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2013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12</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16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任峻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7</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侯恩龙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340" w:right="0" w:hanging="340"/>
              <w:jc w:val="left"/>
              <w:rPr>
                <w:sz w:val="18"/>
                <w:szCs w:val="18"/>
              </w:rPr>
            </w:pPr>
            <w:r>
              <w:rPr>
                <w:rFonts w:ascii="SimSun" w:eastAsia="SimSun" w:hAnsi="SimSun" w:cs="SimSun"/>
                <w:color w:val="000000"/>
                <w:spacing w:val="0"/>
                <w:w w:val="100"/>
                <w:position w:val="0"/>
                <w:sz w:val="18"/>
                <w:szCs w:val="18"/>
              </w:rPr>
              <w:t>业务线总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210,600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210,600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姚凯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340" w:right="0" w:hanging="340"/>
              <w:jc w:val="left"/>
              <w:rPr>
                <w:sz w:val="18"/>
                <w:szCs w:val="18"/>
              </w:rPr>
            </w:pPr>
            <w:r>
              <w:rPr>
                <w:rFonts w:ascii="SimSun" w:eastAsia="SimSun" w:hAnsi="SimSun" w:cs="SimSun"/>
                <w:color w:val="000000"/>
                <w:spacing w:val="0"/>
                <w:w w:val="100"/>
                <w:position w:val="0"/>
                <w:sz w:val="18"/>
                <w:szCs w:val="18"/>
              </w:rPr>
              <w:t>业务线总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175,600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田睿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174,800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顾伟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175,400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龚震宇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175,300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黄巍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财务负责</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58,600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黄巍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340" w:right="0" w:hanging="340"/>
              <w:jc w:val="left"/>
              <w:rPr>
                <w:sz w:val="18"/>
                <w:szCs w:val="18"/>
              </w:rPr>
            </w:pPr>
            <w:r>
              <w:rPr>
                <w:rFonts w:ascii="SimSun" w:eastAsia="SimSun" w:hAnsi="SimSun" w:cs="SimSun"/>
                <w:color w:val="000000"/>
                <w:spacing w:val="0"/>
                <w:w w:val="100"/>
                <w:position w:val="0"/>
                <w:sz w:val="18"/>
                <w:szCs w:val="18"/>
              </w:rPr>
              <w:t>董事会秘 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张近东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 xml:space="preserve">2004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6</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7</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1,951,811,</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311,6</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29,99</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1,640,181,431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出售 股份</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孙为民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 xml:space="preserve">2004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4,603,003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4,603,003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874"/>
        <w:gridCol w:w="586"/>
        <w:gridCol w:w="437"/>
        <w:gridCol w:w="437"/>
        <w:gridCol w:w="1022"/>
        <w:gridCol w:w="965"/>
        <w:gridCol w:w="931"/>
        <w:gridCol w:w="648"/>
        <w:gridCol w:w="586"/>
        <w:gridCol w:w="581"/>
        <w:gridCol w:w="1315"/>
        <w:gridCol w:w="595"/>
      </w:tblGrid>
      <w:tr>
        <w:trPr>
          <w:trHeight w:val="15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任职</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性 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年 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任期起始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任期终止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期初持股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rPr>
                <w:sz w:val="18"/>
                <w:szCs w:val="18"/>
              </w:rPr>
            </w:pPr>
            <w:r>
              <w:rPr>
                <w:rFonts w:ascii="SimSun" w:eastAsia="SimSun" w:hAnsi="SimSun" w:cs="SimSun"/>
                <w:color w:val="000000"/>
                <w:spacing w:val="0"/>
                <w:w w:val="100"/>
                <w:position w:val="0"/>
                <w:sz w:val="18"/>
                <w:szCs w:val="18"/>
              </w:rPr>
              <w:t>本期 增持 股份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rPr>
                <w:sz w:val="18"/>
                <w:szCs w:val="18"/>
              </w:rPr>
            </w:pPr>
            <w:r>
              <w:rPr>
                <w:rFonts w:ascii="SimSun" w:eastAsia="SimSun" w:hAnsi="SimSun" w:cs="SimSun"/>
                <w:color w:val="000000"/>
                <w:spacing w:val="0"/>
                <w:w w:val="100"/>
                <w:position w:val="0"/>
                <w:sz w:val="18"/>
                <w:szCs w:val="18"/>
              </w:rPr>
              <w:t>本期 减持 股份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其他</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增减 变动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期末持股数</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rPr>
                <w:sz w:val="18"/>
                <w:szCs w:val="18"/>
              </w:rPr>
            </w:pPr>
            <w:r>
              <w:rPr>
                <w:rFonts w:ascii="SimSun" w:eastAsia="SimSun" w:hAnsi="SimSun" w:cs="SimSun"/>
                <w:color w:val="000000"/>
                <w:spacing w:val="0"/>
                <w:w w:val="100"/>
                <w:position w:val="0"/>
                <w:sz w:val="18"/>
                <w:szCs w:val="18"/>
              </w:rPr>
              <w:t>股份</w:t>
            </w:r>
          </w:p>
          <w:p>
            <w:pPr>
              <w:pStyle w:val="Style29"/>
              <w:keepNext w:val="0"/>
              <w:keepLines w:val="0"/>
              <w:widowControl w:val="0"/>
              <w:shd w:val="clear" w:color="auto" w:fill="auto"/>
              <w:bidi w:val="0"/>
              <w:spacing w:before="0" w:after="0" w:line="310" w:lineRule="exact"/>
              <w:ind w:left="0" w:right="0" w:firstLine="0"/>
              <w:jc w:val="left"/>
              <w:rPr>
                <w:sz w:val="18"/>
                <w:szCs w:val="18"/>
              </w:rPr>
            </w:pPr>
            <w:r>
              <w:rPr>
                <w:rFonts w:ascii="SimSun" w:eastAsia="SimSun" w:hAnsi="SimSun" w:cs="SimSun"/>
                <w:color w:val="000000"/>
                <w:spacing w:val="0"/>
                <w:w w:val="100"/>
                <w:position w:val="0"/>
                <w:sz w:val="18"/>
                <w:szCs w:val="18"/>
              </w:rPr>
              <w:t>增减</w:t>
            </w:r>
          </w:p>
          <w:p>
            <w:pPr>
              <w:pStyle w:val="Style29"/>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变动 的原 因</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孟祥胜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 xml:space="preserve">2004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12</w:t>
            </w:r>
          </w:p>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7</w:t>
            </w:r>
          </w:p>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4,223,649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4,223,649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孟祥胜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center"/>
              <w:rPr>
                <w:sz w:val="18"/>
                <w:szCs w:val="18"/>
              </w:rPr>
            </w:pPr>
            <w:r>
              <w:rPr>
                <w:rFonts w:ascii="SimSun" w:eastAsia="SimSun" w:hAnsi="SimSun" w:cs="SimSun"/>
                <w:color w:val="000000"/>
                <w:spacing w:val="0"/>
                <w:w w:val="100"/>
                <w:position w:val="0"/>
                <w:sz w:val="18"/>
                <w:szCs w:val="18"/>
              </w:rPr>
              <w:t>高级副总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 xml:space="preserve">2004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6</w:t>
            </w:r>
          </w:p>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7</w:t>
            </w:r>
          </w:p>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杨光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7</w:t>
            </w:r>
          </w:p>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徐宏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7</w:t>
            </w:r>
          </w:p>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20"/>
                <w:szCs w:val="20"/>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auto"/>
              <w:ind w:left="0" w:right="0" w:firstLine="0"/>
              <w:jc w:val="center"/>
              <w:rPr>
                <w:sz w:val="20"/>
                <w:szCs w:val="20"/>
              </w:rPr>
            </w:pPr>
            <w:r>
              <w:rPr>
                <w:color w:val="000000"/>
                <w:spacing w:val="0"/>
                <w:w w:val="100"/>
                <w:position w:val="0"/>
                <w:sz w:val="20"/>
                <w:szCs w:val="20"/>
              </w:rPr>
              <w:t>1,966,415, 579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311,6</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29,99</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1,654,785,580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461" w:right="0" w:firstLine="0"/>
        <w:jc w:val="left"/>
      </w:pPr>
      <w:r>
        <w:rPr>
          <w:color w:val="000000"/>
          <w:spacing w:val="0"/>
          <w:w w:val="100"/>
          <w:position w:val="0"/>
        </w:rPr>
        <w:t>注：任期起止日期中连任的从首次聘任日起算。</w:t>
      </w:r>
    </w:p>
    <w:p>
      <w:pPr>
        <w:widowControl w:val="0"/>
        <w:spacing w:after="599" w:line="1" w:lineRule="exact"/>
      </w:pPr>
    </w:p>
    <w:p>
      <w:pPr>
        <w:pStyle w:val="Style17"/>
        <w:keepNext w:val="0"/>
        <w:keepLines w:val="0"/>
        <w:widowControl w:val="0"/>
        <w:shd w:val="clear" w:color="auto" w:fill="auto"/>
        <w:bidi w:val="0"/>
        <w:spacing w:before="0" w:after="0" w:line="472" w:lineRule="exact"/>
        <w:ind w:left="0" w:right="0" w:firstLine="480"/>
        <w:jc w:val="left"/>
      </w:pPr>
      <w:r>
        <w:rPr>
          <w:color w:val="000000"/>
          <w:spacing w:val="0"/>
          <w:w w:val="100"/>
          <w:position w:val="0"/>
        </w:rPr>
        <w:t>报告期是否存在任期内董事、监事离任和高级管理人员解聘的情况</w:t>
      </w:r>
    </w:p>
    <w:p>
      <w:pPr>
        <w:pStyle w:val="Style17"/>
        <w:keepNext w:val="0"/>
        <w:keepLines w:val="0"/>
        <w:widowControl w:val="0"/>
        <w:shd w:val="clear" w:color="auto" w:fill="auto"/>
        <w:bidi w:val="0"/>
        <w:spacing w:before="0" w:after="0" w:line="472" w:lineRule="exact"/>
        <w:ind w:left="0" w:right="0" w:firstLine="4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日江苏新新零售创新基金二期（有限合伙）（以下简称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新新零售基金二期</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已全部完成公司</w:t>
      </w:r>
      <w:r>
        <w:rPr>
          <w:rFonts w:ascii="Times New Roman" w:eastAsia="Times New Roman" w:hAnsi="Times New Roman" w:cs="Times New Roman"/>
          <w:color w:val="000000"/>
          <w:spacing w:val="0"/>
          <w:w w:val="100"/>
          <w:position w:val="0"/>
          <w:sz w:val="22"/>
          <w:szCs w:val="22"/>
        </w:rPr>
        <w:t>16.96%</w:t>
      </w:r>
      <w:r>
        <w:rPr>
          <w:color w:val="000000"/>
          <w:spacing w:val="0"/>
          <w:w w:val="100"/>
          <w:position w:val="0"/>
        </w:rPr>
        <w:t>的股份受让手续，依据股份转让协议的约定，新新零售基金二期有权提名</w:t>
      </w:r>
      <w:r>
        <w:rPr>
          <w:rFonts w:ascii="Times New Roman" w:eastAsia="Times New Roman" w:hAnsi="Times New Roman" w:cs="Times New Roman"/>
          <w:color w:val="000000"/>
          <w:spacing w:val="0"/>
          <w:w w:val="100"/>
          <w:position w:val="0"/>
          <w:sz w:val="22"/>
          <w:szCs w:val="22"/>
        </w:rPr>
        <w:t xml:space="preserve">2 </w:t>
      </w:r>
      <w:r>
        <w:rPr>
          <w:color w:val="000000"/>
          <w:spacing w:val="0"/>
          <w:w w:val="100"/>
          <w:position w:val="0"/>
        </w:rPr>
        <w:t>名非独立董事。</w:t>
      </w:r>
    </w:p>
    <w:p>
      <w:pPr>
        <w:pStyle w:val="Style17"/>
        <w:keepNext w:val="0"/>
        <w:keepLines w:val="0"/>
        <w:widowControl w:val="0"/>
        <w:shd w:val="clear" w:color="auto" w:fill="auto"/>
        <w:bidi w:val="0"/>
        <w:spacing w:before="0" w:after="0" w:line="472" w:lineRule="exact"/>
        <w:ind w:left="0" w:right="0" w:firstLine="480"/>
        <w:jc w:val="left"/>
      </w:pPr>
      <w:r>
        <w:rPr>
          <w:color w:val="000000"/>
          <w:spacing w:val="0"/>
          <w:w w:val="100"/>
          <w:position w:val="0"/>
        </w:rPr>
        <w:t>公司董事张近东先生、孙为民先生、孟祥胜先生、杨光先生、徐宏先生因个人原因，申请辞去公 司第七届董事会董事职务，同时辞去董事会专门委员职务。</w:t>
      </w:r>
    </w:p>
    <w:p>
      <w:pPr>
        <w:pStyle w:val="Style17"/>
        <w:keepNext w:val="0"/>
        <w:keepLines w:val="0"/>
        <w:widowControl w:val="0"/>
        <w:shd w:val="clear" w:color="auto" w:fill="auto"/>
        <w:bidi w:val="0"/>
        <w:spacing w:before="0" w:after="680" w:line="472" w:lineRule="exact"/>
        <w:ind w:left="0" w:right="0" w:firstLine="480"/>
        <w:jc w:val="left"/>
      </w:pPr>
      <w:r>
        <w:rPr>
          <w:color w:val="000000"/>
          <w:spacing w:val="0"/>
          <w:w w:val="100"/>
          <w:position w:val="0"/>
        </w:rPr>
        <w:t>公司高级副总裁孟祥胜先生因公司工作安排，于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日申请辞去公司高级副总裁职务。</w:t>
      </w:r>
    </w:p>
    <w:p>
      <w:pPr>
        <w:pStyle w:val="Style26"/>
        <w:keepNext w:val="0"/>
        <w:keepLines w:val="0"/>
        <w:widowControl w:val="0"/>
        <w:shd w:val="clear" w:color="auto" w:fill="auto"/>
        <w:bidi w:val="0"/>
        <w:spacing w:before="0" w:after="0" w:line="240" w:lineRule="auto"/>
        <w:ind w:left="442" w:right="0" w:firstLine="0"/>
        <w:jc w:val="left"/>
      </w:pPr>
      <w:r>
        <w:rPr>
          <w:color w:val="000000"/>
          <w:spacing w:val="0"/>
          <w:w w:val="100"/>
          <w:position w:val="0"/>
        </w:rPr>
        <w:t>公司董事、监事、高级管理人员变动情况</w:t>
      </w:r>
    </w:p>
    <w:tbl>
      <w:tblPr>
        <w:tblOverlap w:val="never"/>
        <w:jc w:val="center"/>
        <w:tblLayout w:type="fixed"/>
      </w:tblPr>
      <w:tblGrid>
        <w:gridCol w:w="1142"/>
        <w:gridCol w:w="1277"/>
        <w:gridCol w:w="850"/>
        <w:gridCol w:w="1133"/>
        <w:gridCol w:w="5309"/>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原因</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张近东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12</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rPr>
                <w:sz w:val="20"/>
                <w:szCs w:val="20"/>
              </w:rPr>
            </w:pPr>
            <w:r>
              <w:rPr>
                <w:rFonts w:ascii="SimSun" w:eastAsia="SimSun" w:hAnsi="SimSun" w:cs="SimSun"/>
                <w:color w:val="000000"/>
                <w:spacing w:val="0"/>
                <w:w w:val="100"/>
                <w:position w:val="0"/>
                <w:sz w:val="20"/>
                <w:szCs w:val="20"/>
              </w:rPr>
              <w:t>张近东先生因个人原因于</w:t>
            </w: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r>
              <w:rPr>
                <w:color w:val="000000"/>
                <w:spacing w:val="0"/>
                <w:w w:val="100"/>
                <w:position w:val="0"/>
                <w:sz w:val="22"/>
                <w:szCs w:val="22"/>
              </w:rPr>
              <w:t>12</w:t>
            </w:r>
            <w:r>
              <w:rPr>
                <w:rFonts w:ascii="SimSun" w:eastAsia="SimSun" w:hAnsi="SimSun" w:cs="SimSun"/>
                <w:color w:val="000000"/>
                <w:spacing w:val="0"/>
                <w:w w:val="100"/>
                <w:position w:val="0"/>
                <w:sz w:val="20"/>
                <w:szCs w:val="20"/>
              </w:rPr>
              <w:t>日向董事会提 出辞去公司董事长、董事、董事会战略委员会主任委员 职务。</w:t>
            </w:r>
          </w:p>
        </w:tc>
      </w:tr>
      <w:tr>
        <w:trPr>
          <w:trHeight w:val="134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孙为民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46" w:lineRule="exact"/>
              <w:ind w:left="0" w:right="0" w:firstLine="0"/>
              <w:jc w:val="center"/>
              <w:rPr>
                <w:sz w:val="20"/>
                <w:szCs w:val="20"/>
              </w:rPr>
            </w:pPr>
            <w:r>
              <w:rPr>
                <w:rFonts w:ascii="SimSun" w:eastAsia="SimSun" w:hAnsi="SimSun" w:cs="SimSun"/>
                <w:color w:val="000000"/>
                <w:spacing w:val="0"/>
                <w:w w:val="100"/>
                <w:position w:val="0"/>
                <w:sz w:val="20"/>
                <w:szCs w:val="20"/>
              </w:rPr>
              <w:t>董事、副董事 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12</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孙为民先生因个人原因于</w:t>
            </w: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r>
              <w:rPr>
                <w:color w:val="000000"/>
                <w:spacing w:val="0"/>
                <w:w w:val="100"/>
                <w:position w:val="0"/>
                <w:sz w:val="22"/>
                <w:szCs w:val="22"/>
              </w:rPr>
              <w:t>12</w:t>
            </w:r>
            <w:r>
              <w:rPr>
                <w:rFonts w:ascii="SimSun" w:eastAsia="SimSun" w:hAnsi="SimSun" w:cs="SimSun"/>
                <w:color w:val="000000"/>
                <w:spacing w:val="0"/>
                <w:w w:val="100"/>
                <w:position w:val="0"/>
                <w:sz w:val="20"/>
                <w:szCs w:val="20"/>
              </w:rPr>
              <w:t>日向董事会提 出辞去公司副董事长、董事、董事会战略委员会委员、 董事会提名委员会委员、董事会审计委员会、董事会薪 酬与考核委员会委员职务。</w:t>
            </w:r>
          </w:p>
        </w:tc>
      </w:tr>
    </w:tbl>
    <w:p>
      <w:pPr>
        <w:spacing w:lineRule="exact" w:line="1"/>
        <w:rPr>
          <w:sz w:val="2"/>
          <w:szCs w:val="2"/>
        </w:rPr>
      </w:pPr>
      <w:r>
        <w:br w:type="page"/>
      </w:r>
    </w:p>
    <w:tbl>
      <w:tblPr>
        <w:tblOverlap w:val="never"/>
        <w:jc w:val="center"/>
        <w:tblLayout w:type="fixed"/>
      </w:tblPr>
      <w:tblGrid>
        <w:gridCol w:w="1142"/>
        <w:gridCol w:w="1277"/>
        <w:gridCol w:w="850"/>
        <w:gridCol w:w="1133"/>
        <w:gridCol w:w="5309"/>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原因</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孟祥胜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12</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孟祥胜先生因个人原因于</w:t>
            </w: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r>
              <w:rPr>
                <w:color w:val="000000"/>
                <w:spacing w:val="0"/>
                <w:w w:val="100"/>
                <w:position w:val="0"/>
                <w:sz w:val="22"/>
                <w:szCs w:val="22"/>
              </w:rPr>
              <w:t>12</w:t>
            </w:r>
            <w:r>
              <w:rPr>
                <w:rFonts w:ascii="SimSun" w:eastAsia="SimSun" w:hAnsi="SimSun" w:cs="SimSun"/>
                <w:color w:val="000000"/>
                <w:spacing w:val="0"/>
                <w:w w:val="100"/>
                <w:position w:val="0"/>
                <w:sz w:val="20"/>
                <w:szCs w:val="20"/>
              </w:rPr>
              <w:t>日向董事会提 出辞去公司董事、董事会战略委员会委员、董事会提名 委员会委员、董事会薪酬与考核委员会委员职务职务。</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孟祥胜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孟祥胜先生因公司工作安排，于</w:t>
            </w: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r>
              <w:rPr>
                <w:color w:val="000000"/>
                <w:spacing w:val="0"/>
                <w:w w:val="100"/>
                <w:position w:val="0"/>
                <w:sz w:val="22"/>
                <w:szCs w:val="22"/>
              </w:rPr>
              <w:t>29</w:t>
            </w:r>
            <w:r>
              <w:rPr>
                <w:rFonts w:ascii="SimSun" w:eastAsia="SimSun" w:hAnsi="SimSun" w:cs="SimSun"/>
                <w:color w:val="000000"/>
                <w:spacing w:val="0"/>
                <w:w w:val="100"/>
                <w:position w:val="0"/>
                <w:sz w:val="20"/>
                <w:szCs w:val="20"/>
              </w:rPr>
              <w:t>日申请 辞去公司高级副总裁职务。</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杨光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12</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杨光先生因个人原因于</w:t>
            </w: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r>
              <w:rPr>
                <w:color w:val="000000"/>
                <w:spacing w:val="0"/>
                <w:w w:val="100"/>
                <w:position w:val="0"/>
                <w:sz w:val="22"/>
                <w:szCs w:val="22"/>
              </w:rPr>
              <w:t>12</w:t>
            </w:r>
            <w:r>
              <w:rPr>
                <w:rFonts w:ascii="SimSun" w:eastAsia="SimSun" w:hAnsi="SimSun" w:cs="SimSun"/>
                <w:color w:val="000000"/>
                <w:spacing w:val="0"/>
                <w:w w:val="100"/>
                <w:position w:val="0"/>
                <w:sz w:val="20"/>
                <w:szCs w:val="20"/>
              </w:rPr>
              <w:t>日向董事会提出 辞去董事职务。</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徐宏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20"/>
                <w:szCs w:val="20"/>
              </w:rPr>
            </w:pPr>
            <w:r>
              <w:rPr>
                <w:rFonts w:ascii="SimSun" w:eastAsia="SimSun" w:hAnsi="SimSun" w:cs="SimSun"/>
                <w:color w:val="000000"/>
                <w:spacing w:val="0"/>
                <w:w w:val="100"/>
                <w:position w:val="0"/>
                <w:sz w:val="20"/>
                <w:szCs w:val="20"/>
              </w:rPr>
              <w:t>徐宏先生因个人原因于</w:t>
            </w: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r>
              <w:rPr>
                <w:color w:val="000000"/>
                <w:spacing w:val="0"/>
                <w:w w:val="100"/>
                <w:position w:val="0"/>
                <w:sz w:val="22"/>
                <w:szCs w:val="22"/>
              </w:rPr>
              <w:t>29</w:t>
            </w:r>
            <w:r>
              <w:rPr>
                <w:rFonts w:ascii="SimSun" w:eastAsia="SimSun" w:hAnsi="SimSun" w:cs="SimSun"/>
                <w:color w:val="000000"/>
                <w:spacing w:val="0"/>
                <w:w w:val="100"/>
                <w:position w:val="0"/>
                <w:sz w:val="20"/>
                <w:szCs w:val="20"/>
              </w:rPr>
              <w:t>日申请辞去公司 第七届董事会董事、董事会战略委员会委员职务。</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黄明端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6" w:lineRule="exact"/>
              <w:ind w:left="0" w:right="0" w:firstLine="0"/>
              <w:jc w:val="both"/>
              <w:rPr>
                <w:sz w:val="20"/>
                <w:szCs w:val="20"/>
              </w:rPr>
            </w:pPr>
            <w:r>
              <w:rPr>
                <w:rFonts w:ascii="SimSun" w:eastAsia="SimSun" w:hAnsi="SimSun" w:cs="SimSun"/>
                <w:color w:val="000000"/>
                <w:spacing w:val="0"/>
                <w:w w:val="100"/>
                <w:position w:val="0"/>
                <w:sz w:val="20"/>
                <w:szCs w:val="20"/>
              </w:rPr>
              <w:t>公司</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年第四次临时股东大会通过《关于公司改选 董事的议案》，选举黄明端先生为公司第七届董事会董 事。经公司第七届董事会第十七次会议审议通过《关于 选举公司董事长的议案》，选举黄明端先生为公司第七 届董事会董事长。</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曹群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20"/>
                <w:szCs w:val="20"/>
              </w:rPr>
            </w:pPr>
            <w:r>
              <w:rPr>
                <w:rFonts w:ascii="SimSun" w:eastAsia="SimSun" w:hAnsi="SimSun" w:cs="SimSun"/>
                <w:color w:val="000000"/>
                <w:spacing w:val="0"/>
                <w:w w:val="100"/>
                <w:position w:val="0"/>
                <w:sz w:val="20"/>
                <w:szCs w:val="20"/>
              </w:rPr>
              <w:t>公司</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年第四次临时股东大会通过《关于公司改选 董事的议案》，选举曹群女士为公司第七届董事会董事。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冼汉迪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公司</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年第四次临时股东大会通过《关于公司改选 董事的议案》，选举冼汉迪先生为公司第七届董事会董 事。</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张康阳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公司</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年第四次临时股东大会通过《关于公司改选 董事的议案》，选举张康阳先生为公司第七届董事会董 事。</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刘鹏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9</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6</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6" w:lineRule="exact"/>
              <w:ind w:left="0" w:right="0" w:firstLine="0"/>
              <w:jc w:val="both"/>
              <w:rPr>
                <w:sz w:val="20"/>
                <w:szCs w:val="20"/>
              </w:rPr>
            </w:pPr>
            <w:r>
              <w:rPr>
                <w:rFonts w:ascii="SimSun" w:eastAsia="SimSun" w:hAnsi="SimSun" w:cs="SimSun"/>
                <w:color w:val="000000"/>
                <w:spacing w:val="0"/>
                <w:w w:val="100"/>
                <w:position w:val="0"/>
                <w:sz w:val="20"/>
                <w:szCs w:val="20"/>
              </w:rPr>
              <w:t>公司</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年第五次临时股东大会通过《关于改选董事 的议案》，选举刘鹏先生为公司第七届董事会董事。第 七届董事会第二十一次会议审议通过《关于补充第七届 董事会战略委员会委员的议案》，补充刘鹏先生为公司 第七届董事会战略委员会委员。</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任峻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总裁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聘任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经公司第七届董事会第十七次会议审议通过《关于聘任 公司总裁的议案》，依据《公司章程》相关规定，同意 聘任任峻先生为公司总裁。</w:t>
            </w:r>
          </w:p>
        </w:tc>
      </w:tr>
    </w:tbl>
    <w:p>
      <w:pPr>
        <w:pStyle w:val="Style26"/>
        <w:keepNext w:val="0"/>
        <w:keepLines w:val="0"/>
        <w:widowControl w:val="0"/>
        <w:shd w:val="clear" w:color="auto" w:fill="auto"/>
        <w:bidi w:val="0"/>
        <w:spacing w:before="0" w:after="0" w:line="240" w:lineRule="auto"/>
        <w:ind w:left="0" w:right="0" w:firstLine="0"/>
        <w:jc w:val="left"/>
      </w:pPr>
      <w:bookmarkStart w:id="294" w:name="bookmark294"/>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rPr>
        <w:t>、任职情况</w:t>
      </w:r>
      <w:bookmarkEnd w:id="294"/>
    </w:p>
    <w:p>
      <w:pPr>
        <w:widowControl w:val="0"/>
        <w:spacing w:after="199" w:line="1" w:lineRule="exact"/>
      </w:pPr>
    </w:p>
    <w:p>
      <w:pPr>
        <w:pStyle w:val="Style17"/>
        <w:keepNext w:val="0"/>
        <w:keepLines w:val="0"/>
        <w:widowControl w:val="0"/>
        <w:shd w:val="clear" w:color="auto" w:fill="auto"/>
        <w:bidi w:val="0"/>
        <w:spacing w:before="0" w:after="200" w:line="466" w:lineRule="exact"/>
        <w:ind w:left="0" w:right="0" w:firstLine="460"/>
        <w:jc w:val="left"/>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bidi w:val="0"/>
        <w:spacing w:before="0" w:after="0" w:line="442" w:lineRule="auto"/>
        <w:ind w:left="0" w:right="0" w:firstLine="460"/>
        <w:jc w:val="left"/>
      </w:pPr>
      <w:bookmarkStart w:id="295" w:name="bookmark295"/>
      <w:r>
        <w:rPr>
          <w:rFonts w:ascii="Times New Roman" w:eastAsia="Times New Roman" w:hAnsi="Times New Roman" w:cs="Times New Roman"/>
          <w:b/>
          <w:bCs/>
          <w:color w:val="000000"/>
          <w:spacing w:val="0"/>
          <w:w w:val="100"/>
          <w:position w:val="0"/>
          <w:sz w:val="22"/>
          <w:szCs w:val="22"/>
        </w:rPr>
        <w:t>1</w:t>
      </w:r>
      <w:bookmarkEnd w:id="295"/>
      <w:r>
        <w:rPr>
          <w:b/>
          <w:bCs/>
          <w:color w:val="000000"/>
          <w:spacing w:val="0"/>
          <w:w w:val="100"/>
          <w:position w:val="0"/>
        </w:rPr>
        <w:t>、董事</w:t>
      </w:r>
    </w:p>
    <w:p>
      <w:pPr>
        <w:pStyle w:val="Style17"/>
        <w:keepNext w:val="0"/>
        <w:keepLines w:val="0"/>
        <w:widowControl w:val="0"/>
        <w:shd w:val="clear" w:color="auto" w:fill="auto"/>
        <w:bidi w:val="0"/>
        <w:spacing w:before="0" w:after="0" w:line="466" w:lineRule="exact"/>
        <w:ind w:left="0" w:right="0" w:firstLine="460"/>
        <w:jc w:val="both"/>
      </w:pPr>
      <w:r>
        <w:rPr>
          <w:color w:val="000000"/>
          <w:spacing w:val="0"/>
          <w:w w:val="100"/>
          <w:position w:val="0"/>
        </w:rPr>
        <w:t>黄明端先生：中国台湾，</w:t>
      </w:r>
      <w:r>
        <w:rPr>
          <w:rFonts w:ascii="Times New Roman" w:eastAsia="Times New Roman" w:hAnsi="Times New Roman" w:cs="Times New Roman"/>
          <w:color w:val="000000"/>
          <w:spacing w:val="0"/>
          <w:w w:val="100"/>
          <w:position w:val="0"/>
          <w:sz w:val="22"/>
          <w:szCs w:val="22"/>
        </w:rPr>
        <w:t>1955</w:t>
      </w:r>
      <w:r>
        <w:rPr>
          <w:color w:val="000000"/>
          <w:spacing w:val="0"/>
          <w:w w:val="100"/>
          <w:position w:val="0"/>
        </w:rPr>
        <w:t>年出生，工商管理硕士学位。曾任润泰全球股份有限公司的总经理， 负责制订及执行其整体策略及监督其业务营运。曾任大润发流通的总经理。</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日期间担任高鑫零售有限公司董事，</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 xml:space="preserve">日期间担任高鑫零 </w:t>
      </w:r>
      <w:r>
        <w:rPr>
          <w:color w:val="000000"/>
          <w:spacing w:val="0"/>
          <w:w w:val="100"/>
          <w:position w:val="0"/>
        </w:rPr>
        <w:t>售有限公司首席执行官，</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日至今获委任为高鑫零售有限公司董事会主席。现任本公司 董事长及高鑫零售有限公司非执行董事。</w:t>
      </w:r>
    </w:p>
    <w:p>
      <w:pPr>
        <w:pStyle w:val="Style17"/>
        <w:keepNext w:val="0"/>
        <w:keepLines w:val="0"/>
        <w:widowControl w:val="0"/>
        <w:shd w:val="clear" w:color="auto" w:fill="auto"/>
        <w:bidi w:val="0"/>
        <w:spacing w:before="0" w:after="0" w:line="464" w:lineRule="exact"/>
        <w:ind w:left="0" w:right="0" w:firstLine="460"/>
        <w:jc w:val="left"/>
      </w:pPr>
      <w:r>
        <w:rPr>
          <w:color w:val="000000"/>
          <w:spacing w:val="0"/>
          <w:w w:val="100"/>
          <w:position w:val="0"/>
        </w:rPr>
        <w:t>任峻先生：中国国籍，</w:t>
      </w:r>
      <w:r>
        <w:rPr>
          <w:rFonts w:ascii="Times New Roman" w:eastAsia="Times New Roman" w:hAnsi="Times New Roman" w:cs="Times New Roman"/>
          <w:color w:val="000000"/>
          <w:spacing w:val="0"/>
          <w:w w:val="100"/>
          <w:position w:val="0"/>
          <w:sz w:val="22"/>
          <w:szCs w:val="22"/>
        </w:rPr>
        <w:t>1977</w:t>
      </w:r>
      <w:r>
        <w:rPr>
          <w:color w:val="000000"/>
          <w:spacing w:val="0"/>
          <w:w w:val="100"/>
          <w:position w:val="0"/>
        </w:rPr>
        <w:t>年出生，本科学历。历任公司副总裁、董事会秘书，现任公司董事、 总裁。任峻先生在公司关联方</w:t>
      </w:r>
      <w:r>
        <w:rPr>
          <w:rFonts w:ascii="Times New Roman" w:eastAsia="Times New Roman" w:hAnsi="Times New Roman" w:cs="Times New Roman"/>
          <w:color w:val="000000"/>
          <w:spacing w:val="0"/>
          <w:w w:val="100"/>
          <w:position w:val="0"/>
          <w:sz w:val="22"/>
          <w:szCs w:val="22"/>
        </w:rPr>
        <w:t>SUNING SPORTS GROUP LIMITED</w:t>
      </w:r>
      <w:r>
        <w:rPr>
          <w:color w:val="000000"/>
          <w:spacing w:val="0"/>
          <w:w w:val="100"/>
          <w:position w:val="0"/>
        </w:rPr>
        <w:t>担任董事职务外，不存在在公司股 东单位工作的情形。任峻先生在公司子公司南京苏宁加电子商务有限公司担任董事职务。</w:t>
      </w:r>
    </w:p>
    <w:p>
      <w:pPr>
        <w:pStyle w:val="Style17"/>
        <w:keepNext w:val="0"/>
        <w:keepLines w:val="0"/>
        <w:widowControl w:val="0"/>
        <w:shd w:val="clear" w:color="auto" w:fill="auto"/>
        <w:bidi w:val="0"/>
        <w:spacing w:before="0" w:after="0" w:line="470" w:lineRule="exact"/>
        <w:ind w:left="0" w:right="0" w:firstLine="460"/>
        <w:jc w:val="left"/>
      </w:pPr>
      <w:r>
        <w:rPr>
          <w:color w:val="000000"/>
          <w:spacing w:val="0"/>
          <w:w w:val="100"/>
          <w:position w:val="0"/>
        </w:rPr>
        <w:t>刘鹏先生：中国国籍，</w:t>
      </w:r>
      <w:r>
        <w:rPr>
          <w:rFonts w:ascii="Times New Roman" w:eastAsia="Times New Roman" w:hAnsi="Times New Roman" w:cs="Times New Roman"/>
          <w:color w:val="000000"/>
          <w:spacing w:val="0"/>
          <w:w w:val="100"/>
          <w:position w:val="0"/>
          <w:sz w:val="22"/>
          <w:szCs w:val="22"/>
        </w:rPr>
        <w:t>1976</w:t>
      </w:r>
      <w:r>
        <w:rPr>
          <w:color w:val="000000"/>
          <w:spacing w:val="0"/>
          <w:w w:val="100"/>
          <w:position w:val="0"/>
        </w:rPr>
        <w:t>年出生，南京理工大学外贸专业学士学位，对外经济贸易大学</w:t>
      </w:r>
      <w:r>
        <w:rPr>
          <w:rFonts w:ascii="Times New Roman" w:eastAsia="Times New Roman" w:hAnsi="Times New Roman" w:cs="Times New Roman"/>
          <w:color w:val="000000"/>
          <w:spacing w:val="0"/>
          <w:w w:val="100"/>
          <w:position w:val="0"/>
          <w:sz w:val="22"/>
          <w:szCs w:val="22"/>
        </w:rPr>
        <w:t xml:space="preserve">EMBA </w:t>
      </w:r>
      <w:r>
        <w:rPr>
          <w:color w:val="000000"/>
          <w:spacing w:val="0"/>
          <w:w w:val="100"/>
          <w:position w:val="0"/>
        </w:rPr>
        <w:t>学位。刘鹏先生在零售和互联网行业积累了多年的丰富经验，具备全球化的零售视野，丰富的零售管 理经验。加入阿里巴巴之前，他曾于</w:t>
      </w:r>
      <w:r>
        <w:rPr>
          <w:rFonts w:ascii="Times New Roman" w:eastAsia="Times New Roman" w:hAnsi="Times New Roman" w:cs="Times New Roman"/>
          <w:color w:val="000000"/>
          <w:spacing w:val="0"/>
          <w:w w:val="100"/>
          <w:position w:val="0"/>
          <w:sz w:val="22"/>
          <w:szCs w:val="22"/>
        </w:rPr>
        <w:t>1998-2007</w:t>
      </w:r>
      <w:r>
        <w:rPr>
          <w:color w:val="000000"/>
          <w:spacing w:val="0"/>
          <w:w w:val="100"/>
          <w:position w:val="0"/>
        </w:rPr>
        <w:t>年期间在海尔任职高管，于</w:t>
      </w:r>
      <w:r>
        <w:rPr>
          <w:rFonts w:ascii="Times New Roman" w:eastAsia="Times New Roman" w:hAnsi="Times New Roman" w:cs="Times New Roman"/>
          <w:color w:val="000000"/>
          <w:spacing w:val="0"/>
          <w:w w:val="100"/>
          <w:position w:val="0"/>
          <w:sz w:val="22"/>
          <w:szCs w:val="22"/>
        </w:rPr>
        <w:t>2007-2011</w:t>
      </w:r>
      <w:r>
        <w:rPr>
          <w:color w:val="000000"/>
          <w:spacing w:val="0"/>
          <w:w w:val="100"/>
          <w:position w:val="0"/>
        </w:rPr>
        <w:t>年期间在苏宁 电器分管手机、白电、黑电和重点客户部，于</w:t>
      </w:r>
      <w:r>
        <w:rPr>
          <w:rFonts w:ascii="Times New Roman" w:eastAsia="Times New Roman" w:hAnsi="Times New Roman" w:cs="Times New Roman"/>
          <w:color w:val="000000"/>
          <w:spacing w:val="0"/>
          <w:w w:val="100"/>
          <w:position w:val="0"/>
          <w:sz w:val="22"/>
          <w:szCs w:val="22"/>
        </w:rPr>
        <w:t>2012-2013</w:t>
      </w:r>
      <w:r>
        <w:rPr>
          <w:color w:val="000000"/>
          <w:spacing w:val="0"/>
          <w:w w:val="100"/>
          <w:position w:val="0"/>
        </w:rPr>
        <w:t>年在麦德龙旗下万得城中国任分管采购的副 总裁，于</w:t>
      </w:r>
      <w:r>
        <w:rPr>
          <w:rFonts w:ascii="Times New Roman" w:eastAsia="Times New Roman" w:hAnsi="Times New Roman" w:cs="Times New Roman"/>
          <w:color w:val="000000"/>
          <w:spacing w:val="0"/>
          <w:w w:val="100"/>
          <w:position w:val="0"/>
          <w:sz w:val="22"/>
          <w:szCs w:val="22"/>
        </w:rPr>
        <w:t>2013-2015</w:t>
      </w:r>
      <w:r>
        <w:rPr>
          <w:color w:val="000000"/>
          <w:spacing w:val="0"/>
          <w:w w:val="100"/>
          <w:position w:val="0"/>
        </w:rPr>
        <w:t>年在好孩子中国商贸集团任副总裁，于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年加入阿里巴巴集团，任阿里巴巴 集团副总裁及本公司董事。</w:t>
      </w:r>
    </w:p>
    <w:p>
      <w:pPr>
        <w:pStyle w:val="Style17"/>
        <w:keepNext w:val="0"/>
        <w:keepLines w:val="0"/>
        <w:widowControl w:val="0"/>
        <w:shd w:val="clear" w:color="auto" w:fill="auto"/>
        <w:bidi w:val="0"/>
        <w:spacing w:before="0" w:after="0" w:line="470" w:lineRule="exact"/>
        <w:ind w:left="0" w:right="0" w:firstLine="460"/>
        <w:jc w:val="left"/>
      </w:pPr>
      <w:r>
        <w:rPr>
          <w:color w:val="000000"/>
          <w:spacing w:val="0"/>
          <w:w w:val="100"/>
          <w:position w:val="0"/>
        </w:rPr>
        <w:t>曹群女士：中国国籍，</w:t>
      </w:r>
      <w:r>
        <w:rPr>
          <w:rFonts w:ascii="Times New Roman" w:eastAsia="Times New Roman" w:hAnsi="Times New Roman" w:cs="Times New Roman"/>
          <w:color w:val="000000"/>
          <w:spacing w:val="0"/>
          <w:w w:val="100"/>
          <w:position w:val="0"/>
          <w:sz w:val="22"/>
          <w:szCs w:val="22"/>
        </w:rPr>
        <w:t>1970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月出生，工商管理硕士学位。自</w:t>
      </w:r>
      <w:r>
        <w:rPr>
          <w:rFonts w:ascii="Times New Roman" w:eastAsia="Times New Roman" w:hAnsi="Times New Roman" w:cs="Times New Roman"/>
          <w:color w:val="000000"/>
          <w:spacing w:val="0"/>
          <w:w w:val="100"/>
          <w:position w:val="0"/>
          <w:sz w:val="22"/>
          <w:szCs w:val="22"/>
        </w:rPr>
        <w:t>1997</w:t>
      </w:r>
      <w:r>
        <w:rPr>
          <w:color w:val="000000"/>
          <w:spacing w:val="0"/>
          <w:w w:val="100"/>
          <w:position w:val="0"/>
        </w:rPr>
        <w:t>年来历任华泰证券投行业 务总部发行部副总经理、投资银行部业务管理总部总经理、项目运作部总经理，分管投行业务运作与 业务质量控制，是国内首批保荐代表人之一。</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rPr>
        <w:t>年起，先后担任华泰紫金投资有限责任公司副总经 理（主持工作）、总经理、董事长，全面负责华泰证券私募子公司业务管理，目前华泰紫金管理规模 逾</w:t>
      </w:r>
      <w:r>
        <w:rPr>
          <w:rFonts w:ascii="Times New Roman" w:eastAsia="Times New Roman" w:hAnsi="Times New Roman" w:cs="Times New Roman"/>
          <w:color w:val="000000"/>
          <w:spacing w:val="0"/>
          <w:w w:val="100"/>
          <w:position w:val="0"/>
          <w:sz w:val="22"/>
          <w:szCs w:val="22"/>
        </w:rPr>
        <w:t>500</w:t>
      </w:r>
      <w:r>
        <w:rPr>
          <w:color w:val="000000"/>
          <w:spacing w:val="0"/>
          <w:w w:val="100"/>
          <w:position w:val="0"/>
        </w:rPr>
        <w:t>亿元基金，旗下基金聚焦</w:t>
      </w:r>
      <w:r>
        <w:rPr>
          <w:rFonts w:ascii="Times New Roman" w:eastAsia="Times New Roman" w:hAnsi="Times New Roman" w:cs="Times New Roman"/>
          <w:color w:val="000000"/>
          <w:spacing w:val="0"/>
          <w:w w:val="100"/>
          <w:position w:val="0"/>
          <w:sz w:val="22"/>
          <w:szCs w:val="22"/>
        </w:rPr>
        <w:t>TMT</w:t>
      </w:r>
      <w:r>
        <w:rPr>
          <w:color w:val="000000"/>
          <w:spacing w:val="0"/>
          <w:w w:val="100"/>
          <w:position w:val="0"/>
        </w:rPr>
        <w:t>、</w:t>
      </w:r>
      <w:r>
        <w:rPr>
          <w:color w:val="000000"/>
          <w:spacing w:val="0"/>
          <w:w w:val="100"/>
          <w:position w:val="0"/>
        </w:rPr>
        <w:t>医疗健康、智能制造、并购重组等领域进行投资。曹群女士 具有丰富的投行和投资经验，目前还担任苏宁易购董事，同时还是中国证券业协会投资业务委员会委 员、资产管理业务专业委员会委员以及中国证券业课题研究专家。</w:t>
      </w:r>
    </w:p>
    <w:p>
      <w:pPr>
        <w:pStyle w:val="Style17"/>
        <w:keepNext w:val="0"/>
        <w:keepLines w:val="0"/>
        <w:widowControl w:val="0"/>
        <w:shd w:val="clear" w:color="auto" w:fill="auto"/>
        <w:bidi w:val="0"/>
        <w:spacing w:before="0" w:after="0" w:line="470" w:lineRule="exact"/>
        <w:ind w:left="0" w:right="0" w:firstLine="460"/>
        <w:jc w:val="left"/>
      </w:pPr>
      <w:r>
        <w:rPr>
          <w:color w:val="000000"/>
          <w:spacing w:val="0"/>
          <w:w w:val="100"/>
          <w:position w:val="0"/>
        </w:rPr>
        <w:t>冼汉迪先生：中国香港，</w:t>
      </w:r>
      <w:r>
        <w:rPr>
          <w:rFonts w:ascii="Times New Roman" w:eastAsia="Times New Roman" w:hAnsi="Times New Roman" w:cs="Times New Roman"/>
          <w:color w:val="000000"/>
          <w:spacing w:val="0"/>
          <w:w w:val="100"/>
          <w:position w:val="0"/>
          <w:sz w:val="22"/>
          <w:szCs w:val="22"/>
        </w:rPr>
        <w:t>1974</w:t>
      </w:r>
      <w:r>
        <w:rPr>
          <w:color w:val="000000"/>
          <w:spacing w:val="0"/>
          <w:w w:val="100"/>
          <w:position w:val="0"/>
        </w:rPr>
        <w:t>年出生。冼先生于</w:t>
      </w:r>
      <w:r>
        <w:rPr>
          <w:rFonts w:ascii="Times New Roman" w:eastAsia="Times New Roman" w:hAnsi="Times New Roman" w:cs="Times New Roman"/>
          <w:color w:val="000000"/>
          <w:spacing w:val="0"/>
          <w:w w:val="100"/>
          <w:position w:val="0"/>
          <w:sz w:val="22"/>
          <w:szCs w:val="22"/>
        </w:rPr>
        <w:t>1997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月毕业于斯坦福大学</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Stanford University</w:t>
      </w:r>
      <w:r>
        <w:rPr>
          <w:color w:val="000000"/>
          <w:spacing w:val="0"/>
          <w:w w:val="100"/>
          <w:position w:val="0"/>
        </w:rPr>
        <w:t xml:space="preserve">）， </w:t>
      </w:r>
      <w:r>
        <w:rPr>
          <w:color w:val="000000"/>
          <w:spacing w:val="0"/>
          <w:w w:val="100"/>
          <w:position w:val="0"/>
        </w:rPr>
        <w:t>持有工程经济系统及运筹学硕士学位。冼先生于</w:t>
      </w:r>
      <w:r>
        <w:rPr>
          <w:rFonts w:ascii="Times New Roman" w:eastAsia="Times New Roman" w:hAnsi="Times New Roman" w:cs="Times New Roman"/>
          <w:color w:val="000000"/>
          <w:spacing w:val="0"/>
          <w:w w:val="100"/>
          <w:position w:val="0"/>
          <w:sz w:val="22"/>
          <w:szCs w:val="22"/>
        </w:rPr>
        <w:t>1996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月从卡内基梅隆大学</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Carnegie Mellon University</w:t>
      </w:r>
      <w:r>
        <w:rPr>
          <w:color w:val="000000"/>
          <w:spacing w:val="0"/>
          <w:w w:val="100"/>
          <w:position w:val="0"/>
        </w:rPr>
        <w:t>）取得计算机科学</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数学、经济及工业管理三个学士学位。冼汉迪先生于企业管理、金融及 投资银行业务方面拥有逾</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年经验。冼先生曾在多家著名国际投资银行工作，参与多个具有重大意 义的股本公开发行及并购交易，包括中国大陆及香港在电信科技、航运、地产、消费品、能源资源及 医药行业的顶尖企业的众多交易。</w:t>
      </w:r>
    </w:p>
    <w:p>
      <w:pPr>
        <w:pStyle w:val="Style17"/>
        <w:keepNext w:val="0"/>
        <w:keepLines w:val="0"/>
        <w:widowControl w:val="0"/>
        <w:shd w:val="clear" w:color="auto" w:fill="auto"/>
        <w:bidi w:val="0"/>
        <w:spacing w:before="0" w:after="0" w:line="470" w:lineRule="exact"/>
        <w:ind w:left="0" w:right="0" w:firstLine="460"/>
        <w:jc w:val="left"/>
      </w:pPr>
      <w:r>
        <w:rPr>
          <w:color w:val="000000"/>
          <w:spacing w:val="0"/>
          <w:w w:val="100"/>
          <w:position w:val="0"/>
        </w:rPr>
        <w:t>冼汉迪先生是本公司董事，同时冼汉迪先生为中手游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股份代码：</w:t>
      </w:r>
      <w:r>
        <w:rPr>
          <w:rFonts w:ascii="Times New Roman" w:eastAsia="Times New Roman" w:hAnsi="Times New Roman" w:cs="Times New Roman"/>
          <w:color w:val="000000"/>
          <w:spacing w:val="0"/>
          <w:w w:val="100"/>
          <w:position w:val="0"/>
          <w:sz w:val="22"/>
          <w:szCs w:val="22"/>
        </w:rPr>
        <w:t>0302.hk</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的联合创始人及副董事 长，负责中手游的整体业务运营、管理及战略规划；冼汉迪先生同时在训修实业集团有限公司（香港 联交所上市公司，股份代码：</w:t>
      </w:r>
      <w:r>
        <w:rPr>
          <w:rFonts w:ascii="Times New Roman" w:eastAsia="Times New Roman" w:hAnsi="Times New Roman" w:cs="Times New Roman"/>
          <w:color w:val="000000"/>
          <w:spacing w:val="0"/>
          <w:w w:val="100"/>
          <w:position w:val="0"/>
          <w:sz w:val="22"/>
          <w:szCs w:val="22"/>
        </w:rPr>
        <w:t>1962.HK</w:t>
      </w:r>
      <w:r>
        <w:rPr>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sz w:val="22"/>
          <w:szCs w:val="22"/>
        </w:rPr>
        <w:t>36Kr Holdings Inc.</w:t>
      </w:r>
      <w:r>
        <w:rPr>
          <w:color w:val="000000"/>
          <w:spacing w:val="0"/>
          <w:w w:val="100"/>
          <w:position w:val="0"/>
        </w:rPr>
        <w:t xml:space="preserve">（纳斯达克上市公司，股份代码： </w:t>
      </w:r>
      <w:r>
        <w:rPr>
          <w:rFonts w:ascii="Times New Roman" w:eastAsia="Times New Roman" w:hAnsi="Times New Roman" w:cs="Times New Roman"/>
          <w:color w:val="000000"/>
          <w:spacing w:val="0"/>
          <w:w w:val="100"/>
          <w:position w:val="0"/>
          <w:sz w:val="22"/>
          <w:szCs w:val="22"/>
        </w:rPr>
        <w:t>KRKR</w:t>
      </w:r>
      <w:r>
        <w:rPr>
          <w:color w:val="000000"/>
          <w:spacing w:val="0"/>
          <w:w w:val="100"/>
          <w:position w:val="0"/>
        </w:rPr>
        <w:t>）</w:t>
      </w:r>
      <w:r>
        <w:rPr>
          <w:color w:val="000000"/>
          <w:spacing w:val="0"/>
          <w:w w:val="100"/>
          <w:position w:val="0"/>
        </w:rPr>
        <w:t>担任独立非执行董事。</w:t>
      </w:r>
    </w:p>
    <w:p>
      <w:pPr>
        <w:pStyle w:val="Style17"/>
        <w:keepNext w:val="0"/>
        <w:keepLines w:val="0"/>
        <w:widowControl w:val="0"/>
        <w:shd w:val="clear" w:color="auto" w:fill="auto"/>
        <w:bidi w:val="0"/>
        <w:spacing w:before="0" w:after="0" w:line="470" w:lineRule="exact"/>
        <w:ind w:left="0" w:right="0" w:firstLine="460"/>
        <w:jc w:val="left"/>
      </w:pPr>
      <w:r>
        <w:rPr>
          <w:color w:val="000000"/>
          <w:spacing w:val="0"/>
          <w:w w:val="100"/>
          <w:position w:val="0"/>
        </w:rPr>
        <w:t>冼汉迪先生现为（</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）香港互联网专业协会会长；（</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）香港软件行业协会常务副会长；（</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 xml:space="preserve">）香港 董事学会成员。冼汉迪获香港特区政府委任为青年发展委员会委员及香港数码港管理有限公司董事。 </w:t>
      </w:r>
      <w:r>
        <w:rPr>
          <w:color w:val="000000"/>
          <w:spacing w:val="0"/>
          <w:w w:val="100"/>
          <w:position w:val="0"/>
        </w:rPr>
        <w:t>他同时亦被任命为中国人民政治协商会议天津市第十四届委员会委员。冼先生于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年获香港工业 总会颁发香港青年工业家奖。冼先生于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年获香港特区政府颁发荣誉勋章。</w:t>
      </w:r>
    </w:p>
    <w:p>
      <w:pPr>
        <w:pStyle w:val="Style17"/>
        <w:keepNext w:val="0"/>
        <w:keepLines w:val="0"/>
        <w:widowControl w:val="0"/>
        <w:shd w:val="clear" w:color="auto" w:fill="auto"/>
        <w:bidi w:val="0"/>
        <w:spacing w:before="0" w:after="0" w:line="471" w:lineRule="exact"/>
        <w:ind w:left="0" w:right="0" w:firstLine="460"/>
        <w:jc w:val="left"/>
      </w:pPr>
      <w:r>
        <w:rPr>
          <w:color w:val="000000"/>
          <w:spacing w:val="0"/>
          <w:w w:val="100"/>
          <w:position w:val="0"/>
        </w:rPr>
        <w:t>张康阳先生：中国国籍，</w:t>
      </w:r>
      <w:r>
        <w:rPr>
          <w:rFonts w:ascii="Times New Roman" w:eastAsia="Times New Roman" w:hAnsi="Times New Roman" w:cs="Times New Roman"/>
          <w:color w:val="000000"/>
          <w:spacing w:val="0"/>
          <w:w w:val="100"/>
          <w:position w:val="0"/>
          <w:sz w:val="22"/>
          <w:szCs w:val="22"/>
        </w:rPr>
        <w:t>1991</w:t>
      </w:r>
      <w:r>
        <w:rPr>
          <w:color w:val="000000"/>
          <w:spacing w:val="0"/>
          <w:w w:val="100"/>
          <w:position w:val="0"/>
        </w:rPr>
        <w:t>年出生，本科学历。毕业于美国宾夕法尼亚大学沃顿商学院，曾在 摩根士丹利资本市场部就任分析师，</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月加入苏宁，曾任苏宁国际业务发展中心总裁、欧洲 足球俱乐部协会董事、欧洲足球协会联盟竞技组委员，现任本公司董事、意大利国际米兰足球俱乐部 主席。</w:t>
      </w:r>
    </w:p>
    <w:p>
      <w:pPr>
        <w:pStyle w:val="Style17"/>
        <w:keepNext w:val="0"/>
        <w:keepLines w:val="0"/>
        <w:widowControl w:val="0"/>
        <w:shd w:val="clear" w:color="auto" w:fill="auto"/>
        <w:bidi w:val="0"/>
        <w:spacing w:before="0" w:after="0" w:line="471" w:lineRule="exact"/>
        <w:ind w:left="0" w:right="0" w:firstLine="460"/>
        <w:jc w:val="left"/>
      </w:pPr>
      <w:r>
        <w:rPr>
          <w:color w:val="000000"/>
          <w:spacing w:val="0"/>
          <w:w w:val="100"/>
          <w:position w:val="0"/>
        </w:rPr>
        <w:t>柳世平女士：中国国籍，</w:t>
      </w:r>
      <w:r>
        <w:rPr>
          <w:rFonts w:ascii="Times New Roman" w:eastAsia="Times New Roman" w:hAnsi="Times New Roman" w:cs="Times New Roman"/>
          <w:color w:val="000000"/>
          <w:spacing w:val="0"/>
          <w:w w:val="100"/>
          <w:position w:val="0"/>
          <w:sz w:val="22"/>
          <w:szCs w:val="22"/>
        </w:rPr>
        <w:t>1968</w:t>
      </w:r>
      <w:r>
        <w:rPr>
          <w:color w:val="000000"/>
          <w:spacing w:val="0"/>
          <w:w w:val="100"/>
          <w:position w:val="0"/>
        </w:rPr>
        <w:t>年出生，汉族，硕士学历。南京理工大学经济管理学院会计系副教 授、会计学硕士生导师、中国注册会计师，兼任南京理工大学紫金学院会计专业负责人，江苏省上市 公司协会第一届独立董事专业委员会副主任委员。截至目前担任本公司独立董事，兼任南京栖霞建设 股份有限公司独立董事、朗坤智慧科技股份有限公司独立董事、康平科技（苏州）股份有限公司独立 董事。</w:t>
      </w:r>
    </w:p>
    <w:p>
      <w:pPr>
        <w:pStyle w:val="Style17"/>
        <w:keepNext w:val="0"/>
        <w:keepLines w:val="0"/>
        <w:widowControl w:val="0"/>
        <w:shd w:val="clear" w:color="auto" w:fill="auto"/>
        <w:bidi w:val="0"/>
        <w:spacing w:before="0" w:after="0" w:line="471" w:lineRule="exact"/>
        <w:ind w:left="0" w:right="0" w:firstLine="460"/>
        <w:jc w:val="left"/>
      </w:pPr>
      <w:r>
        <w:rPr>
          <w:color w:val="000000"/>
          <w:spacing w:val="0"/>
          <w:w w:val="100"/>
          <w:position w:val="0"/>
        </w:rPr>
        <w:t>方先明先生：中国国籍，</w:t>
      </w:r>
      <w:r>
        <w:rPr>
          <w:rFonts w:ascii="Times New Roman" w:eastAsia="Times New Roman" w:hAnsi="Times New Roman" w:cs="Times New Roman"/>
          <w:color w:val="000000"/>
          <w:spacing w:val="0"/>
          <w:w w:val="100"/>
          <w:position w:val="0"/>
          <w:sz w:val="22"/>
          <w:szCs w:val="22"/>
        </w:rPr>
        <w:t>1969</w:t>
      </w:r>
      <w:r>
        <w:rPr>
          <w:color w:val="000000"/>
          <w:spacing w:val="0"/>
          <w:w w:val="100"/>
          <w:position w:val="0"/>
        </w:rPr>
        <w:t>年出生，汉族，博士研究生学历</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管理学博士学位，南京大学理论 经济学博士后流动站出站。南京大学商学院教授、金融学博士研究生导师，曾赴加拿大</w:t>
      </w:r>
      <w:r>
        <w:rPr>
          <w:rFonts w:ascii="Times New Roman" w:eastAsia="Times New Roman" w:hAnsi="Times New Roman" w:cs="Times New Roman"/>
          <w:color w:val="000000"/>
          <w:spacing w:val="0"/>
          <w:w w:val="100"/>
          <w:position w:val="0"/>
          <w:sz w:val="22"/>
          <w:szCs w:val="22"/>
        </w:rPr>
        <w:t>Lakehead University</w:t>
      </w:r>
      <w:r>
        <w:rPr>
          <w:color w:val="000000"/>
          <w:spacing w:val="0"/>
          <w:w w:val="100"/>
          <w:position w:val="0"/>
        </w:rPr>
        <w:t>数学科学院以及美国</w:t>
      </w:r>
      <w:r>
        <w:rPr>
          <w:rFonts w:ascii="Times New Roman" w:eastAsia="Times New Roman" w:hAnsi="Times New Roman" w:cs="Times New Roman"/>
          <w:color w:val="000000"/>
          <w:spacing w:val="0"/>
          <w:w w:val="100"/>
          <w:position w:val="0"/>
          <w:sz w:val="22"/>
          <w:szCs w:val="22"/>
        </w:rPr>
        <w:t>Florida State University</w:t>
      </w:r>
      <w:r>
        <w:rPr>
          <w:color w:val="000000"/>
          <w:spacing w:val="0"/>
          <w:w w:val="100"/>
          <w:position w:val="0"/>
        </w:rPr>
        <w:t>金融系研修。主要学术研究方向为金融理论与 政策、金融市场与投资，主持和参与国家级、省部级以及社会服务课题</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多项，在国内外专业学术 期刊发表学术论文近百篇，现为多种期刊的匿名审稿人。截至目前担任本公司独立董事，兼任江苏太 平洋石英股份有限公司独立董事、苏州新区高新技术产业股份有限公司独立董事和紫金财产保险股份 有限公司独立董事。</w:t>
      </w:r>
    </w:p>
    <w:p>
      <w:pPr>
        <w:pStyle w:val="Style17"/>
        <w:keepNext w:val="0"/>
        <w:keepLines w:val="0"/>
        <w:widowControl w:val="0"/>
        <w:shd w:val="clear" w:color="auto" w:fill="auto"/>
        <w:bidi w:val="0"/>
        <w:spacing w:before="0" w:after="200" w:line="471" w:lineRule="exact"/>
        <w:ind w:left="0" w:right="0" w:firstLine="460"/>
        <w:jc w:val="left"/>
      </w:pPr>
      <w:r>
        <w:rPr>
          <w:color w:val="000000"/>
          <w:spacing w:val="0"/>
          <w:w w:val="100"/>
          <w:position w:val="0"/>
        </w:rPr>
        <w:t>陈振宇先生：中国国籍，</w:t>
      </w:r>
      <w:r>
        <w:rPr>
          <w:rFonts w:ascii="Times New Roman" w:eastAsia="Times New Roman" w:hAnsi="Times New Roman" w:cs="Times New Roman"/>
          <w:color w:val="000000"/>
          <w:spacing w:val="0"/>
          <w:w w:val="100"/>
          <w:position w:val="0"/>
          <w:sz w:val="22"/>
          <w:szCs w:val="22"/>
        </w:rPr>
        <w:t>1978</w:t>
      </w:r>
      <w:r>
        <w:rPr>
          <w:color w:val="000000"/>
          <w:spacing w:val="0"/>
          <w:w w:val="100"/>
          <w:position w:val="0"/>
        </w:rPr>
        <w:t>年出生，汉族，博士研究生学历</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理学博士学位。南京大学软件学 院教授、博导，主要从事智能软件工程的研究。慕测平台创始人，全国大学生软件测试大赛发起人。 主持国家重点研发计划课题</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项、国家自然科学基金重点项目</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项、发明专利转让项目</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项和发明专 利许可项目</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项。在软件工程权威国际会议和期刊发表论文</w:t>
      </w:r>
      <w:r>
        <w:rPr>
          <w:rFonts w:ascii="Times New Roman" w:eastAsia="Times New Roman" w:hAnsi="Times New Roman" w:cs="Times New Roman"/>
          <w:color w:val="000000"/>
          <w:spacing w:val="0"/>
          <w:w w:val="100"/>
          <w:position w:val="0"/>
          <w:sz w:val="22"/>
          <w:szCs w:val="22"/>
        </w:rPr>
        <w:t>100</w:t>
      </w:r>
      <w:r>
        <w:rPr>
          <w:color w:val="000000"/>
          <w:spacing w:val="0"/>
          <w:w w:val="100"/>
          <w:position w:val="0"/>
        </w:rPr>
        <w:t>多篇，申请发明专利</w:t>
      </w:r>
      <w:r>
        <w:rPr>
          <w:rFonts w:ascii="Times New Roman" w:eastAsia="Times New Roman" w:hAnsi="Times New Roman" w:cs="Times New Roman"/>
          <w:color w:val="000000"/>
          <w:spacing w:val="0"/>
          <w:w w:val="100"/>
          <w:position w:val="0"/>
          <w:sz w:val="22"/>
          <w:szCs w:val="22"/>
        </w:rPr>
        <w:t>60</w:t>
      </w:r>
      <w:r>
        <w:rPr>
          <w:color w:val="000000"/>
          <w:spacing w:val="0"/>
          <w:w w:val="100"/>
          <w:position w:val="0"/>
        </w:rPr>
        <w:t>余项（已授 权</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项），部分专利成果已经在百度、阿里、华为等知名软件公司转化，长期致力于软件领域的产教 研融合工作。</w:t>
      </w:r>
    </w:p>
    <w:p>
      <w:pPr>
        <w:pStyle w:val="Style17"/>
        <w:keepNext w:val="0"/>
        <w:keepLines w:val="0"/>
        <w:widowControl w:val="0"/>
        <w:shd w:val="clear" w:color="auto" w:fill="auto"/>
        <w:bidi w:val="0"/>
        <w:spacing w:before="0" w:after="0" w:line="449" w:lineRule="auto"/>
        <w:ind w:left="0" w:right="0" w:firstLine="460"/>
        <w:jc w:val="both"/>
      </w:pPr>
      <w:bookmarkStart w:id="296" w:name="bookmark296"/>
      <w:r>
        <w:rPr>
          <w:rFonts w:ascii="Times New Roman" w:eastAsia="Times New Roman" w:hAnsi="Times New Roman" w:cs="Times New Roman"/>
          <w:b/>
          <w:bCs/>
          <w:color w:val="000000"/>
          <w:spacing w:val="0"/>
          <w:w w:val="100"/>
          <w:position w:val="0"/>
          <w:sz w:val="22"/>
          <w:szCs w:val="22"/>
        </w:rPr>
        <w:t>2</w:t>
      </w:r>
      <w:bookmarkEnd w:id="296"/>
      <w:r>
        <w:rPr>
          <w:b/>
          <w:bCs/>
          <w:color w:val="000000"/>
          <w:spacing w:val="0"/>
          <w:w w:val="100"/>
          <w:position w:val="0"/>
        </w:rPr>
        <w:t>、监事</w:t>
      </w:r>
    </w:p>
    <w:p>
      <w:pPr>
        <w:pStyle w:val="Style17"/>
        <w:keepNext w:val="0"/>
        <w:keepLines w:val="0"/>
        <w:widowControl w:val="0"/>
        <w:shd w:val="clear" w:color="auto" w:fill="auto"/>
        <w:bidi w:val="0"/>
        <w:spacing w:before="0" w:after="0" w:line="474" w:lineRule="exact"/>
        <w:ind w:left="0" w:right="0" w:firstLine="460"/>
        <w:jc w:val="both"/>
      </w:pPr>
      <w:r>
        <w:rPr>
          <w:color w:val="000000"/>
          <w:spacing w:val="0"/>
          <w:w w:val="100"/>
          <w:position w:val="0"/>
        </w:rPr>
        <w:t>汪晓玲女士：中国国籍，</w:t>
      </w:r>
      <w:r>
        <w:rPr>
          <w:rFonts w:ascii="Times New Roman" w:eastAsia="Times New Roman" w:hAnsi="Times New Roman" w:cs="Times New Roman"/>
          <w:color w:val="000000"/>
          <w:spacing w:val="0"/>
          <w:w w:val="100"/>
          <w:position w:val="0"/>
          <w:sz w:val="22"/>
          <w:szCs w:val="22"/>
        </w:rPr>
        <w:t>1973</w:t>
      </w:r>
      <w:r>
        <w:rPr>
          <w:color w:val="000000"/>
          <w:spacing w:val="0"/>
          <w:w w:val="100"/>
          <w:position w:val="0"/>
        </w:rPr>
        <w:t>年出生，汉族，本科学历。曾任南京新闻发展公司办公室主任、公 司财务管理中心预算中心总监、第四届和第五届监事会监事、第六届监事会监事主席，现任公司财务 管理总部执行总裁助理、第七届监事会主席。</w:t>
      </w:r>
    </w:p>
    <w:p>
      <w:pPr>
        <w:pStyle w:val="Style17"/>
        <w:keepNext w:val="0"/>
        <w:keepLines w:val="0"/>
        <w:widowControl w:val="0"/>
        <w:shd w:val="clear" w:color="auto" w:fill="auto"/>
        <w:bidi w:val="0"/>
        <w:spacing w:before="0" w:after="0" w:line="474" w:lineRule="exact"/>
        <w:ind w:left="0" w:right="0" w:firstLine="460"/>
        <w:jc w:val="both"/>
      </w:pPr>
      <w:r>
        <w:rPr>
          <w:color w:val="000000"/>
          <w:spacing w:val="0"/>
          <w:w w:val="100"/>
          <w:position w:val="0"/>
        </w:rPr>
        <w:t>李建颖女士：中国国籍，</w:t>
      </w:r>
      <w:r>
        <w:rPr>
          <w:rFonts w:ascii="Times New Roman" w:eastAsia="Times New Roman" w:hAnsi="Times New Roman" w:cs="Times New Roman"/>
          <w:color w:val="000000"/>
          <w:spacing w:val="0"/>
          <w:w w:val="100"/>
          <w:position w:val="0"/>
          <w:sz w:val="22"/>
          <w:szCs w:val="22"/>
        </w:rPr>
        <w:t>1968</w:t>
      </w:r>
      <w:r>
        <w:rPr>
          <w:color w:val="000000"/>
          <w:spacing w:val="0"/>
          <w:w w:val="100"/>
          <w:position w:val="0"/>
        </w:rPr>
        <w:t xml:space="preserve">年出生，汉族，本科学历。曾在南京市紫金无线电厂任职，曾任苏 宁电器股份有限公司结算管理中心总监、第四届和第五届监事会主席、第六届监事会监事，现任物流 </w:t>
      </w:r>
      <w:r>
        <w:rPr>
          <w:color w:val="000000"/>
          <w:spacing w:val="0"/>
          <w:w w:val="100"/>
          <w:position w:val="0"/>
        </w:rPr>
        <w:t>集团财务管理中心副总监、第七届监事会监事。</w:t>
      </w:r>
    </w:p>
    <w:p>
      <w:pPr>
        <w:pStyle w:val="Style17"/>
        <w:keepNext w:val="0"/>
        <w:keepLines w:val="0"/>
        <w:widowControl w:val="0"/>
        <w:shd w:val="clear" w:color="auto" w:fill="auto"/>
        <w:bidi w:val="0"/>
        <w:spacing w:before="0" w:after="200" w:line="472" w:lineRule="exact"/>
        <w:ind w:left="0" w:right="0" w:firstLine="460"/>
        <w:jc w:val="left"/>
      </w:pPr>
      <w:r>
        <w:rPr>
          <w:color w:val="000000"/>
          <w:spacing w:val="0"/>
          <w:w w:val="100"/>
          <w:position w:val="0"/>
        </w:rPr>
        <w:t>华志松先生：中国国籍，</w:t>
      </w:r>
      <w:r>
        <w:rPr>
          <w:rFonts w:ascii="Times New Roman" w:eastAsia="Times New Roman" w:hAnsi="Times New Roman" w:cs="Times New Roman"/>
          <w:color w:val="000000"/>
          <w:spacing w:val="0"/>
          <w:w w:val="100"/>
          <w:position w:val="0"/>
          <w:sz w:val="22"/>
          <w:szCs w:val="22"/>
        </w:rPr>
        <w:t>1981</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22"/>
          <w:szCs w:val="22"/>
        </w:rPr>
        <w:t>2004</w:t>
      </w:r>
      <w:r>
        <w:rPr>
          <w:color w:val="000000"/>
          <w:spacing w:val="0"/>
          <w:w w:val="100"/>
          <w:position w:val="0"/>
        </w:rPr>
        <w:t>年进入公司，先后担任公司总裁办计划 专员、财务总部办主任、财务会计部经理、第五届和第六届监事会职工代表监事，现任公司财务管理 总部执行副总裁、第七届监事会职工代表监事。华志松先生在公司子公司天天快递有限公司、湖南苏 宁先锋电子有限公司担任董事、监事职务。</w:t>
      </w:r>
    </w:p>
    <w:p>
      <w:pPr>
        <w:pStyle w:val="Style17"/>
        <w:keepNext w:val="0"/>
        <w:keepLines w:val="0"/>
        <w:widowControl w:val="0"/>
        <w:shd w:val="clear" w:color="auto" w:fill="auto"/>
        <w:bidi w:val="0"/>
        <w:spacing w:before="0" w:after="0" w:line="446" w:lineRule="auto"/>
        <w:ind w:left="0" w:right="0" w:firstLine="460"/>
        <w:jc w:val="both"/>
      </w:pPr>
      <w:bookmarkStart w:id="297" w:name="bookmark297"/>
      <w:r>
        <w:rPr>
          <w:rFonts w:ascii="Times New Roman" w:eastAsia="Times New Roman" w:hAnsi="Times New Roman" w:cs="Times New Roman"/>
          <w:b/>
          <w:bCs/>
          <w:color w:val="000000"/>
          <w:spacing w:val="0"/>
          <w:w w:val="100"/>
          <w:position w:val="0"/>
          <w:sz w:val="22"/>
          <w:szCs w:val="22"/>
        </w:rPr>
        <w:t>3</w:t>
      </w:r>
      <w:bookmarkEnd w:id="297"/>
      <w:r>
        <w:rPr>
          <w:b/>
          <w:bCs/>
          <w:color w:val="000000"/>
          <w:spacing w:val="0"/>
          <w:w w:val="100"/>
          <w:position w:val="0"/>
        </w:rPr>
        <w:t>、高级管理人员</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公司总裁任峻先生简历见前述董事介绍。</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侯恩龙先生：中国国籍，</w:t>
      </w:r>
      <w:r>
        <w:rPr>
          <w:rFonts w:ascii="Times New Roman" w:eastAsia="Times New Roman" w:hAnsi="Times New Roman" w:cs="Times New Roman"/>
          <w:color w:val="000000"/>
          <w:spacing w:val="0"/>
          <w:w w:val="100"/>
          <w:position w:val="0"/>
          <w:sz w:val="22"/>
          <w:szCs w:val="22"/>
        </w:rPr>
        <w:t>1968</w:t>
      </w:r>
      <w:r>
        <w:rPr>
          <w:color w:val="000000"/>
          <w:spacing w:val="0"/>
          <w:w w:val="100"/>
          <w:position w:val="0"/>
        </w:rPr>
        <w:t>年出生，汉族，本科学历。侯恩龙先生先后在公司子公司、苏宁物 流集团任职，现任苏宁易购零售业务线总裁。侯恩龙先生在重庆猫宁电子商务有限公司等</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家公司 子公司担任董事、高管职务。未在公司股东单位工作。</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姚凯先生：中国国籍，</w:t>
      </w:r>
      <w:r>
        <w:rPr>
          <w:rFonts w:ascii="Times New Roman" w:eastAsia="Times New Roman" w:hAnsi="Times New Roman" w:cs="Times New Roman"/>
          <w:color w:val="000000"/>
          <w:spacing w:val="0"/>
          <w:w w:val="100"/>
          <w:position w:val="0"/>
          <w:sz w:val="22"/>
          <w:szCs w:val="22"/>
        </w:rPr>
        <w:t>1975</w:t>
      </w:r>
      <w:r>
        <w:rPr>
          <w:color w:val="000000"/>
          <w:spacing w:val="0"/>
          <w:w w:val="100"/>
          <w:position w:val="0"/>
        </w:rPr>
        <w:t>年出生，汉族，大专学历。姚凯先生曾在公司子公司、苏宁物流集团 任职，现任苏宁易购物流业务线总裁。姚凯先生在江苏苏宁物流有限公司等</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家公司分子公司任职董 事、高管职务。未在公司股东单位工作。</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顾伟先生：中国国籍，</w:t>
      </w:r>
      <w:r>
        <w:rPr>
          <w:rFonts w:ascii="Times New Roman" w:eastAsia="Times New Roman" w:hAnsi="Times New Roman" w:cs="Times New Roman"/>
          <w:color w:val="000000"/>
          <w:spacing w:val="0"/>
          <w:w w:val="100"/>
          <w:position w:val="0"/>
          <w:sz w:val="22"/>
          <w:szCs w:val="22"/>
        </w:rPr>
        <w:t>1979</w:t>
      </w:r>
      <w:r>
        <w:rPr>
          <w:color w:val="000000"/>
          <w:spacing w:val="0"/>
          <w:w w:val="100"/>
          <w:position w:val="0"/>
        </w:rPr>
        <w:t>年出生，汉族，本科学历。顾伟先生先后在公司子公司、营销总部任 职，现任公司副总裁。顾伟先生在公司子公司南京苏宁加电子商务有限公司担任董事、总经理职务。 未在公司股东单位工作。</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龚震宇先生：中国国籍，</w:t>
      </w:r>
      <w:r>
        <w:rPr>
          <w:rFonts w:ascii="Times New Roman" w:eastAsia="Times New Roman" w:hAnsi="Times New Roman" w:cs="Times New Roman"/>
          <w:color w:val="000000"/>
          <w:spacing w:val="0"/>
          <w:w w:val="100"/>
          <w:position w:val="0"/>
          <w:sz w:val="22"/>
          <w:szCs w:val="22"/>
        </w:rPr>
        <w:t>1971</w:t>
      </w:r>
      <w:r>
        <w:rPr>
          <w:color w:val="000000"/>
          <w:spacing w:val="0"/>
          <w:w w:val="100"/>
          <w:position w:val="0"/>
        </w:rPr>
        <w:t>年出生，汉族，本科学历。龚震宇先生曾在公司子公司、营销总部 任职，现任公司副总裁。龚震宇先生在南京苏宁百货有限公司等</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家公司分子公司担任董事、高管职 务。未在公司股东单位工作。</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田睿先生：中国国籍，</w:t>
      </w:r>
      <w:r>
        <w:rPr>
          <w:rFonts w:ascii="Times New Roman" w:eastAsia="Times New Roman" w:hAnsi="Times New Roman" w:cs="Times New Roman"/>
          <w:color w:val="000000"/>
          <w:spacing w:val="0"/>
          <w:w w:val="100"/>
          <w:position w:val="0"/>
          <w:sz w:val="22"/>
          <w:szCs w:val="22"/>
        </w:rPr>
        <w:t>1975</w:t>
      </w:r>
      <w:r>
        <w:rPr>
          <w:color w:val="000000"/>
          <w:spacing w:val="0"/>
          <w:w w:val="100"/>
          <w:position w:val="0"/>
        </w:rPr>
        <w:t>年出生，汉族，本科学历。田睿先生先后在公司子公司、营销管理中 心任职。现任公司副总裁、家乐福中国</w:t>
      </w:r>
      <w:r>
        <w:rPr>
          <w:rFonts w:ascii="Times New Roman" w:eastAsia="Times New Roman" w:hAnsi="Times New Roman" w:cs="Times New Roman"/>
          <w:color w:val="000000"/>
          <w:spacing w:val="0"/>
          <w:w w:val="100"/>
          <w:position w:val="0"/>
          <w:sz w:val="22"/>
          <w:szCs w:val="22"/>
        </w:rPr>
        <w:t>CEO</w:t>
      </w:r>
      <w:r>
        <w:rPr>
          <w:color w:val="000000"/>
          <w:spacing w:val="0"/>
          <w:w w:val="100"/>
          <w:position w:val="0"/>
        </w:rPr>
        <w:t>。</w:t>
      </w:r>
      <w:r>
        <w:rPr>
          <w:color w:val="000000"/>
          <w:spacing w:val="0"/>
          <w:w w:val="100"/>
          <w:position w:val="0"/>
        </w:rPr>
        <w:t>田睿先生在上海联家超市有限公司、家乐福（中国）管 理咨询服务有限公司等</w:t>
      </w:r>
      <w:r>
        <w:rPr>
          <w:rFonts w:ascii="Times New Roman" w:eastAsia="Times New Roman" w:hAnsi="Times New Roman" w:cs="Times New Roman"/>
          <w:color w:val="000000"/>
          <w:spacing w:val="0"/>
          <w:w w:val="100"/>
          <w:position w:val="0"/>
          <w:sz w:val="22"/>
          <w:szCs w:val="22"/>
        </w:rPr>
        <w:t>43</w:t>
      </w:r>
      <w:r>
        <w:rPr>
          <w:color w:val="000000"/>
          <w:spacing w:val="0"/>
          <w:w w:val="100"/>
          <w:position w:val="0"/>
        </w:rPr>
        <w:t>家公司子公司担任董事等职务。未在公司股东单位工作。</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黄巍女士：中国国籍，</w:t>
      </w:r>
      <w:r>
        <w:rPr>
          <w:rFonts w:ascii="Times New Roman" w:eastAsia="Times New Roman" w:hAnsi="Times New Roman" w:cs="Times New Roman"/>
          <w:color w:val="000000"/>
          <w:spacing w:val="0"/>
          <w:w w:val="100"/>
          <w:position w:val="0"/>
          <w:sz w:val="22"/>
          <w:szCs w:val="22"/>
        </w:rPr>
        <w:t>1983</w:t>
      </w:r>
      <w:r>
        <w:rPr>
          <w:color w:val="000000"/>
          <w:spacing w:val="0"/>
          <w:w w:val="100"/>
          <w:position w:val="0"/>
        </w:rPr>
        <w:t>年出生，汉族，本科学历。黄巍女士历任公司董事会秘书办公室证券 事务助理、董事会秘书办公室副主任，现任公司董事会秘书、执行委员会秘书长及公司财务负责人， 同时在公司子公司重庆猫宁电子商务有限公司担任监事会主席职务。未在公司股东单位工作。</w:t>
      </w:r>
      <w:r>
        <w:br w:type="page"/>
      </w:r>
    </w:p>
    <w:p>
      <w:pPr>
        <w:pStyle w:val="Style26"/>
        <w:keepNext w:val="0"/>
        <w:keepLines w:val="0"/>
        <w:widowControl w:val="0"/>
        <w:shd w:val="clear" w:color="auto" w:fill="auto"/>
        <w:bidi w:val="0"/>
        <w:spacing w:before="0" w:after="0" w:line="240" w:lineRule="auto"/>
        <w:ind w:left="432" w:right="0" w:firstLine="0"/>
        <w:jc w:val="left"/>
      </w:pPr>
      <w:r>
        <w:rPr>
          <w:color w:val="000000"/>
          <w:spacing w:val="0"/>
          <w:w w:val="100"/>
          <w:position w:val="0"/>
        </w:rPr>
        <w:t>在股东单位任职情况</w:t>
      </w:r>
    </w:p>
    <w:tbl>
      <w:tblPr>
        <w:tblOverlap w:val="never"/>
        <w:jc w:val="center"/>
        <w:tblLayout w:type="fixed"/>
      </w:tblPr>
      <w:tblGrid>
        <w:gridCol w:w="1238"/>
        <w:gridCol w:w="1747"/>
        <w:gridCol w:w="2693"/>
        <w:gridCol w:w="1416"/>
        <w:gridCol w:w="1277"/>
        <w:gridCol w:w="1426"/>
      </w:tblGrid>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任职人员姓 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股东单位名称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在股东单位担任的职务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在股东单位是</w:t>
            </w:r>
          </w:p>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否领取报酬津 贴</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刘鹏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阿里巴巴集团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集团副总裁、</w:t>
            </w:r>
            <w:r>
              <w:rPr>
                <w:color w:val="000000"/>
                <w:spacing w:val="0"/>
                <w:w w:val="100"/>
                <w:position w:val="0"/>
                <w:sz w:val="20"/>
                <w:szCs w:val="20"/>
              </w:rPr>
              <w:t>B2C</w:t>
            </w:r>
            <w:r>
              <w:rPr>
                <w:rFonts w:ascii="SimSun" w:eastAsia="SimSun" w:hAnsi="SimSun" w:cs="SimSun"/>
                <w:color w:val="000000"/>
                <w:spacing w:val="0"/>
                <w:w w:val="100"/>
                <w:position w:val="0"/>
                <w:sz w:val="18"/>
                <w:szCs w:val="18"/>
              </w:rPr>
              <w:t>零售总裁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2015</w:t>
            </w:r>
            <w:r>
              <w:rPr>
                <w:rFonts w:ascii="SimSun" w:eastAsia="SimSun" w:hAnsi="SimSun" w:cs="SimSun"/>
                <w:color w:val="000000"/>
                <w:spacing w:val="0"/>
                <w:w w:val="100"/>
                <w:position w:val="0"/>
                <w:sz w:val="18"/>
                <w:szCs w:val="18"/>
              </w:rPr>
              <w:t>年</w:t>
            </w:r>
            <w:r>
              <w:rPr>
                <w:color w:val="000000"/>
                <w:spacing w:val="0"/>
                <w:w w:val="100"/>
                <w:position w:val="0"/>
                <w:sz w:val="20"/>
                <w:szCs w:val="20"/>
              </w:rPr>
              <w:t>5</w:t>
            </w:r>
            <w:r>
              <w:rPr>
                <w:rFonts w:ascii="SimSun" w:eastAsia="SimSun" w:hAnsi="SimSun" w:cs="SimSun"/>
                <w:color w:val="000000"/>
                <w:spacing w:val="0"/>
                <w:w w:val="100"/>
                <w:position w:val="0"/>
                <w:sz w:val="18"/>
                <w:szCs w:val="18"/>
              </w:rPr>
              <w:t>月</w:t>
            </w:r>
            <w:r>
              <w:rPr>
                <w:color w:val="000000"/>
                <w:spacing w:val="0"/>
                <w:w w:val="100"/>
                <w:position w:val="0"/>
                <w:sz w:val="20"/>
                <w:szCs w:val="20"/>
              </w:rPr>
              <w:t>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在股东单位</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任职情况的</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说明</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公司持股</w:t>
            </w:r>
            <w:r>
              <w:rPr>
                <w:color w:val="000000"/>
                <w:spacing w:val="0"/>
                <w:w w:val="100"/>
                <w:position w:val="0"/>
                <w:sz w:val="20"/>
                <w:szCs w:val="20"/>
              </w:rPr>
              <w:t>5%</w:t>
            </w:r>
            <w:r>
              <w:rPr>
                <w:rFonts w:ascii="SimSun" w:eastAsia="SimSun" w:hAnsi="SimSun" w:cs="SimSun"/>
                <w:color w:val="000000"/>
                <w:spacing w:val="0"/>
                <w:w w:val="100"/>
                <w:position w:val="0"/>
                <w:sz w:val="18"/>
                <w:szCs w:val="18"/>
              </w:rPr>
              <w:t>以上股东淘宝（中国）软件有限公司是阿里巴巴集团全资子公司。</w:t>
            </w:r>
          </w:p>
        </w:tc>
      </w:tr>
    </w:tbl>
    <w:p>
      <w:pPr>
        <w:widowControl w:val="0"/>
        <w:spacing w:after="239" w:line="1" w:lineRule="exact"/>
      </w:pPr>
    </w:p>
    <w:p>
      <w:pPr>
        <w:pStyle w:val="Style26"/>
        <w:keepNext w:val="0"/>
        <w:keepLines w:val="0"/>
        <w:widowControl w:val="0"/>
        <w:shd w:val="clear" w:color="auto" w:fill="auto"/>
        <w:bidi w:val="0"/>
        <w:spacing w:before="0" w:after="0" w:line="240" w:lineRule="auto"/>
        <w:ind w:left="432" w:right="0" w:firstLine="0"/>
        <w:jc w:val="left"/>
      </w:pPr>
      <w:r>
        <w:rPr>
          <w:color w:val="000000"/>
          <w:spacing w:val="0"/>
          <w:w w:val="100"/>
          <w:position w:val="0"/>
        </w:rPr>
        <w:t>在其他单位任职情况</w:t>
      </w:r>
    </w:p>
    <w:tbl>
      <w:tblPr>
        <w:tblOverlap w:val="never"/>
        <w:jc w:val="center"/>
        <w:tblLayout w:type="fixed"/>
      </w:tblPr>
      <w:tblGrid>
        <w:gridCol w:w="1003"/>
        <w:gridCol w:w="2976"/>
        <w:gridCol w:w="1344"/>
        <w:gridCol w:w="1723"/>
        <w:gridCol w:w="1752"/>
        <w:gridCol w:w="1142"/>
      </w:tblGrid>
      <w:tr>
        <w:trPr>
          <w:trHeight w:val="9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任职人员 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在其他单位担 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在其他单位</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是否领取报</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酬津贴</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黄明端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高鑫零售有限公司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2020</w:t>
            </w:r>
            <w:r>
              <w:rPr>
                <w:rFonts w:ascii="SimSun" w:eastAsia="SimSun" w:hAnsi="SimSun" w:cs="SimSun"/>
                <w:color w:val="000000"/>
                <w:spacing w:val="0"/>
                <w:w w:val="100"/>
                <w:position w:val="0"/>
                <w:sz w:val="18"/>
                <w:szCs w:val="18"/>
              </w:rPr>
              <w:t>年</w:t>
            </w:r>
            <w:r>
              <w:rPr>
                <w:color w:val="000000"/>
                <w:spacing w:val="0"/>
                <w:w w:val="100"/>
                <w:position w:val="0"/>
                <w:sz w:val="20"/>
                <w:szCs w:val="20"/>
              </w:rPr>
              <w:t>10</w:t>
            </w:r>
            <w:r>
              <w:rPr>
                <w:rFonts w:ascii="SimSun" w:eastAsia="SimSun" w:hAnsi="SimSun" w:cs="SimSun"/>
                <w:color w:val="000000"/>
                <w:spacing w:val="0"/>
                <w:w w:val="100"/>
                <w:position w:val="0"/>
                <w:sz w:val="18"/>
                <w:szCs w:val="18"/>
              </w:rPr>
              <w:t>月</w:t>
            </w:r>
            <w:r>
              <w:rPr>
                <w:color w:val="000000"/>
                <w:spacing w:val="0"/>
                <w:w w:val="100"/>
                <w:position w:val="0"/>
                <w:sz w:val="20"/>
                <w:szCs w:val="20"/>
              </w:rPr>
              <w:t>17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2024</w:t>
            </w:r>
            <w:r>
              <w:rPr>
                <w:rFonts w:ascii="SimSun" w:eastAsia="SimSun" w:hAnsi="SimSun" w:cs="SimSun"/>
                <w:color w:val="000000"/>
                <w:spacing w:val="0"/>
                <w:w w:val="100"/>
                <w:position w:val="0"/>
                <w:sz w:val="18"/>
                <w:szCs w:val="18"/>
              </w:rPr>
              <w:t>年</w:t>
            </w:r>
            <w:r>
              <w:rPr>
                <w:color w:val="000000"/>
                <w:spacing w:val="0"/>
                <w:w w:val="100"/>
                <w:position w:val="0"/>
                <w:sz w:val="20"/>
                <w:szCs w:val="20"/>
              </w:rPr>
              <w:t>5</w:t>
            </w:r>
            <w:r>
              <w:rPr>
                <w:rFonts w:ascii="SimSun" w:eastAsia="SimSun" w:hAnsi="SimSun" w:cs="SimSun"/>
                <w:color w:val="000000"/>
                <w:spacing w:val="0"/>
                <w:w w:val="100"/>
                <w:position w:val="0"/>
                <w:sz w:val="18"/>
                <w:szCs w:val="18"/>
              </w:rPr>
              <w:t>月</w:t>
            </w:r>
            <w:r>
              <w:rPr>
                <w:color w:val="000000"/>
                <w:spacing w:val="0"/>
                <w:w w:val="100"/>
                <w:position w:val="0"/>
                <w:sz w:val="20"/>
                <w:szCs w:val="20"/>
              </w:rPr>
              <w:t>9</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黄明端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高鑫零售有限公司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非执行董事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2021</w:t>
            </w:r>
            <w:r>
              <w:rPr>
                <w:rFonts w:ascii="SimSun" w:eastAsia="SimSun" w:hAnsi="SimSun" w:cs="SimSun"/>
                <w:color w:val="000000"/>
                <w:spacing w:val="0"/>
                <w:w w:val="100"/>
                <w:position w:val="0"/>
                <w:sz w:val="18"/>
                <w:szCs w:val="18"/>
              </w:rPr>
              <w:t>年</w:t>
            </w:r>
            <w:r>
              <w:rPr>
                <w:color w:val="000000"/>
                <w:spacing w:val="0"/>
                <w:w w:val="100"/>
                <w:position w:val="0"/>
                <w:sz w:val="20"/>
                <w:szCs w:val="20"/>
              </w:rPr>
              <w:t>5</w:t>
            </w:r>
            <w:r>
              <w:rPr>
                <w:rFonts w:ascii="SimSun" w:eastAsia="SimSun" w:hAnsi="SimSun" w:cs="SimSun"/>
                <w:color w:val="000000"/>
                <w:spacing w:val="0"/>
                <w:w w:val="100"/>
                <w:position w:val="0"/>
                <w:sz w:val="18"/>
                <w:szCs w:val="18"/>
              </w:rPr>
              <w:t>月</w:t>
            </w:r>
            <w:r>
              <w:rPr>
                <w:color w:val="000000"/>
                <w:spacing w:val="0"/>
                <w:w w:val="100"/>
                <w:position w:val="0"/>
                <w:sz w:val="20"/>
                <w:szCs w:val="20"/>
              </w:rPr>
              <w:t>10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2024</w:t>
            </w:r>
            <w:r>
              <w:rPr>
                <w:rFonts w:ascii="SimSun" w:eastAsia="SimSun" w:hAnsi="SimSun" w:cs="SimSun"/>
                <w:color w:val="000000"/>
                <w:spacing w:val="0"/>
                <w:w w:val="100"/>
                <w:position w:val="0"/>
                <w:sz w:val="18"/>
                <w:szCs w:val="18"/>
              </w:rPr>
              <w:t>年</w:t>
            </w:r>
            <w:r>
              <w:rPr>
                <w:color w:val="000000"/>
                <w:spacing w:val="0"/>
                <w:w w:val="100"/>
                <w:position w:val="0"/>
                <w:sz w:val="20"/>
                <w:szCs w:val="20"/>
              </w:rPr>
              <w:t>5</w:t>
            </w:r>
            <w:r>
              <w:rPr>
                <w:rFonts w:ascii="SimSun" w:eastAsia="SimSun" w:hAnsi="SimSun" w:cs="SimSun"/>
                <w:color w:val="000000"/>
                <w:spacing w:val="0"/>
                <w:w w:val="100"/>
                <w:position w:val="0"/>
                <w:sz w:val="18"/>
                <w:szCs w:val="18"/>
              </w:rPr>
              <w:t>月</w:t>
            </w:r>
            <w:r>
              <w:rPr>
                <w:color w:val="000000"/>
                <w:spacing w:val="0"/>
                <w:w w:val="100"/>
                <w:position w:val="0"/>
                <w:sz w:val="20"/>
                <w:szCs w:val="20"/>
              </w:rPr>
              <w:t>9</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刘鹏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高鑫零售有限公司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非执行董事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2022</w:t>
            </w:r>
            <w:r>
              <w:rPr>
                <w:rFonts w:ascii="SimSun" w:eastAsia="SimSun" w:hAnsi="SimSun" w:cs="SimSun"/>
                <w:color w:val="000000"/>
                <w:spacing w:val="0"/>
                <w:w w:val="100"/>
                <w:position w:val="0"/>
                <w:sz w:val="18"/>
                <w:szCs w:val="18"/>
              </w:rPr>
              <w:t>年</w:t>
            </w:r>
            <w:r>
              <w:rPr>
                <w:color w:val="000000"/>
                <w:spacing w:val="0"/>
                <w:w w:val="100"/>
                <w:position w:val="0"/>
                <w:sz w:val="20"/>
                <w:szCs w:val="20"/>
              </w:rPr>
              <w:t>3</w:t>
            </w:r>
            <w:r>
              <w:rPr>
                <w:rFonts w:ascii="SimSun" w:eastAsia="SimSun" w:hAnsi="SimSun" w:cs="SimSun"/>
                <w:color w:val="000000"/>
                <w:spacing w:val="0"/>
                <w:w w:val="100"/>
                <w:position w:val="0"/>
                <w:sz w:val="18"/>
                <w:szCs w:val="18"/>
              </w:rPr>
              <w:t>月</w:t>
            </w:r>
            <w:r>
              <w:rPr>
                <w:color w:val="000000"/>
                <w:spacing w:val="0"/>
                <w:w w:val="100"/>
                <w:position w:val="0"/>
                <w:sz w:val="20"/>
                <w:szCs w:val="20"/>
              </w:rPr>
              <w:t>3</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2025</w:t>
            </w:r>
            <w:r>
              <w:rPr>
                <w:rFonts w:ascii="SimSun" w:eastAsia="SimSun" w:hAnsi="SimSun" w:cs="SimSun"/>
                <w:color w:val="000000"/>
                <w:spacing w:val="0"/>
                <w:w w:val="100"/>
                <w:position w:val="0"/>
                <w:sz w:val="18"/>
                <w:szCs w:val="18"/>
              </w:rPr>
              <w:t>年</w:t>
            </w:r>
            <w:r>
              <w:rPr>
                <w:color w:val="000000"/>
                <w:spacing w:val="0"/>
                <w:w w:val="100"/>
                <w:position w:val="0"/>
                <w:sz w:val="20"/>
                <w:szCs w:val="20"/>
              </w:rPr>
              <w:t>3</w:t>
            </w:r>
            <w:r>
              <w:rPr>
                <w:rFonts w:ascii="SimSun" w:eastAsia="SimSun" w:hAnsi="SimSun" w:cs="SimSun"/>
                <w:color w:val="000000"/>
                <w:spacing w:val="0"/>
                <w:w w:val="100"/>
                <w:position w:val="0"/>
                <w:sz w:val="18"/>
                <w:szCs w:val="18"/>
              </w:rPr>
              <w:t>月</w:t>
            </w:r>
            <w:r>
              <w:rPr>
                <w:color w:val="000000"/>
                <w:spacing w:val="0"/>
                <w:w w:val="100"/>
                <w:position w:val="0"/>
                <w:sz w:val="20"/>
                <w:szCs w:val="20"/>
              </w:rPr>
              <w:t>2</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任峻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SUNING SPORTS GROUP</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2018</w:t>
            </w:r>
            <w:r>
              <w:rPr>
                <w:rFonts w:ascii="SimSun" w:eastAsia="SimSun" w:hAnsi="SimSun" w:cs="SimSun"/>
                <w:color w:val="000000"/>
                <w:spacing w:val="0"/>
                <w:w w:val="100"/>
                <w:position w:val="0"/>
                <w:sz w:val="18"/>
                <w:szCs w:val="18"/>
              </w:rPr>
              <w:t>年</w:t>
            </w:r>
            <w:r>
              <w:rPr>
                <w:color w:val="000000"/>
                <w:spacing w:val="0"/>
                <w:w w:val="100"/>
                <w:position w:val="0"/>
                <w:sz w:val="20"/>
                <w:szCs w:val="20"/>
              </w:rPr>
              <w:t>4</w:t>
            </w:r>
            <w:r>
              <w:rPr>
                <w:rFonts w:ascii="SimSun" w:eastAsia="SimSun" w:hAnsi="SimSun" w:cs="SimSun"/>
                <w:color w:val="000000"/>
                <w:spacing w:val="0"/>
                <w:w w:val="100"/>
                <w:position w:val="0"/>
                <w:sz w:val="18"/>
                <w:szCs w:val="18"/>
              </w:rPr>
              <w:t>月</w:t>
            </w:r>
            <w:r>
              <w:rPr>
                <w:color w:val="000000"/>
                <w:spacing w:val="0"/>
                <w:w w:val="100"/>
                <w:position w:val="0"/>
                <w:sz w:val="20"/>
                <w:szCs w:val="20"/>
              </w:rPr>
              <w:t>13</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曹群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南京道平投资管理中心（普通合 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执行事务合伙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2013</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r>
              <w:rPr>
                <w:color w:val="000000"/>
                <w:spacing w:val="0"/>
                <w:w w:val="100"/>
                <w:position w:val="0"/>
                <w:sz w:val="20"/>
                <w:szCs w:val="20"/>
              </w:rPr>
              <w:t>27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曹群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南京道明投资管理中心（普通合 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执行事务合伙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2016</w:t>
            </w:r>
            <w:r>
              <w:rPr>
                <w:rFonts w:ascii="SimSun" w:eastAsia="SimSun" w:hAnsi="SimSun" w:cs="SimSun"/>
                <w:color w:val="000000"/>
                <w:spacing w:val="0"/>
                <w:w w:val="100"/>
                <w:position w:val="0"/>
                <w:sz w:val="18"/>
                <w:szCs w:val="18"/>
              </w:rPr>
              <w:t>年</w:t>
            </w:r>
            <w:r>
              <w:rPr>
                <w:color w:val="000000"/>
                <w:spacing w:val="0"/>
                <w:w w:val="100"/>
                <w:position w:val="0"/>
                <w:sz w:val="20"/>
                <w:szCs w:val="20"/>
              </w:rPr>
              <w:t>10</w:t>
            </w:r>
            <w:r>
              <w:rPr>
                <w:rFonts w:ascii="SimSun" w:eastAsia="SimSun" w:hAnsi="SimSun" w:cs="SimSun"/>
                <w:color w:val="000000"/>
                <w:spacing w:val="0"/>
                <w:w w:val="100"/>
                <w:position w:val="0"/>
                <w:sz w:val="18"/>
                <w:szCs w:val="18"/>
              </w:rPr>
              <w:t>日</w:t>
            </w:r>
            <w:r>
              <w:rPr>
                <w:color w:val="000000"/>
                <w:spacing w:val="0"/>
                <w:w w:val="100"/>
                <w:position w:val="0"/>
                <w:sz w:val="20"/>
                <w:szCs w:val="20"/>
              </w:rPr>
              <w:t>13</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2026</w:t>
            </w:r>
            <w:r>
              <w:rPr>
                <w:rFonts w:ascii="SimSun" w:eastAsia="SimSun" w:hAnsi="SimSun" w:cs="SimSun"/>
                <w:color w:val="000000"/>
                <w:spacing w:val="0"/>
                <w:w w:val="100"/>
                <w:position w:val="0"/>
                <w:sz w:val="18"/>
                <w:szCs w:val="18"/>
              </w:rPr>
              <w:t>年</w:t>
            </w:r>
            <w:r>
              <w:rPr>
                <w:color w:val="000000"/>
                <w:spacing w:val="0"/>
                <w:w w:val="100"/>
                <w:position w:val="0"/>
                <w:sz w:val="20"/>
                <w:szCs w:val="20"/>
              </w:rPr>
              <w:t>9</w:t>
            </w:r>
            <w:r>
              <w:rPr>
                <w:rFonts w:ascii="SimSun" w:eastAsia="SimSun" w:hAnsi="SimSun" w:cs="SimSun"/>
                <w:color w:val="000000"/>
                <w:spacing w:val="0"/>
                <w:w w:val="100"/>
                <w:position w:val="0"/>
                <w:sz w:val="18"/>
                <w:szCs w:val="18"/>
              </w:rPr>
              <w:t>日</w:t>
            </w:r>
            <w:r>
              <w:rPr>
                <w:color w:val="000000"/>
                <w:spacing w:val="0"/>
                <w:w w:val="100"/>
                <w:position w:val="0"/>
                <w:sz w:val="20"/>
                <w:szCs w:val="20"/>
              </w:rPr>
              <w:t>30</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曹群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华泰紫金投资有限责任公司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2020</w:t>
            </w:r>
            <w:r>
              <w:rPr>
                <w:rFonts w:ascii="SimSun" w:eastAsia="SimSun" w:hAnsi="SimSun" w:cs="SimSun"/>
                <w:color w:val="000000"/>
                <w:spacing w:val="0"/>
                <w:w w:val="100"/>
                <w:position w:val="0"/>
                <w:sz w:val="18"/>
                <w:szCs w:val="18"/>
              </w:rPr>
              <w:t>年</w:t>
            </w:r>
            <w:r>
              <w:rPr>
                <w:color w:val="000000"/>
                <w:spacing w:val="0"/>
                <w:w w:val="100"/>
                <w:position w:val="0"/>
                <w:sz w:val="20"/>
                <w:szCs w:val="20"/>
              </w:rPr>
              <w:t>3</w:t>
            </w:r>
            <w:r>
              <w:rPr>
                <w:rFonts w:ascii="SimSun" w:eastAsia="SimSun" w:hAnsi="SimSun" w:cs="SimSun"/>
                <w:color w:val="000000"/>
                <w:spacing w:val="0"/>
                <w:w w:val="100"/>
                <w:position w:val="0"/>
                <w:sz w:val="18"/>
                <w:szCs w:val="18"/>
              </w:rPr>
              <w:t>月</w:t>
            </w:r>
            <w:r>
              <w:rPr>
                <w:color w:val="000000"/>
                <w:spacing w:val="0"/>
                <w:w w:val="100"/>
                <w:position w:val="0"/>
                <w:sz w:val="20"/>
                <w:szCs w:val="20"/>
              </w:rPr>
              <w:t>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2023</w:t>
            </w:r>
            <w:r>
              <w:rPr>
                <w:rFonts w:ascii="SimSun" w:eastAsia="SimSun" w:hAnsi="SimSun" w:cs="SimSun"/>
                <w:color w:val="000000"/>
                <w:spacing w:val="0"/>
                <w:w w:val="100"/>
                <w:position w:val="0"/>
                <w:sz w:val="18"/>
                <w:szCs w:val="18"/>
              </w:rPr>
              <w:t>年</w:t>
            </w:r>
            <w:r>
              <w:rPr>
                <w:color w:val="000000"/>
                <w:spacing w:val="0"/>
                <w:w w:val="100"/>
                <w:position w:val="0"/>
                <w:sz w:val="20"/>
                <w:szCs w:val="20"/>
              </w:rPr>
              <w:t>3</w:t>
            </w:r>
            <w:r>
              <w:rPr>
                <w:rFonts w:ascii="SimSun" w:eastAsia="SimSun" w:hAnsi="SimSun" w:cs="SimSun"/>
                <w:color w:val="000000"/>
                <w:spacing w:val="0"/>
                <w:w w:val="100"/>
                <w:position w:val="0"/>
                <w:sz w:val="18"/>
                <w:szCs w:val="18"/>
              </w:rPr>
              <w:t>日</w:t>
            </w:r>
            <w:r>
              <w:rPr>
                <w:color w:val="000000"/>
                <w:spacing w:val="0"/>
                <w:w w:val="100"/>
                <w:position w:val="0"/>
                <w:sz w:val="20"/>
                <w:szCs w:val="20"/>
              </w:rPr>
              <w:t>4</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曹群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南京华泰瑞通投资管理有限公司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2017</w:t>
            </w:r>
            <w:r>
              <w:rPr>
                <w:rFonts w:ascii="SimSun" w:eastAsia="SimSun" w:hAnsi="SimSun" w:cs="SimSun"/>
                <w:color w:val="000000"/>
                <w:spacing w:val="0"/>
                <w:w w:val="100"/>
                <w:position w:val="0"/>
                <w:sz w:val="18"/>
                <w:szCs w:val="18"/>
              </w:rPr>
              <w:t>年</w:t>
            </w:r>
            <w:r>
              <w:rPr>
                <w:color w:val="000000"/>
                <w:spacing w:val="0"/>
                <w:w w:val="100"/>
                <w:position w:val="0"/>
                <w:sz w:val="20"/>
                <w:szCs w:val="20"/>
              </w:rPr>
              <w:t>10</w:t>
            </w:r>
            <w:r>
              <w:rPr>
                <w:rFonts w:ascii="SimSun" w:eastAsia="SimSun" w:hAnsi="SimSun" w:cs="SimSun"/>
                <w:color w:val="000000"/>
                <w:spacing w:val="0"/>
                <w:w w:val="100"/>
                <w:position w:val="0"/>
                <w:sz w:val="18"/>
                <w:szCs w:val="18"/>
              </w:rPr>
              <w:t>日</w:t>
            </w:r>
            <w:r>
              <w:rPr>
                <w:color w:val="000000"/>
                <w:spacing w:val="0"/>
                <w:w w:val="100"/>
                <w:position w:val="0"/>
                <w:sz w:val="20"/>
                <w:szCs w:val="20"/>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2023</w:t>
            </w:r>
            <w:r>
              <w:rPr>
                <w:rFonts w:ascii="SimSun" w:eastAsia="SimSun" w:hAnsi="SimSun" w:cs="SimSun"/>
                <w:color w:val="000000"/>
                <w:spacing w:val="0"/>
                <w:w w:val="100"/>
                <w:position w:val="0"/>
                <w:sz w:val="18"/>
                <w:szCs w:val="18"/>
              </w:rPr>
              <w:t>年</w:t>
            </w:r>
            <w:r>
              <w:rPr>
                <w:color w:val="000000"/>
                <w:spacing w:val="0"/>
                <w:w w:val="100"/>
                <w:position w:val="0"/>
                <w:sz w:val="20"/>
                <w:szCs w:val="20"/>
              </w:rPr>
              <w:t>10</w:t>
            </w:r>
            <w:r>
              <w:rPr>
                <w:rFonts w:ascii="SimSun" w:eastAsia="SimSun" w:hAnsi="SimSun" w:cs="SimSun"/>
                <w:color w:val="000000"/>
                <w:spacing w:val="0"/>
                <w:w w:val="100"/>
                <w:position w:val="0"/>
                <w:sz w:val="18"/>
                <w:szCs w:val="18"/>
              </w:rPr>
              <w:t>日</w:t>
            </w:r>
            <w:r>
              <w:rPr>
                <w:color w:val="000000"/>
                <w:spacing w:val="0"/>
                <w:w w:val="100"/>
                <w:position w:val="0"/>
                <w:sz w:val="20"/>
                <w:szCs w:val="20"/>
              </w:rPr>
              <w:t>11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曹群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南京华泰瑞兴投资管理有限公司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2017</w:t>
            </w:r>
            <w:r>
              <w:rPr>
                <w:rFonts w:ascii="SimSun" w:eastAsia="SimSun" w:hAnsi="SimSun" w:cs="SimSun"/>
                <w:color w:val="000000"/>
                <w:spacing w:val="0"/>
                <w:w w:val="100"/>
                <w:position w:val="0"/>
                <w:sz w:val="18"/>
                <w:szCs w:val="18"/>
              </w:rPr>
              <w:t>年</w:t>
            </w:r>
            <w:r>
              <w:rPr>
                <w:color w:val="000000"/>
                <w:spacing w:val="0"/>
                <w:w w:val="100"/>
                <w:position w:val="0"/>
                <w:sz w:val="20"/>
                <w:szCs w:val="20"/>
              </w:rPr>
              <w:t>10</w:t>
            </w:r>
            <w:r>
              <w:rPr>
                <w:rFonts w:ascii="SimSun" w:eastAsia="SimSun" w:hAnsi="SimSun" w:cs="SimSun"/>
                <w:color w:val="000000"/>
                <w:spacing w:val="0"/>
                <w:w w:val="100"/>
                <w:position w:val="0"/>
                <w:sz w:val="18"/>
                <w:szCs w:val="18"/>
              </w:rPr>
              <w:t>月</w:t>
            </w:r>
            <w:r>
              <w:rPr>
                <w:color w:val="000000"/>
                <w:spacing w:val="0"/>
                <w:w w:val="100"/>
                <w:position w:val="0"/>
                <w:sz w:val="20"/>
                <w:szCs w:val="20"/>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曹群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南京华泰瑞通投资管理有限公司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2012</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r>
              <w:rPr>
                <w:color w:val="000000"/>
                <w:spacing w:val="0"/>
                <w:w w:val="100"/>
                <w:position w:val="0"/>
                <w:sz w:val="20"/>
                <w:szCs w:val="20"/>
              </w:rPr>
              <w:t>24</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2023</w:t>
            </w:r>
            <w:r>
              <w:rPr>
                <w:rFonts w:ascii="SimSun" w:eastAsia="SimSun" w:hAnsi="SimSun" w:cs="SimSun"/>
                <w:color w:val="000000"/>
                <w:spacing w:val="0"/>
                <w:w w:val="100"/>
                <w:position w:val="0"/>
                <w:sz w:val="18"/>
                <w:szCs w:val="18"/>
              </w:rPr>
              <w:t>年</w:t>
            </w:r>
            <w:r>
              <w:rPr>
                <w:color w:val="000000"/>
                <w:spacing w:val="0"/>
                <w:w w:val="100"/>
                <w:position w:val="0"/>
                <w:sz w:val="20"/>
                <w:szCs w:val="20"/>
              </w:rPr>
              <w:t>10</w:t>
            </w:r>
            <w:r>
              <w:rPr>
                <w:rFonts w:ascii="SimSun" w:eastAsia="SimSun" w:hAnsi="SimSun" w:cs="SimSun"/>
                <w:color w:val="000000"/>
                <w:spacing w:val="0"/>
                <w:w w:val="100"/>
                <w:position w:val="0"/>
                <w:sz w:val="18"/>
                <w:szCs w:val="18"/>
              </w:rPr>
              <w:t>日</w:t>
            </w:r>
            <w:r>
              <w:rPr>
                <w:color w:val="000000"/>
                <w:spacing w:val="0"/>
                <w:w w:val="100"/>
                <w:position w:val="0"/>
                <w:sz w:val="20"/>
                <w:szCs w:val="20"/>
              </w:rPr>
              <w:t>11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曹群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南京华泰瑞兴投资管理有限公司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2016</w:t>
            </w:r>
            <w:r>
              <w:rPr>
                <w:rFonts w:ascii="SimSun" w:eastAsia="SimSun" w:hAnsi="SimSun" w:cs="SimSun"/>
                <w:color w:val="000000"/>
                <w:spacing w:val="0"/>
                <w:w w:val="100"/>
                <w:position w:val="0"/>
                <w:sz w:val="18"/>
                <w:szCs w:val="18"/>
              </w:rPr>
              <w:t>年</w:t>
            </w:r>
            <w:r>
              <w:rPr>
                <w:color w:val="000000"/>
                <w:spacing w:val="0"/>
                <w:w w:val="100"/>
                <w:position w:val="0"/>
                <w:sz w:val="20"/>
                <w:szCs w:val="20"/>
              </w:rPr>
              <w:t>11</w:t>
            </w:r>
            <w:r>
              <w:rPr>
                <w:rFonts w:ascii="SimSun" w:eastAsia="SimSun" w:hAnsi="SimSun" w:cs="SimSun"/>
                <w:color w:val="000000"/>
                <w:spacing w:val="0"/>
                <w:w w:val="100"/>
                <w:position w:val="0"/>
                <w:sz w:val="18"/>
                <w:szCs w:val="18"/>
              </w:rPr>
              <w:t>日</w:t>
            </w:r>
            <w:r>
              <w:rPr>
                <w:color w:val="000000"/>
                <w:spacing w:val="0"/>
                <w:w w:val="100"/>
                <w:position w:val="0"/>
                <w:sz w:val="20"/>
                <w:szCs w:val="20"/>
              </w:rPr>
              <w:t>21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冼汉迪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18"/>
                <w:szCs w:val="18"/>
              </w:rPr>
              <w:t>中手游科技集团有限公司</w:t>
            </w:r>
            <w:r>
              <w:rPr>
                <w:rFonts w:ascii="SimSun" w:eastAsia="SimSun" w:hAnsi="SimSun" w:cs="SimSun"/>
                <w:color w:val="000000"/>
                <w:spacing w:val="0"/>
                <w:w w:val="100"/>
                <w:position w:val="0"/>
                <w:sz w:val="20"/>
                <w:szCs w:val="20"/>
              </w:rPr>
              <w:t>（</w:t>
            </w:r>
            <w:r>
              <w:rPr>
                <w:color w:val="000000"/>
                <w:spacing w:val="0"/>
                <w:w w:val="100"/>
                <w:position w:val="0"/>
                <w:sz w:val="20"/>
                <w:szCs w:val="20"/>
              </w:rPr>
              <w:t>0302.</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HK）</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2011</w:t>
            </w:r>
            <w:r>
              <w:rPr>
                <w:rFonts w:ascii="SimSun" w:eastAsia="SimSun" w:hAnsi="SimSun" w:cs="SimSun"/>
                <w:color w:val="000000"/>
                <w:spacing w:val="0"/>
                <w:w w:val="100"/>
                <w:position w:val="0"/>
                <w:sz w:val="18"/>
                <w:szCs w:val="18"/>
              </w:rPr>
              <w:t>年</w:t>
            </w:r>
            <w:r>
              <w:rPr>
                <w:color w:val="000000"/>
                <w:spacing w:val="0"/>
                <w:w w:val="100"/>
                <w:position w:val="0"/>
                <w:sz w:val="20"/>
                <w:szCs w:val="20"/>
              </w:rPr>
              <w:t>1</w:t>
            </w:r>
            <w:r>
              <w:rPr>
                <w:rFonts w:ascii="SimSun" w:eastAsia="SimSun" w:hAnsi="SimSun" w:cs="SimSun"/>
                <w:color w:val="000000"/>
                <w:spacing w:val="0"/>
                <w:w w:val="100"/>
                <w:position w:val="0"/>
                <w:sz w:val="18"/>
                <w:szCs w:val="18"/>
              </w:rPr>
              <w:t>日</w:t>
            </w:r>
            <w:r>
              <w:rPr>
                <w:color w:val="000000"/>
                <w:spacing w:val="0"/>
                <w:w w:val="100"/>
                <w:position w:val="0"/>
                <w:sz w:val="20"/>
                <w:szCs w:val="20"/>
              </w:rPr>
              <w:t>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冼汉迪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国宏嘉信</w:t>
            </w:r>
            <w:r>
              <w:rPr>
                <w:color w:val="000000"/>
                <w:spacing w:val="0"/>
                <w:w w:val="100"/>
                <w:position w:val="0"/>
                <w:sz w:val="20"/>
                <w:szCs w:val="20"/>
              </w:rPr>
              <w:t>（</w:t>
            </w:r>
            <w:r>
              <w:rPr>
                <w:rFonts w:ascii="SimSun" w:eastAsia="SimSun" w:hAnsi="SimSun" w:cs="SimSun"/>
                <w:color w:val="000000"/>
                <w:spacing w:val="0"/>
                <w:w w:val="100"/>
                <w:position w:val="0"/>
                <w:sz w:val="18"/>
                <w:szCs w:val="18"/>
              </w:rPr>
              <w:t>深圳</w:t>
            </w:r>
            <w:r>
              <w:rPr>
                <w:color w:val="000000"/>
                <w:spacing w:val="0"/>
                <w:w w:val="100"/>
                <w:position w:val="0"/>
                <w:sz w:val="20"/>
                <w:szCs w:val="20"/>
              </w:rPr>
              <w:t>）</w:t>
            </w:r>
            <w:r>
              <w:rPr>
                <w:rFonts w:ascii="SimSun" w:eastAsia="SimSun" w:hAnsi="SimSun" w:cs="SimSun"/>
                <w:color w:val="000000"/>
                <w:spacing w:val="0"/>
                <w:w w:val="100"/>
                <w:position w:val="0"/>
                <w:sz w:val="18"/>
                <w:szCs w:val="18"/>
              </w:rPr>
              <w:t>股权投资管理有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投资委员会委 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2016</w:t>
            </w:r>
            <w:r>
              <w:rPr>
                <w:rFonts w:ascii="SimSun" w:eastAsia="SimSun" w:hAnsi="SimSun" w:cs="SimSun"/>
                <w:color w:val="000000"/>
                <w:spacing w:val="0"/>
                <w:w w:val="100"/>
                <w:position w:val="0"/>
                <w:sz w:val="18"/>
                <w:szCs w:val="18"/>
              </w:rPr>
              <w:t>年</w:t>
            </w:r>
            <w:r>
              <w:rPr>
                <w:color w:val="000000"/>
                <w:spacing w:val="0"/>
                <w:w w:val="100"/>
                <w:position w:val="0"/>
                <w:sz w:val="20"/>
                <w:szCs w:val="20"/>
              </w:rPr>
              <w:t>11</w:t>
            </w:r>
            <w:r>
              <w:rPr>
                <w:rFonts w:ascii="SimSun" w:eastAsia="SimSun" w:hAnsi="SimSun" w:cs="SimSun"/>
                <w:color w:val="000000"/>
                <w:spacing w:val="0"/>
                <w:w w:val="100"/>
                <w:position w:val="0"/>
                <w:sz w:val="18"/>
                <w:szCs w:val="18"/>
              </w:rPr>
              <w:t>月</w:t>
            </w:r>
            <w:r>
              <w:rPr>
                <w:color w:val="000000"/>
                <w:spacing w:val="0"/>
                <w:w w:val="100"/>
                <w:position w:val="0"/>
                <w:sz w:val="20"/>
                <w:szCs w:val="20"/>
              </w:rPr>
              <w:t>16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冼汉迪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8"/>
                <w:szCs w:val="18"/>
              </w:rPr>
              <w:t>训修实业集团</w:t>
            </w:r>
            <w:r>
              <w:rPr>
                <w:color w:val="000000"/>
                <w:spacing w:val="0"/>
                <w:w w:val="100"/>
                <w:position w:val="0"/>
                <w:sz w:val="20"/>
                <w:szCs w:val="20"/>
              </w:rPr>
              <w:t xml:space="preserve">（1962. HK </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独立非执行董 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2017</w:t>
            </w:r>
            <w:r>
              <w:rPr>
                <w:rFonts w:ascii="SimSun" w:eastAsia="SimSun" w:hAnsi="SimSun" w:cs="SimSun"/>
                <w:color w:val="000000"/>
                <w:spacing w:val="0"/>
                <w:w w:val="100"/>
                <w:position w:val="0"/>
                <w:sz w:val="18"/>
                <w:szCs w:val="18"/>
              </w:rPr>
              <w:t>年</w:t>
            </w:r>
            <w:r>
              <w:rPr>
                <w:color w:val="000000"/>
                <w:spacing w:val="0"/>
                <w:w w:val="100"/>
                <w:position w:val="0"/>
                <w:sz w:val="20"/>
                <w:szCs w:val="20"/>
              </w:rPr>
              <w:t>6</w:t>
            </w:r>
            <w:r>
              <w:rPr>
                <w:rFonts w:ascii="SimSun" w:eastAsia="SimSun" w:hAnsi="SimSun" w:cs="SimSun"/>
                <w:color w:val="000000"/>
                <w:spacing w:val="0"/>
                <w:w w:val="100"/>
                <w:position w:val="0"/>
                <w:sz w:val="18"/>
                <w:szCs w:val="18"/>
              </w:rPr>
              <w:t>月</w:t>
            </w:r>
            <w:r>
              <w:rPr>
                <w:color w:val="000000"/>
                <w:spacing w:val="0"/>
                <w:w w:val="100"/>
                <w:position w:val="0"/>
                <w:sz w:val="20"/>
                <w:szCs w:val="20"/>
              </w:rPr>
              <w:t>19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冼汉迪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36Kr Holdings Inc. (KRKR.US)</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2019</w:t>
            </w:r>
            <w:r>
              <w:rPr>
                <w:rFonts w:ascii="SimSun" w:eastAsia="SimSun" w:hAnsi="SimSun" w:cs="SimSun"/>
                <w:color w:val="000000"/>
                <w:spacing w:val="0"/>
                <w:w w:val="100"/>
                <w:position w:val="0"/>
                <w:sz w:val="18"/>
                <w:szCs w:val="18"/>
              </w:rPr>
              <w:t>年</w:t>
            </w:r>
            <w:r>
              <w:rPr>
                <w:color w:val="000000"/>
                <w:spacing w:val="0"/>
                <w:w w:val="100"/>
                <w:position w:val="0"/>
                <w:sz w:val="20"/>
                <w:szCs w:val="20"/>
              </w:rPr>
              <w:t>11</w:t>
            </w:r>
            <w:r>
              <w:rPr>
                <w:rFonts w:ascii="SimSun" w:eastAsia="SimSun" w:hAnsi="SimSun" w:cs="SimSun"/>
                <w:color w:val="000000"/>
                <w:spacing w:val="0"/>
                <w:w w:val="100"/>
                <w:position w:val="0"/>
                <w:sz w:val="18"/>
                <w:szCs w:val="18"/>
              </w:rPr>
              <w:t>月</w:t>
            </w:r>
            <w:r>
              <w:rPr>
                <w:color w:val="000000"/>
                <w:spacing w:val="0"/>
                <w:w w:val="100"/>
                <w:position w:val="0"/>
                <w:sz w:val="20"/>
                <w:szCs w:val="20"/>
              </w:rPr>
              <w:t>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冼汉迪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香港数码港管理有限公司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独立非执行董 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2018</w:t>
            </w:r>
            <w:r>
              <w:rPr>
                <w:rFonts w:ascii="SimSun" w:eastAsia="SimSun" w:hAnsi="SimSun" w:cs="SimSun"/>
                <w:color w:val="000000"/>
                <w:spacing w:val="0"/>
                <w:w w:val="100"/>
                <w:position w:val="0"/>
                <w:sz w:val="18"/>
                <w:szCs w:val="18"/>
              </w:rPr>
              <w:t>年</w:t>
            </w:r>
            <w:r>
              <w:rPr>
                <w:color w:val="000000"/>
                <w:spacing w:val="0"/>
                <w:w w:val="100"/>
                <w:position w:val="0"/>
                <w:sz w:val="20"/>
                <w:szCs w:val="20"/>
              </w:rPr>
              <w:t>4</w:t>
            </w:r>
            <w:r>
              <w:rPr>
                <w:rFonts w:ascii="SimSun" w:eastAsia="SimSun" w:hAnsi="SimSun" w:cs="SimSun"/>
                <w:color w:val="000000"/>
                <w:spacing w:val="0"/>
                <w:w w:val="100"/>
                <w:position w:val="0"/>
                <w:sz w:val="18"/>
                <w:szCs w:val="18"/>
              </w:rPr>
              <w:t>月</w:t>
            </w:r>
            <w:r>
              <w:rPr>
                <w:color w:val="000000"/>
                <w:spacing w:val="0"/>
                <w:w w:val="100"/>
                <w:position w:val="0"/>
                <w:sz w:val="20"/>
                <w:szCs w:val="20"/>
              </w:rPr>
              <w:t>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冼汉迪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8"/>
                <w:szCs w:val="18"/>
              </w:rPr>
              <w:t>经济日报集团</w:t>
            </w:r>
            <w:r>
              <w:rPr>
                <w:color w:val="000000"/>
                <w:spacing w:val="0"/>
                <w:w w:val="100"/>
                <w:position w:val="0"/>
                <w:sz w:val="20"/>
                <w:szCs w:val="20"/>
              </w:rPr>
              <w:t>（0423.HK）</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独立非执行董 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2022</w:t>
            </w:r>
            <w:r>
              <w:rPr>
                <w:rFonts w:ascii="SimSun" w:eastAsia="SimSun" w:hAnsi="SimSun" w:cs="SimSun"/>
                <w:color w:val="000000"/>
                <w:spacing w:val="0"/>
                <w:w w:val="100"/>
                <w:position w:val="0"/>
                <w:sz w:val="18"/>
                <w:szCs w:val="18"/>
              </w:rPr>
              <w:t>年</w:t>
            </w:r>
            <w:r>
              <w:rPr>
                <w:color w:val="000000"/>
                <w:spacing w:val="0"/>
                <w:w w:val="100"/>
                <w:position w:val="0"/>
                <w:sz w:val="20"/>
                <w:szCs w:val="20"/>
              </w:rPr>
              <w:t>1</w:t>
            </w:r>
            <w:r>
              <w:rPr>
                <w:rFonts w:ascii="SimSun" w:eastAsia="SimSun" w:hAnsi="SimSun" w:cs="SimSun"/>
                <w:color w:val="000000"/>
                <w:spacing w:val="0"/>
                <w:w w:val="100"/>
                <w:position w:val="0"/>
                <w:sz w:val="18"/>
                <w:szCs w:val="18"/>
              </w:rPr>
              <w:t>月</w:t>
            </w:r>
            <w:r>
              <w:rPr>
                <w:color w:val="000000"/>
                <w:spacing w:val="0"/>
                <w:w w:val="100"/>
                <w:position w:val="0"/>
                <w:sz w:val="20"/>
                <w:szCs w:val="20"/>
              </w:rPr>
              <w:t>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张康阳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南京苏宁加电子商务有限公司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2021</w:t>
            </w:r>
            <w:r>
              <w:rPr>
                <w:rFonts w:ascii="SimSun" w:eastAsia="SimSun" w:hAnsi="SimSun" w:cs="SimSun"/>
                <w:color w:val="000000"/>
                <w:spacing w:val="0"/>
                <w:w w:val="100"/>
                <w:position w:val="0"/>
                <w:sz w:val="18"/>
                <w:szCs w:val="18"/>
              </w:rPr>
              <w:t>年</w:t>
            </w:r>
            <w:r>
              <w:rPr>
                <w:color w:val="000000"/>
                <w:spacing w:val="0"/>
                <w:w w:val="100"/>
                <w:position w:val="0"/>
                <w:sz w:val="20"/>
                <w:szCs w:val="20"/>
              </w:rPr>
              <w:t>4</w:t>
            </w:r>
            <w:r>
              <w:rPr>
                <w:rFonts w:ascii="SimSun" w:eastAsia="SimSun" w:hAnsi="SimSun" w:cs="SimSun"/>
                <w:color w:val="000000"/>
                <w:spacing w:val="0"/>
                <w:w w:val="100"/>
                <w:position w:val="0"/>
                <w:sz w:val="18"/>
                <w:szCs w:val="18"/>
              </w:rPr>
              <w:t>月</w:t>
            </w:r>
            <w:r>
              <w:rPr>
                <w:color w:val="000000"/>
                <w:spacing w:val="0"/>
                <w:w w:val="100"/>
                <w:position w:val="0"/>
                <w:sz w:val="20"/>
                <w:szCs w:val="20"/>
              </w:rPr>
              <w:t>17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2024</w:t>
            </w:r>
            <w:r>
              <w:rPr>
                <w:rFonts w:ascii="SimSun" w:eastAsia="SimSun" w:hAnsi="SimSun" w:cs="SimSun"/>
                <w:color w:val="000000"/>
                <w:spacing w:val="0"/>
                <w:w w:val="100"/>
                <w:position w:val="0"/>
                <w:sz w:val="18"/>
                <w:szCs w:val="18"/>
              </w:rPr>
              <w:t>年</w:t>
            </w:r>
            <w:r>
              <w:rPr>
                <w:color w:val="000000"/>
                <w:spacing w:val="0"/>
                <w:w w:val="100"/>
                <w:position w:val="0"/>
                <w:sz w:val="20"/>
                <w:szCs w:val="20"/>
              </w:rPr>
              <w:t>4</w:t>
            </w:r>
            <w:r>
              <w:rPr>
                <w:rFonts w:ascii="SimSun" w:eastAsia="SimSun" w:hAnsi="SimSun" w:cs="SimSun"/>
                <w:color w:val="000000"/>
                <w:spacing w:val="0"/>
                <w:w w:val="100"/>
                <w:position w:val="0"/>
                <w:sz w:val="18"/>
                <w:szCs w:val="18"/>
              </w:rPr>
              <w:t>月</w:t>
            </w:r>
            <w:r>
              <w:rPr>
                <w:color w:val="000000"/>
                <w:spacing w:val="0"/>
                <w:w w:val="100"/>
                <w:position w:val="0"/>
                <w:sz w:val="20"/>
                <w:szCs w:val="20"/>
              </w:rPr>
              <w:t>16</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张康阳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F.C. Internazionale Milano S.p.A</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董事会主席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2018</w:t>
            </w:r>
            <w:r>
              <w:rPr>
                <w:rFonts w:ascii="SimSun" w:eastAsia="SimSun" w:hAnsi="SimSun" w:cs="SimSun"/>
                <w:color w:val="000000"/>
                <w:spacing w:val="0"/>
                <w:w w:val="100"/>
                <w:position w:val="0"/>
                <w:sz w:val="18"/>
                <w:szCs w:val="18"/>
              </w:rPr>
              <w:t>年</w:t>
            </w:r>
            <w:r>
              <w:rPr>
                <w:color w:val="000000"/>
                <w:spacing w:val="0"/>
                <w:w w:val="100"/>
                <w:position w:val="0"/>
                <w:sz w:val="20"/>
                <w:szCs w:val="20"/>
              </w:rPr>
              <w:t>10</w:t>
            </w:r>
            <w:r>
              <w:rPr>
                <w:rFonts w:ascii="SimSun" w:eastAsia="SimSun" w:hAnsi="SimSun" w:cs="SimSun"/>
                <w:color w:val="000000"/>
                <w:spacing w:val="0"/>
                <w:w w:val="100"/>
                <w:position w:val="0"/>
                <w:sz w:val="18"/>
                <w:szCs w:val="18"/>
              </w:rPr>
              <w:t>月</w:t>
            </w:r>
            <w:r>
              <w:rPr>
                <w:color w:val="000000"/>
                <w:spacing w:val="0"/>
                <w:w w:val="100"/>
                <w:position w:val="0"/>
                <w:sz w:val="20"/>
                <w:szCs w:val="20"/>
              </w:rPr>
              <w:t>26</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003"/>
        <w:gridCol w:w="2976"/>
        <w:gridCol w:w="1344"/>
        <w:gridCol w:w="1723"/>
        <w:gridCol w:w="1752"/>
        <w:gridCol w:w="1142"/>
      </w:tblGrid>
      <w:tr>
        <w:trPr>
          <w:trHeight w:val="9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任职人员 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在其他单位担 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在其他单位</w:t>
            </w:r>
          </w:p>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是否领取报</w:t>
            </w:r>
          </w:p>
          <w:p>
            <w:pPr>
              <w:pStyle w:val="Style29"/>
              <w:keepNext w:val="0"/>
              <w:keepLines w:val="0"/>
              <w:widowControl w:val="0"/>
              <w:shd w:val="clear" w:color="auto" w:fill="auto"/>
              <w:bidi w:val="0"/>
              <w:spacing w:before="0" w:after="80" w:line="240" w:lineRule="auto"/>
              <w:ind w:left="0" w:right="0" w:firstLine="0"/>
              <w:jc w:val="center"/>
              <w:rPr>
                <w:sz w:val="18"/>
                <w:szCs w:val="18"/>
              </w:rPr>
            </w:pPr>
            <w:r>
              <w:rPr>
                <w:rFonts w:ascii="SimSun" w:eastAsia="SimSun" w:hAnsi="SimSun" w:cs="SimSun"/>
                <w:color w:val="000000"/>
                <w:spacing w:val="0"/>
                <w:w w:val="100"/>
                <w:position w:val="0"/>
                <w:sz w:val="18"/>
                <w:szCs w:val="18"/>
              </w:rPr>
              <w:t>酬津贴</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（国际米兰足球俱乐部）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张康阳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SUNING SPORTS GROUP</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2017</w:t>
            </w:r>
            <w:r>
              <w:rPr>
                <w:rFonts w:ascii="SimSun" w:eastAsia="SimSun" w:hAnsi="SimSun" w:cs="SimSun"/>
                <w:color w:val="000000"/>
                <w:spacing w:val="0"/>
                <w:w w:val="100"/>
                <w:position w:val="0"/>
                <w:sz w:val="18"/>
                <w:szCs w:val="18"/>
              </w:rPr>
              <w:t>年</w:t>
            </w:r>
            <w:r>
              <w:rPr>
                <w:color w:val="000000"/>
                <w:spacing w:val="0"/>
                <w:w w:val="100"/>
                <w:position w:val="0"/>
                <w:sz w:val="20"/>
                <w:szCs w:val="20"/>
              </w:rPr>
              <w:t>9</w:t>
            </w:r>
            <w:r>
              <w:rPr>
                <w:rFonts w:ascii="SimSun" w:eastAsia="SimSun" w:hAnsi="SimSun" w:cs="SimSun"/>
                <w:color w:val="000000"/>
                <w:spacing w:val="0"/>
                <w:w w:val="100"/>
                <w:position w:val="0"/>
                <w:sz w:val="18"/>
                <w:szCs w:val="18"/>
              </w:rPr>
              <w:t>月</w:t>
            </w:r>
            <w:r>
              <w:rPr>
                <w:color w:val="000000"/>
                <w:spacing w:val="0"/>
                <w:w w:val="100"/>
                <w:position w:val="0"/>
                <w:sz w:val="20"/>
                <w:szCs w:val="20"/>
              </w:rPr>
              <w:t>28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张康阳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SUNING SMART LIFE HOLDING</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2018</w:t>
            </w:r>
            <w:r>
              <w:rPr>
                <w:rFonts w:ascii="SimSun" w:eastAsia="SimSun" w:hAnsi="SimSun" w:cs="SimSun"/>
                <w:color w:val="000000"/>
                <w:spacing w:val="0"/>
                <w:w w:val="100"/>
                <w:position w:val="0"/>
                <w:sz w:val="18"/>
                <w:szCs w:val="18"/>
              </w:rPr>
              <w:t>年</w:t>
            </w:r>
            <w:r>
              <w:rPr>
                <w:color w:val="000000"/>
                <w:spacing w:val="0"/>
                <w:w w:val="100"/>
                <w:position w:val="0"/>
                <w:sz w:val="20"/>
                <w:szCs w:val="20"/>
              </w:rPr>
              <w:t>7</w:t>
            </w:r>
            <w:r>
              <w:rPr>
                <w:rFonts w:ascii="SimSun" w:eastAsia="SimSun" w:hAnsi="SimSun" w:cs="SimSun"/>
                <w:color w:val="000000"/>
                <w:spacing w:val="0"/>
                <w:w w:val="100"/>
                <w:position w:val="0"/>
                <w:sz w:val="18"/>
                <w:szCs w:val="18"/>
              </w:rPr>
              <w:t>月</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张康阳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南京润贤企业管理中心（有限合 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执行事务合伙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2021</w:t>
            </w:r>
            <w:r>
              <w:rPr>
                <w:rFonts w:ascii="SimSun" w:eastAsia="SimSun" w:hAnsi="SimSun" w:cs="SimSun"/>
                <w:color w:val="000000"/>
                <w:spacing w:val="0"/>
                <w:w w:val="100"/>
                <w:position w:val="0"/>
                <w:sz w:val="18"/>
                <w:szCs w:val="18"/>
              </w:rPr>
              <w:t>年</w:t>
            </w:r>
            <w:r>
              <w:rPr>
                <w:color w:val="000000"/>
                <w:spacing w:val="0"/>
                <w:w w:val="100"/>
                <w:position w:val="0"/>
                <w:sz w:val="20"/>
                <w:szCs w:val="20"/>
              </w:rPr>
              <w:t>7</w:t>
            </w:r>
            <w:r>
              <w:rPr>
                <w:rFonts w:ascii="SimSun" w:eastAsia="SimSun" w:hAnsi="SimSun" w:cs="SimSun"/>
                <w:color w:val="000000"/>
                <w:spacing w:val="0"/>
                <w:w w:val="100"/>
                <w:position w:val="0"/>
                <w:sz w:val="18"/>
                <w:szCs w:val="18"/>
              </w:rPr>
              <w:t>月</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方先明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黄山太平农村商业银行股份有限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2016</w:t>
            </w:r>
            <w:r>
              <w:rPr>
                <w:rFonts w:ascii="SimSun" w:eastAsia="SimSun" w:hAnsi="SimSun" w:cs="SimSun"/>
                <w:color w:val="000000"/>
                <w:spacing w:val="0"/>
                <w:w w:val="100"/>
                <w:position w:val="0"/>
                <w:sz w:val="18"/>
                <w:szCs w:val="18"/>
              </w:rPr>
              <w:t>年</w:t>
            </w:r>
            <w:r>
              <w:rPr>
                <w:color w:val="000000"/>
                <w:spacing w:val="0"/>
                <w:w w:val="100"/>
                <w:position w:val="0"/>
                <w:sz w:val="20"/>
                <w:szCs w:val="20"/>
              </w:rPr>
              <w:t>3</w:t>
            </w:r>
            <w:r>
              <w:rPr>
                <w:rFonts w:ascii="SimSun" w:eastAsia="SimSun" w:hAnsi="SimSun" w:cs="SimSun"/>
                <w:color w:val="000000"/>
                <w:spacing w:val="0"/>
                <w:w w:val="100"/>
                <w:position w:val="0"/>
                <w:sz w:val="18"/>
                <w:szCs w:val="18"/>
              </w:rPr>
              <w:t>月</w:t>
            </w:r>
            <w:r>
              <w:rPr>
                <w:color w:val="000000"/>
                <w:spacing w:val="0"/>
                <w:w w:val="100"/>
                <w:position w:val="0"/>
                <w:sz w:val="20"/>
                <w:szCs w:val="20"/>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2022</w:t>
            </w:r>
            <w:r>
              <w:rPr>
                <w:rFonts w:ascii="SimSun" w:eastAsia="SimSun" w:hAnsi="SimSun" w:cs="SimSun"/>
                <w:color w:val="000000"/>
                <w:spacing w:val="0"/>
                <w:w w:val="100"/>
                <w:position w:val="0"/>
                <w:sz w:val="18"/>
                <w:szCs w:val="18"/>
              </w:rPr>
              <w:t>年</w:t>
            </w:r>
            <w:r>
              <w:rPr>
                <w:color w:val="000000"/>
                <w:spacing w:val="0"/>
                <w:w w:val="100"/>
                <w:position w:val="0"/>
                <w:sz w:val="20"/>
                <w:szCs w:val="20"/>
              </w:rPr>
              <w:t>3</w:t>
            </w:r>
            <w:r>
              <w:rPr>
                <w:rFonts w:ascii="SimSun" w:eastAsia="SimSun" w:hAnsi="SimSun" w:cs="SimSun"/>
                <w:color w:val="000000"/>
                <w:spacing w:val="0"/>
                <w:w w:val="100"/>
                <w:position w:val="0"/>
                <w:sz w:val="18"/>
                <w:szCs w:val="18"/>
              </w:rPr>
              <w:t>月</w:t>
            </w:r>
            <w:r>
              <w:rPr>
                <w:color w:val="000000"/>
                <w:spacing w:val="0"/>
                <w:w w:val="100"/>
                <w:position w:val="0"/>
                <w:sz w:val="20"/>
                <w:szCs w:val="20"/>
              </w:rPr>
              <w:t>31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方先明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江苏太平洋石英股份有限公司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2019</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2022</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方先明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紫金财产保险股份有限公司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2020</w:t>
            </w:r>
            <w:r>
              <w:rPr>
                <w:rFonts w:ascii="SimSun" w:eastAsia="SimSun" w:hAnsi="SimSun" w:cs="SimSun"/>
                <w:color w:val="000000"/>
                <w:spacing w:val="0"/>
                <w:w w:val="100"/>
                <w:position w:val="0"/>
                <w:sz w:val="18"/>
                <w:szCs w:val="18"/>
              </w:rPr>
              <w:t>年</w:t>
            </w:r>
            <w:r>
              <w:rPr>
                <w:color w:val="000000"/>
                <w:spacing w:val="0"/>
                <w:w w:val="100"/>
                <w:position w:val="0"/>
                <w:sz w:val="20"/>
                <w:szCs w:val="20"/>
              </w:rPr>
              <w:t>1</w:t>
            </w:r>
            <w:r>
              <w:rPr>
                <w:rFonts w:ascii="SimSun" w:eastAsia="SimSun" w:hAnsi="SimSun" w:cs="SimSun"/>
                <w:color w:val="000000"/>
                <w:spacing w:val="0"/>
                <w:w w:val="100"/>
                <w:position w:val="0"/>
                <w:sz w:val="18"/>
                <w:szCs w:val="18"/>
              </w:rPr>
              <w:t>月</w:t>
            </w:r>
            <w:r>
              <w:rPr>
                <w:color w:val="000000"/>
                <w:spacing w:val="0"/>
                <w:w w:val="100"/>
                <w:position w:val="0"/>
                <w:sz w:val="20"/>
                <w:szCs w:val="20"/>
              </w:rPr>
              <w:t>18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2023</w:t>
            </w:r>
            <w:r>
              <w:rPr>
                <w:rFonts w:ascii="SimSun" w:eastAsia="SimSun" w:hAnsi="SimSun" w:cs="SimSun"/>
                <w:color w:val="000000"/>
                <w:spacing w:val="0"/>
                <w:w w:val="100"/>
                <w:position w:val="0"/>
                <w:sz w:val="18"/>
                <w:szCs w:val="18"/>
              </w:rPr>
              <w:t>年</w:t>
            </w:r>
            <w:r>
              <w:rPr>
                <w:color w:val="000000"/>
                <w:spacing w:val="0"/>
                <w:w w:val="100"/>
                <w:position w:val="0"/>
                <w:sz w:val="20"/>
                <w:szCs w:val="20"/>
              </w:rPr>
              <w:t>1</w:t>
            </w:r>
            <w:r>
              <w:rPr>
                <w:rFonts w:ascii="SimSun" w:eastAsia="SimSun" w:hAnsi="SimSun" w:cs="SimSun"/>
                <w:color w:val="000000"/>
                <w:spacing w:val="0"/>
                <w:w w:val="100"/>
                <w:position w:val="0"/>
                <w:sz w:val="18"/>
                <w:szCs w:val="18"/>
              </w:rPr>
              <w:t>月</w:t>
            </w:r>
            <w:r>
              <w:rPr>
                <w:color w:val="000000"/>
                <w:spacing w:val="0"/>
                <w:w w:val="100"/>
                <w:position w:val="0"/>
                <w:sz w:val="20"/>
                <w:szCs w:val="20"/>
              </w:rPr>
              <w:t>17</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方先明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苏州新区高新技术产业股份有限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2020</w:t>
            </w:r>
            <w:r>
              <w:rPr>
                <w:rFonts w:ascii="SimSun" w:eastAsia="SimSun" w:hAnsi="SimSun" w:cs="SimSun"/>
                <w:color w:val="000000"/>
                <w:spacing w:val="0"/>
                <w:w w:val="100"/>
                <w:position w:val="0"/>
                <w:sz w:val="18"/>
                <w:szCs w:val="18"/>
              </w:rPr>
              <w:t>年</w:t>
            </w:r>
            <w:r>
              <w:rPr>
                <w:color w:val="000000"/>
                <w:spacing w:val="0"/>
                <w:w w:val="100"/>
                <w:position w:val="0"/>
                <w:sz w:val="20"/>
                <w:szCs w:val="20"/>
              </w:rPr>
              <w:t>9</w:t>
            </w:r>
            <w:r>
              <w:rPr>
                <w:rFonts w:ascii="SimSun" w:eastAsia="SimSun" w:hAnsi="SimSun" w:cs="SimSun"/>
                <w:color w:val="000000"/>
                <w:spacing w:val="0"/>
                <w:w w:val="100"/>
                <w:position w:val="0"/>
                <w:sz w:val="18"/>
                <w:szCs w:val="18"/>
              </w:rPr>
              <w:t>月</w:t>
            </w:r>
            <w:r>
              <w:rPr>
                <w:color w:val="000000"/>
                <w:spacing w:val="0"/>
                <w:w w:val="100"/>
                <w:position w:val="0"/>
                <w:sz w:val="20"/>
                <w:szCs w:val="20"/>
              </w:rPr>
              <w:t>15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柳世平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南京栖霞建设股份有限公司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2021</w:t>
            </w:r>
            <w:r>
              <w:rPr>
                <w:rFonts w:ascii="SimSun" w:eastAsia="SimSun" w:hAnsi="SimSun" w:cs="SimSun"/>
                <w:color w:val="000000"/>
                <w:spacing w:val="0"/>
                <w:w w:val="100"/>
                <w:position w:val="0"/>
                <w:sz w:val="18"/>
                <w:szCs w:val="18"/>
              </w:rPr>
              <w:t>年</w:t>
            </w:r>
            <w:r>
              <w:rPr>
                <w:color w:val="000000"/>
                <w:spacing w:val="0"/>
                <w:w w:val="100"/>
                <w:position w:val="0"/>
                <w:sz w:val="20"/>
                <w:szCs w:val="20"/>
              </w:rPr>
              <w:t>10</w:t>
            </w:r>
            <w:r>
              <w:rPr>
                <w:rFonts w:ascii="SimSun" w:eastAsia="SimSun" w:hAnsi="SimSun" w:cs="SimSun"/>
                <w:color w:val="000000"/>
                <w:spacing w:val="0"/>
                <w:w w:val="100"/>
                <w:position w:val="0"/>
                <w:sz w:val="18"/>
                <w:szCs w:val="18"/>
              </w:rPr>
              <w:t>月</w:t>
            </w:r>
            <w:r>
              <w:rPr>
                <w:color w:val="000000"/>
                <w:spacing w:val="0"/>
                <w:w w:val="100"/>
                <w:position w:val="0"/>
                <w:sz w:val="20"/>
                <w:szCs w:val="20"/>
              </w:rPr>
              <w:t>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2024</w:t>
            </w:r>
            <w:r>
              <w:rPr>
                <w:rFonts w:ascii="SimSun" w:eastAsia="SimSun" w:hAnsi="SimSun" w:cs="SimSun"/>
                <w:color w:val="000000"/>
                <w:spacing w:val="0"/>
                <w:w w:val="100"/>
                <w:position w:val="0"/>
                <w:sz w:val="18"/>
                <w:szCs w:val="18"/>
              </w:rPr>
              <w:t>年</w:t>
            </w:r>
            <w:r>
              <w:rPr>
                <w:color w:val="000000"/>
                <w:spacing w:val="0"/>
                <w:w w:val="100"/>
                <w:position w:val="0"/>
                <w:sz w:val="20"/>
                <w:szCs w:val="20"/>
              </w:rPr>
              <w:t>10</w:t>
            </w:r>
            <w:r>
              <w:rPr>
                <w:rFonts w:ascii="SimSun" w:eastAsia="SimSun" w:hAnsi="SimSun" w:cs="SimSun"/>
                <w:color w:val="000000"/>
                <w:spacing w:val="0"/>
                <w:w w:val="100"/>
                <w:position w:val="0"/>
                <w:sz w:val="18"/>
                <w:szCs w:val="18"/>
              </w:rPr>
              <w:t>月</w:t>
            </w:r>
            <w:r>
              <w:rPr>
                <w:color w:val="000000"/>
                <w:spacing w:val="0"/>
                <w:w w:val="100"/>
                <w:position w:val="0"/>
                <w:sz w:val="20"/>
                <w:szCs w:val="20"/>
              </w:rPr>
              <w:t>7</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柳世平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朗坤智慧科技股份有限公司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2019</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13</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2022</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12</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柳世平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康平科技（苏州）股份有限公司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2020</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11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2023</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11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柳世平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南京市南部新城开发建设（集团）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2022</w:t>
            </w:r>
            <w:r>
              <w:rPr>
                <w:rFonts w:ascii="SimSun" w:eastAsia="SimSun" w:hAnsi="SimSun" w:cs="SimSun"/>
                <w:color w:val="000000"/>
                <w:spacing w:val="0"/>
                <w:w w:val="100"/>
                <w:position w:val="0"/>
                <w:sz w:val="18"/>
                <w:szCs w:val="18"/>
              </w:rPr>
              <w:t>年</w:t>
            </w:r>
            <w:r>
              <w:rPr>
                <w:color w:val="000000"/>
                <w:spacing w:val="0"/>
                <w:w w:val="100"/>
                <w:position w:val="0"/>
                <w:sz w:val="20"/>
                <w:szCs w:val="20"/>
              </w:rPr>
              <w:t>1</w:t>
            </w:r>
            <w:r>
              <w:rPr>
                <w:rFonts w:ascii="SimSun" w:eastAsia="SimSun" w:hAnsi="SimSun" w:cs="SimSun"/>
                <w:color w:val="000000"/>
                <w:spacing w:val="0"/>
                <w:w w:val="100"/>
                <w:position w:val="0"/>
                <w:sz w:val="18"/>
                <w:szCs w:val="18"/>
              </w:rPr>
              <w:t>月</w:t>
            </w:r>
            <w:r>
              <w:rPr>
                <w:color w:val="000000"/>
                <w:spacing w:val="0"/>
                <w:w w:val="100"/>
                <w:position w:val="0"/>
                <w:sz w:val="20"/>
                <w:szCs w:val="20"/>
              </w:rPr>
              <w:t>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2024</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31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陈振宇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南京慕测信息科技有限公司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2021</w:t>
            </w:r>
            <w:r>
              <w:rPr>
                <w:rFonts w:ascii="SimSun" w:eastAsia="SimSun" w:hAnsi="SimSun" w:cs="SimSun"/>
                <w:color w:val="000000"/>
                <w:spacing w:val="0"/>
                <w:w w:val="100"/>
                <w:position w:val="0"/>
                <w:sz w:val="18"/>
                <w:szCs w:val="18"/>
              </w:rPr>
              <w:t>年</w:t>
            </w:r>
            <w:r>
              <w:rPr>
                <w:color w:val="000000"/>
                <w:spacing w:val="0"/>
                <w:w w:val="100"/>
                <w:position w:val="0"/>
                <w:sz w:val="20"/>
                <w:szCs w:val="20"/>
              </w:rPr>
              <w:t>7</w:t>
            </w:r>
            <w:r>
              <w:rPr>
                <w:rFonts w:ascii="SimSun" w:eastAsia="SimSun" w:hAnsi="SimSun" w:cs="SimSun"/>
                <w:color w:val="000000"/>
                <w:spacing w:val="0"/>
                <w:w w:val="100"/>
                <w:position w:val="0"/>
                <w:sz w:val="18"/>
                <w:szCs w:val="18"/>
              </w:rPr>
              <w:t>月</w:t>
            </w:r>
            <w:r>
              <w:rPr>
                <w:color w:val="000000"/>
                <w:spacing w:val="0"/>
                <w:w w:val="100"/>
                <w:position w:val="0"/>
                <w:sz w:val="20"/>
                <w:szCs w:val="20"/>
              </w:rPr>
              <w:t>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陈振宇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深圳慕智科技有限公司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2020</w:t>
            </w:r>
            <w:r>
              <w:rPr>
                <w:rFonts w:ascii="SimSun" w:eastAsia="SimSun" w:hAnsi="SimSun" w:cs="SimSun"/>
                <w:color w:val="000000"/>
                <w:spacing w:val="0"/>
                <w:w w:val="100"/>
                <w:position w:val="0"/>
                <w:sz w:val="18"/>
                <w:szCs w:val="18"/>
              </w:rPr>
              <w:t>年</w:t>
            </w:r>
            <w:r>
              <w:rPr>
                <w:color w:val="000000"/>
                <w:spacing w:val="0"/>
                <w:w w:val="100"/>
                <w:position w:val="0"/>
                <w:sz w:val="20"/>
                <w:szCs w:val="20"/>
              </w:rPr>
              <w:t>6</w:t>
            </w:r>
            <w:r>
              <w:rPr>
                <w:rFonts w:ascii="SimSun" w:eastAsia="SimSun" w:hAnsi="SimSun" w:cs="SimSun"/>
                <w:color w:val="000000"/>
                <w:spacing w:val="0"/>
                <w:w w:val="100"/>
                <w:position w:val="0"/>
                <w:sz w:val="18"/>
                <w:szCs w:val="18"/>
              </w:rPr>
              <w:t>月</w:t>
            </w:r>
            <w:r>
              <w:rPr>
                <w:color w:val="000000"/>
                <w:spacing w:val="0"/>
                <w:w w:val="100"/>
                <w:position w:val="0"/>
                <w:sz w:val="20"/>
                <w:szCs w:val="20"/>
              </w:rPr>
              <w:t>18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陈振宇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深圳慕智科技有限公司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2020</w:t>
            </w:r>
            <w:r>
              <w:rPr>
                <w:rFonts w:ascii="SimSun" w:eastAsia="SimSun" w:hAnsi="SimSun" w:cs="SimSun"/>
                <w:color w:val="000000"/>
                <w:spacing w:val="0"/>
                <w:w w:val="100"/>
                <w:position w:val="0"/>
                <w:sz w:val="18"/>
                <w:szCs w:val="18"/>
              </w:rPr>
              <w:t>年</w:t>
            </w:r>
            <w:r>
              <w:rPr>
                <w:color w:val="000000"/>
                <w:spacing w:val="0"/>
                <w:w w:val="100"/>
                <w:position w:val="0"/>
                <w:sz w:val="20"/>
                <w:szCs w:val="20"/>
              </w:rPr>
              <w:t>6</w:t>
            </w:r>
            <w:r>
              <w:rPr>
                <w:rFonts w:ascii="SimSun" w:eastAsia="SimSun" w:hAnsi="SimSun" w:cs="SimSun"/>
                <w:color w:val="000000"/>
                <w:spacing w:val="0"/>
                <w:w w:val="100"/>
                <w:position w:val="0"/>
                <w:sz w:val="18"/>
                <w:szCs w:val="18"/>
              </w:rPr>
              <w:t>月</w:t>
            </w:r>
            <w:r>
              <w:rPr>
                <w:color w:val="000000"/>
                <w:spacing w:val="0"/>
                <w:w w:val="100"/>
                <w:position w:val="0"/>
                <w:sz w:val="20"/>
                <w:szCs w:val="20"/>
              </w:rPr>
              <w:t>18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陈振宇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南京市慕德信息科技合伙企业（有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执行事务合伙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2020</w:t>
            </w:r>
            <w:r>
              <w:rPr>
                <w:rFonts w:ascii="SimSun" w:eastAsia="SimSun" w:hAnsi="SimSun" w:cs="SimSun"/>
                <w:color w:val="000000"/>
                <w:spacing w:val="0"/>
                <w:w w:val="100"/>
                <w:position w:val="0"/>
                <w:sz w:val="18"/>
                <w:szCs w:val="18"/>
              </w:rPr>
              <w:t>年</w:t>
            </w:r>
            <w:r>
              <w:rPr>
                <w:color w:val="000000"/>
                <w:spacing w:val="0"/>
                <w:w w:val="100"/>
                <w:position w:val="0"/>
                <w:sz w:val="20"/>
                <w:szCs w:val="20"/>
              </w:rPr>
              <w:t>5</w:t>
            </w:r>
            <w:r>
              <w:rPr>
                <w:rFonts w:ascii="SimSun" w:eastAsia="SimSun" w:hAnsi="SimSun" w:cs="SimSun"/>
                <w:color w:val="000000"/>
                <w:spacing w:val="0"/>
                <w:w w:val="100"/>
                <w:position w:val="0"/>
                <w:sz w:val="18"/>
                <w:szCs w:val="18"/>
              </w:rPr>
              <w:t>月</w:t>
            </w:r>
            <w:r>
              <w:rPr>
                <w:color w:val="000000"/>
                <w:spacing w:val="0"/>
                <w:w w:val="100"/>
                <w:position w:val="0"/>
                <w:sz w:val="20"/>
                <w:szCs w:val="20"/>
              </w:rPr>
              <w:t>15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陈振宇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南京尊源软件技术有限公司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2015</w:t>
            </w:r>
            <w:r>
              <w:rPr>
                <w:rFonts w:ascii="SimSun" w:eastAsia="SimSun" w:hAnsi="SimSun" w:cs="SimSun"/>
                <w:color w:val="000000"/>
                <w:spacing w:val="0"/>
                <w:w w:val="100"/>
                <w:position w:val="0"/>
                <w:sz w:val="18"/>
                <w:szCs w:val="18"/>
              </w:rPr>
              <w:t>年</w:t>
            </w:r>
            <w:r>
              <w:rPr>
                <w:color w:val="000000"/>
                <w:spacing w:val="0"/>
                <w:w w:val="100"/>
                <w:position w:val="0"/>
                <w:sz w:val="20"/>
                <w:szCs w:val="20"/>
              </w:rPr>
              <w:t>1</w:t>
            </w:r>
            <w:r>
              <w:rPr>
                <w:rFonts w:ascii="SimSun" w:eastAsia="SimSun" w:hAnsi="SimSun" w:cs="SimSun"/>
                <w:color w:val="000000"/>
                <w:spacing w:val="0"/>
                <w:w w:val="100"/>
                <w:position w:val="0"/>
                <w:sz w:val="18"/>
                <w:szCs w:val="18"/>
              </w:rPr>
              <w:t>月</w:t>
            </w:r>
            <w:r>
              <w:rPr>
                <w:color w:val="000000"/>
                <w:spacing w:val="0"/>
                <w:w w:val="100"/>
                <w:position w:val="0"/>
                <w:sz w:val="20"/>
                <w:szCs w:val="20"/>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华志松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江苏苏宁银行股份有限公司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2020</w:t>
            </w:r>
            <w:r>
              <w:rPr>
                <w:rFonts w:ascii="SimSun" w:eastAsia="SimSun" w:hAnsi="SimSun" w:cs="SimSun"/>
                <w:color w:val="000000"/>
                <w:spacing w:val="0"/>
                <w:w w:val="100"/>
                <w:position w:val="0"/>
                <w:sz w:val="18"/>
                <w:szCs w:val="18"/>
              </w:rPr>
              <w:t>年</w:t>
            </w:r>
            <w:r>
              <w:rPr>
                <w:color w:val="000000"/>
                <w:spacing w:val="0"/>
                <w:w w:val="100"/>
                <w:position w:val="0"/>
                <w:sz w:val="20"/>
                <w:szCs w:val="20"/>
              </w:rPr>
              <w:t>5</w:t>
            </w:r>
            <w:r>
              <w:rPr>
                <w:rFonts w:ascii="SimSun" w:eastAsia="SimSun" w:hAnsi="SimSun" w:cs="SimSun"/>
                <w:color w:val="000000"/>
                <w:spacing w:val="0"/>
                <w:w w:val="100"/>
                <w:position w:val="0"/>
                <w:sz w:val="18"/>
                <w:szCs w:val="18"/>
              </w:rPr>
              <w:t>月</w:t>
            </w:r>
            <w:r>
              <w:rPr>
                <w:color w:val="000000"/>
                <w:spacing w:val="0"/>
                <w:w w:val="100"/>
                <w:position w:val="0"/>
                <w:sz w:val="20"/>
                <w:szCs w:val="20"/>
              </w:rPr>
              <w:t>15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2023</w:t>
            </w:r>
            <w:r>
              <w:rPr>
                <w:rFonts w:ascii="SimSun" w:eastAsia="SimSun" w:hAnsi="SimSun" w:cs="SimSun"/>
                <w:color w:val="000000"/>
                <w:spacing w:val="0"/>
                <w:w w:val="100"/>
                <w:position w:val="0"/>
                <w:sz w:val="18"/>
                <w:szCs w:val="18"/>
              </w:rPr>
              <w:t>年</w:t>
            </w:r>
            <w:r>
              <w:rPr>
                <w:color w:val="000000"/>
                <w:spacing w:val="0"/>
                <w:w w:val="100"/>
                <w:position w:val="0"/>
                <w:sz w:val="20"/>
                <w:szCs w:val="20"/>
              </w:rPr>
              <w:t>5</w:t>
            </w:r>
            <w:r>
              <w:rPr>
                <w:rFonts w:ascii="SimSun" w:eastAsia="SimSun" w:hAnsi="SimSun" w:cs="SimSun"/>
                <w:color w:val="000000"/>
                <w:spacing w:val="0"/>
                <w:w w:val="100"/>
                <w:position w:val="0"/>
                <w:sz w:val="18"/>
                <w:szCs w:val="18"/>
              </w:rPr>
              <w:t>月</w:t>
            </w:r>
            <w:r>
              <w:rPr>
                <w:color w:val="000000"/>
                <w:spacing w:val="0"/>
                <w:w w:val="100"/>
                <w:position w:val="0"/>
                <w:sz w:val="20"/>
                <w:szCs w:val="20"/>
              </w:rPr>
              <w:t>14</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华志松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上海星图金融服务集团有限公司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2019</w:t>
            </w:r>
            <w:r>
              <w:rPr>
                <w:rFonts w:ascii="SimSun" w:eastAsia="SimSun" w:hAnsi="SimSun" w:cs="SimSun"/>
                <w:color w:val="000000"/>
                <w:spacing w:val="0"/>
                <w:w w:val="100"/>
                <w:position w:val="0"/>
                <w:sz w:val="18"/>
                <w:szCs w:val="18"/>
              </w:rPr>
              <w:t>年</w:t>
            </w:r>
            <w:r>
              <w:rPr>
                <w:color w:val="000000"/>
                <w:spacing w:val="0"/>
                <w:w w:val="100"/>
                <w:position w:val="0"/>
                <w:sz w:val="20"/>
                <w:szCs w:val="20"/>
              </w:rPr>
              <w:t>9</w:t>
            </w:r>
            <w:r>
              <w:rPr>
                <w:rFonts w:ascii="SimSun" w:eastAsia="SimSun" w:hAnsi="SimSun" w:cs="SimSun"/>
                <w:color w:val="000000"/>
                <w:spacing w:val="0"/>
                <w:w w:val="100"/>
                <w:position w:val="0"/>
                <w:sz w:val="18"/>
                <w:szCs w:val="18"/>
              </w:rPr>
              <w:t>月</w:t>
            </w:r>
            <w:r>
              <w:rPr>
                <w:color w:val="000000"/>
                <w:spacing w:val="0"/>
                <w:w w:val="100"/>
                <w:position w:val="0"/>
                <w:sz w:val="20"/>
                <w:szCs w:val="20"/>
              </w:rPr>
              <w:t>27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2022</w:t>
            </w:r>
            <w:r>
              <w:rPr>
                <w:rFonts w:ascii="SimSun" w:eastAsia="SimSun" w:hAnsi="SimSun" w:cs="SimSun"/>
                <w:color w:val="000000"/>
                <w:spacing w:val="0"/>
                <w:w w:val="100"/>
                <w:position w:val="0"/>
                <w:sz w:val="18"/>
                <w:szCs w:val="18"/>
              </w:rPr>
              <w:t>年</w:t>
            </w:r>
            <w:r>
              <w:rPr>
                <w:color w:val="000000"/>
                <w:spacing w:val="0"/>
                <w:w w:val="100"/>
                <w:position w:val="0"/>
                <w:sz w:val="20"/>
                <w:szCs w:val="20"/>
              </w:rPr>
              <w:t>9</w:t>
            </w:r>
            <w:r>
              <w:rPr>
                <w:rFonts w:ascii="SimSun" w:eastAsia="SimSun" w:hAnsi="SimSun" w:cs="SimSun"/>
                <w:color w:val="000000"/>
                <w:spacing w:val="0"/>
                <w:w w:val="100"/>
                <w:position w:val="0"/>
                <w:sz w:val="18"/>
                <w:szCs w:val="18"/>
              </w:rPr>
              <w:t>月</w:t>
            </w:r>
            <w:r>
              <w:rPr>
                <w:color w:val="000000"/>
                <w:spacing w:val="0"/>
                <w:w w:val="100"/>
                <w:position w:val="0"/>
                <w:sz w:val="20"/>
                <w:szCs w:val="20"/>
              </w:rPr>
              <w:t>26</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华志松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丸悦（无锡）商贸有限公司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2021</w:t>
            </w:r>
            <w:r>
              <w:rPr>
                <w:rFonts w:ascii="SimSun" w:eastAsia="SimSun" w:hAnsi="SimSun" w:cs="SimSun"/>
                <w:color w:val="000000"/>
                <w:spacing w:val="0"/>
                <w:w w:val="100"/>
                <w:position w:val="0"/>
                <w:sz w:val="18"/>
                <w:szCs w:val="18"/>
              </w:rPr>
              <w:t>年</w:t>
            </w:r>
            <w:r>
              <w:rPr>
                <w:color w:val="000000"/>
                <w:spacing w:val="0"/>
                <w:w w:val="100"/>
                <w:position w:val="0"/>
                <w:sz w:val="20"/>
                <w:szCs w:val="20"/>
              </w:rPr>
              <w:t>4</w:t>
            </w:r>
            <w:r>
              <w:rPr>
                <w:rFonts w:ascii="SimSun" w:eastAsia="SimSun" w:hAnsi="SimSun" w:cs="SimSun"/>
                <w:color w:val="000000"/>
                <w:spacing w:val="0"/>
                <w:w w:val="100"/>
                <w:position w:val="0"/>
                <w:sz w:val="18"/>
                <w:szCs w:val="18"/>
              </w:rPr>
              <w:t>月</w:t>
            </w:r>
            <w:r>
              <w:rPr>
                <w:color w:val="000000"/>
                <w:spacing w:val="0"/>
                <w:w w:val="100"/>
                <w:position w:val="0"/>
                <w:sz w:val="20"/>
                <w:szCs w:val="20"/>
              </w:rPr>
              <w:t>30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2022</w:t>
            </w:r>
            <w:r>
              <w:rPr>
                <w:rFonts w:ascii="SimSun" w:eastAsia="SimSun" w:hAnsi="SimSun" w:cs="SimSun"/>
                <w:color w:val="000000"/>
                <w:spacing w:val="0"/>
                <w:w w:val="100"/>
                <w:position w:val="0"/>
                <w:sz w:val="18"/>
                <w:szCs w:val="18"/>
              </w:rPr>
              <w:t>年</w:t>
            </w:r>
            <w:r>
              <w:rPr>
                <w:color w:val="000000"/>
                <w:spacing w:val="0"/>
                <w:w w:val="100"/>
                <w:position w:val="0"/>
                <w:sz w:val="20"/>
                <w:szCs w:val="20"/>
              </w:rPr>
              <w:t>8</w:t>
            </w:r>
            <w:r>
              <w:rPr>
                <w:rFonts w:ascii="SimSun" w:eastAsia="SimSun" w:hAnsi="SimSun" w:cs="SimSun"/>
                <w:color w:val="000000"/>
                <w:spacing w:val="0"/>
                <w:w w:val="100"/>
                <w:position w:val="0"/>
                <w:sz w:val="18"/>
                <w:szCs w:val="18"/>
              </w:rPr>
              <w:t>月</w:t>
            </w:r>
            <w:r>
              <w:rPr>
                <w:color w:val="000000"/>
                <w:spacing w:val="0"/>
                <w:w w:val="100"/>
                <w:position w:val="0"/>
                <w:sz w:val="20"/>
                <w:szCs w:val="20"/>
              </w:rPr>
              <w:t>20</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华志松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日本</w:t>
            </w:r>
            <w:r>
              <w:rPr>
                <w:color w:val="000000"/>
                <w:spacing w:val="0"/>
                <w:w w:val="100"/>
                <w:position w:val="0"/>
                <w:sz w:val="20"/>
                <w:szCs w:val="20"/>
              </w:rPr>
              <w:t>LAOX</w:t>
            </w:r>
            <w:r>
              <w:rPr>
                <w:rFonts w:ascii="SimSun" w:eastAsia="SimSun" w:hAnsi="SimSun" w:cs="SimSun"/>
                <w:color w:val="000000"/>
                <w:spacing w:val="0"/>
                <w:w w:val="100"/>
                <w:position w:val="0"/>
                <w:sz w:val="18"/>
                <w:szCs w:val="18"/>
              </w:rPr>
              <w:t>株式会社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2022</w:t>
            </w:r>
            <w:r>
              <w:rPr>
                <w:rFonts w:ascii="SimSun" w:eastAsia="SimSun" w:hAnsi="SimSun" w:cs="SimSun"/>
                <w:color w:val="000000"/>
                <w:spacing w:val="0"/>
                <w:w w:val="100"/>
                <w:position w:val="0"/>
                <w:sz w:val="18"/>
                <w:szCs w:val="18"/>
              </w:rPr>
              <w:t>年</w:t>
            </w:r>
            <w:r>
              <w:rPr>
                <w:color w:val="000000"/>
                <w:spacing w:val="0"/>
                <w:w w:val="100"/>
                <w:position w:val="0"/>
                <w:sz w:val="20"/>
                <w:szCs w:val="20"/>
              </w:rPr>
              <w:t>3</w:t>
            </w:r>
            <w:r>
              <w:rPr>
                <w:rFonts w:ascii="SimSun" w:eastAsia="SimSun" w:hAnsi="SimSun" w:cs="SimSun"/>
                <w:color w:val="000000"/>
                <w:spacing w:val="0"/>
                <w:w w:val="100"/>
                <w:position w:val="0"/>
                <w:sz w:val="18"/>
                <w:szCs w:val="18"/>
              </w:rPr>
              <w:t>月</w:t>
            </w:r>
            <w:r>
              <w:rPr>
                <w:color w:val="000000"/>
                <w:spacing w:val="0"/>
                <w:w w:val="100"/>
                <w:position w:val="0"/>
                <w:sz w:val="20"/>
                <w:szCs w:val="20"/>
              </w:rPr>
              <w:t>30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华志松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乐购仕</w:t>
            </w:r>
            <w:r>
              <w:rPr>
                <w:color w:val="000000"/>
                <w:spacing w:val="0"/>
                <w:w w:val="100"/>
                <w:position w:val="0"/>
                <w:sz w:val="20"/>
                <w:szCs w:val="20"/>
              </w:rPr>
              <w:t>（</w:t>
            </w:r>
            <w:r>
              <w:rPr>
                <w:rFonts w:ascii="SimSun" w:eastAsia="SimSun" w:hAnsi="SimSun" w:cs="SimSun"/>
                <w:color w:val="000000"/>
                <w:spacing w:val="0"/>
                <w:w w:val="100"/>
                <w:position w:val="0"/>
                <w:sz w:val="18"/>
                <w:szCs w:val="18"/>
              </w:rPr>
              <w:t>上海</w:t>
            </w:r>
            <w:r>
              <w:rPr>
                <w:color w:val="000000"/>
                <w:spacing w:val="0"/>
                <w:w w:val="100"/>
                <w:position w:val="0"/>
                <w:sz w:val="20"/>
                <w:szCs w:val="20"/>
              </w:rPr>
              <w:t>）</w:t>
            </w:r>
            <w:r>
              <w:rPr>
                <w:rFonts w:ascii="SimSun" w:eastAsia="SimSun" w:hAnsi="SimSun" w:cs="SimSun"/>
                <w:color w:val="000000"/>
                <w:spacing w:val="0"/>
                <w:w w:val="100"/>
                <w:position w:val="0"/>
                <w:sz w:val="18"/>
                <w:szCs w:val="18"/>
              </w:rPr>
              <w:t>商贸有限公司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华志松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乐购仕（南京）商贸有限公司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华志松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乐购仕</w:t>
            </w:r>
            <w:r>
              <w:rPr>
                <w:color w:val="000000"/>
                <w:spacing w:val="0"/>
                <w:w w:val="100"/>
                <w:position w:val="0"/>
                <w:sz w:val="20"/>
                <w:szCs w:val="20"/>
              </w:rPr>
              <w:t>（</w:t>
            </w:r>
            <w:r>
              <w:rPr>
                <w:rFonts w:ascii="SimSun" w:eastAsia="SimSun" w:hAnsi="SimSun" w:cs="SimSun"/>
                <w:color w:val="000000"/>
                <w:spacing w:val="0"/>
                <w:w w:val="100"/>
                <w:position w:val="0"/>
                <w:sz w:val="18"/>
                <w:szCs w:val="18"/>
              </w:rPr>
              <w:t>南京</w:t>
            </w:r>
            <w:r>
              <w:rPr>
                <w:color w:val="000000"/>
                <w:spacing w:val="0"/>
                <w:w w:val="100"/>
                <w:position w:val="0"/>
                <w:sz w:val="20"/>
                <w:szCs w:val="20"/>
              </w:rPr>
              <w:t>）</w:t>
            </w:r>
            <w:r>
              <w:rPr>
                <w:rFonts w:ascii="SimSun" w:eastAsia="SimSun" w:hAnsi="SimSun" w:cs="SimSun"/>
                <w:color w:val="000000"/>
                <w:spacing w:val="0"/>
                <w:w w:val="100"/>
                <w:position w:val="0"/>
                <w:sz w:val="18"/>
                <w:szCs w:val="18"/>
              </w:rPr>
              <w:t>商品采购有限公司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侯恩龙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南京鸿熙商业管理有限公司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2019</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顾伟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南京宁创智云企业管理中心（有限 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执行事务合伙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2021</w:t>
            </w:r>
            <w:r>
              <w:rPr>
                <w:rFonts w:ascii="SimSun" w:eastAsia="SimSun" w:hAnsi="SimSun" w:cs="SimSun"/>
                <w:color w:val="000000"/>
                <w:spacing w:val="0"/>
                <w:w w:val="100"/>
                <w:position w:val="0"/>
                <w:sz w:val="18"/>
                <w:szCs w:val="18"/>
              </w:rPr>
              <w:t>年</w:t>
            </w:r>
            <w:r>
              <w:rPr>
                <w:color w:val="000000"/>
                <w:spacing w:val="0"/>
                <w:w w:val="100"/>
                <w:position w:val="0"/>
                <w:sz w:val="20"/>
                <w:szCs w:val="20"/>
              </w:rPr>
              <w:t>7</w:t>
            </w:r>
            <w:r>
              <w:rPr>
                <w:rFonts w:ascii="SimSun" w:eastAsia="SimSun" w:hAnsi="SimSun" w:cs="SimSun"/>
                <w:color w:val="000000"/>
                <w:spacing w:val="0"/>
                <w:w w:val="100"/>
                <w:position w:val="0"/>
                <w:sz w:val="18"/>
                <w:szCs w:val="18"/>
              </w:rPr>
              <w:t>月</w:t>
            </w:r>
            <w:r>
              <w:rPr>
                <w:color w:val="000000"/>
                <w:spacing w:val="0"/>
                <w:w w:val="100"/>
                <w:position w:val="0"/>
                <w:sz w:val="20"/>
                <w:szCs w:val="20"/>
              </w:rPr>
              <w:t>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龚震宇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日本</w:t>
            </w:r>
            <w:r>
              <w:rPr>
                <w:color w:val="000000"/>
                <w:spacing w:val="0"/>
                <w:w w:val="100"/>
                <w:position w:val="0"/>
                <w:sz w:val="20"/>
                <w:szCs w:val="20"/>
              </w:rPr>
              <w:t>LAOX</w:t>
            </w:r>
            <w:r>
              <w:rPr>
                <w:rFonts w:ascii="SimSun" w:eastAsia="SimSun" w:hAnsi="SimSun" w:cs="SimSun"/>
                <w:color w:val="000000"/>
                <w:spacing w:val="0"/>
                <w:w w:val="100"/>
                <w:position w:val="0"/>
                <w:sz w:val="18"/>
                <w:szCs w:val="18"/>
              </w:rPr>
              <w:t>株式会社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2022</w:t>
            </w:r>
            <w:r>
              <w:rPr>
                <w:rFonts w:ascii="SimSun" w:eastAsia="SimSun" w:hAnsi="SimSun" w:cs="SimSun"/>
                <w:color w:val="000000"/>
                <w:spacing w:val="0"/>
                <w:w w:val="100"/>
                <w:position w:val="0"/>
                <w:sz w:val="18"/>
                <w:szCs w:val="18"/>
              </w:rPr>
              <w:t>年</w:t>
            </w:r>
            <w:r>
              <w:rPr>
                <w:color w:val="000000"/>
                <w:spacing w:val="0"/>
                <w:w w:val="100"/>
                <w:position w:val="0"/>
                <w:sz w:val="20"/>
                <w:szCs w:val="20"/>
              </w:rPr>
              <w:t>3</w:t>
            </w:r>
            <w:r>
              <w:rPr>
                <w:rFonts w:ascii="SimSun" w:eastAsia="SimSun" w:hAnsi="SimSun" w:cs="SimSun"/>
                <w:color w:val="000000"/>
                <w:spacing w:val="0"/>
                <w:w w:val="100"/>
                <w:position w:val="0"/>
                <w:sz w:val="18"/>
                <w:szCs w:val="18"/>
              </w:rPr>
              <w:t>月</w:t>
            </w:r>
            <w:r>
              <w:rPr>
                <w:color w:val="000000"/>
                <w:spacing w:val="0"/>
                <w:w w:val="100"/>
                <w:position w:val="0"/>
                <w:sz w:val="20"/>
                <w:szCs w:val="20"/>
              </w:rPr>
              <w:t>30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田睿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日本</w:t>
            </w:r>
            <w:r>
              <w:rPr>
                <w:color w:val="000000"/>
                <w:spacing w:val="0"/>
                <w:w w:val="100"/>
                <w:position w:val="0"/>
                <w:sz w:val="20"/>
                <w:szCs w:val="20"/>
              </w:rPr>
              <w:t>LAOX</w:t>
            </w:r>
            <w:r>
              <w:rPr>
                <w:rFonts w:ascii="SimSun" w:eastAsia="SimSun" w:hAnsi="SimSun" w:cs="SimSun"/>
                <w:color w:val="000000"/>
                <w:spacing w:val="0"/>
                <w:w w:val="100"/>
                <w:position w:val="0"/>
                <w:sz w:val="18"/>
                <w:szCs w:val="18"/>
              </w:rPr>
              <w:t>株式会社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2022</w:t>
            </w:r>
            <w:r>
              <w:rPr>
                <w:rFonts w:ascii="SimSun" w:eastAsia="SimSun" w:hAnsi="SimSun" w:cs="SimSun"/>
                <w:color w:val="000000"/>
                <w:spacing w:val="0"/>
                <w:w w:val="100"/>
                <w:position w:val="0"/>
                <w:sz w:val="18"/>
                <w:szCs w:val="18"/>
              </w:rPr>
              <w:t>年</w:t>
            </w:r>
            <w:r>
              <w:rPr>
                <w:color w:val="000000"/>
                <w:spacing w:val="0"/>
                <w:w w:val="100"/>
                <w:position w:val="0"/>
                <w:sz w:val="20"/>
                <w:szCs w:val="20"/>
              </w:rPr>
              <w:t>3</w:t>
            </w:r>
            <w:r>
              <w:rPr>
                <w:rFonts w:ascii="SimSun" w:eastAsia="SimSun" w:hAnsi="SimSun" w:cs="SimSun"/>
                <w:color w:val="000000"/>
                <w:spacing w:val="0"/>
                <w:w w:val="100"/>
                <w:position w:val="0"/>
                <w:sz w:val="18"/>
                <w:szCs w:val="18"/>
              </w:rPr>
              <w:t>月</w:t>
            </w:r>
            <w:r>
              <w:rPr>
                <w:color w:val="000000"/>
                <w:spacing w:val="0"/>
                <w:w w:val="100"/>
                <w:position w:val="0"/>
                <w:sz w:val="20"/>
                <w:szCs w:val="20"/>
              </w:rPr>
              <w:t>30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r>
        <w:trPr>
          <w:trHeight w:val="331"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在其他单位任职情况的说明</w:t>
            </w:r>
          </w:p>
        </w:tc>
        <w:tc>
          <w:tcPr>
            <w:gridSpan w:val="4"/>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bl>
    <w:p>
      <w:pPr>
        <w:pStyle w:val="Style26"/>
        <w:keepNext w:val="0"/>
        <w:keepLines w:val="0"/>
        <w:widowControl w:val="0"/>
        <w:shd w:val="clear" w:color="auto" w:fill="auto"/>
        <w:bidi w:val="0"/>
        <w:spacing w:before="0" w:after="0" w:line="240" w:lineRule="auto"/>
        <w:ind w:left="442" w:right="0" w:firstLine="0"/>
        <w:jc w:val="left"/>
      </w:pPr>
      <w:r>
        <w:rPr>
          <w:color w:val="000000"/>
          <w:spacing w:val="0"/>
          <w:w w:val="100"/>
          <w:position w:val="0"/>
        </w:rPr>
        <w:t>公司现任及报告期内离任董事、监事和高级管理人员近三年证券监管机构处罚的情况</w:t>
      </w:r>
    </w:p>
    <w:p>
      <w:pPr>
        <w:widowControl w:val="0"/>
        <w:spacing w:after="339" w:line="1" w:lineRule="exact"/>
      </w:pP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r>
        <w:br w:type="page"/>
      </w:r>
    </w:p>
    <w:p>
      <w:pPr>
        <w:pStyle w:val="Style35"/>
        <w:keepNext/>
        <w:keepLines/>
        <w:widowControl w:val="0"/>
        <w:shd w:val="clear" w:color="auto" w:fill="auto"/>
        <w:bidi w:val="0"/>
        <w:spacing w:before="0" w:after="180" w:line="473" w:lineRule="exact"/>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sz w:val="22"/>
          <w:szCs w:val="22"/>
        </w:rPr>
        <w:t>3</w:t>
      </w:r>
      <w:bookmarkEnd w:id="300"/>
      <w:r>
        <w:rPr>
          <w:color w:val="000000"/>
          <w:spacing w:val="0"/>
          <w:w w:val="100"/>
          <w:position w:val="0"/>
        </w:rPr>
        <w:t>、董事、监事、高级管理人员报酬情况</w:t>
      </w:r>
      <w:bookmarkEnd w:id="298"/>
      <w:bookmarkEnd w:id="299"/>
      <w:bookmarkEnd w:id="301"/>
    </w:p>
    <w:p>
      <w:pPr>
        <w:pStyle w:val="Style17"/>
        <w:keepNext w:val="0"/>
        <w:keepLines w:val="0"/>
        <w:widowControl w:val="0"/>
        <w:shd w:val="clear" w:color="auto" w:fill="auto"/>
        <w:bidi w:val="0"/>
        <w:spacing w:before="0" w:after="0" w:line="473" w:lineRule="exact"/>
        <w:ind w:left="0" w:right="0" w:firstLine="460"/>
        <w:jc w:val="left"/>
      </w:pPr>
      <w:r>
        <w:rPr>
          <w:color w:val="000000"/>
          <w:spacing w:val="0"/>
          <w:w w:val="100"/>
          <w:position w:val="0"/>
        </w:rPr>
        <w:t>董事、监事、高级管理人员报酬的决策程序、确定依据、实际支付情况</w:t>
      </w:r>
    </w:p>
    <w:p>
      <w:pPr>
        <w:pStyle w:val="Style17"/>
        <w:keepNext w:val="0"/>
        <w:keepLines w:val="0"/>
        <w:widowControl w:val="0"/>
        <w:shd w:val="clear" w:color="auto" w:fill="auto"/>
        <w:bidi w:val="0"/>
        <w:spacing w:before="0" w:after="0" w:line="473" w:lineRule="exact"/>
        <w:ind w:left="0" w:right="0" w:firstLine="460"/>
        <w:jc w:val="left"/>
      </w:pPr>
      <w:r>
        <w:rPr>
          <w:color w:val="000000"/>
          <w:spacing w:val="0"/>
          <w:w w:val="100"/>
          <w:position w:val="0"/>
        </w:rPr>
        <w:t>第六届董事会第十七次会议审议、</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年年度股东大会决议通过《苏宁易购集团股份有限公司董 事、监事、高级管理人员薪酬方案》，该方案自</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年年度股东大会审议通过之日（</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 xml:space="preserve">8 </w:t>
      </w:r>
      <w:r>
        <w:rPr>
          <w:color w:val="000000"/>
          <w:spacing w:val="0"/>
          <w:w w:val="100"/>
          <w:position w:val="0"/>
        </w:rPr>
        <w:t>日）起至新的薪酬方案通过日止。</w:t>
      </w:r>
    </w:p>
    <w:p>
      <w:pPr>
        <w:pStyle w:val="Style17"/>
        <w:keepNext w:val="0"/>
        <w:keepLines w:val="0"/>
        <w:widowControl w:val="0"/>
        <w:shd w:val="clear" w:color="auto" w:fill="auto"/>
        <w:bidi w:val="0"/>
        <w:spacing w:before="0" w:after="180" w:line="473" w:lineRule="exact"/>
        <w:ind w:left="0" w:right="0" w:firstLine="46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97"/>
        <w:gridCol w:w="1382"/>
        <w:gridCol w:w="1382"/>
        <w:gridCol w:w="1387"/>
        <w:gridCol w:w="1382"/>
        <w:gridCol w:w="1387"/>
        <w:gridCol w:w="1392"/>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任职状态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从公司获得的</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税前报酬总额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是否在公司关</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联方获取报酬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黄明端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任峻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166.44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刘鹏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曹群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冼汉迪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张康阳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柳世平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方先明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陈振宇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汪晓玲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李建颖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华志松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侯恩龙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业务线总裁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172.44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姚凯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业务线总裁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98.94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田睿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153.08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顾伟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141.53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龚震宇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黄巍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董事会秘书、</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财务负责人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张近东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孙为民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181.83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孟祥胜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color w:val="000000"/>
                <w:spacing w:val="0"/>
                <w:w w:val="100"/>
                <w:position w:val="0"/>
                <w:sz w:val="20"/>
                <w:szCs w:val="20"/>
              </w:rPr>
              <w:t>董事、高级副 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151.83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徐宏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是</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杨光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1397"/>
        <w:gridCol w:w="1382"/>
        <w:gridCol w:w="1382"/>
        <w:gridCol w:w="1387"/>
        <w:gridCol w:w="1382"/>
        <w:gridCol w:w="1387"/>
        <w:gridCol w:w="139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1,616.63</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r>
    </w:tbl>
    <w:p>
      <w:pPr>
        <w:pStyle w:val="Style17"/>
        <w:keepNext w:val="0"/>
        <w:keepLines w:val="0"/>
        <w:widowControl w:val="0"/>
        <w:shd w:val="clear" w:color="auto" w:fill="auto"/>
        <w:bidi w:val="0"/>
        <w:spacing w:before="0" w:after="300" w:line="466" w:lineRule="exact"/>
        <w:ind w:left="0" w:right="0" w:firstLine="460"/>
        <w:jc w:val="left"/>
      </w:pPr>
      <w:r>
        <w:rPr>
          <w:color w:val="000000"/>
          <w:spacing w:val="0"/>
          <w:w w:val="100"/>
          <w:position w:val="0"/>
        </w:rPr>
        <w:t>注：从公司获得的税前报酬总额包括基本薪酬、奖金、津贴、补贴、职工福利费，此外公司承担 的统筹公积金合计</w:t>
      </w:r>
      <w:r>
        <w:rPr>
          <w:rFonts w:ascii="Times New Roman" w:eastAsia="Times New Roman" w:hAnsi="Times New Roman" w:cs="Times New Roman"/>
          <w:color w:val="000000"/>
          <w:spacing w:val="0"/>
          <w:w w:val="100"/>
          <w:position w:val="0"/>
          <w:sz w:val="22"/>
          <w:szCs w:val="22"/>
        </w:rPr>
        <w:t>113.16</w:t>
      </w:r>
      <w:r>
        <w:rPr>
          <w:color w:val="000000"/>
          <w:spacing w:val="0"/>
          <w:w w:val="100"/>
          <w:position w:val="0"/>
        </w:rPr>
        <w:t>万元。</w:t>
      </w:r>
    </w:p>
    <w:p>
      <w:pPr>
        <w:pStyle w:val="Style32"/>
        <w:keepNext/>
        <w:keepLines/>
        <w:widowControl w:val="0"/>
        <w:shd w:val="clear" w:color="auto" w:fill="auto"/>
        <w:bidi w:val="0"/>
        <w:spacing w:before="0" w:after="420" w:line="466" w:lineRule="exact"/>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六</w:t>
      </w:r>
      <w:bookmarkEnd w:id="304"/>
      <w:r>
        <w:rPr>
          <w:color w:val="000000"/>
          <w:spacing w:val="0"/>
          <w:w w:val="100"/>
          <w:position w:val="0"/>
          <w:sz w:val="24"/>
          <w:szCs w:val="24"/>
        </w:rPr>
        <w:t>、报告期内董事履行职责的情况</w:t>
      </w:r>
      <w:bookmarkEnd w:id="302"/>
      <w:bookmarkEnd w:id="303"/>
      <w:bookmarkEnd w:id="305"/>
    </w:p>
    <w:p>
      <w:pPr>
        <w:pStyle w:val="Style26"/>
        <w:keepNext w:val="0"/>
        <w:keepLines w:val="0"/>
        <w:widowControl w:val="0"/>
        <w:shd w:val="clear" w:color="auto" w:fill="auto"/>
        <w:bidi w:val="0"/>
        <w:spacing w:before="0" w:after="0" w:line="240" w:lineRule="auto"/>
        <w:ind w:left="0" w:right="0" w:firstLine="0"/>
        <w:jc w:val="left"/>
      </w:pPr>
      <w:bookmarkStart w:id="306" w:name="bookmark306"/>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rPr>
        <w:t>、本报告期董事会情况</w:t>
      </w:r>
      <w:bookmarkEnd w:id="306"/>
    </w:p>
    <w:tbl>
      <w:tblPr>
        <w:tblOverlap w:val="never"/>
        <w:jc w:val="center"/>
        <w:tblLayout w:type="fixed"/>
      </w:tblPr>
      <w:tblGrid>
        <w:gridCol w:w="1426"/>
        <w:gridCol w:w="1704"/>
        <w:gridCol w:w="1416"/>
        <w:gridCol w:w="5165"/>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会议决议</w:t>
            </w:r>
          </w:p>
        </w:tc>
      </w:tr>
      <w:tr>
        <w:trPr>
          <w:trHeight w:val="250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第十一次会议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1</w:t>
            </w:r>
            <w:r>
              <w:rPr>
                <w:rFonts w:ascii="SimSun" w:eastAsia="SimSun" w:hAnsi="SimSun" w:cs="SimSun"/>
                <w:color w:val="000000"/>
                <w:spacing w:val="0"/>
                <w:w w:val="100"/>
                <w:position w:val="0"/>
                <w:sz w:val="20"/>
                <w:szCs w:val="20"/>
              </w:rPr>
              <w:t>月</w:t>
            </w: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1</w:t>
            </w:r>
            <w:r>
              <w:rPr>
                <w:rFonts w:ascii="SimSun" w:eastAsia="SimSun" w:hAnsi="SimSun" w:cs="SimSun"/>
                <w:color w:val="000000"/>
                <w:spacing w:val="0"/>
                <w:w w:val="100"/>
                <w:position w:val="0"/>
                <w:sz w:val="20"/>
                <w:szCs w:val="20"/>
              </w:rPr>
              <w:t xml:space="preserve">月 </w:t>
            </w:r>
            <w:r>
              <w:rPr>
                <w:color w:val="000000"/>
                <w:spacing w:val="0"/>
                <w:w w:val="100"/>
                <w:position w:val="0"/>
              </w:rPr>
              <w:t>30</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20"/>
                <w:szCs w:val="20"/>
              </w:rPr>
            </w:pPr>
            <w:r>
              <w:rPr>
                <w:rFonts w:ascii="SimSun" w:eastAsia="SimSun" w:hAnsi="SimSun" w:cs="SimSun"/>
                <w:color w:val="000000"/>
                <w:spacing w:val="0"/>
                <w:w w:val="100"/>
                <w:position w:val="0"/>
                <w:sz w:val="20"/>
                <w:szCs w:val="20"/>
              </w:rPr>
              <w:t>决议通过《苏宁易购集团股份有限公司第四期员工持 股计划（草案）》及《苏宁易购集团股份有限公司第四 期员工持股计划（草案）摘要》、《苏宁易购集团股份 有限公司第四期员工持股计划管理办法》、《关于提请 股东大会授权董事会办理公司第四期员工持股计划相 关事宜的议案》、《关于计提长期资产减值准备的议 案》、《关于</w:t>
            </w:r>
            <w:r>
              <w:rPr>
                <w:color w:val="000000"/>
                <w:spacing w:val="0"/>
                <w:w w:val="100"/>
                <w:position w:val="0"/>
                <w:sz w:val="22"/>
                <w:szCs w:val="22"/>
              </w:rPr>
              <w:t>2021</w:t>
            </w:r>
            <w:r>
              <w:rPr>
                <w:rFonts w:ascii="SimSun" w:eastAsia="SimSun" w:hAnsi="SimSun" w:cs="SimSun"/>
                <w:color w:val="000000"/>
                <w:spacing w:val="0"/>
                <w:w w:val="100"/>
                <w:position w:val="0"/>
                <w:sz w:val="20"/>
                <w:szCs w:val="20"/>
              </w:rPr>
              <w:t>年回购部分社会公众股份方案的议 案》、《关于召开</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年第一次临时股东大会的议案》</w:t>
            </w:r>
          </w:p>
        </w:tc>
      </w:tr>
      <w:tr>
        <w:trPr>
          <w:trHeight w:val="40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第十二次会议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4</w:t>
            </w:r>
            <w:r>
              <w:rPr>
                <w:rFonts w:ascii="SimSun" w:eastAsia="SimSun" w:hAnsi="SimSun" w:cs="SimSun"/>
                <w:color w:val="000000"/>
                <w:spacing w:val="0"/>
                <w:w w:val="100"/>
                <w:position w:val="0"/>
                <w:sz w:val="20"/>
                <w:szCs w:val="20"/>
              </w:rPr>
              <w:t>月</w:t>
            </w:r>
            <w:r>
              <w:rPr>
                <w:color w:val="000000"/>
                <w:spacing w:val="0"/>
                <w:w w:val="100"/>
                <w:position w:val="0"/>
                <w:sz w:val="22"/>
                <w:szCs w:val="22"/>
              </w:rPr>
              <w:t>23</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年</w:t>
            </w:r>
            <w:r>
              <w:rPr>
                <w:color w:val="000000"/>
                <w:spacing w:val="0"/>
                <w:w w:val="100"/>
                <w:position w:val="0"/>
              </w:rPr>
              <w:t>4</w:t>
            </w:r>
            <w:r>
              <w:rPr>
                <w:rFonts w:ascii="SimSun" w:eastAsia="SimSun" w:hAnsi="SimSun" w:cs="SimSun"/>
                <w:color w:val="000000"/>
                <w:spacing w:val="0"/>
                <w:w w:val="100"/>
                <w:position w:val="0"/>
                <w:sz w:val="20"/>
                <w:szCs w:val="20"/>
              </w:rPr>
              <w:t xml:space="preserve">月 </w:t>
            </w:r>
            <w:r>
              <w:rPr>
                <w:color w:val="000000"/>
                <w:spacing w:val="0"/>
                <w:w w:val="100"/>
                <w:position w:val="0"/>
              </w:rPr>
              <w:t>24</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20"/>
                <w:szCs w:val="20"/>
              </w:rPr>
            </w:pPr>
            <w:r>
              <w:rPr>
                <w:rFonts w:ascii="SimSun" w:eastAsia="SimSun" w:hAnsi="SimSun" w:cs="SimSun"/>
                <w:color w:val="000000"/>
                <w:spacing w:val="0"/>
                <w:w w:val="100"/>
                <w:position w:val="0"/>
                <w:sz w:val="20"/>
                <w:szCs w:val="20"/>
              </w:rPr>
              <w:t>决议通过《</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年度总裁工作报告》、《</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年度董事 会工作报告》、《</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年度财务决算报告》、《</w:t>
            </w:r>
            <w:r>
              <w:rPr>
                <w:color w:val="000000"/>
                <w:spacing w:val="0"/>
                <w:w w:val="100"/>
                <w:position w:val="0"/>
                <w:sz w:val="22"/>
                <w:szCs w:val="22"/>
              </w:rPr>
              <w:t>2020</w:t>
            </w:r>
            <w:r>
              <w:rPr>
                <w:rFonts w:ascii="SimSun" w:eastAsia="SimSun" w:hAnsi="SimSun" w:cs="SimSun"/>
                <w:color w:val="000000"/>
                <w:spacing w:val="0"/>
                <w:w w:val="100"/>
                <w:position w:val="0"/>
                <w:sz w:val="20"/>
                <w:szCs w:val="20"/>
              </w:rPr>
              <w:t>年年 度报告》及《</w:t>
            </w:r>
            <w:r>
              <w:rPr>
                <w:color w:val="000000"/>
                <w:spacing w:val="0"/>
                <w:w w:val="100"/>
                <w:position w:val="0"/>
                <w:sz w:val="22"/>
                <w:szCs w:val="22"/>
              </w:rPr>
              <w:t>2020</w:t>
            </w:r>
            <w:r>
              <w:rPr>
                <w:rFonts w:ascii="SimSun" w:eastAsia="SimSun" w:hAnsi="SimSun" w:cs="SimSun"/>
                <w:color w:val="000000"/>
                <w:spacing w:val="0"/>
                <w:w w:val="100"/>
                <w:position w:val="0"/>
                <w:sz w:val="20"/>
                <w:szCs w:val="20"/>
              </w:rPr>
              <w:t>年年度报告摘要》、《</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年度利润 分配预案》、《关于</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年度募集资金存放与实际使用 情况的专项报告》、《关于拟聘任会计师事务所的议 案》、《关于公司未来三年</w:t>
            </w:r>
            <w:r>
              <w:rPr>
                <w:rFonts w:ascii="SimSun" w:eastAsia="SimSun" w:hAnsi="SimSun" w:cs="SimSun"/>
                <w:color w:val="000000"/>
                <w:spacing w:val="0"/>
                <w:w w:val="100"/>
                <w:position w:val="0"/>
                <w:sz w:val="20"/>
                <w:szCs w:val="20"/>
              </w:rPr>
              <w:t>（</w:t>
            </w:r>
            <w:r>
              <w:rPr>
                <w:color w:val="000000"/>
                <w:spacing w:val="0"/>
                <w:w w:val="100"/>
                <w:position w:val="0"/>
                <w:sz w:val="22"/>
                <w:szCs w:val="22"/>
              </w:rPr>
              <w:t>2021-2023</w:t>
            </w:r>
            <w:r>
              <w:rPr>
                <w:rFonts w:ascii="SimSun" w:eastAsia="SimSun" w:hAnsi="SimSun" w:cs="SimSun"/>
                <w:color w:val="000000"/>
                <w:spacing w:val="0"/>
                <w:w w:val="100"/>
                <w:position w:val="0"/>
                <w:sz w:val="20"/>
                <w:szCs w:val="20"/>
              </w:rPr>
              <w:t>年）股东回报规 划的议案》、《关于</w:t>
            </w:r>
            <w:r>
              <w:rPr>
                <w:color w:val="000000"/>
                <w:spacing w:val="0"/>
                <w:w w:val="100"/>
                <w:position w:val="0"/>
                <w:sz w:val="22"/>
                <w:szCs w:val="22"/>
              </w:rPr>
              <w:t>2021</w:t>
            </w:r>
            <w:r>
              <w:rPr>
                <w:rFonts w:ascii="SimSun" w:eastAsia="SimSun" w:hAnsi="SimSun" w:cs="SimSun"/>
                <w:color w:val="000000"/>
                <w:spacing w:val="0"/>
                <w:w w:val="100"/>
                <w:position w:val="0"/>
                <w:sz w:val="20"/>
                <w:szCs w:val="20"/>
              </w:rPr>
              <w:t>年度日常关联交易预计的议 案》、《关于使用自有资金进行投资理财的议案》、《关 于使用闲置募集资金购买理财产品的议案》、《关于公 司</w:t>
            </w:r>
            <w:r>
              <w:rPr>
                <w:color w:val="000000"/>
                <w:spacing w:val="0"/>
                <w:w w:val="100"/>
                <w:position w:val="0"/>
                <w:sz w:val="22"/>
                <w:szCs w:val="22"/>
              </w:rPr>
              <w:t>2020</w:t>
            </w:r>
            <w:r>
              <w:rPr>
                <w:rFonts w:ascii="SimSun" w:eastAsia="SimSun" w:hAnsi="SimSun" w:cs="SimSun"/>
                <w:color w:val="000000"/>
                <w:spacing w:val="0"/>
                <w:w w:val="100"/>
                <w:position w:val="0"/>
                <w:sz w:val="20"/>
                <w:szCs w:val="20"/>
              </w:rPr>
              <w:t>年年度关联交易情况说明的议案》、《</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 内部控制评价报告》、《</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年度企业社会责任报告》、 《关于增加公司经营范围并修改公司</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章程</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的议</w:t>
            </w:r>
          </w:p>
          <w:p>
            <w:pPr>
              <w:pStyle w:val="Style29"/>
              <w:keepNext w:val="0"/>
              <w:keepLines w:val="0"/>
              <w:widowControl w:val="0"/>
              <w:shd w:val="clear" w:color="auto" w:fill="auto"/>
              <w:bidi w:val="0"/>
              <w:spacing w:before="0" w:after="0" w:line="313" w:lineRule="exact"/>
              <w:ind w:left="0" w:right="0" w:firstLine="0"/>
              <w:jc w:val="both"/>
              <w:rPr>
                <w:sz w:val="20"/>
                <w:szCs w:val="20"/>
              </w:rPr>
            </w:pPr>
            <w:r>
              <w:rPr>
                <w:rFonts w:ascii="SimSun" w:eastAsia="SimSun" w:hAnsi="SimSun" w:cs="SimSun"/>
                <w:color w:val="000000"/>
                <w:spacing w:val="0"/>
                <w:w w:val="100"/>
                <w:position w:val="0"/>
                <w:sz w:val="20"/>
                <w:szCs w:val="20"/>
              </w:rPr>
              <w:t>案》、《关于召开</w:t>
            </w:r>
            <w:r>
              <w:rPr>
                <w:color w:val="000000"/>
                <w:spacing w:val="0"/>
                <w:w w:val="100"/>
                <w:position w:val="0"/>
                <w:sz w:val="22"/>
                <w:szCs w:val="22"/>
              </w:rPr>
              <w:t>2020</w:t>
            </w:r>
            <w:r>
              <w:rPr>
                <w:rFonts w:ascii="SimSun" w:eastAsia="SimSun" w:hAnsi="SimSun" w:cs="SimSun"/>
                <w:color w:val="000000"/>
                <w:spacing w:val="0"/>
                <w:w w:val="100"/>
                <w:position w:val="0"/>
                <w:sz w:val="20"/>
                <w:szCs w:val="20"/>
              </w:rPr>
              <w:t>年年度股东大会的议案》</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第十三次会议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4</w:t>
            </w:r>
            <w:r>
              <w:rPr>
                <w:rFonts w:ascii="SimSun" w:eastAsia="SimSun" w:hAnsi="SimSun" w:cs="SimSun"/>
                <w:color w:val="000000"/>
                <w:spacing w:val="0"/>
                <w:w w:val="100"/>
                <w:position w:val="0"/>
                <w:sz w:val="20"/>
                <w:szCs w:val="20"/>
              </w:rPr>
              <w:t>月</w:t>
            </w: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年</w:t>
            </w:r>
            <w:r>
              <w:rPr>
                <w:color w:val="000000"/>
                <w:spacing w:val="0"/>
                <w:w w:val="100"/>
                <w:position w:val="0"/>
              </w:rPr>
              <w:t>4</w:t>
            </w:r>
            <w:r>
              <w:rPr>
                <w:rFonts w:ascii="SimSun" w:eastAsia="SimSun" w:hAnsi="SimSun" w:cs="SimSun"/>
                <w:color w:val="000000"/>
                <w:spacing w:val="0"/>
                <w:w w:val="100"/>
                <w:position w:val="0"/>
                <w:sz w:val="20"/>
                <w:szCs w:val="20"/>
              </w:rPr>
              <w:t xml:space="preserve">月 </w:t>
            </w:r>
            <w:r>
              <w:rPr>
                <w:color w:val="000000"/>
                <w:spacing w:val="0"/>
                <w:w w:val="100"/>
                <w:position w:val="0"/>
              </w:rPr>
              <w:t>30</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决议通过《苏宁易购集团股份有限公司</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年第一季 度报告》、《关于会计政策变更的议案》、《关于提供担 保的议案》</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第十四次会议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5</w:t>
            </w:r>
            <w:r>
              <w:rPr>
                <w:rFonts w:ascii="SimSun" w:eastAsia="SimSun" w:hAnsi="SimSun" w:cs="SimSun"/>
                <w:color w:val="000000"/>
                <w:spacing w:val="0"/>
                <w:w w:val="100"/>
                <w:position w:val="0"/>
                <w:sz w:val="20"/>
                <w:szCs w:val="20"/>
              </w:rPr>
              <w:t>月</w:t>
            </w:r>
            <w:r>
              <w:rPr>
                <w:color w:val="000000"/>
                <w:spacing w:val="0"/>
                <w:w w:val="100"/>
                <w:position w:val="0"/>
                <w:sz w:val="22"/>
                <w:szCs w:val="22"/>
              </w:rPr>
              <w:t>11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年</w:t>
            </w:r>
            <w:r>
              <w:rPr>
                <w:color w:val="000000"/>
                <w:spacing w:val="0"/>
                <w:w w:val="100"/>
                <w:position w:val="0"/>
              </w:rPr>
              <w:t>5</w:t>
            </w:r>
            <w:r>
              <w:rPr>
                <w:rFonts w:ascii="SimSun" w:eastAsia="SimSun" w:hAnsi="SimSun" w:cs="SimSun"/>
                <w:color w:val="000000"/>
                <w:spacing w:val="0"/>
                <w:w w:val="100"/>
                <w:position w:val="0"/>
                <w:sz w:val="20"/>
                <w:szCs w:val="20"/>
              </w:rPr>
              <w:t xml:space="preserve">月 </w:t>
            </w:r>
            <w:r>
              <w:rPr>
                <w:color w:val="000000"/>
                <w:spacing w:val="0"/>
                <w:w w:val="100"/>
                <w:position w:val="0"/>
              </w:rPr>
              <w:t>12</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决议通过《关于变更部分募集资金用途的议案》、《关 于召开</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年第二次临时股东大会的通知》</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第十五次会议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6</w:t>
            </w:r>
            <w:r>
              <w:rPr>
                <w:rFonts w:ascii="SimSun" w:eastAsia="SimSun" w:hAnsi="SimSun" w:cs="SimSun"/>
                <w:color w:val="000000"/>
                <w:spacing w:val="0"/>
                <w:w w:val="100"/>
                <w:position w:val="0"/>
                <w:sz w:val="20"/>
                <w:szCs w:val="20"/>
              </w:rPr>
              <w:t>月</w:t>
            </w:r>
            <w:r>
              <w:rPr>
                <w:color w:val="000000"/>
                <w:spacing w:val="0"/>
                <w:w w:val="100"/>
                <w:position w:val="0"/>
                <w:sz w:val="22"/>
                <w:szCs w:val="22"/>
              </w:rPr>
              <w:t>09</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年</w:t>
            </w:r>
            <w:r>
              <w:rPr>
                <w:color w:val="000000"/>
                <w:spacing w:val="0"/>
                <w:w w:val="100"/>
                <w:position w:val="0"/>
              </w:rPr>
              <w:t>6</w:t>
            </w:r>
            <w:r>
              <w:rPr>
                <w:rFonts w:ascii="SimSun" w:eastAsia="SimSun" w:hAnsi="SimSun" w:cs="SimSun"/>
                <w:color w:val="000000"/>
                <w:spacing w:val="0"/>
                <w:w w:val="100"/>
                <w:position w:val="0"/>
                <w:sz w:val="20"/>
                <w:szCs w:val="20"/>
              </w:rPr>
              <w:t xml:space="preserve">月 </w:t>
            </w:r>
            <w:r>
              <w:rPr>
                <w:color w:val="000000"/>
                <w:spacing w:val="0"/>
                <w:w w:val="100"/>
                <w:position w:val="0"/>
              </w:rPr>
              <w:t>10</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决议通过《关于变更部分募集资金用途的议案》、《关 于公司第二期员工持股计划存续期展期的议案》、《关 于增加公司经营范围并修改</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公司章程</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的议案》、《关 于召开</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年第三次临时股东大会的通知》</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第十六次会议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r>
              <w:rPr>
                <w:color w:val="000000"/>
                <w:spacing w:val="0"/>
                <w:w w:val="100"/>
                <w:position w:val="0"/>
                <w:sz w:val="22"/>
                <w:szCs w:val="22"/>
              </w:rPr>
              <w:t>12</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年</w:t>
            </w:r>
            <w:r>
              <w:rPr>
                <w:color w:val="000000"/>
                <w:spacing w:val="0"/>
                <w:w w:val="100"/>
                <w:position w:val="0"/>
              </w:rPr>
              <w:t>7</w:t>
            </w:r>
            <w:r>
              <w:rPr>
                <w:rFonts w:ascii="SimSun" w:eastAsia="SimSun" w:hAnsi="SimSun" w:cs="SimSun"/>
                <w:color w:val="000000"/>
                <w:spacing w:val="0"/>
                <w:w w:val="100"/>
                <w:position w:val="0"/>
                <w:sz w:val="20"/>
                <w:szCs w:val="20"/>
              </w:rPr>
              <w:t xml:space="preserve">月 </w:t>
            </w:r>
            <w:r>
              <w:rPr>
                <w:color w:val="000000"/>
                <w:spacing w:val="0"/>
                <w:w w:val="100"/>
                <w:position w:val="0"/>
              </w:rPr>
              <w:t>13</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决议通过《关于公司改选董事的议案》、《关于改选公 司第七届董事会专门委员会的议案》、《关于聘任名誉 董事长的议案》、《关于修改</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公司章程</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的议案》、《关</w:t>
            </w:r>
          </w:p>
        </w:tc>
      </w:tr>
    </w:tbl>
    <w:p>
      <w:pPr>
        <w:spacing w:lineRule="exact" w:line="1"/>
        <w:rPr>
          <w:sz w:val="2"/>
          <w:szCs w:val="2"/>
        </w:rPr>
      </w:pPr>
      <w:r>
        <w:br w:type="page"/>
      </w:r>
    </w:p>
    <w:tbl>
      <w:tblPr>
        <w:tblOverlap w:val="never"/>
        <w:jc w:val="center"/>
        <w:tblLayout w:type="fixed"/>
      </w:tblPr>
      <w:tblGrid>
        <w:gridCol w:w="1426"/>
        <w:gridCol w:w="1704"/>
        <w:gridCol w:w="1416"/>
        <w:gridCol w:w="5165"/>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会议决议</w:t>
            </w:r>
          </w:p>
        </w:tc>
      </w:tr>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于修订</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非金融企业债务融资工具披露信息事务管理 制度</w:t>
            </w:r>
            <w:r>
              <w:rPr>
                <w:color w:val="000000"/>
                <w:spacing w:val="0"/>
                <w:w w:val="100"/>
                <w:position w:val="0"/>
                <w:sz w:val="22"/>
                <w:szCs w:val="22"/>
              </w:rPr>
              <w:t>＞</w:t>
            </w:r>
            <w:r>
              <w:rPr>
                <w:rFonts w:ascii="SimSun" w:eastAsia="SimSun" w:hAnsi="SimSun" w:cs="SimSun"/>
                <w:color w:val="000000"/>
                <w:spacing w:val="0"/>
                <w:w w:val="100"/>
                <w:position w:val="0"/>
                <w:sz w:val="20"/>
                <w:szCs w:val="20"/>
              </w:rPr>
              <w:t>》、《关于召开</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年第四次临时股东大会的议 案》</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第十七次会议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年</w:t>
            </w:r>
            <w:r>
              <w:rPr>
                <w:color w:val="000000"/>
                <w:spacing w:val="0"/>
                <w:w w:val="100"/>
                <w:position w:val="0"/>
              </w:rPr>
              <w:t>7</w:t>
            </w:r>
            <w:r>
              <w:rPr>
                <w:rFonts w:ascii="SimSun" w:eastAsia="SimSun" w:hAnsi="SimSun" w:cs="SimSun"/>
                <w:color w:val="000000"/>
                <w:spacing w:val="0"/>
                <w:w w:val="100"/>
                <w:position w:val="0"/>
                <w:sz w:val="20"/>
                <w:szCs w:val="20"/>
              </w:rPr>
              <w:t xml:space="preserve">月 </w:t>
            </w:r>
            <w:r>
              <w:rPr>
                <w:color w:val="000000"/>
                <w:spacing w:val="0"/>
                <w:w w:val="100"/>
                <w:position w:val="0"/>
              </w:rPr>
              <w:t>30</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20"/>
                <w:szCs w:val="20"/>
              </w:rPr>
            </w:pPr>
            <w:r>
              <w:rPr>
                <w:rFonts w:ascii="SimSun" w:eastAsia="SimSun" w:hAnsi="SimSun" w:cs="SimSun"/>
                <w:color w:val="000000"/>
                <w:spacing w:val="0"/>
                <w:w w:val="100"/>
                <w:position w:val="0"/>
                <w:sz w:val="20"/>
                <w:szCs w:val="20"/>
              </w:rPr>
              <w:t>决议通过《关于选举公司董事长的议案》、《关于改选 董事的议案》、《关于聘任公司总裁的议案》、《关于修 改</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公司章程</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的议案》、《关于日常关联交易预计的议 案》、《关于终止回购公司股份的议案》</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第十八次会议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8</w:t>
            </w:r>
            <w:r>
              <w:rPr>
                <w:rFonts w:ascii="SimSun" w:eastAsia="SimSun" w:hAnsi="SimSun" w:cs="SimSun"/>
                <w:color w:val="000000"/>
                <w:spacing w:val="0"/>
                <w:w w:val="100"/>
                <w:position w:val="0"/>
                <w:sz w:val="20"/>
                <w:szCs w:val="20"/>
              </w:rPr>
              <w:t>月</w:t>
            </w:r>
            <w:r>
              <w:rPr>
                <w:color w:val="000000"/>
                <w:spacing w:val="0"/>
                <w:w w:val="100"/>
                <w:position w:val="0"/>
                <w:sz w:val="22"/>
                <w:szCs w:val="22"/>
              </w:rPr>
              <w:t>20</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年</w:t>
            </w:r>
            <w:r>
              <w:rPr>
                <w:color w:val="000000"/>
                <w:spacing w:val="0"/>
                <w:w w:val="100"/>
                <w:position w:val="0"/>
              </w:rPr>
              <w:t>8</w:t>
            </w:r>
            <w:r>
              <w:rPr>
                <w:rFonts w:ascii="SimSun" w:eastAsia="SimSun" w:hAnsi="SimSun" w:cs="SimSun"/>
                <w:color w:val="000000"/>
                <w:spacing w:val="0"/>
                <w:w w:val="100"/>
                <w:position w:val="0"/>
                <w:sz w:val="20"/>
                <w:szCs w:val="20"/>
              </w:rPr>
              <w:t>月</w:t>
            </w:r>
            <w:r>
              <w:rPr>
                <w:color w:val="000000"/>
                <w:spacing w:val="0"/>
                <w:w w:val="100"/>
                <w:position w:val="0"/>
              </w:rPr>
              <w:t>21</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决议通过《关于终止公司第四期员工持股计划的议 案》、《关于修改公司</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章程</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的议案》、《关于召开</w:t>
            </w: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年第五次临时股东大会的议案》</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第十九次会议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8</w:t>
            </w:r>
            <w:r>
              <w:rPr>
                <w:rFonts w:ascii="SimSun" w:eastAsia="SimSun" w:hAnsi="SimSun" w:cs="SimSun"/>
                <w:color w:val="000000"/>
                <w:spacing w:val="0"/>
                <w:w w:val="100"/>
                <w:position w:val="0"/>
                <w:sz w:val="20"/>
                <w:szCs w:val="20"/>
              </w:rPr>
              <w:t>月</w:t>
            </w:r>
            <w:r>
              <w:rPr>
                <w:color w:val="000000"/>
                <w:spacing w:val="0"/>
                <w:w w:val="100"/>
                <w:position w:val="0"/>
                <w:sz w:val="22"/>
                <w:szCs w:val="22"/>
              </w:rPr>
              <w:t>27</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年</w:t>
            </w:r>
            <w:r>
              <w:rPr>
                <w:color w:val="000000"/>
                <w:spacing w:val="0"/>
                <w:w w:val="100"/>
                <w:position w:val="0"/>
              </w:rPr>
              <w:t>8</w:t>
            </w:r>
            <w:r>
              <w:rPr>
                <w:rFonts w:ascii="SimSun" w:eastAsia="SimSun" w:hAnsi="SimSun" w:cs="SimSun"/>
                <w:color w:val="000000"/>
                <w:spacing w:val="0"/>
                <w:w w:val="100"/>
                <w:position w:val="0"/>
                <w:sz w:val="20"/>
                <w:szCs w:val="20"/>
              </w:rPr>
              <w:t>月</w:t>
            </w:r>
            <w:r>
              <w:rPr>
                <w:color w:val="000000"/>
                <w:spacing w:val="0"/>
                <w:w w:val="100"/>
                <w:position w:val="0"/>
              </w:rPr>
              <w:t>28</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决议通过《关于增加日常关联交易预计的议案》</w:t>
            </w:r>
          </w:p>
        </w:tc>
      </w:tr>
      <w:tr>
        <w:trPr>
          <w:trHeight w:val="15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第二十次会议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8</w:t>
            </w:r>
            <w:r>
              <w:rPr>
                <w:rFonts w:ascii="SimSun" w:eastAsia="SimSun" w:hAnsi="SimSun" w:cs="SimSun"/>
                <w:color w:val="000000"/>
                <w:spacing w:val="0"/>
                <w:w w:val="100"/>
                <w:position w:val="0"/>
                <w:sz w:val="20"/>
                <w:szCs w:val="20"/>
              </w:rPr>
              <w:t>月</w:t>
            </w:r>
            <w:r>
              <w:rPr>
                <w:color w:val="000000"/>
                <w:spacing w:val="0"/>
                <w:w w:val="100"/>
                <w:position w:val="0"/>
                <w:sz w:val="22"/>
                <w:szCs w:val="22"/>
              </w:rPr>
              <w:t>30</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年</w:t>
            </w:r>
            <w:r>
              <w:rPr>
                <w:color w:val="000000"/>
                <w:spacing w:val="0"/>
                <w:w w:val="100"/>
                <w:position w:val="0"/>
              </w:rPr>
              <w:t>8</w:t>
            </w:r>
            <w:r>
              <w:rPr>
                <w:rFonts w:ascii="SimSun" w:eastAsia="SimSun" w:hAnsi="SimSun" w:cs="SimSun"/>
                <w:color w:val="000000"/>
                <w:spacing w:val="0"/>
                <w:w w:val="100"/>
                <w:position w:val="0"/>
                <w:sz w:val="20"/>
                <w:szCs w:val="20"/>
              </w:rPr>
              <w:t>月</w:t>
            </w:r>
            <w:r>
              <w:rPr>
                <w:color w:val="000000"/>
                <w:spacing w:val="0"/>
                <w:w w:val="100"/>
                <w:position w:val="0"/>
              </w:rPr>
              <w:t>31</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决议通过《苏宁易购集团股份有限公司</w:t>
            </w:r>
            <w:r>
              <w:rPr>
                <w:color w:val="000000"/>
                <w:spacing w:val="0"/>
                <w:w w:val="100"/>
                <w:position w:val="0"/>
                <w:sz w:val="22"/>
                <w:szCs w:val="22"/>
              </w:rPr>
              <w:t>2021</w:t>
            </w:r>
            <w:r>
              <w:rPr>
                <w:rFonts w:ascii="SimSun" w:eastAsia="SimSun" w:hAnsi="SimSun" w:cs="SimSun"/>
                <w:color w:val="000000"/>
                <w:spacing w:val="0"/>
                <w:w w:val="100"/>
                <w:position w:val="0"/>
                <w:sz w:val="20"/>
                <w:szCs w:val="20"/>
              </w:rPr>
              <w:t>年半年度 报告》及《苏宁易购集团股份有限公司</w:t>
            </w:r>
            <w:r>
              <w:rPr>
                <w:color w:val="000000"/>
                <w:spacing w:val="0"/>
                <w:w w:val="100"/>
                <w:position w:val="0"/>
                <w:sz w:val="22"/>
                <w:szCs w:val="22"/>
              </w:rPr>
              <w:t>2021</w:t>
            </w:r>
            <w:r>
              <w:rPr>
                <w:rFonts w:ascii="SimSun" w:eastAsia="SimSun" w:hAnsi="SimSun" w:cs="SimSun"/>
                <w:color w:val="000000"/>
                <w:spacing w:val="0"/>
                <w:w w:val="100"/>
                <w:position w:val="0"/>
                <w:sz w:val="20"/>
                <w:szCs w:val="20"/>
              </w:rPr>
              <w:t>年半年度 报告摘要》、《</w:t>
            </w:r>
            <w:r>
              <w:rPr>
                <w:color w:val="000000"/>
                <w:spacing w:val="0"/>
                <w:w w:val="100"/>
                <w:position w:val="0"/>
                <w:sz w:val="22"/>
                <w:szCs w:val="22"/>
              </w:rPr>
              <w:t>2021</w:t>
            </w:r>
            <w:r>
              <w:rPr>
                <w:rFonts w:ascii="SimSun" w:eastAsia="SimSun" w:hAnsi="SimSun" w:cs="SimSun"/>
                <w:color w:val="000000"/>
                <w:spacing w:val="0"/>
                <w:w w:val="100"/>
                <w:position w:val="0"/>
                <w:sz w:val="20"/>
                <w:szCs w:val="20"/>
              </w:rPr>
              <w:t>年上半年度募集资金存放与实际使 用情况的专项报告》、《关于公司</w:t>
            </w:r>
            <w:r>
              <w:rPr>
                <w:color w:val="000000"/>
                <w:spacing w:val="0"/>
                <w:w w:val="100"/>
                <w:position w:val="0"/>
                <w:sz w:val="22"/>
                <w:szCs w:val="22"/>
              </w:rPr>
              <w:t>2021</w:t>
            </w:r>
            <w:r>
              <w:rPr>
                <w:rFonts w:ascii="SimSun" w:eastAsia="SimSun" w:hAnsi="SimSun" w:cs="SimSun"/>
                <w:color w:val="000000"/>
                <w:spacing w:val="0"/>
                <w:w w:val="100"/>
                <w:position w:val="0"/>
                <w:sz w:val="20"/>
                <w:szCs w:val="20"/>
              </w:rPr>
              <w:t>年上半年度关联 交易情况说明的议案》</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第二十一次会 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9</w:t>
            </w:r>
            <w:r>
              <w:rPr>
                <w:rFonts w:ascii="SimSun" w:eastAsia="SimSun" w:hAnsi="SimSun" w:cs="SimSun"/>
                <w:color w:val="000000"/>
                <w:spacing w:val="0"/>
                <w:w w:val="100"/>
                <w:position w:val="0"/>
                <w:sz w:val="20"/>
                <w:szCs w:val="20"/>
              </w:rPr>
              <w:t>月</w:t>
            </w:r>
            <w:r>
              <w:rPr>
                <w:color w:val="000000"/>
                <w:spacing w:val="0"/>
                <w:w w:val="100"/>
                <w:position w:val="0"/>
                <w:sz w:val="22"/>
                <w:szCs w:val="22"/>
              </w:rPr>
              <w:t>06</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年</w:t>
            </w:r>
            <w:r>
              <w:rPr>
                <w:color w:val="000000"/>
                <w:spacing w:val="0"/>
                <w:w w:val="100"/>
                <w:position w:val="0"/>
              </w:rPr>
              <w:t>9</w:t>
            </w:r>
            <w:r>
              <w:rPr>
                <w:rFonts w:ascii="SimSun" w:eastAsia="SimSun" w:hAnsi="SimSun" w:cs="SimSun"/>
                <w:color w:val="000000"/>
                <w:spacing w:val="0"/>
                <w:w w:val="100"/>
                <w:position w:val="0"/>
                <w:sz w:val="20"/>
                <w:szCs w:val="20"/>
              </w:rPr>
              <w:t xml:space="preserve">月 </w:t>
            </w:r>
            <w:r>
              <w:rPr>
                <w:color w:val="000000"/>
                <w:spacing w:val="0"/>
                <w:w w:val="100"/>
                <w:position w:val="0"/>
              </w:rPr>
              <w:t>07</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决议通过《关于补充第七届董事会战略委员会委员的 议案》</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第二十二次会 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9</w:t>
            </w:r>
            <w:r>
              <w:rPr>
                <w:rFonts w:ascii="SimSun" w:eastAsia="SimSun" w:hAnsi="SimSun" w:cs="SimSun"/>
                <w:color w:val="000000"/>
                <w:spacing w:val="0"/>
                <w:w w:val="100"/>
                <w:position w:val="0"/>
                <w:sz w:val="20"/>
                <w:szCs w:val="20"/>
              </w:rPr>
              <w:t>月</w:t>
            </w:r>
            <w:r>
              <w:rPr>
                <w:color w:val="000000"/>
                <w:spacing w:val="0"/>
                <w:w w:val="100"/>
                <w:position w:val="0"/>
                <w:sz w:val="22"/>
                <w:szCs w:val="22"/>
              </w:rPr>
              <w:t>16</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8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年</w:t>
            </w:r>
            <w:r>
              <w:rPr>
                <w:color w:val="000000"/>
                <w:spacing w:val="0"/>
                <w:w w:val="100"/>
                <w:position w:val="0"/>
              </w:rPr>
              <w:t>9</w:t>
            </w:r>
            <w:r>
              <w:rPr>
                <w:rFonts w:ascii="SimSun" w:eastAsia="SimSun" w:hAnsi="SimSun" w:cs="SimSun"/>
                <w:color w:val="000000"/>
                <w:spacing w:val="0"/>
                <w:w w:val="100"/>
                <w:position w:val="0"/>
                <w:sz w:val="20"/>
                <w:szCs w:val="20"/>
              </w:rPr>
              <w:t xml:space="preserve">月 </w:t>
            </w:r>
            <w:r>
              <w:rPr>
                <w:color w:val="000000"/>
                <w:spacing w:val="0"/>
                <w:w w:val="100"/>
                <w:position w:val="0"/>
              </w:rPr>
              <w:t>17</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决议通过《关于为子公司提供担保的议案》</w:t>
            </w:r>
          </w:p>
        </w:tc>
      </w:tr>
      <w:tr>
        <w:trPr>
          <w:trHeight w:val="21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第二十三次会 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10</w:t>
            </w:r>
            <w:r>
              <w:rPr>
                <w:rFonts w:ascii="SimSun" w:eastAsia="SimSun" w:hAnsi="SimSun" w:cs="SimSun"/>
                <w:color w:val="000000"/>
                <w:spacing w:val="0"/>
                <w:w w:val="100"/>
                <w:position w:val="0"/>
                <w:sz w:val="20"/>
                <w:szCs w:val="20"/>
              </w:rPr>
              <w:t>月</w:t>
            </w: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董事会决议仅</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含审议本次季</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报一项议案且</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无投反对票或</w:t>
            </w:r>
          </w:p>
          <w:p>
            <w:pPr>
              <w:pStyle w:val="Style29"/>
              <w:keepNext w:val="0"/>
              <w:keepLines w:val="0"/>
              <w:widowControl w:val="0"/>
              <w:shd w:val="clear" w:color="auto" w:fill="auto"/>
              <w:bidi w:val="0"/>
              <w:spacing w:before="0" w:after="60" w:line="240" w:lineRule="auto"/>
              <w:ind w:left="0" w:right="0" w:firstLine="260"/>
              <w:jc w:val="both"/>
              <w:rPr>
                <w:sz w:val="20"/>
                <w:szCs w:val="20"/>
              </w:rPr>
            </w:pPr>
            <w:r>
              <w:rPr>
                <w:rFonts w:ascii="SimSun" w:eastAsia="SimSun" w:hAnsi="SimSun" w:cs="SimSun"/>
                <w:color w:val="000000"/>
                <w:spacing w:val="0"/>
                <w:w w:val="100"/>
                <w:position w:val="0"/>
                <w:sz w:val="20"/>
                <w:szCs w:val="20"/>
              </w:rPr>
              <w:t>弃权票情形</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的，可免于公</w:t>
            </w:r>
          </w:p>
          <w:p>
            <w:pPr>
              <w:pStyle w:val="Style29"/>
              <w:keepNext w:val="0"/>
              <w:keepLines w:val="0"/>
              <w:widowControl w:val="0"/>
              <w:shd w:val="clear" w:color="auto" w:fill="auto"/>
              <w:bidi w:val="0"/>
              <w:spacing w:before="0" w:after="60" w:line="240" w:lineRule="auto"/>
              <w:ind w:left="1160" w:right="0" w:firstLine="0"/>
              <w:jc w:val="both"/>
              <w:rPr>
                <w:sz w:val="20"/>
                <w:szCs w:val="20"/>
              </w:rPr>
            </w:pPr>
            <w:r>
              <w:rPr>
                <w:rFonts w:ascii="SimSun" w:eastAsia="SimSun" w:hAnsi="SimSun" w:cs="SimSun"/>
                <w:color w:val="000000"/>
                <w:spacing w:val="0"/>
                <w:w w:val="100"/>
                <w:position w:val="0"/>
                <w:sz w:val="20"/>
                <w:szCs w:val="20"/>
              </w:rPr>
              <w:t>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决议通过《苏宁易购集团股份有限公司</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年第三季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度报告》</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第二十四次会 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11</w:t>
            </w:r>
            <w:r>
              <w:rPr>
                <w:rFonts w:ascii="SimSun" w:eastAsia="SimSun" w:hAnsi="SimSun" w:cs="SimSun"/>
                <w:color w:val="000000"/>
                <w:spacing w:val="0"/>
                <w:w w:val="100"/>
                <w:position w:val="0"/>
                <w:sz w:val="20"/>
                <w:szCs w:val="20"/>
              </w:rPr>
              <w:t>月</w:t>
            </w:r>
            <w:r>
              <w:rPr>
                <w:color w:val="000000"/>
                <w:spacing w:val="0"/>
                <w:w w:val="100"/>
                <w:position w:val="0"/>
                <w:sz w:val="22"/>
                <w:szCs w:val="22"/>
              </w:rPr>
              <w:t>05</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11 </w:t>
            </w:r>
            <w:r>
              <w:rPr>
                <w:rFonts w:ascii="SimSun" w:eastAsia="SimSun" w:hAnsi="SimSun" w:cs="SimSun"/>
                <w:color w:val="000000"/>
                <w:spacing w:val="0"/>
                <w:w w:val="100"/>
                <w:position w:val="0"/>
                <w:sz w:val="20"/>
                <w:szCs w:val="20"/>
              </w:rPr>
              <w:t>月</w:t>
            </w:r>
            <w:r>
              <w:rPr>
                <w:color w:val="000000"/>
                <w:spacing w:val="0"/>
                <w:w w:val="100"/>
                <w:position w:val="0"/>
              </w:rPr>
              <w:t>06</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决议通过《关于为子公司提供担保的议案》</w:t>
            </w:r>
          </w:p>
        </w:tc>
      </w:tr>
      <w:tr>
        <w:trPr>
          <w:trHeight w:val="126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第七届董事会</w:t>
            </w:r>
          </w:p>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第二十五次会 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11</w:t>
            </w:r>
            <w:r>
              <w:rPr>
                <w:rFonts w:ascii="SimSun" w:eastAsia="SimSun" w:hAnsi="SimSun" w:cs="SimSun"/>
                <w:color w:val="000000"/>
                <w:spacing w:val="0"/>
                <w:w w:val="100"/>
                <w:position w:val="0"/>
                <w:sz w:val="20"/>
                <w:szCs w:val="20"/>
              </w:rPr>
              <w:t>月</w:t>
            </w:r>
            <w:r>
              <w:rPr>
                <w:color w:val="000000"/>
                <w:spacing w:val="0"/>
                <w:w w:val="100"/>
                <w:position w:val="0"/>
                <w:sz w:val="22"/>
                <w:szCs w:val="22"/>
              </w:rPr>
              <w:t>26</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11 </w:t>
            </w:r>
            <w:r>
              <w:rPr>
                <w:rFonts w:ascii="SimSun" w:eastAsia="SimSun" w:hAnsi="SimSun" w:cs="SimSun"/>
                <w:color w:val="000000"/>
                <w:spacing w:val="0"/>
                <w:w w:val="100"/>
                <w:position w:val="0"/>
                <w:sz w:val="20"/>
                <w:szCs w:val="20"/>
              </w:rPr>
              <w:t>月</w:t>
            </w:r>
            <w:r>
              <w:rPr>
                <w:color w:val="000000"/>
                <w:spacing w:val="0"/>
                <w:w w:val="100"/>
                <w:position w:val="0"/>
              </w:rPr>
              <w:t>27</w:t>
            </w:r>
          </w:p>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决议通过《江苏苏宁银行股份有限公司主要股东承诺 书》、《苏宁消费金融有限公司主要股东承诺书》、《北 京通州中银富登村镇银行股份有限公司主要股东承诺 书》</w:t>
            </w:r>
          </w:p>
        </w:tc>
      </w:tr>
    </w:tbl>
    <w:p>
      <w:pPr>
        <w:pStyle w:val="Style26"/>
        <w:keepNext w:val="0"/>
        <w:keepLines w:val="0"/>
        <w:widowControl w:val="0"/>
        <w:shd w:val="clear" w:color="auto" w:fill="auto"/>
        <w:bidi w:val="0"/>
        <w:spacing w:before="0" w:after="0" w:line="240" w:lineRule="auto"/>
        <w:ind w:left="0" w:right="0" w:firstLine="0"/>
        <w:jc w:val="left"/>
      </w:pPr>
      <w:bookmarkStart w:id="307" w:name="bookmark307"/>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rPr>
        <w:t>、董事出席董事会及股东大会的情况</w:t>
      </w:r>
      <w:bookmarkEnd w:id="307"/>
    </w:p>
    <w:tbl>
      <w:tblPr>
        <w:tblOverlap w:val="never"/>
        <w:jc w:val="center"/>
        <w:tblLayout w:type="fixed"/>
      </w:tblPr>
      <w:tblGrid>
        <w:gridCol w:w="1435"/>
        <w:gridCol w:w="1166"/>
        <w:gridCol w:w="1162"/>
        <w:gridCol w:w="1162"/>
        <w:gridCol w:w="1166"/>
        <w:gridCol w:w="1162"/>
        <w:gridCol w:w="1162"/>
        <w:gridCol w:w="1176"/>
      </w:tblGrid>
      <w:tr>
        <w:trPr>
          <w:trHeight w:val="326" w:hRule="exact"/>
        </w:trPr>
        <w:tc>
          <w:tcPr>
            <w:gridSpan w:val="3"/>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董事出</w:t>
            </w:r>
          </w:p>
        </w:tc>
        <w:tc>
          <w:tcPr>
            <w:gridSpan w:val="5"/>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席董事会及股东大会的情况</w:t>
            </w:r>
          </w:p>
        </w:tc>
      </w:tr>
      <w:tr>
        <w:trPr>
          <w:trHeight w:val="12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本报告期应</w:t>
            </w:r>
          </w:p>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参加董事会 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现场出席董 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以通讯方式</w:t>
            </w:r>
          </w:p>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参加董事会 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委托出席董</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缺席董事会 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是否连续两 次未亲自参 加董事会会 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出席股东大 会次数</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黄明端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任峻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刘鹏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曹群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张康阳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冼汉迪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柳世平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方先明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陈振宇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张近东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孙为民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孟祥胜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徐宏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杨光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注：公司第七届董事会董事张近东先生、孙为民先生、孟祥胜先生、杨光先生于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 xml:space="preserve">12 </w:t>
      </w:r>
      <w:r>
        <w:rPr>
          <w:color w:val="000000"/>
          <w:spacing w:val="0"/>
          <w:w w:val="100"/>
          <w:position w:val="0"/>
        </w:rPr>
        <w:t>日辞去本公司董事职务，第七届董事会董事徐宏先生于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日辞去本公司董事职务。</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年第四次临时股东大会通过《关于公司改选董事的议案》，选举黄明端先生、曹群女士、 冼汉迪先生、张康阳先生为公司第七届董事会董事，任期自</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日起至</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w:t>
      </w:r>
    </w:p>
    <w:p>
      <w:pPr>
        <w:pStyle w:val="Style17"/>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年第五次临时股东大会通过《关于改选董事的议案》，选举刘鹏先生为公司第七届董事 会董事，任期自</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日起至</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w:t>
      </w:r>
    </w:p>
    <w:p>
      <w:pPr>
        <w:pStyle w:val="Style35"/>
        <w:keepNext/>
        <w:keepLines/>
        <w:widowControl w:val="0"/>
        <w:shd w:val="clear" w:color="auto" w:fill="auto"/>
        <w:tabs>
          <w:tab w:pos="387" w:val="left"/>
        </w:tabs>
        <w:bidi w:val="0"/>
        <w:spacing w:before="0" w:after="160" w:line="470" w:lineRule="exact"/>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sz w:val="22"/>
          <w:szCs w:val="22"/>
        </w:rPr>
        <w:t>3</w:t>
      </w:r>
      <w:bookmarkEnd w:id="310"/>
      <w:r>
        <w:rPr>
          <w:color w:val="000000"/>
          <w:spacing w:val="0"/>
          <w:w w:val="100"/>
          <w:position w:val="0"/>
        </w:rPr>
        <w:t>、</w:t>
        <w:tab/>
        <w:t>董事对公司有关事项提出异议的情况</w:t>
      </w:r>
      <w:bookmarkEnd w:id="308"/>
      <w:bookmarkEnd w:id="309"/>
      <w:bookmarkEnd w:id="311"/>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董事对公司有关事项是否提出异议</w:t>
      </w:r>
    </w:p>
    <w:p>
      <w:pPr>
        <w:pStyle w:val="Style17"/>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17"/>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报告期内董事对公司有关事项未提出异议。</w:t>
      </w:r>
    </w:p>
    <w:p>
      <w:pPr>
        <w:pStyle w:val="Style35"/>
        <w:keepNext/>
        <w:keepLines/>
        <w:widowControl w:val="0"/>
        <w:shd w:val="clear" w:color="auto" w:fill="auto"/>
        <w:tabs>
          <w:tab w:pos="387" w:val="left"/>
        </w:tabs>
        <w:bidi w:val="0"/>
        <w:spacing w:before="0" w:after="160" w:line="470" w:lineRule="exact"/>
        <w:ind w:left="0" w:right="0" w:firstLine="0"/>
        <w:jc w:val="both"/>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sz w:val="22"/>
          <w:szCs w:val="22"/>
        </w:rPr>
        <w:t>4</w:t>
      </w:r>
      <w:bookmarkEnd w:id="314"/>
      <w:r>
        <w:rPr>
          <w:color w:val="000000"/>
          <w:spacing w:val="0"/>
          <w:w w:val="100"/>
          <w:position w:val="0"/>
        </w:rPr>
        <w:t>、</w:t>
        <w:tab/>
        <w:t>董事履行职责的其他说明</w:t>
      </w:r>
      <w:bookmarkEnd w:id="312"/>
      <w:bookmarkEnd w:id="313"/>
      <w:bookmarkEnd w:id="315"/>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董事对公司有关建议是否被采纳</w:t>
      </w:r>
    </w:p>
    <w:p>
      <w:pPr>
        <w:pStyle w:val="Style17"/>
        <w:keepNext w:val="0"/>
        <w:keepLines w:val="0"/>
        <w:widowControl w:val="0"/>
        <w:shd w:val="clear" w:color="auto" w:fill="auto"/>
        <w:bidi w:val="0"/>
        <w:spacing w:before="0" w:after="80" w:line="470" w:lineRule="exact"/>
        <w:ind w:left="0" w:right="0" w:firstLine="460"/>
        <w:jc w:val="both"/>
      </w:pPr>
      <w:r>
        <w:rPr>
          <w:color w:val="000000"/>
          <w:spacing w:val="0"/>
          <w:w w:val="100"/>
          <w:position w:val="0"/>
          <w:sz w:val="22"/>
          <w:szCs w:val="22"/>
        </w:rPr>
        <w:t>寸</w:t>
      </w:r>
      <w:r>
        <w:rPr>
          <w:color w:val="000000"/>
          <w:spacing w:val="0"/>
          <w:w w:val="100"/>
          <w:position w:val="0"/>
        </w:rPr>
        <w:t>是</w:t>
      </w:r>
      <w:r>
        <w:rPr>
          <w:color w:val="000000"/>
          <w:spacing w:val="0"/>
          <w:w w:val="100"/>
          <w:position w:val="0"/>
          <w:sz w:val="22"/>
          <w:szCs w:val="22"/>
        </w:rPr>
        <w:t>口</w:t>
      </w:r>
      <w:r>
        <w:rPr>
          <w:color w:val="000000"/>
          <w:spacing w:val="0"/>
          <w:w w:val="100"/>
          <w:position w:val="0"/>
        </w:rPr>
        <w:t>否</w:t>
      </w:r>
    </w:p>
    <w:p>
      <w:pPr>
        <w:pStyle w:val="Style17"/>
        <w:keepNext w:val="0"/>
        <w:keepLines w:val="0"/>
        <w:widowControl w:val="0"/>
        <w:shd w:val="clear" w:color="auto" w:fill="auto"/>
        <w:bidi w:val="0"/>
        <w:spacing w:before="0" w:after="0" w:line="473" w:lineRule="exact"/>
        <w:ind w:left="0" w:right="0" w:firstLine="460"/>
        <w:jc w:val="left"/>
      </w:pPr>
      <w:r>
        <w:rPr>
          <w:color w:val="000000"/>
          <w:spacing w:val="0"/>
          <w:w w:val="100"/>
          <w:position w:val="0"/>
        </w:rPr>
        <w:t>董事对公司有关建议被采纳或未被采纳的说明</w:t>
      </w:r>
    </w:p>
    <w:p>
      <w:pPr>
        <w:pStyle w:val="Style17"/>
        <w:keepNext w:val="0"/>
        <w:keepLines w:val="0"/>
        <w:widowControl w:val="0"/>
        <w:shd w:val="clear" w:color="auto" w:fill="auto"/>
        <w:bidi w:val="0"/>
        <w:spacing w:before="0" w:after="280" w:line="469" w:lineRule="exact"/>
        <w:ind w:left="0" w:right="0" w:firstLine="460"/>
        <w:jc w:val="both"/>
      </w:pPr>
      <w:r>
        <w:rPr>
          <w:color w:val="000000"/>
          <w:spacing w:val="0"/>
          <w:w w:val="100"/>
          <w:position w:val="0"/>
        </w:rPr>
        <w:t>报告期内，公司董事按照《公司章程》及有关法律法规要求，积极履行职责，审阅公司管理层提 交的募集资金、改选公司董事、聘任高级管理人员、关联交易、投资理财、拟聘任会计师事务所、利 润分配、内部控制评价报告、对外担保、会计政策变更等议案内容，并就前述议案内容与公司管理层 充分沟通交流，公司重视各位董事建议意见，并依据董事的建议意见修改完善议案内容。公司董事对 相关事项的合法合规性发表了意见，切实维护了中小股东的利益。</w:t>
      </w:r>
    </w:p>
    <w:p>
      <w:pPr>
        <w:pStyle w:val="Style32"/>
        <w:keepNext/>
        <w:keepLines/>
        <w:widowControl w:val="0"/>
        <w:shd w:val="clear" w:color="auto" w:fill="auto"/>
        <w:bidi w:val="0"/>
        <w:spacing w:before="0" w:after="280" w:line="473" w:lineRule="exact"/>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七</w:t>
      </w:r>
      <w:bookmarkEnd w:id="318"/>
      <w:r>
        <w:rPr>
          <w:color w:val="000000"/>
          <w:spacing w:val="0"/>
          <w:w w:val="100"/>
          <w:position w:val="0"/>
          <w:sz w:val="24"/>
          <w:szCs w:val="24"/>
        </w:rPr>
        <w:t>、董事会下设专门委员会在报告期内的情况</w:t>
      </w:r>
      <w:bookmarkEnd w:id="316"/>
      <w:bookmarkEnd w:id="317"/>
      <w:bookmarkEnd w:id="319"/>
    </w:p>
    <w:p>
      <w:pPr>
        <w:pStyle w:val="Style17"/>
        <w:keepNext w:val="0"/>
        <w:keepLines w:val="0"/>
        <w:widowControl w:val="0"/>
        <w:shd w:val="clear" w:color="auto" w:fill="auto"/>
        <w:bidi w:val="0"/>
        <w:spacing w:before="0" w:after="0" w:line="478" w:lineRule="exact"/>
        <w:ind w:left="0" w:right="0" w:firstLine="460"/>
        <w:jc w:val="left"/>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日公司第七届董事会第十六次会议审议通过了《关于改选公司第七届董事会专门 委员会的议案》，</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年第四次临时股东大会决议通过《关于改选公司第七届 董事会专门委员会的议案》。</w:t>
      </w:r>
    </w:p>
    <w:p>
      <w:pPr>
        <w:pStyle w:val="Style17"/>
        <w:keepNext w:val="0"/>
        <w:keepLines w:val="0"/>
        <w:widowControl w:val="0"/>
        <w:shd w:val="clear" w:color="auto" w:fill="auto"/>
        <w:bidi w:val="0"/>
        <w:spacing w:before="0" w:after="200" w:line="480" w:lineRule="exact"/>
        <w:ind w:left="0" w:right="0" w:firstLine="460"/>
        <w:jc w:val="left"/>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日第七届董事会第二十一次会议审议通过了《关于补充第七届董事会战略委员会委 员的议案》，补充刘鹏先生为公司第七届董事会战略委员会委员。</w:t>
      </w:r>
    </w:p>
    <w:p>
      <w:pPr>
        <w:pStyle w:val="Style26"/>
        <w:keepNext w:val="0"/>
        <w:keepLines w:val="0"/>
        <w:widowControl w:val="0"/>
        <w:shd w:val="clear" w:color="auto" w:fill="auto"/>
        <w:bidi w:val="0"/>
        <w:spacing w:before="0" w:after="0" w:line="240" w:lineRule="auto"/>
        <w:ind w:left="451" w:right="0" w:firstLine="0"/>
        <w:jc w:val="left"/>
      </w:pP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、改选前董事会下设专门委员会在报告期内的情况</w:t>
      </w:r>
    </w:p>
    <w:tbl>
      <w:tblPr>
        <w:tblOverlap w:val="never"/>
        <w:jc w:val="center"/>
        <w:tblLayout w:type="fixed"/>
      </w:tblPr>
      <w:tblGrid>
        <w:gridCol w:w="859"/>
        <w:gridCol w:w="1843"/>
        <w:gridCol w:w="710"/>
        <w:gridCol w:w="1133"/>
        <w:gridCol w:w="2410"/>
        <w:gridCol w:w="1133"/>
        <w:gridCol w:w="994"/>
        <w:gridCol w:w="998"/>
      </w:tblGrid>
      <w:tr>
        <w:trPr>
          <w:trHeight w:val="9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委员会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成员情况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召开 会议 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会议内容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提出的重</w:t>
            </w:r>
          </w:p>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要意见和 建议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其他履行</w:t>
            </w:r>
          </w:p>
          <w:p>
            <w:pPr>
              <w:pStyle w:val="Style2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职责的情 况</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异议事项</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具体情况</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（如有）</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董事会</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战略委</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员会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张近东、孙为民、 任峻、孟祥胜、柳 世平、方先明、陈 振宇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无</w:t>
            </w: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董事会</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提名委</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员会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both"/>
              <w:rPr>
                <w:sz w:val="20"/>
                <w:szCs w:val="20"/>
              </w:rPr>
            </w:pPr>
            <w:r>
              <w:rPr>
                <w:rFonts w:ascii="SimSun" w:eastAsia="SimSun" w:hAnsi="SimSun" w:cs="SimSun"/>
                <w:color w:val="000000"/>
                <w:spacing w:val="0"/>
                <w:w w:val="100"/>
                <w:position w:val="0"/>
                <w:sz w:val="20"/>
                <w:szCs w:val="20"/>
              </w:rPr>
              <w:t>方先明、柳世平、 陈振宇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12</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审议通过《关于改选董事 的议案》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无</w:t>
            </w:r>
          </w:p>
        </w:tc>
      </w:tr>
      <w:tr>
        <w:trPr>
          <w:trHeight w:val="12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董事会 薪酬与 考核委 员会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陈振宇、孙为民、</w:t>
            </w:r>
          </w:p>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孟祥胜、方先明、</w:t>
            </w:r>
          </w:p>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柳世平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4</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23</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rPr>
                <w:sz w:val="20"/>
                <w:szCs w:val="20"/>
              </w:rPr>
            </w:pPr>
            <w:r>
              <w:rPr>
                <w:rFonts w:ascii="SimSun" w:eastAsia="SimSun" w:hAnsi="SimSun" w:cs="SimSun"/>
                <w:color w:val="000000"/>
                <w:spacing w:val="0"/>
                <w:w w:val="100"/>
                <w:position w:val="0"/>
                <w:sz w:val="20"/>
                <w:szCs w:val="20"/>
              </w:rPr>
              <w:t>审议通过《关于审核</w:t>
            </w:r>
            <w:r>
              <w:rPr>
                <w:color w:val="000000"/>
                <w:spacing w:val="0"/>
                <w:w w:val="100"/>
                <w:position w:val="0"/>
                <w:sz w:val="22"/>
                <w:szCs w:val="22"/>
              </w:rPr>
              <w:t xml:space="preserve">2020 </w:t>
            </w:r>
            <w:r>
              <w:rPr>
                <w:rFonts w:ascii="SimSun" w:eastAsia="SimSun" w:hAnsi="SimSun" w:cs="SimSun"/>
                <w:color w:val="000000"/>
                <w:spacing w:val="0"/>
                <w:w w:val="100"/>
                <w:position w:val="0"/>
                <w:sz w:val="20"/>
                <w:szCs w:val="20"/>
              </w:rPr>
              <w:t>年度公司董事、高级管理 人员薪酬及津贴的议案》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无</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both"/>
              <w:rPr>
                <w:sz w:val="20"/>
                <w:szCs w:val="20"/>
              </w:rPr>
            </w:pPr>
            <w:r>
              <w:rPr>
                <w:rFonts w:ascii="SimSun" w:eastAsia="SimSun" w:hAnsi="SimSun" w:cs="SimSun"/>
                <w:color w:val="000000"/>
                <w:spacing w:val="0"/>
                <w:w w:val="100"/>
                <w:position w:val="0"/>
                <w:sz w:val="20"/>
                <w:szCs w:val="20"/>
              </w:rPr>
              <w:t>董事会</w:t>
            </w:r>
          </w:p>
          <w:p>
            <w:pPr>
              <w:pStyle w:val="Style29"/>
              <w:keepNext w:val="0"/>
              <w:keepLines w:val="0"/>
              <w:widowControl w:val="0"/>
              <w:shd w:val="clear" w:color="auto" w:fill="auto"/>
              <w:bidi w:val="0"/>
              <w:spacing w:before="0" w:after="0" w:line="293" w:lineRule="exact"/>
              <w:ind w:left="0" w:right="0" w:firstLine="0"/>
              <w:jc w:val="both"/>
              <w:rPr>
                <w:sz w:val="20"/>
                <w:szCs w:val="20"/>
              </w:rPr>
            </w:pPr>
            <w:r>
              <w:rPr>
                <w:rFonts w:ascii="SimSun" w:eastAsia="SimSun" w:hAnsi="SimSun" w:cs="SimSun"/>
                <w:color w:val="000000"/>
                <w:spacing w:val="0"/>
                <w:w w:val="100"/>
                <w:position w:val="0"/>
                <w:sz w:val="20"/>
                <w:szCs w:val="20"/>
              </w:rPr>
              <w:t>审计委 员会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柳世平、孙为民、 任峻、方先明、陈 振宇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80" w:after="4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1</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both"/>
              <w:rPr>
                <w:sz w:val="20"/>
                <w:szCs w:val="20"/>
              </w:rPr>
            </w:pPr>
            <w:r>
              <w:rPr>
                <w:rFonts w:ascii="SimSun" w:eastAsia="SimSun" w:hAnsi="SimSun" w:cs="SimSun"/>
                <w:color w:val="000000"/>
                <w:spacing w:val="0"/>
                <w:w w:val="100"/>
                <w:position w:val="0"/>
                <w:sz w:val="20"/>
                <w:szCs w:val="20"/>
              </w:rPr>
              <w:t>审议通过《关于计提长期 资产减值准备的议案》、 《</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年度内部审计工</w:t>
            </w:r>
          </w:p>
          <w:p>
            <w:pPr>
              <w:pStyle w:val="Style29"/>
              <w:keepNext w:val="0"/>
              <w:keepLines w:val="0"/>
              <w:widowControl w:val="0"/>
              <w:shd w:val="clear" w:color="auto" w:fill="auto"/>
              <w:bidi w:val="0"/>
              <w:spacing w:before="0" w:after="0" w:line="305" w:lineRule="exact"/>
              <w:ind w:left="0" w:right="0" w:firstLine="0"/>
              <w:jc w:val="both"/>
              <w:rPr>
                <w:sz w:val="20"/>
                <w:szCs w:val="20"/>
              </w:rPr>
            </w:pPr>
            <w:r>
              <w:rPr>
                <w:rFonts w:ascii="SimSun" w:eastAsia="SimSun" w:hAnsi="SimSun" w:cs="SimSun"/>
                <w:color w:val="000000"/>
                <w:spacing w:val="0"/>
                <w:w w:val="100"/>
                <w:position w:val="0"/>
                <w:sz w:val="20"/>
                <w:szCs w:val="20"/>
              </w:rPr>
              <w:t>作总结》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无</w:t>
            </w:r>
          </w:p>
        </w:tc>
      </w:tr>
      <w:tr>
        <w:trPr>
          <w:trHeight w:val="157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both"/>
              <w:rPr>
                <w:sz w:val="20"/>
                <w:szCs w:val="20"/>
              </w:rPr>
            </w:pPr>
            <w:r>
              <w:rPr>
                <w:rFonts w:ascii="SimSun" w:eastAsia="SimSun" w:hAnsi="SimSun" w:cs="SimSun"/>
                <w:color w:val="000000"/>
                <w:spacing w:val="0"/>
                <w:w w:val="100"/>
                <w:position w:val="0"/>
                <w:sz w:val="20"/>
                <w:szCs w:val="20"/>
              </w:rPr>
              <w:t>董事会</w:t>
            </w:r>
          </w:p>
          <w:p>
            <w:pPr>
              <w:pStyle w:val="Style29"/>
              <w:keepNext w:val="0"/>
              <w:keepLines w:val="0"/>
              <w:widowControl w:val="0"/>
              <w:shd w:val="clear" w:color="auto" w:fill="auto"/>
              <w:bidi w:val="0"/>
              <w:spacing w:before="0" w:after="0" w:line="293" w:lineRule="exact"/>
              <w:ind w:left="0" w:right="0" w:firstLine="0"/>
              <w:jc w:val="both"/>
              <w:rPr>
                <w:sz w:val="20"/>
                <w:szCs w:val="20"/>
              </w:rPr>
            </w:pPr>
            <w:r>
              <w:rPr>
                <w:rFonts w:ascii="SimSun" w:eastAsia="SimSun" w:hAnsi="SimSun" w:cs="SimSun"/>
                <w:color w:val="000000"/>
                <w:spacing w:val="0"/>
                <w:w w:val="100"/>
                <w:position w:val="0"/>
                <w:sz w:val="20"/>
                <w:szCs w:val="20"/>
              </w:rPr>
              <w:t>审计委 员会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柳世平、孙为民、 任峻、方先明、陈 振宇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4</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23</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审议通过《关于审核财务 会计报表和财务报告的 议案》、《关于会计师事务 所从事</w:t>
            </w:r>
            <w:r>
              <w:rPr>
                <w:color w:val="000000"/>
                <w:spacing w:val="0"/>
                <w:w w:val="100"/>
                <w:position w:val="0"/>
                <w:sz w:val="22"/>
                <w:szCs w:val="22"/>
              </w:rPr>
              <w:t>2020</w:t>
            </w:r>
            <w:r>
              <w:rPr>
                <w:rFonts w:ascii="SimSun" w:eastAsia="SimSun" w:hAnsi="SimSun" w:cs="SimSun"/>
                <w:color w:val="000000"/>
                <w:spacing w:val="0"/>
                <w:w w:val="100"/>
                <w:position w:val="0"/>
                <w:sz w:val="20"/>
                <w:szCs w:val="20"/>
              </w:rPr>
              <w:t>度公司审计 工作的总结报告》、《关于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无</w:t>
            </w:r>
          </w:p>
        </w:tc>
      </w:tr>
    </w:tbl>
    <w:p>
      <w:pPr>
        <w:spacing w:lineRule="exact" w:line="1"/>
        <w:rPr>
          <w:sz w:val="2"/>
          <w:szCs w:val="2"/>
        </w:rPr>
      </w:pPr>
      <w:r>
        <w:br w:type="page"/>
      </w:r>
    </w:p>
    <w:tbl>
      <w:tblPr>
        <w:tblOverlap w:val="never"/>
        <w:jc w:val="center"/>
        <w:tblLayout w:type="fixed"/>
      </w:tblPr>
      <w:tblGrid>
        <w:gridCol w:w="859"/>
        <w:gridCol w:w="1843"/>
        <w:gridCol w:w="710"/>
        <w:gridCol w:w="1133"/>
        <w:gridCol w:w="2410"/>
        <w:gridCol w:w="1133"/>
        <w:gridCol w:w="994"/>
        <w:gridCol w:w="998"/>
      </w:tblGrid>
      <w:tr>
        <w:trPr>
          <w:trHeight w:val="9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委员会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成员情况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召开 会议 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会议内容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提出的重</w:t>
            </w:r>
          </w:p>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要意见和 建议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其他履行</w:t>
            </w:r>
          </w:p>
          <w:p>
            <w:pPr>
              <w:pStyle w:val="Style2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职责的情 况</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异议事项</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具体情况</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（如有）</w:t>
            </w:r>
          </w:p>
        </w:tc>
      </w:tr>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拟聘任会计师事务所的 议案》、《</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年度内部 控制评价报告》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董事会</w:t>
            </w:r>
          </w:p>
          <w:p>
            <w:pPr>
              <w:pStyle w:val="Style29"/>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审计委 员会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柳世平、孙为民、 任峻、方先明、陈 振宇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4</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审议通过《</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年第一 季度报告》、《</w:t>
            </w:r>
            <w:r>
              <w:rPr>
                <w:color w:val="000000"/>
                <w:spacing w:val="0"/>
                <w:w w:val="100"/>
                <w:position w:val="0"/>
                <w:sz w:val="22"/>
                <w:szCs w:val="22"/>
              </w:rPr>
              <w:t>2021</w:t>
            </w:r>
            <w:r>
              <w:rPr>
                <w:rFonts w:ascii="SimSun" w:eastAsia="SimSun" w:hAnsi="SimSun" w:cs="SimSun"/>
                <w:color w:val="000000"/>
                <w:spacing w:val="0"/>
                <w:w w:val="100"/>
                <w:position w:val="0"/>
                <w:sz w:val="20"/>
                <w:szCs w:val="20"/>
              </w:rPr>
              <w:t>年一 季度审计工作总结》、《关 于变更会计政策的议案》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bl>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、改选后董事会下设专门委员会在报告期内的情况</w:t>
      </w:r>
    </w:p>
    <w:p>
      <w:pPr>
        <w:widowControl w:val="0"/>
        <w:spacing w:after="79" w:line="1" w:lineRule="exact"/>
      </w:pPr>
    </w:p>
    <w:tbl>
      <w:tblPr>
        <w:tblOverlap w:val="never"/>
        <w:jc w:val="center"/>
        <w:tblLayout w:type="fixed"/>
      </w:tblPr>
      <w:tblGrid>
        <w:gridCol w:w="864"/>
        <w:gridCol w:w="1838"/>
        <w:gridCol w:w="710"/>
        <w:gridCol w:w="1133"/>
        <w:gridCol w:w="2400"/>
        <w:gridCol w:w="1138"/>
        <w:gridCol w:w="994"/>
        <w:gridCol w:w="1003"/>
      </w:tblGrid>
      <w:tr>
        <w:trPr>
          <w:trHeight w:val="9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委员会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成员情况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召开 会议 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会议内容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提出的重</w:t>
            </w:r>
          </w:p>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要意见和 建议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其他履行</w:t>
            </w:r>
          </w:p>
          <w:p>
            <w:pPr>
              <w:pStyle w:val="Style2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职责的情 况</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异议事项</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具体情况</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（如有）</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董事会</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战略委</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员会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黄明端、任峻、刘 鹏、曹群、冼汉迪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董事会</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提名委</w:t>
            </w:r>
          </w:p>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员会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方先明、陈振宇、 柳世平、黄明端、 任峻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审议通过《关于改选董事 的议案》、《关于聘任公司 总裁的议案》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董事会 薪酬与 考核委 员会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陈振宇、柳世平、</w:t>
            </w:r>
          </w:p>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方先明、黄明端、</w:t>
            </w:r>
          </w:p>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张康阳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董事会</w:t>
            </w:r>
          </w:p>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审计委 员会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both"/>
              <w:rPr>
                <w:sz w:val="20"/>
                <w:szCs w:val="20"/>
              </w:rPr>
            </w:pPr>
            <w:r>
              <w:rPr>
                <w:rFonts w:ascii="SimSun" w:eastAsia="SimSun" w:hAnsi="SimSun" w:cs="SimSun"/>
                <w:color w:val="000000"/>
                <w:spacing w:val="0"/>
                <w:w w:val="100"/>
                <w:position w:val="0"/>
                <w:sz w:val="20"/>
                <w:szCs w:val="20"/>
              </w:rPr>
              <w:t>柳世平、方先明、 陈振宇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8</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30</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审议通过《</w:t>
            </w:r>
            <w:r>
              <w:rPr>
                <w:color w:val="000000"/>
                <w:spacing w:val="0"/>
                <w:w w:val="100"/>
                <w:position w:val="0"/>
                <w:sz w:val="22"/>
                <w:szCs w:val="22"/>
              </w:rPr>
              <w:t>2021</w:t>
            </w:r>
            <w:r>
              <w:rPr>
                <w:rFonts w:ascii="SimSun" w:eastAsia="SimSun" w:hAnsi="SimSun" w:cs="SimSun"/>
                <w:color w:val="000000"/>
                <w:spacing w:val="0"/>
                <w:w w:val="100"/>
                <w:position w:val="0"/>
                <w:sz w:val="20"/>
                <w:szCs w:val="20"/>
              </w:rPr>
              <w:t>年半年 报》、《</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年第二季度 审计工作总结》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董事会</w:t>
            </w:r>
          </w:p>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审计委 员会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both"/>
              <w:rPr>
                <w:sz w:val="20"/>
                <w:szCs w:val="20"/>
              </w:rPr>
            </w:pPr>
            <w:r>
              <w:rPr>
                <w:rFonts w:ascii="SimSun" w:eastAsia="SimSun" w:hAnsi="SimSun" w:cs="SimSun"/>
                <w:color w:val="000000"/>
                <w:spacing w:val="0"/>
                <w:w w:val="100"/>
                <w:position w:val="0"/>
                <w:sz w:val="20"/>
                <w:szCs w:val="20"/>
              </w:rPr>
              <w:t>柳世平、方先明、 陈振宇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sz w:val="22"/>
                <w:szCs w:val="22"/>
              </w:rPr>
              <w:t xml:space="preserve">10 </w:t>
            </w:r>
            <w:r>
              <w:rPr>
                <w:rFonts w:ascii="SimSun" w:eastAsia="SimSun" w:hAnsi="SimSun" w:cs="SimSun"/>
                <w:color w:val="000000"/>
                <w:spacing w:val="0"/>
                <w:w w:val="100"/>
                <w:position w:val="0"/>
                <w:sz w:val="20"/>
                <w:szCs w:val="20"/>
              </w:rPr>
              <w:t>月</w:t>
            </w: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审议通过《</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年第三 季度报告》、《</w:t>
            </w:r>
            <w:r>
              <w:rPr>
                <w:color w:val="000000"/>
                <w:spacing w:val="0"/>
                <w:w w:val="100"/>
                <w:position w:val="0"/>
                <w:sz w:val="22"/>
                <w:szCs w:val="22"/>
              </w:rPr>
              <w:t>2021</w:t>
            </w:r>
            <w:r>
              <w:rPr>
                <w:rFonts w:ascii="SimSun" w:eastAsia="SimSun" w:hAnsi="SimSun" w:cs="SimSun"/>
                <w:color w:val="000000"/>
                <w:spacing w:val="0"/>
                <w:w w:val="100"/>
                <w:position w:val="0"/>
                <w:sz w:val="20"/>
                <w:szCs w:val="20"/>
              </w:rPr>
              <w:t>年第 三季度审计工作总结》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r>
        <w:trPr>
          <w:trHeight w:val="126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both"/>
              <w:rPr>
                <w:sz w:val="20"/>
                <w:szCs w:val="20"/>
              </w:rPr>
            </w:pPr>
            <w:r>
              <w:rPr>
                <w:rFonts w:ascii="SimSun" w:eastAsia="SimSun" w:hAnsi="SimSun" w:cs="SimSun"/>
                <w:color w:val="000000"/>
                <w:spacing w:val="0"/>
                <w:w w:val="100"/>
                <w:position w:val="0"/>
                <w:sz w:val="20"/>
                <w:szCs w:val="20"/>
              </w:rPr>
              <w:t>董事会</w:t>
            </w:r>
          </w:p>
          <w:p>
            <w:pPr>
              <w:pStyle w:val="Style29"/>
              <w:keepNext w:val="0"/>
              <w:keepLines w:val="0"/>
              <w:widowControl w:val="0"/>
              <w:shd w:val="clear" w:color="auto" w:fill="auto"/>
              <w:bidi w:val="0"/>
              <w:spacing w:before="0" w:after="0" w:line="293" w:lineRule="exact"/>
              <w:ind w:left="0" w:right="0" w:firstLine="0"/>
              <w:jc w:val="both"/>
              <w:rPr>
                <w:sz w:val="20"/>
                <w:szCs w:val="20"/>
              </w:rPr>
            </w:pPr>
            <w:r>
              <w:rPr>
                <w:rFonts w:ascii="SimSun" w:eastAsia="SimSun" w:hAnsi="SimSun" w:cs="SimSun"/>
                <w:color w:val="000000"/>
                <w:spacing w:val="0"/>
                <w:w w:val="100"/>
                <w:position w:val="0"/>
                <w:sz w:val="20"/>
                <w:szCs w:val="20"/>
              </w:rPr>
              <w:t>审计委 员会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柳世平、方先明、 陈振宇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sz w:val="22"/>
                <w:szCs w:val="22"/>
              </w:rPr>
              <w:t xml:space="preserve">12 </w:t>
            </w:r>
            <w:r>
              <w:rPr>
                <w:rFonts w:ascii="SimSun" w:eastAsia="SimSun" w:hAnsi="SimSun" w:cs="SimSun"/>
                <w:color w:val="000000"/>
                <w:spacing w:val="0"/>
                <w:w w:val="100"/>
                <w:position w:val="0"/>
                <w:sz w:val="20"/>
                <w:szCs w:val="20"/>
              </w:rPr>
              <w:t>月</w:t>
            </w:r>
            <w:r>
              <w:rPr>
                <w:color w:val="000000"/>
                <w:spacing w:val="0"/>
                <w:w w:val="100"/>
                <w:position w:val="0"/>
                <w:sz w:val="22"/>
                <w:szCs w:val="22"/>
              </w:rPr>
              <w:t>13</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20"/>
                <w:szCs w:val="20"/>
              </w:rPr>
            </w:pPr>
            <w:r>
              <w:rPr>
                <w:rFonts w:ascii="SimSun" w:eastAsia="SimSun" w:hAnsi="SimSun" w:cs="SimSun"/>
                <w:color w:val="000000"/>
                <w:spacing w:val="0"/>
                <w:w w:val="100"/>
                <w:position w:val="0"/>
                <w:sz w:val="20"/>
                <w:szCs w:val="20"/>
              </w:rPr>
              <w:t>审议通过《关于</w:t>
            </w:r>
            <w:r>
              <w:rPr>
                <w:color w:val="000000"/>
                <w:spacing w:val="0"/>
                <w:w w:val="100"/>
                <w:position w:val="0"/>
                <w:sz w:val="22"/>
                <w:szCs w:val="22"/>
              </w:rPr>
              <w:t>2021</w:t>
            </w:r>
            <w:r>
              <w:rPr>
                <w:rFonts w:ascii="SimSun" w:eastAsia="SimSun" w:hAnsi="SimSun" w:cs="SimSun"/>
                <w:color w:val="000000"/>
                <w:spacing w:val="0"/>
                <w:w w:val="100"/>
                <w:position w:val="0"/>
                <w:sz w:val="20"/>
                <w:szCs w:val="20"/>
              </w:rPr>
              <w:t>年 年报审计工作的安排》、 《</w:t>
            </w:r>
            <w:r>
              <w:rPr>
                <w:color w:val="000000"/>
                <w:spacing w:val="0"/>
                <w:w w:val="100"/>
                <w:position w:val="0"/>
                <w:sz w:val="22"/>
                <w:szCs w:val="22"/>
              </w:rPr>
              <w:t>2022</w:t>
            </w:r>
            <w:r>
              <w:rPr>
                <w:rFonts w:ascii="SimSun" w:eastAsia="SimSun" w:hAnsi="SimSun" w:cs="SimSun"/>
                <w:color w:val="000000"/>
                <w:spacing w:val="0"/>
                <w:w w:val="100"/>
                <w:position w:val="0"/>
                <w:sz w:val="20"/>
                <w:szCs w:val="20"/>
              </w:rPr>
              <w:t>年度内部审计工</w:t>
            </w:r>
          </w:p>
          <w:p>
            <w:pPr>
              <w:pStyle w:val="Style29"/>
              <w:keepNext w:val="0"/>
              <w:keepLines w:val="0"/>
              <w:widowControl w:val="0"/>
              <w:shd w:val="clear" w:color="auto" w:fill="auto"/>
              <w:bidi w:val="0"/>
              <w:spacing w:before="0" w:after="0" w:line="310" w:lineRule="exact"/>
              <w:ind w:left="0" w:right="0" w:firstLine="0"/>
              <w:jc w:val="both"/>
              <w:rPr>
                <w:sz w:val="20"/>
                <w:szCs w:val="20"/>
              </w:rPr>
            </w:pPr>
            <w:r>
              <w:rPr>
                <w:rFonts w:ascii="SimSun" w:eastAsia="SimSun" w:hAnsi="SimSun" w:cs="SimSun"/>
                <w:color w:val="000000"/>
                <w:spacing w:val="0"/>
                <w:w w:val="100"/>
                <w:position w:val="0"/>
                <w:sz w:val="20"/>
                <w:szCs w:val="20"/>
              </w:rPr>
              <w:t>作计划》</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bl>
    <w:p>
      <w:pPr>
        <w:widowControl w:val="0"/>
        <w:spacing w:after="379" w:line="1" w:lineRule="exact"/>
      </w:pPr>
    </w:p>
    <w:p>
      <w:pPr>
        <w:pStyle w:val="Style32"/>
        <w:keepNext/>
        <w:keepLines/>
        <w:widowControl w:val="0"/>
        <w:shd w:val="clear" w:color="auto" w:fill="auto"/>
        <w:bidi w:val="0"/>
        <w:spacing w:before="0" w:after="52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八</w:t>
      </w:r>
      <w:bookmarkEnd w:id="322"/>
      <w:r>
        <w:rPr>
          <w:color w:val="000000"/>
          <w:spacing w:val="0"/>
          <w:w w:val="100"/>
          <w:position w:val="0"/>
          <w:sz w:val="24"/>
          <w:szCs w:val="24"/>
        </w:rPr>
        <w:t>、监事会工作情况</w:t>
      </w:r>
      <w:bookmarkEnd w:id="320"/>
      <w:bookmarkEnd w:id="321"/>
      <w:bookmarkEnd w:id="323"/>
    </w:p>
    <w:p>
      <w:pPr>
        <w:pStyle w:val="Style17"/>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after="220" w:line="240" w:lineRule="auto"/>
        <w:ind w:left="0" w:right="0" w:firstLine="46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17"/>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监事会对报告期内的监督事项无异议。</w:t>
      </w:r>
    </w:p>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报告期内，公司监事会严格按照公司《章程》、《监事会议事规则》等制度要求，依法独立行使职 </w:t>
      </w:r>
      <w:r>
        <w:rPr>
          <w:color w:val="000000"/>
          <w:spacing w:val="0"/>
          <w:w w:val="100"/>
          <w:position w:val="0"/>
        </w:rPr>
        <w:t>权，对公司财务以及公司董事、高级管理人员履行职责的合法合规性进行监督，维护公司及股东的合 法权益。</w:t>
      </w:r>
    </w:p>
    <w:p>
      <w:pPr>
        <w:pStyle w:val="Style17"/>
        <w:keepNext w:val="0"/>
        <w:keepLines w:val="0"/>
        <w:widowControl w:val="0"/>
        <w:shd w:val="clear" w:color="auto" w:fill="auto"/>
        <w:tabs>
          <w:tab w:pos="1058" w:val="left"/>
        </w:tabs>
        <w:bidi w:val="0"/>
        <w:spacing w:before="0" w:after="0" w:line="475" w:lineRule="exact"/>
        <w:ind w:left="0" w:right="0" w:firstLine="460"/>
        <w:jc w:val="both"/>
      </w:pPr>
      <w:bookmarkStart w:id="324" w:name="bookmark324"/>
      <w:r>
        <w:rPr>
          <w:b/>
          <w:bCs/>
          <w:color w:val="000000"/>
          <w:spacing w:val="0"/>
          <w:w w:val="100"/>
          <w:position w:val="0"/>
        </w:rPr>
        <w:t>（</w:t>
      </w:r>
      <w:bookmarkEnd w:id="324"/>
      <w:r>
        <w:rPr>
          <w:b/>
          <w:bCs/>
          <w:color w:val="000000"/>
          <w:spacing w:val="0"/>
          <w:w w:val="100"/>
          <w:position w:val="0"/>
        </w:rPr>
        <w:t>一）</w:t>
        <w:tab/>
        <w:t>报告期内，监事会会议召开情况</w:t>
      </w:r>
    </w:p>
    <w:p>
      <w:pPr>
        <w:pStyle w:val="Style17"/>
        <w:keepNext w:val="0"/>
        <w:keepLines w:val="0"/>
        <w:widowControl w:val="0"/>
        <w:shd w:val="clear" w:color="auto" w:fill="auto"/>
        <w:tabs>
          <w:tab w:pos="799" w:val="left"/>
        </w:tabs>
        <w:bidi w:val="0"/>
        <w:spacing w:before="0" w:after="0" w:line="475" w:lineRule="exact"/>
        <w:ind w:left="0" w:right="0" w:firstLine="460"/>
        <w:jc w:val="both"/>
      </w:pPr>
      <w:bookmarkStart w:id="325" w:name="bookmark325"/>
      <w:r>
        <w:rPr>
          <w:rFonts w:ascii="Times New Roman" w:eastAsia="Times New Roman" w:hAnsi="Times New Roman" w:cs="Times New Roman"/>
          <w:color w:val="000000"/>
          <w:spacing w:val="0"/>
          <w:w w:val="100"/>
          <w:position w:val="0"/>
          <w:sz w:val="22"/>
          <w:szCs w:val="22"/>
        </w:rPr>
        <w:t>1</w:t>
      </w:r>
      <w:bookmarkEnd w:id="325"/>
      <w:r>
        <w:rPr>
          <w:color w:val="000000"/>
          <w:spacing w:val="0"/>
          <w:w w:val="100"/>
          <w:position w:val="0"/>
        </w:rPr>
        <w:t>、</w:t>
        <w:tab/>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日召开第七届监事会第八次会议，审议通过《苏宁易购集团股份有限公司第四 期员工持股计划（草案）》及《苏宁易购集团股份有限公司第四期员工持股计划（草案）摘要》、《苏 宁易购集团股份有限公司第四期员工持股计划管理办法》、《关于计提长期资产减值准备的议案》。</w:t>
      </w:r>
    </w:p>
    <w:p>
      <w:pPr>
        <w:pStyle w:val="Style17"/>
        <w:keepNext w:val="0"/>
        <w:keepLines w:val="0"/>
        <w:widowControl w:val="0"/>
        <w:shd w:val="clear" w:color="auto" w:fill="auto"/>
        <w:tabs>
          <w:tab w:pos="804" w:val="left"/>
        </w:tabs>
        <w:bidi w:val="0"/>
        <w:spacing w:before="0" w:after="0" w:line="472" w:lineRule="exact"/>
        <w:ind w:left="0" w:right="0" w:firstLine="460"/>
        <w:jc w:val="both"/>
      </w:pPr>
      <w:bookmarkStart w:id="326" w:name="bookmark326"/>
      <w:r>
        <w:rPr>
          <w:rFonts w:ascii="Times New Roman" w:eastAsia="Times New Roman" w:hAnsi="Times New Roman" w:cs="Times New Roman"/>
          <w:color w:val="000000"/>
          <w:spacing w:val="0"/>
          <w:w w:val="100"/>
          <w:position w:val="0"/>
          <w:sz w:val="22"/>
          <w:szCs w:val="22"/>
        </w:rPr>
        <w:t>2</w:t>
      </w:r>
      <w:bookmarkEnd w:id="326"/>
      <w:r>
        <w:rPr>
          <w:color w:val="000000"/>
          <w:spacing w:val="0"/>
          <w:w w:val="100"/>
          <w:position w:val="0"/>
        </w:rPr>
        <w:t>、</w:t>
        <w:tab/>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日召开第七届监事会第九次会议，审议通过《</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年度监事会工作报告》、《</w:t>
      </w: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年年度报告》及《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年年度报告摘要》、《</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年度利润分配预案》、《关 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年度募集资金存放与实际使用情况的专项报告》、《关于公司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年度关联交易情况说明的议 案》、《关于拟聘任会计师事务所的议案》、《</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年度内部控制评价报告》、《关于使用自有资金进行投 资理财的议案》、《关于使用闲置募集资金购买理财产品的议案》。</w:t>
      </w:r>
    </w:p>
    <w:p>
      <w:pPr>
        <w:pStyle w:val="Style17"/>
        <w:keepNext w:val="0"/>
        <w:keepLines w:val="0"/>
        <w:widowControl w:val="0"/>
        <w:shd w:val="clear" w:color="auto" w:fill="auto"/>
        <w:tabs>
          <w:tab w:pos="809" w:val="left"/>
        </w:tabs>
        <w:bidi w:val="0"/>
        <w:spacing w:before="0" w:after="0" w:line="446" w:lineRule="exact"/>
        <w:ind w:left="0" w:right="0" w:firstLine="460"/>
        <w:jc w:val="both"/>
      </w:pPr>
      <w:bookmarkStart w:id="327" w:name="bookmark327"/>
      <w:r>
        <w:rPr>
          <w:rFonts w:ascii="Times New Roman" w:eastAsia="Times New Roman" w:hAnsi="Times New Roman" w:cs="Times New Roman"/>
          <w:color w:val="000000"/>
          <w:spacing w:val="0"/>
          <w:w w:val="100"/>
          <w:position w:val="0"/>
          <w:sz w:val="22"/>
          <w:szCs w:val="22"/>
        </w:rPr>
        <w:t>3</w:t>
      </w:r>
      <w:bookmarkEnd w:id="327"/>
      <w:r>
        <w:rPr>
          <w:color w:val="000000"/>
          <w:spacing w:val="0"/>
          <w:w w:val="100"/>
          <w:position w:val="0"/>
        </w:rPr>
        <w:t>、</w:t>
        <w:tab/>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日召开第七届监事会第十次会议，审议通过《苏宁易购集团股份有限公司</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年第一季度报告》、《关于会计政策变更的议案》。</w:t>
      </w:r>
    </w:p>
    <w:p>
      <w:pPr>
        <w:pStyle w:val="Style17"/>
        <w:keepNext w:val="0"/>
        <w:keepLines w:val="0"/>
        <w:widowControl w:val="0"/>
        <w:shd w:val="clear" w:color="auto" w:fill="auto"/>
        <w:bidi w:val="0"/>
        <w:spacing w:before="0" w:after="0" w:line="473" w:lineRule="exact"/>
        <w:ind w:left="0" w:right="0" w:firstLine="460"/>
        <w:jc w:val="both"/>
      </w:pPr>
      <w:bookmarkStart w:id="328" w:name="bookmark328"/>
      <w:r>
        <w:rPr>
          <w:rFonts w:ascii="Times New Roman" w:eastAsia="Times New Roman" w:hAnsi="Times New Roman" w:cs="Times New Roman"/>
          <w:color w:val="000000"/>
          <w:spacing w:val="0"/>
          <w:w w:val="100"/>
          <w:position w:val="0"/>
          <w:sz w:val="22"/>
          <w:szCs w:val="22"/>
        </w:rPr>
        <w:t>4</w:t>
      </w:r>
      <w:bookmarkEnd w:id="328"/>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日召开第七届监事会第十一次会议，审议通过《关于变更部分募集资金用途的 议案》。</w:t>
      </w:r>
    </w:p>
    <w:p>
      <w:pPr>
        <w:pStyle w:val="Style17"/>
        <w:keepNext w:val="0"/>
        <w:keepLines w:val="0"/>
        <w:widowControl w:val="0"/>
        <w:shd w:val="clear" w:color="auto" w:fill="auto"/>
        <w:tabs>
          <w:tab w:pos="804" w:val="left"/>
        </w:tabs>
        <w:bidi w:val="0"/>
        <w:spacing w:before="0" w:after="0" w:line="473" w:lineRule="exact"/>
        <w:ind w:left="0" w:right="0" w:firstLine="460"/>
        <w:jc w:val="both"/>
      </w:pPr>
      <w:bookmarkStart w:id="329" w:name="bookmark329"/>
      <w:r>
        <w:rPr>
          <w:rFonts w:ascii="Times New Roman" w:eastAsia="Times New Roman" w:hAnsi="Times New Roman" w:cs="Times New Roman"/>
          <w:color w:val="000000"/>
          <w:spacing w:val="0"/>
          <w:w w:val="100"/>
          <w:position w:val="0"/>
          <w:sz w:val="22"/>
          <w:szCs w:val="22"/>
        </w:rPr>
        <w:t>5</w:t>
      </w:r>
      <w:bookmarkEnd w:id="329"/>
      <w:r>
        <w:rPr>
          <w:color w:val="000000"/>
          <w:spacing w:val="0"/>
          <w:w w:val="100"/>
          <w:position w:val="0"/>
        </w:rPr>
        <w:t>、</w:t>
        <w:tab/>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日召开第七届监事会第十二次会议，审议通过《关于变更部分募集资金用途的 议案》。</w:t>
      </w:r>
    </w:p>
    <w:p>
      <w:pPr>
        <w:pStyle w:val="Style17"/>
        <w:keepNext w:val="0"/>
        <w:keepLines w:val="0"/>
        <w:widowControl w:val="0"/>
        <w:shd w:val="clear" w:color="auto" w:fill="auto"/>
        <w:bidi w:val="0"/>
        <w:spacing w:before="0" w:after="0" w:line="473" w:lineRule="exact"/>
        <w:ind w:left="0" w:right="0" w:firstLine="460"/>
        <w:jc w:val="both"/>
      </w:pPr>
      <w:bookmarkStart w:id="330" w:name="bookmark330"/>
      <w:r>
        <w:rPr>
          <w:rFonts w:ascii="Times New Roman" w:eastAsia="Times New Roman" w:hAnsi="Times New Roman" w:cs="Times New Roman"/>
          <w:color w:val="000000"/>
          <w:spacing w:val="0"/>
          <w:w w:val="100"/>
          <w:position w:val="0"/>
          <w:sz w:val="22"/>
          <w:szCs w:val="22"/>
        </w:rPr>
        <w:t>6</w:t>
      </w:r>
      <w:bookmarkEnd w:id="330"/>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日召开第七届监事会第十三次会议，审议通过《关于终止公司第四期员工持股 计划的议案》。</w:t>
      </w:r>
    </w:p>
    <w:p>
      <w:pPr>
        <w:pStyle w:val="Style17"/>
        <w:keepNext w:val="0"/>
        <w:keepLines w:val="0"/>
        <w:widowControl w:val="0"/>
        <w:shd w:val="clear" w:color="auto" w:fill="auto"/>
        <w:tabs>
          <w:tab w:pos="809" w:val="left"/>
        </w:tabs>
        <w:bidi w:val="0"/>
        <w:spacing w:before="0" w:after="220" w:line="473" w:lineRule="exact"/>
        <w:ind w:left="0" w:right="0" w:firstLine="460"/>
        <w:jc w:val="both"/>
      </w:pPr>
      <w:bookmarkStart w:id="331" w:name="bookmark331"/>
      <w:r>
        <w:rPr>
          <w:rFonts w:ascii="Times New Roman" w:eastAsia="Times New Roman" w:hAnsi="Times New Roman" w:cs="Times New Roman"/>
          <w:color w:val="000000"/>
          <w:spacing w:val="0"/>
          <w:w w:val="100"/>
          <w:position w:val="0"/>
          <w:sz w:val="22"/>
          <w:szCs w:val="22"/>
        </w:rPr>
        <w:t>7</w:t>
      </w:r>
      <w:bookmarkEnd w:id="331"/>
      <w:r>
        <w:rPr>
          <w:color w:val="000000"/>
          <w:spacing w:val="0"/>
          <w:w w:val="100"/>
          <w:position w:val="0"/>
        </w:rPr>
        <w:t>、</w:t>
        <w:tab/>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 xml:space="preserve">日召开第七届监事会第十四次会议，审议通过《苏宁易购集团股份有限公司 </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年半年度报告》及《苏宁易购集团股份有限公司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年半年度报告摘要》、《</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年上半年度募 集资金存放与实际使用情况的专项报告》、《关于公司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年上半年度关联交易情况说明的议案》。</w:t>
      </w:r>
    </w:p>
    <w:p>
      <w:pPr>
        <w:pStyle w:val="Style17"/>
        <w:keepNext w:val="0"/>
        <w:keepLines w:val="0"/>
        <w:widowControl w:val="0"/>
        <w:shd w:val="clear" w:color="auto" w:fill="auto"/>
        <w:tabs>
          <w:tab w:pos="814" w:val="left"/>
        </w:tabs>
        <w:bidi w:val="0"/>
        <w:spacing w:before="0" w:after="0" w:line="449" w:lineRule="auto"/>
        <w:ind w:left="0" w:right="0" w:firstLine="460"/>
        <w:jc w:val="both"/>
      </w:pPr>
      <w:bookmarkStart w:id="332" w:name="bookmark332"/>
      <w:r>
        <w:rPr>
          <w:rFonts w:ascii="Times New Roman" w:eastAsia="Times New Roman" w:hAnsi="Times New Roman" w:cs="Times New Roman"/>
          <w:color w:val="000000"/>
          <w:spacing w:val="0"/>
          <w:w w:val="100"/>
          <w:position w:val="0"/>
          <w:sz w:val="22"/>
          <w:szCs w:val="22"/>
        </w:rPr>
        <w:t>8</w:t>
      </w:r>
      <w:bookmarkEnd w:id="332"/>
      <w:r>
        <w:rPr>
          <w:color w:val="000000"/>
          <w:spacing w:val="0"/>
          <w:w w:val="100"/>
          <w:position w:val="0"/>
        </w:rPr>
        <w:t>、</w:t>
        <w:tab/>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 xml:space="preserve">日召开第七届监事会第十五次会议，审议通过《苏宁易购集团股份有限公司 </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年第三季度报告》。</w:t>
      </w:r>
    </w:p>
    <w:p>
      <w:pPr>
        <w:pStyle w:val="Style17"/>
        <w:keepNext w:val="0"/>
        <w:keepLines w:val="0"/>
        <w:widowControl w:val="0"/>
        <w:shd w:val="clear" w:color="auto" w:fill="auto"/>
        <w:tabs>
          <w:tab w:pos="1058" w:val="left"/>
        </w:tabs>
        <w:bidi w:val="0"/>
        <w:spacing w:before="0" w:after="220" w:line="473" w:lineRule="exact"/>
        <w:ind w:left="0" w:right="0" w:firstLine="460"/>
        <w:jc w:val="both"/>
      </w:pPr>
      <w:bookmarkStart w:id="333" w:name="bookmark333"/>
      <w:r>
        <w:rPr>
          <w:b/>
          <w:bCs/>
          <w:color w:val="000000"/>
          <w:spacing w:val="0"/>
          <w:w w:val="100"/>
          <w:position w:val="0"/>
        </w:rPr>
        <w:t>（</w:t>
      </w:r>
      <w:bookmarkEnd w:id="333"/>
      <w:r>
        <w:rPr>
          <w:b/>
          <w:bCs/>
          <w:color w:val="000000"/>
          <w:spacing w:val="0"/>
          <w:w w:val="100"/>
          <w:position w:val="0"/>
        </w:rPr>
        <w:t>二）</w:t>
        <w:tab/>
        <w:t>报告期内，监事会职责履行主要情况</w:t>
      </w:r>
    </w:p>
    <w:p>
      <w:pPr>
        <w:pStyle w:val="Style17"/>
        <w:keepNext w:val="0"/>
        <w:keepLines w:val="0"/>
        <w:widowControl w:val="0"/>
        <w:shd w:val="clear" w:color="auto" w:fill="auto"/>
        <w:bidi w:val="0"/>
        <w:spacing w:before="0" w:after="0" w:line="449" w:lineRule="auto"/>
        <w:ind w:left="0" w:right="0" w:firstLine="460"/>
        <w:jc w:val="both"/>
      </w:pPr>
      <w:bookmarkStart w:id="334" w:name="bookmark334"/>
      <w:r>
        <w:rPr>
          <w:rFonts w:ascii="Times New Roman" w:eastAsia="Times New Roman" w:hAnsi="Times New Roman" w:cs="Times New Roman"/>
          <w:color w:val="000000"/>
          <w:spacing w:val="0"/>
          <w:w w:val="100"/>
          <w:position w:val="0"/>
          <w:sz w:val="22"/>
          <w:szCs w:val="22"/>
        </w:rPr>
        <w:t>1</w:t>
      </w:r>
      <w:bookmarkEnd w:id="334"/>
      <w:r>
        <w:rPr>
          <w:color w:val="000000"/>
          <w:spacing w:val="0"/>
          <w:w w:val="100"/>
          <w:position w:val="0"/>
        </w:rPr>
        <w:t>、监事会运作情况</w:t>
      </w:r>
    </w:p>
    <w:p>
      <w:pPr>
        <w:pStyle w:val="Style17"/>
        <w:keepNext w:val="0"/>
        <w:keepLines w:val="0"/>
        <w:widowControl w:val="0"/>
        <w:shd w:val="clear" w:color="auto" w:fill="auto"/>
        <w:bidi w:val="0"/>
        <w:spacing w:before="0" w:after="220" w:line="473" w:lineRule="exact"/>
        <w:ind w:left="0" w:right="0" w:firstLine="460"/>
        <w:jc w:val="both"/>
      </w:pPr>
      <w:r>
        <w:rPr>
          <w:color w:val="000000"/>
          <w:spacing w:val="0"/>
          <w:w w:val="100"/>
          <w:position w:val="0"/>
        </w:rPr>
        <w:t>报告期内公司共计召开</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次监事会会议，监事会会议的召集、召开、表决程序符合公司《章程》 的相关规定，公司部分监事列席董事会会议，听取关于公司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年年度报告、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年半年度报告相 关汇报，并亲自出席股东大会。报告期内，公司监事及监事会运作规范。</w:t>
      </w:r>
    </w:p>
    <w:p>
      <w:pPr>
        <w:pStyle w:val="Style17"/>
        <w:keepNext w:val="0"/>
        <w:keepLines w:val="0"/>
        <w:widowControl w:val="0"/>
        <w:shd w:val="clear" w:color="auto" w:fill="auto"/>
        <w:bidi w:val="0"/>
        <w:spacing w:before="0" w:after="120" w:line="240" w:lineRule="auto"/>
        <w:ind w:left="0" w:right="0" w:firstLine="460"/>
        <w:jc w:val="left"/>
      </w:pPr>
      <w:bookmarkStart w:id="335" w:name="bookmark335"/>
      <w:r>
        <w:rPr>
          <w:rFonts w:ascii="Times New Roman" w:eastAsia="Times New Roman" w:hAnsi="Times New Roman" w:cs="Times New Roman"/>
          <w:color w:val="000000"/>
          <w:spacing w:val="0"/>
          <w:w w:val="100"/>
          <w:position w:val="0"/>
          <w:sz w:val="22"/>
          <w:szCs w:val="22"/>
        </w:rPr>
        <w:t>2</w:t>
      </w:r>
      <w:bookmarkEnd w:id="335"/>
      <w:r>
        <w:rPr>
          <w:color w:val="000000"/>
          <w:spacing w:val="0"/>
          <w:w w:val="100"/>
          <w:position w:val="0"/>
        </w:rPr>
        <w:t>、核查公司财务状况</w:t>
      </w:r>
    </w:p>
    <w:p>
      <w:pPr>
        <w:pStyle w:val="Style17"/>
        <w:keepNext w:val="0"/>
        <w:keepLines w:val="0"/>
        <w:widowControl w:val="0"/>
        <w:shd w:val="clear" w:color="auto" w:fill="auto"/>
        <w:bidi w:val="0"/>
        <w:spacing w:before="0" w:after="220" w:line="469" w:lineRule="exact"/>
        <w:ind w:left="0" w:right="0" w:firstLine="460"/>
        <w:jc w:val="left"/>
      </w:pPr>
      <w:r>
        <w:rPr>
          <w:color w:val="000000"/>
          <w:spacing w:val="0"/>
          <w:w w:val="100"/>
          <w:position w:val="0"/>
        </w:rPr>
        <w:t>公司监事会持续关注公司财务制度建立，财务报告编制流程，以及对报告期内公司实施会计准则 情况进行审查，一致认为公司财务报告内容规范，报告期内公司披露的定期报告真实、准确、完整地 反映了公司的实际情况，不存在任何虚假记载、误导性陈述或者重大遗漏。</w:t>
      </w:r>
    </w:p>
    <w:p>
      <w:pPr>
        <w:pStyle w:val="Style17"/>
        <w:keepNext w:val="0"/>
        <w:keepLines w:val="0"/>
        <w:widowControl w:val="0"/>
        <w:shd w:val="clear" w:color="auto" w:fill="auto"/>
        <w:tabs>
          <w:tab w:pos="790" w:val="left"/>
        </w:tabs>
        <w:bidi w:val="0"/>
        <w:spacing w:before="0" w:after="0" w:line="446" w:lineRule="auto"/>
        <w:ind w:left="0" w:right="0" w:firstLine="460"/>
        <w:jc w:val="left"/>
      </w:pPr>
      <w:bookmarkStart w:id="336" w:name="bookmark336"/>
      <w:r>
        <w:rPr>
          <w:rFonts w:ascii="Times New Roman" w:eastAsia="Times New Roman" w:hAnsi="Times New Roman" w:cs="Times New Roman"/>
          <w:color w:val="000000"/>
          <w:spacing w:val="0"/>
          <w:w w:val="100"/>
          <w:position w:val="0"/>
          <w:sz w:val="22"/>
          <w:szCs w:val="22"/>
        </w:rPr>
        <w:t>3</w:t>
      </w:r>
      <w:bookmarkEnd w:id="336"/>
      <w:r>
        <w:rPr>
          <w:color w:val="000000"/>
          <w:spacing w:val="0"/>
          <w:w w:val="100"/>
          <w:position w:val="0"/>
        </w:rPr>
        <w:t>、</w:t>
        <w:tab/>
        <w:t>募集资金使用情况</w:t>
      </w:r>
    </w:p>
    <w:p>
      <w:pPr>
        <w:pStyle w:val="Style17"/>
        <w:keepNext w:val="0"/>
        <w:keepLines w:val="0"/>
        <w:widowControl w:val="0"/>
        <w:shd w:val="clear" w:color="auto" w:fill="auto"/>
        <w:bidi w:val="0"/>
        <w:spacing w:before="0" w:after="220" w:line="469" w:lineRule="exact"/>
        <w:ind w:left="0" w:right="0" w:firstLine="460"/>
        <w:jc w:val="left"/>
      </w:pPr>
      <w:r>
        <w:rPr>
          <w:color w:val="000000"/>
          <w:spacing w:val="0"/>
          <w:w w:val="100"/>
          <w:position w:val="0"/>
        </w:rPr>
        <w:t>报告期内，公司依据《募集资金管理制度》要求存放及使用募集资金，同时公司为提高募集资金 使用效益，充分利用暂时闲置募集资金进行现金管理，获得了较好的财务收益。公司披露的《募集资 金存放与实际使用情况的专项报告》符合规范要求。</w:t>
      </w:r>
    </w:p>
    <w:p>
      <w:pPr>
        <w:pStyle w:val="Style17"/>
        <w:keepNext w:val="0"/>
        <w:keepLines w:val="0"/>
        <w:widowControl w:val="0"/>
        <w:shd w:val="clear" w:color="auto" w:fill="auto"/>
        <w:tabs>
          <w:tab w:pos="790" w:val="left"/>
        </w:tabs>
        <w:bidi w:val="0"/>
        <w:spacing w:before="0" w:after="0" w:line="446" w:lineRule="auto"/>
        <w:ind w:left="0" w:right="0" w:firstLine="460"/>
        <w:jc w:val="left"/>
      </w:pPr>
      <w:bookmarkStart w:id="337" w:name="bookmark337"/>
      <w:r>
        <w:rPr>
          <w:rFonts w:ascii="Times New Roman" w:eastAsia="Times New Roman" w:hAnsi="Times New Roman" w:cs="Times New Roman"/>
          <w:color w:val="000000"/>
          <w:spacing w:val="0"/>
          <w:w w:val="100"/>
          <w:position w:val="0"/>
          <w:sz w:val="22"/>
          <w:szCs w:val="22"/>
        </w:rPr>
        <w:t>4</w:t>
      </w:r>
      <w:bookmarkEnd w:id="337"/>
      <w:r>
        <w:rPr>
          <w:color w:val="000000"/>
          <w:spacing w:val="0"/>
          <w:w w:val="100"/>
          <w:position w:val="0"/>
        </w:rPr>
        <w:t>、</w:t>
        <w:tab/>
        <w:t>变更部分募集资金用途</w:t>
      </w:r>
    </w:p>
    <w:p>
      <w:pPr>
        <w:pStyle w:val="Style17"/>
        <w:keepNext w:val="0"/>
        <w:keepLines w:val="0"/>
        <w:widowControl w:val="0"/>
        <w:shd w:val="clear" w:color="auto" w:fill="auto"/>
        <w:bidi w:val="0"/>
        <w:spacing w:before="0" w:after="0" w:line="469" w:lineRule="exact"/>
        <w:ind w:left="0" w:right="0" w:firstLine="460"/>
        <w:jc w:val="left"/>
      </w:pPr>
      <w:r>
        <w:rPr>
          <w:color w:val="000000"/>
          <w:spacing w:val="0"/>
          <w:w w:val="100"/>
          <w:position w:val="0"/>
        </w:rPr>
        <w:t>报告期内，公司将新增区域配送中心建设项目（二）部分募集资金用于偿还公司债券项目。本次 变更部分募集资金用途，有助于提高募集资金使用效率，有助于减少公司负债规模，改善财务结构， 符合公司及全体股东的利益。本次变更不影响募集资金投资项目的实施，也不存在损害股东利益的情 况，审议程序符合相关法律法规的规定。</w:t>
      </w:r>
    </w:p>
    <w:p>
      <w:pPr>
        <w:pStyle w:val="Style17"/>
        <w:keepNext w:val="0"/>
        <w:keepLines w:val="0"/>
        <w:widowControl w:val="0"/>
        <w:shd w:val="clear" w:color="auto" w:fill="auto"/>
        <w:bidi w:val="0"/>
        <w:spacing w:before="0" w:after="220" w:line="469" w:lineRule="exact"/>
        <w:ind w:left="0" w:right="0" w:firstLine="460"/>
        <w:jc w:val="left"/>
      </w:pPr>
      <w:r>
        <w:rPr>
          <w:color w:val="000000"/>
          <w:spacing w:val="0"/>
          <w:w w:val="100"/>
          <w:position w:val="0"/>
        </w:rPr>
        <w:t>报告期内，公司将部分募投项目（物流运营业务发展项目、新增区域配送中心建设项目（二）、 新增区域配送中心建设项目（三）、租赁店项目、购置店项目）剩余募集资金用于偿还公司债券项目 （二）；将部分募集资金项目节余资金用于永久补充流动资金；将募集资金产生的利息用于永久补充 流动资金。本次变更部分募集资金用途，有助于提高募集资金使用效率，有助于减少公司负债规模和 支持业务发展，符合公司及全体股东的利益。本次变更不影响募集资金投资项目的实施，也不存在损 害股东利益的情况，审议程序符合相关法律法规的规定。</w:t>
      </w:r>
    </w:p>
    <w:p>
      <w:pPr>
        <w:pStyle w:val="Style17"/>
        <w:keepNext w:val="0"/>
        <w:keepLines w:val="0"/>
        <w:widowControl w:val="0"/>
        <w:shd w:val="clear" w:color="auto" w:fill="auto"/>
        <w:tabs>
          <w:tab w:pos="790" w:val="left"/>
        </w:tabs>
        <w:bidi w:val="0"/>
        <w:spacing w:before="0" w:after="0" w:line="446" w:lineRule="auto"/>
        <w:ind w:left="0" w:right="0" w:firstLine="460"/>
        <w:jc w:val="both"/>
      </w:pPr>
      <w:bookmarkStart w:id="338" w:name="bookmark338"/>
      <w:r>
        <w:rPr>
          <w:rFonts w:ascii="Times New Roman" w:eastAsia="Times New Roman" w:hAnsi="Times New Roman" w:cs="Times New Roman"/>
          <w:color w:val="000000"/>
          <w:spacing w:val="0"/>
          <w:w w:val="100"/>
          <w:position w:val="0"/>
          <w:sz w:val="22"/>
          <w:szCs w:val="22"/>
        </w:rPr>
        <w:t>5</w:t>
      </w:r>
      <w:bookmarkEnd w:id="338"/>
      <w:r>
        <w:rPr>
          <w:color w:val="000000"/>
          <w:spacing w:val="0"/>
          <w:w w:val="100"/>
          <w:position w:val="0"/>
        </w:rPr>
        <w:t>、</w:t>
        <w:tab/>
        <w:t>公司投资理财事项</w:t>
      </w:r>
    </w:p>
    <w:p>
      <w:pPr>
        <w:pStyle w:val="Style17"/>
        <w:keepNext w:val="0"/>
        <w:keepLines w:val="0"/>
        <w:widowControl w:val="0"/>
        <w:shd w:val="clear" w:color="auto" w:fill="auto"/>
        <w:bidi w:val="0"/>
        <w:spacing w:before="0" w:after="0" w:line="469" w:lineRule="exact"/>
        <w:ind w:left="0" w:right="0" w:firstLine="460"/>
        <w:jc w:val="left"/>
      </w:pPr>
      <w:r>
        <w:rPr>
          <w:color w:val="000000"/>
          <w:spacing w:val="0"/>
          <w:w w:val="100"/>
          <w:position w:val="0"/>
        </w:rPr>
        <w:t>公司在充分保障日常资金运营、资本性开支等基础上，使用自有资金进行投资理财，尤其是短期 的现金管理，能够有效提高公司资金使用效益，不存在损害公司中小股东利益的情形。</w:t>
      </w:r>
    </w:p>
    <w:p>
      <w:pPr>
        <w:pStyle w:val="Style17"/>
        <w:keepNext w:val="0"/>
        <w:keepLines w:val="0"/>
        <w:widowControl w:val="0"/>
        <w:shd w:val="clear" w:color="auto" w:fill="auto"/>
        <w:bidi w:val="0"/>
        <w:spacing w:before="0" w:after="220" w:line="469" w:lineRule="exact"/>
        <w:ind w:left="0" w:right="0" w:firstLine="460"/>
        <w:jc w:val="left"/>
      </w:pPr>
      <w:r>
        <w:rPr>
          <w:color w:val="000000"/>
          <w:spacing w:val="0"/>
          <w:w w:val="100"/>
          <w:position w:val="0"/>
        </w:rPr>
        <w:t>公司使用暂时闲置的募集资金（含募集资金产生的利息）通过购买期限灵活、安全性高，满足保 本要求的商业银行和其他金融机构发行理财产品，符合《深圳证券交易所中小企业板上市公司规范运 作指引》（</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年修订）、公司《募集资金管理制度》等规定，审议程序合法合规。</w:t>
      </w:r>
    </w:p>
    <w:p>
      <w:pPr>
        <w:pStyle w:val="Style17"/>
        <w:keepNext w:val="0"/>
        <w:keepLines w:val="0"/>
        <w:widowControl w:val="0"/>
        <w:shd w:val="clear" w:color="auto" w:fill="auto"/>
        <w:tabs>
          <w:tab w:pos="790" w:val="left"/>
        </w:tabs>
        <w:bidi w:val="0"/>
        <w:spacing w:before="0" w:after="0" w:line="446" w:lineRule="auto"/>
        <w:ind w:left="0" w:right="0" w:firstLine="460"/>
        <w:jc w:val="left"/>
      </w:pPr>
      <w:bookmarkStart w:id="339" w:name="bookmark339"/>
      <w:r>
        <w:rPr>
          <w:rFonts w:ascii="Times New Roman" w:eastAsia="Times New Roman" w:hAnsi="Times New Roman" w:cs="Times New Roman"/>
          <w:color w:val="000000"/>
          <w:spacing w:val="0"/>
          <w:w w:val="100"/>
          <w:position w:val="0"/>
          <w:sz w:val="22"/>
          <w:szCs w:val="22"/>
        </w:rPr>
        <w:t>6</w:t>
      </w:r>
      <w:bookmarkEnd w:id="339"/>
      <w:r>
        <w:rPr>
          <w:color w:val="000000"/>
          <w:spacing w:val="0"/>
          <w:w w:val="100"/>
          <w:position w:val="0"/>
        </w:rPr>
        <w:t>、</w:t>
        <w:tab/>
        <w:t>会计政策变更执行情况</w:t>
      </w:r>
    </w:p>
    <w:p>
      <w:pPr>
        <w:pStyle w:val="Style17"/>
        <w:keepNext w:val="0"/>
        <w:keepLines w:val="0"/>
        <w:widowControl w:val="0"/>
        <w:shd w:val="clear" w:color="auto" w:fill="auto"/>
        <w:bidi w:val="0"/>
        <w:spacing w:before="0" w:after="220" w:line="469" w:lineRule="exact"/>
        <w:ind w:left="0" w:right="0" w:firstLine="46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日修订并印发了《企业会计准则第</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号</w:t>
      </w:r>
      <w:r>
        <w:rPr>
          <w:color w:val="000000"/>
          <w:spacing w:val="0"/>
          <w:w w:val="100"/>
          <w:position w:val="0"/>
          <w:sz w:val="22"/>
          <w:szCs w:val="22"/>
        </w:rPr>
        <w:t>一一</w:t>
      </w:r>
      <w:r>
        <w:rPr>
          <w:color w:val="000000"/>
          <w:spacing w:val="0"/>
          <w:w w:val="100"/>
          <w:position w:val="0"/>
        </w:rPr>
        <w:t>租赁》（财会〔</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 xml:space="preserve">35 </w:t>
      </w:r>
      <w:r>
        <w:rPr>
          <w:color w:val="000000"/>
          <w:spacing w:val="0"/>
          <w:w w:val="100"/>
          <w:position w:val="0"/>
        </w:rPr>
        <w:t>号），要求在境内外同时上市的企业以及在境外上市并采用国际财务报告准则或企业会计准则编制财 务报表的企业，自</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日起施行。 根据上述会计准则的修订及执行期限要求，公司对会计政策相关内容进行调整，并从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rPr>
        <w:t xml:space="preserve">日起开始执行。公司该次对会计政策的变更符合财政部相关政策要求，能够更准确、可靠地反映公司 </w:t>
      </w:r>
      <w:r>
        <w:rPr>
          <w:color w:val="000000"/>
          <w:spacing w:val="0"/>
          <w:w w:val="100"/>
          <w:position w:val="0"/>
        </w:rPr>
        <w:t>财务状况，不存在损害公司及全体股东，特别是中小股东利益的情形。</w:t>
      </w:r>
    </w:p>
    <w:p>
      <w:pPr>
        <w:pStyle w:val="Style17"/>
        <w:keepNext w:val="0"/>
        <w:keepLines w:val="0"/>
        <w:widowControl w:val="0"/>
        <w:shd w:val="clear" w:color="auto" w:fill="auto"/>
        <w:tabs>
          <w:tab w:pos="824" w:val="left"/>
        </w:tabs>
        <w:bidi w:val="0"/>
        <w:spacing w:before="0" w:after="0" w:line="446" w:lineRule="auto"/>
        <w:ind w:left="0" w:right="0" w:firstLine="460"/>
        <w:jc w:val="both"/>
      </w:pPr>
      <w:bookmarkStart w:id="340" w:name="bookmark340"/>
      <w:r>
        <w:rPr>
          <w:rFonts w:ascii="Times New Roman" w:eastAsia="Times New Roman" w:hAnsi="Times New Roman" w:cs="Times New Roman"/>
          <w:color w:val="000000"/>
          <w:spacing w:val="0"/>
          <w:w w:val="100"/>
          <w:position w:val="0"/>
          <w:sz w:val="22"/>
          <w:szCs w:val="22"/>
        </w:rPr>
        <w:t>7</w:t>
      </w:r>
      <w:bookmarkEnd w:id="340"/>
      <w:r>
        <w:rPr>
          <w:color w:val="000000"/>
          <w:spacing w:val="0"/>
          <w:w w:val="100"/>
          <w:position w:val="0"/>
        </w:rPr>
        <w:t>、</w:t>
        <w:tab/>
        <w:t>公司关联交易情况</w:t>
      </w:r>
    </w:p>
    <w:p>
      <w:pPr>
        <w:pStyle w:val="Style17"/>
        <w:keepNext w:val="0"/>
        <w:keepLines w:val="0"/>
        <w:widowControl w:val="0"/>
        <w:shd w:val="clear" w:color="auto" w:fill="auto"/>
        <w:bidi w:val="0"/>
        <w:spacing w:before="0" w:after="220" w:line="470" w:lineRule="exact"/>
        <w:ind w:left="0" w:right="0" w:firstLine="460"/>
        <w:jc w:val="left"/>
      </w:pPr>
      <w:r>
        <w:rPr>
          <w:color w:val="000000"/>
          <w:spacing w:val="0"/>
          <w:w w:val="100"/>
          <w:position w:val="0"/>
        </w:rPr>
        <w:t>公司监事会对公司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年上半年度发生的关联交易进行了审核，公司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年上半年度发生的关联交易事项遵循客观、公正、公平的交易原则，定价公允，严格按照《股票上市 规则》、《关联交易管理制度》等制度规范履行审批程序，公司董事会在审议关联交易事项时，关联方 均予以回避表决，不存在损害公司和其他非关联方的利益情形。</w:t>
      </w:r>
    </w:p>
    <w:p>
      <w:pPr>
        <w:pStyle w:val="Style17"/>
        <w:keepNext w:val="0"/>
        <w:keepLines w:val="0"/>
        <w:widowControl w:val="0"/>
        <w:shd w:val="clear" w:color="auto" w:fill="auto"/>
        <w:tabs>
          <w:tab w:pos="824" w:val="left"/>
        </w:tabs>
        <w:bidi w:val="0"/>
        <w:spacing w:before="0" w:after="0" w:line="446" w:lineRule="auto"/>
        <w:ind w:left="0" w:right="0" w:firstLine="460"/>
        <w:jc w:val="both"/>
      </w:pPr>
      <w:bookmarkStart w:id="341" w:name="bookmark341"/>
      <w:r>
        <w:rPr>
          <w:rFonts w:ascii="Times New Roman" w:eastAsia="Times New Roman" w:hAnsi="Times New Roman" w:cs="Times New Roman"/>
          <w:color w:val="000000"/>
          <w:spacing w:val="0"/>
          <w:w w:val="100"/>
          <w:position w:val="0"/>
          <w:sz w:val="22"/>
          <w:szCs w:val="22"/>
        </w:rPr>
        <w:t>8</w:t>
      </w:r>
      <w:bookmarkEnd w:id="341"/>
      <w:r>
        <w:rPr>
          <w:color w:val="000000"/>
          <w:spacing w:val="0"/>
          <w:w w:val="100"/>
          <w:position w:val="0"/>
        </w:rPr>
        <w:t>、</w:t>
        <w:tab/>
        <w:t>内部控制评价报告</w:t>
      </w:r>
    </w:p>
    <w:p>
      <w:pPr>
        <w:pStyle w:val="Style17"/>
        <w:keepNext w:val="0"/>
        <w:keepLines w:val="0"/>
        <w:widowControl w:val="0"/>
        <w:shd w:val="clear" w:color="auto" w:fill="auto"/>
        <w:bidi w:val="0"/>
        <w:spacing w:before="0" w:after="220" w:line="470" w:lineRule="exact"/>
        <w:ind w:left="0" w:right="0" w:firstLine="460"/>
        <w:jc w:val="left"/>
      </w:pPr>
      <w:r>
        <w:rPr>
          <w:color w:val="000000"/>
          <w:spacing w:val="0"/>
          <w:w w:val="100"/>
          <w:position w:val="0"/>
        </w:rPr>
        <w:t>公司建立了较为完善的内部控制制度体系，并能得到有效的执行。公司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年度内部控制评价 报告真实、客观地反映了公司内部控制制度的建设及运行情况。</w:t>
      </w:r>
    </w:p>
    <w:p>
      <w:pPr>
        <w:pStyle w:val="Style17"/>
        <w:keepNext w:val="0"/>
        <w:keepLines w:val="0"/>
        <w:widowControl w:val="0"/>
        <w:shd w:val="clear" w:color="auto" w:fill="auto"/>
        <w:tabs>
          <w:tab w:pos="824" w:val="left"/>
        </w:tabs>
        <w:bidi w:val="0"/>
        <w:spacing w:before="0" w:after="0" w:line="446" w:lineRule="auto"/>
        <w:ind w:left="0" w:right="0" w:firstLine="460"/>
        <w:jc w:val="both"/>
      </w:pPr>
      <w:bookmarkStart w:id="342" w:name="bookmark342"/>
      <w:r>
        <w:rPr>
          <w:rFonts w:ascii="Times New Roman" w:eastAsia="Times New Roman" w:hAnsi="Times New Roman" w:cs="Times New Roman"/>
          <w:color w:val="000000"/>
          <w:spacing w:val="0"/>
          <w:w w:val="100"/>
          <w:position w:val="0"/>
          <w:sz w:val="22"/>
          <w:szCs w:val="22"/>
        </w:rPr>
        <w:t>9</w:t>
      </w:r>
      <w:bookmarkEnd w:id="342"/>
      <w:r>
        <w:rPr>
          <w:color w:val="000000"/>
          <w:spacing w:val="0"/>
          <w:w w:val="100"/>
          <w:position w:val="0"/>
        </w:rPr>
        <w:t>、</w:t>
        <w:tab/>
        <w:t>第四期员工持股计划</w:t>
      </w:r>
    </w:p>
    <w:p>
      <w:pPr>
        <w:pStyle w:val="Style17"/>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公司推出第四期员工持股计划，该计划符合《关于上市公司实施员工持股计划试点的指导意见）》 等有关法律、法规及规范性文件的规定，不存在违反《指导意见》相关规定，也不存在损害公司及全 体股东利益的情形。后因公司遇到了阶段性困难，导致继续推进第四期员工持股计划的难度较大。经 慎重考虑，依据《关于上市公司实施员工持股计划试点的指导意见》、《上市公司信息披露指引第</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 xml:space="preserve">号 </w:t>
      </w:r>
      <w:r>
        <w:rPr>
          <w:color w:val="000000"/>
          <w:spacing w:val="0"/>
          <w:w w:val="100"/>
          <w:position w:val="0"/>
          <w:sz w:val="22"/>
          <w:szCs w:val="22"/>
        </w:rPr>
        <w:t>一</w:t>
      </w:r>
      <w:r>
        <w:rPr>
          <w:color w:val="000000"/>
          <w:spacing w:val="0"/>
          <w:w w:val="100"/>
          <w:position w:val="0"/>
        </w:rPr>
        <w:t>员工持股计划》、公司《第四期员工持股计划管理办法》等有关规定，公司决定终止公司第四期员 工持股计划。该计划的终止决策程序符合有关规定，综合考虑了公司实际情况，不存在损害公司及全 体股东利益的情形，不会对公司发展战略、经营规划等方面造成影响，也不会对公司的财务状况和经 营成果产生影响。</w:t>
      </w:r>
    </w:p>
    <w:p>
      <w:pPr>
        <w:pStyle w:val="Style17"/>
        <w:keepNext w:val="0"/>
        <w:keepLines w:val="0"/>
        <w:widowControl w:val="0"/>
        <w:shd w:val="clear" w:color="auto" w:fill="auto"/>
        <w:tabs>
          <w:tab w:pos="915" w:val="left"/>
        </w:tabs>
        <w:bidi w:val="0"/>
        <w:spacing w:before="0" w:after="0" w:line="446" w:lineRule="auto"/>
        <w:ind w:left="0" w:right="0" w:firstLine="460"/>
        <w:jc w:val="both"/>
      </w:pPr>
      <w:bookmarkStart w:id="343" w:name="bookmark343"/>
      <w:r>
        <w:rPr>
          <w:rFonts w:ascii="Times New Roman" w:eastAsia="Times New Roman" w:hAnsi="Times New Roman" w:cs="Times New Roman"/>
          <w:color w:val="000000"/>
          <w:spacing w:val="0"/>
          <w:w w:val="100"/>
          <w:position w:val="0"/>
          <w:sz w:val="22"/>
          <w:szCs w:val="22"/>
        </w:rPr>
        <w:t>1</w:t>
      </w:r>
      <w:bookmarkEnd w:id="343"/>
      <w:r>
        <w:rPr>
          <w:rFonts w:ascii="Times New Roman" w:eastAsia="Times New Roman" w:hAnsi="Times New Roman" w:cs="Times New Roman"/>
          <w:color w:val="000000"/>
          <w:spacing w:val="0"/>
          <w:w w:val="100"/>
          <w:position w:val="0"/>
          <w:sz w:val="22"/>
          <w:szCs w:val="22"/>
        </w:rPr>
        <w:t>0</w:t>
      </w:r>
      <w:r>
        <w:rPr>
          <w:color w:val="000000"/>
          <w:spacing w:val="0"/>
          <w:w w:val="100"/>
          <w:position w:val="0"/>
        </w:rPr>
        <w:t>、</w:t>
        <w:tab/>
        <w:t>计提长期资产减值准备</w:t>
      </w:r>
    </w:p>
    <w:p>
      <w:pPr>
        <w:pStyle w:val="Style17"/>
        <w:keepNext w:val="0"/>
        <w:keepLines w:val="0"/>
        <w:widowControl w:val="0"/>
        <w:shd w:val="clear" w:color="auto" w:fill="auto"/>
        <w:bidi w:val="0"/>
        <w:spacing w:before="0" w:after="800" w:line="470" w:lineRule="exact"/>
        <w:ind w:left="0" w:right="0" w:firstLine="460"/>
        <w:jc w:val="both"/>
      </w:pPr>
      <w:r>
        <w:rPr>
          <w:color w:val="000000"/>
          <w:spacing w:val="0"/>
          <w:w w:val="100"/>
          <w:position w:val="0"/>
        </w:rPr>
        <w:t>公司按照《企业会计准则》等相关规定计提长期资产减值准备，符合公司实际情况，计提后能够 更加公允地反映公司截至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日的财务状况、资产价值及经营情况，不存在损害公司及 股东利益的情形，且决议程序合法合规。</w:t>
      </w:r>
    </w:p>
    <w:p>
      <w:pPr>
        <w:pStyle w:val="Style32"/>
        <w:keepNext/>
        <w:keepLines/>
        <w:widowControl w:val="0"/>
        <w:shd w:val="clear" w:color="auto" w:fill="auto"/>
        <w:bidi w:val="0"/>
        <w:spacing w:before="0" w:after="44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九</w:t>
      </w:r>
      <w:bookmarkEnd w:id="346"/>
      <w:r>
        <w:rPr>
          <w:color w:val="000000"/>
          <w:spacing w:val="0"/>
          <w:w w:val="100"/>
          <w:position w:val="0"/>
          <w:sz w:val="24"/>
          <w:szCs w:val="24"/>
        </w:rPr>
        <w:t>、公司员工情况</w:t>
      </w:r>
      <w:bookmarkEnd w:id="344"/>
      <w:bookmarkEnd w:id="345"/>
      <w:bookmarkEnd w:id="347"/>
    </w:p>
    <w:p>
      <w:pPr>
        <w:pStyle w:val="Style35"/>
        <w:keepNext/>
        <w:keepLines/>
        <w:widowControl w:val="0"/>
        <w:shd w:val="clear" w:color="auto" w:fill="auto"/>
        <w:bidi w:val="0"/>
        <w:spacing w:before="0" w:after="30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sz w:val="22"/>
          <w:szCs w:val="22"/>
        </w:rPr>
        <w:t>1</w:t>
      </w:r>
      <w:bookmarkEnd w:id="350"/>
      <w:r>
        <w:rPr>
          <w:color w:val="000000"/>
          <w:spacing w:val="0"/>
          <w:w w:val="100"/>
          <w:position w:val="0"/>
        </w:rPr>
        <w:t>、员工数量、专业构成及教育程度</w:t>
      </w:r>
      <w:bookmarkEnd w:id="348"/>
      <w:bookmarkEnd w:id="349"/>
      <w:bookmarkEnd w:id="351"/>
    </w:p>
    <w:tbl>
      <w:tblPr>
        <w:tblOverlap w:val="never"/>
        <w:jc w:val="center"/>
        <w:tblLayout w:type="fixed"/>
      </w:tblPr>
      <w:tblGrid>
        <w:gridCol w:w="5822"/>
        <w:gridCol w:w="3763"/>
      </w:tblGrid>
      <w:tr>
        <w:trPr>
          <w:trHeight w:val="32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报告期末母公司在职员工的数量（人）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报告期末子公司在职员工的数量（人）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43,286</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报告期末在职员工的数量合计（人）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46,036</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当期领取薪酬员工总人数（人）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74,494</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5822"/>
        <w:gridCol w:w="3763"/>
      </w:tblGrid>
      <w:tr>
        <w:trPr>
          <w:trHeight w:val="326"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专业构成</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专业构成类别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专业构成人数（人）</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零售体系人员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34,785</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物流体系人员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3,495</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IT</w:t>
            </w:r>
            <w:r>
              <w:rPr>
                <w:rFonts w:ascii="SimSun" w:eastAsia="SimSun" w:hAnsi="SimSun" w:cs="SimSun"/>
                <w:color w:val="000000"/>
                <w:spacing w:val="0"/>
                <w:w w:val="100"/>
                <w:position w:val="0"/>
                <w:sz w:val="20"/>
                <w:szCs w:val="20"/>
              </w:rPr>
              <w:t>体系人员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2,766</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职能体系人员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4,990</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46,036</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其中：终端作业人员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27,477</w:t>
            </w:r>
          </w:p>
        </w:tc>
      </w:tr>
      <w:tr>
        <w:trPr>
          <w:trHeight w:val="322" w:hRule="exact"/>
        </w:trPr>
        <w:tc>
          <w:tcPr>
            <w:gridSpan w:val="2"/>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教育程度</w:t>
            </w:r>
          </w:p>
        </w:tc>
      </w:tr>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教育程度类别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数量（人）</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硕士及以上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大专及以下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30,532</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46,036</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母公司在职员工的数量</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指与苏宁易购集团股份有限公司、苏宁易购集团股份有限公司</w:t>
      </w:r>
    </w:p>
    <w:p>
      <w:pPr>
        <w:pStyle w:val="Style17"/>
        <w:keepNext w:val="0"/>
        <w:keepLines w:val="0"/>
        <w:widowControl w:val="0"/>
        <w:shd w:val="clear" w:color="auto" w:fill="auto"/>
        <w:bidi w:val="0"/>
        <w:spacing w:before="0" w:after="0" w:line="473" w:lineRule="exact"/>
        <w:ind w:left="0" w:right="0" w:firstLine="0"/>
        <w:jc w:val="left"/>
      </w:pPr>
      <w:r>
        <w:rPr>
          <w:color w:val="000000"/>
          <w:spacing w:val="0"/>
          <w:w w:val="100"/>
          <w:position w:val="0"/>
        </w:rPr>
        <w:t>苏宁采购中心签署劳动合同的员工数量，其余与公司子公司签订劳动合同的员工数量统计到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子公司 在职员工的数量</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17"/>
        <w:keepNext w:val="0"/>
        <w:keepLines w:val="0"/>
        <w:widowControl w:val="0"/>
        <w:shd w:val="clear" w:color="auto" w:fill="auto"/>
        <w:bidi w:val="0"/>
        <w:spacing w:before="0" w:after="440" w:line="473" w:lineRule="exact"/>
        <w:ind w:left="0" w:right="0" w:firstLine="460"/>
        <w:jc w:val="both"/>
      </w:pPr>
      <w:bookmarkStart w:id="352" w:name="bookmark352"/>
      <w:r>
        <w:rPr>
          <w:rFonts w:ascii="Times New Roman" w:eastAsia="Times New Roman" w:hAnsi="Times New Roman" w:cs="Times New Roman"/>
          <w:color w:val="000000"/>
          <w:spacing w:val="0"/>
          <w:w w:val="100"/>
          <w:position w:val="0"/>
          <w:sz w:val="22"/>
          <w:szCs w:val="22"/>
        </w:rPr>
        <w:t>2</w:t>
      </w:r>
      <w:bookmarkEnd w:id="352"/>
      <w:r>
        <w:rPr>
          <w:color w:val="000000"/>
          <w:spacing w:val="0"/>
          <w:w w:val="100"/>
          <w:position w:val="0"/>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当期领取薪酬员工总人数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指与公司签订劳动合同的员工，</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年度期间在公司领取过薪资 报酬的总人数。</w:t>
      </w:r>
    </w:p>
    <w:p>
      <w:pPr>
        <w:pStyle w:val="Style35"/>
        <w:keepNext/>
        <w:keepLines/>
        <w:widowControl w:val="0"/>
        <w:shd w:val="clear" w:color="auto" w:fill="auto"/>
        <w:tabs>
          <w:tab w:pos="387" w:val="left"/>
        </w:tabs>
        <w:bidi w:val="0"/>
        <w:spacing w:before="0" w:after="0" w:line="444" w:lineRule="auto"/>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sz w:val="22"/>
          <w:szCs w:val="22"/>
        </w:rPr>
        <w:t>2</w:t>
      </w:r>
      <w:bookmarkEnd w:id="355"/>
      <w:r>
        <w:rPr>
          <w:color w:val="000000"/>
          <w:spacing w:val="0"/>
          <w:w w:val="100"/>
          <w:position w:val="0"/>
        </w:rPr>
        <w:t>、</w:t>
        <w:tab/>
        <w:t>薪酬政策</w:t>
      </w:r>
      <w:bookmarkEnd w:id="353"/>
      <w:bookmarkEnd w:id="354"/>
      <w:bookmarkEnd w:id="356"/>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公司已经建立了包括工资、福利、短期激励和长期激励、员工发展在内的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五位一体</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激励体系， 能实现对员工的长效激励。</w:t>
      </w:r>
    </w:p>
    <w:p>
      <w:pPr>
        <w:pStyle w:val="Style17"/>
        <w:keepNext w:val="0"/>
        <w:keepLines w:val="0"/>
        <w:widowControl w:val="0"/>
        <w:shd w:val="clear" w:color="auto" w:fill="auto"/>
        <w:bidi w:val="0"/>
        <w:spacing w:before="0" w:after="740" w:line="468" w:lineRule="exact"/>
        <w:ind w:left="0" w:right="0" w:firstLine="460"/>
        <w:jc w:val="both"/>
      </w:pPr>
      <w:r>
        <w:rPr>
          <w:color w:val="000000"/>
          <w:spacing w:val="0"/>
          <w:w w:val="100"/>
          <w:position w:val="0"/>
        </w:rPr>
        <w:t>公司为员工提供薪酬包括工资、奖金、津贴和补贴、假期类福利、节日礼金、驻外福利等。公司 不断优化薪酬管理机制，按时足额支付员工劳工报酬，以更公平、科学的薪酬福利制度，激励为公司 发展做出贡献的优秀员工。结合公司经营情况变化，公司优化月度考核与奖金激励机制，鼓励员工通 过积极创新、突破常规的办法完成绩效指标，提升员工士气。</w:t>
      </w:r>
    </w:p>
    <w:p>
      <w:pPr>
        <w:pStyle w:val="Style35"/>
        <w:keepNext/>
        <w:keepLines/>
        <w:widowControl w:val="0"/>
        <w:shd w:val="clear" w:color="auto" w:fill="auto"/>
        <w:tabs>
          <w:tab w:pos="387" w:val="left"/>
        </w:tabs>
        <w:bidi w:val="0"/>
        <w:spacing w:before="0" w:after="0" w:line="444" w:lineRule="auto"/>
        <w:ind w:left="0" w:right="0" w:firstLine="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sz w:val="22"/>
          <w:szCs w:val="22"/>
        </w:rPr>
        <w:t>3</w:t>
      </w:r>
      <w:bookmarkEnd w:id="359"/>
      <w:r>
        <w:rPr>
          <w:color w:val="000000"/>
          <w:spacing w:val="0"/>
          <w:w w:val="100"/>
          <w:position w:val="0"/>
        </w:rPr>
        <w:t>、</w:t>
        <w:tab/>
        <w:t>培训计划</w:t>
      </w:r>
      <w:bookmarkEnd w:id="357"/>
      <w:bookmarkEnd w:id="358"/>
      <w:bookmarkEnd w:id="360"/>
    </w:p>
    <w:p>
      <w:pPr>
        <w:pStyle w:val="Style17"/>
        <w:keepNext w:val="0"/>
        <w:keepLines w:val="0"/>
        <w:widowControl w:val="0"/>
        <w:shd w:val="clear" w:color="auto" w:fill="auto"/>
        <w:bidi w:val="0"/>
        <w:spacing w:before="0" w:after="0" w:line="466" w:lineRule="exact"/>
        <w:ind w:left="0" w:right="0" w:firstLine="460"/>
        <w:jc w:val="both"/>
      </w:pPr>
      <w:r>
        <w:rPr>
          <w:color w:val="000000"/>
          <w:spacing w:val="0"/>
          <w:w w:val="100"/>
          <w:position w:val="0"/>
        </w:rPr>
        <w:t>人力资本是比货币资本还要重要的资本，公司秉承</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事业经理人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培养理念，结合员工工作岗位、 个人特点、发展需求等进一步建立健全人才培养体系。</w:t>
      </w:r>
    </w:p>
    <w:p>
      <w:pPr>
        <w:pStyle w:val="Style17"/>
        <w:keepNext w:val="0"/>
        <w:keepLines w:val="0"/>
        <w:widowControl w:val="0"/>
        <w:shd w:val="clear" w:color="auto" w:fill="auto"/>
        <w:bidi w:val="0"/>
        <w:spacing w:before="0" w:after="0" w:line="466" w:lineRule="exact"/>
        <w:ind w:left="0" w:right="0" w:firstLine="460"/>
        <w:jc w:val="both"/>
      </w:pPr>
      <w:r>
        <w:rPr>
          <w:color w:val="000000"/>
          <w:spacing w:val="0"/>
          <w:w w:val="100"/>
          <w:position w:val="0"/>
        </w:rPr>
        <w:t>苏宁人才发展中心自</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年成立以来，一直定位为集团规划、研究、赋能、平台型运营机构， 目前组织下设领导力、企业文化、</w:t>
      </w:r>
      <w:r>
        <w:rPr>
          <w:rFonts w:ascii="Times New Roman" w:eastAsia="Times New Roman" w:hAnsi="Times New Roman" w:cs="Times New Roman"/>
          <w:color w:val="000000"/>
          <w:spacing w:val="0"/>
          <w:w w:val="100"/>
          <w:position w:val="0"/>
          <w:sz w:val="22"/>
          <w:szCs w:val="22"/>
        </w:rPr>
        <w:t>1200</w:t>
      </w:r>
      <w:r>
        <w:rPr>
          <w:color w:val="000000"/>
          <w:spacing w:val="0"/>
          <w:w w:val="100"/>
          <w:position w:val="0"/>
        </w:rPr>
        <w:t xml:space="preserve">、业务培训、高管培训、平台产品及运营等业务板块，全面落 </w:t>
      </w:r>
      <w:r>
        <w:rPr>
          <w:color w:val="000000"/>
          <w:spacing w:val="0"/>
          <w:w w:val="100"/>
          <w:position w:val="0"/>
        </w:rPr>
        <w:t>实从总部到大区的培训体系化建设。总部共建设各类业务学院，其中包括公共学院、业务学院、生态 圈学院；大区层面设有重点培训基地以及综合型培训中心。集团兼职讲师团队由集团中高层管理干部、 核心业务骨干担任，另有外部讲师团队，均来自国内外知名高校、重量级咨询机构、重要供应商和合 作伙伴等机构。</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数字化时代背景下，公司致力于打造学习型组织、赋能型组织，开设了多种线上线下学习平台和 丰富的培训课程，公司的数字化学习平台不断升级、互联网学习产品持续丰富。一方面，针对多个场 景下的不同员工，无论是初入职场的大学生，还是中高层管理者，公司均设计了系统化的培养路径， 匹配丰富的学习资源，助力员工的全方位成长发展；另一方面，基于集团发展战略，公司也加大了智 慧零售生态链的赋能，针对不同业态的加盟商、合伙人，均提供全方位的学习资源，针对核心业务能 力进行赋能，真正帮助其掌握零售核心业务能力。</w:t>
      </w:r>
    </w:p>
    <w:p>
      <w:pPr>
        <w:pStyle w:val="Style17"/>
        <w:keepNext w:val="0"/>
        <w:keepLines w:val="0"/>
        <w:widowControl w:val="0"/>
        <w:shd w:val="clear" w:color="auto" w:fill="auto"/>
        <w:bidi w:val="0"/>
        <w:spacing w:before="0" w:after="420" w:line="469" w:lineRule="exact"/>
        <w:ind w:left="0" w:right="0" w:firstLine="460"/>
        <w:jc w:val="both"/>
      </w:pPr>
      <w:r>
        <w:rPr>
          <w:color w:val="000000"/>
          <w:spacing w:val="0"/>
          <w:w w:val="100"/>
          <w:position w:val="0"/>
        </w:rPr>
        <w:t>整体来看，公司构建了涵盖在线学习、总部集训、区域实训基地的立体化培训模式，针对不同业 态、不同人群的实际需求，加强培训体系搭建和课程资源开发；建立碎片化的知识获取体系，进一步 完善移动学习平台，通过宝典刷题、直播录播、微课等多种形式载体高频推送知识内容；进一步完善 对外赋能培训体系，帮助商户在苏宁易购平台上共同成长。除了应知应会的体系化的培训，更多的强 调碎片化、社交化的知识获取，加速推动培训工作的场景化。</w:t>
      </w:r>
    </w:p>
    <w:p>
      <w:pPr>
        <w:pStyle w:val="Style26"/>
        <w:keepNext w:val="0"/>
        <w:keepLines w:val="0"/>
        <w:widowControl w:val="0"/>
        <w:shd w:val="clear" w:color="auto" w:fill="auto"/>
        <w:bidi w:val="0"/>
        <w:spacing w:before="0" w:after="0" w:line="240" w:lineRule="auto"/>
        <w:ind w:left="0" w:right="0" w:firstLine="0"/>
        <w:jc w:val="left"/>
      </w:pPr>
      <w:bookmarkStart w:id="361" w:name="bookmark361"/>
      <w:r>
        <w:rPr>
          <w:rFonts w:ascii="Times New Roman" w:eastAsia="Times New Roman" w:hAnsi="Times New Roman" w:cs="Times New Roman"/>
          <w:b/>
          <w:bCs/>
          <w:color w:val="000000"/>
          <w:spacing w:val="0"/>
          <w:w w:val="100"/>
          <w:position w:val="0"/>
          <w:sz w:val="22"/>
          <w:szCs w:val="22"/>
        </w:rPr>
        <w:t>4</w:t>
      </w:r>
      <w:r>
        <w:rPr>
          <w:b/>
          <w:bCs/>
          <w:color w:val="000000"/>
          <w:spacing w:val="0"/>
          <w:w w:val="100"/>
          <w:position w:val="0"/>
        </w:rPr>
        <w:t>、劳务外包情况</w:t>
      </w:r>
      <w:bookmarkEnd w:id="36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劳务外包的工时总数（小时）</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不适用</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劳务外包发生的报酬总额（亿元）</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注：公司劳务外包主要发生在物流、售后、客服体系，按照与劳务公司签订的作业模式结算报酬，</w:t>
      </w:r>
    </w:p>
    <w:p>
      <w:pPr>
        <w:pStyle w:val="Style17"/>
        <w:keepNext w:val="0"/>
        <w:keepLines w:val="0"/>
        <w:widowControl w:val="0"/>
        <w:shd w:val="clear" w:color="auto" w:fill="auto"/>
        <w:bidi w:val="0"/>
        <w:spacing w:before="0" w:after="280" w:line="475" w:lineRule="exact"/>
        <w:ind w:left="0" w:right="0" w:firstLine="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年公司劳务外包发生的报酬总额为</w:t>
      </w:r>
      <w:r>
        <w:rPr>
          <w:rFonts w:ascii="Times New Roman" w:eastAsia="Times New Roman" w:hAnsi="Times New Roman" w:cs="Times New Roman"/>
          <w:color w:val="000000"/>
          <w:spacing w:val="0"/>
          <w:w w:val="100"/>
          <w:position w:val="0"/>
          <w:sz w:val="22"/>
          <w:szCs w:val="22"/>
        </w:rPr>
        <w:t>14.48</w:t>
      </w:r>
      <w:r>
        <w:rPr>
          <w:color w:val="000000"/>
          <w:spacing w:val="0"/>
          <w:w w:val="100"/>
          <w:position w:val="0"/>
        </w:rPr>
        <w:t>亿元。</w:t>
      </w:r>
    </w:p>
    <w:p>
      <w:pPr>
        <w:pStyle w:val="Style32"/>
        <w:keepNext/>
        <w:keepLines/>
        <w:widowControl w:val="0"/>
        <w:shd w:val="clear" w:color="auto" w:fill="auto"/>
        <w:bidi w:val="0"/>
        <w:spacing w:before="0" w:after="280" w:line="475" w:lineRule="exact"/>
        <w:ind w:left="0" w:right="0" w:firstLine="0"/>
        <w:jc w:val="both"/>
      </w:pPr>
      <w:bookmarkStart w:id="362" w:name="bookmark362"/>
      <w:bookmarkStart w:id="363" w:name="bookmark363"/>
      <w:bookmarkStart w:id="364" w:name="bookmark364"/>
      <w:r>
        <w:rPr>
          <w:color w:val="000000"/>
          <w:spacing w:val="0"/>
          <w:w w:val="100"/>
          <w:position w:val="0"/>
          <w:sz w:val="24"/>
          <w:szCs w:val="24"/>
        </w:rPr>
        <w:t>十、公司利润分配及资本公积金转增股本情况</w:t>
      </w:r>
      <w:bookmarkEnd w:id="362"/>
      <w:bookmarkEnd w:id="363"/>
      <w:bookmarkEnd w:id="364"/>
    </w:p>
    <w:p>
      <w:pPr>
        <w:pStyle w:val="Style17"/>
        <w:keepNext w:val="0"/>
        <w:keepLines w:val="0"/>
        <w:widowControl w:val="0"/>
        <w:shd w:val="clear" w:color="auto" w:fill="auto"/>
        <w:bidi w:val="0"/>
        <w:spacing w:before="0" w:after="0" w:line="475" w:lineRule="exact"/>
        <w:ind w:left="0" w:right="0" w:firstLine="460"/>
        <w:jc w:val="both"/>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0" w:line="475" w:lineRule="exact"/>
        <w:ind w:left="0" w:right="0" w:firstLine="460"/>
        <w:jc w:val="both"/>
      </w:pPr>
      <w:r>
        <w:rPr>
          <w:color w:val="000000"/>
          <w:spacing w:val="0"/>
          <w:w w:val="100"/>
          <w:position w:val="0"/>
        </w:rPr>
        <w:t>根据中国证监会《上市公司监管指引第</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上市公司现金分红》等相关规定要求，公司已在《公 司章程》中制定了清晰的利润分配政策，制定了《苏宁易购集团股份有限公司未来三年</w:t>
      </w:r>
      <w:r>
        <w:rPr>
          <w:rFonts w:ascii="Times New Roman" w:eastAsia="Times New Roman" w:hAnsi="Times New Roman" w:cs="Times New Roman"/>
          <w:color w:val="000000"/>
          <w:spacing w:val="0"/>
          <w:w w:val="100"/>
          <w:position w:val="0"/>
          <w:sz w:val="22"/>
          <w:szCs w:val="22"/>
        </w:rPr>
        <w:t>（2021-2023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rPr>
        <w:t>股东回报规划》，制度性地明确公司股东的合理投资回报，维护公司股东的利益。</w:t>
      </w:r>
    </w:p>
    <w:p>
      <w:pPr>
        <w:pStyle w:val="Style17"/>
        <w:keepNext w:val="0"/>
        <w:keepLines w:val="0"/>
        <w:widowControl w:val="0"/>
        <w:shd w:val="clear" w:color="auto" w:fill="auto"/>
        <w:bidi w:val="0"/>
        <w:spacing w:before="0" w:after="360" w:line="475" w:lineRule="exact"/>
        <w:ind w:left="0" w:right="0" w:firstLine="4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年度利润分配预案》，公司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年度利润分配预案为： 不派发现金红利，不送红股，不以资本公积金转增股本。</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现金分红政策的专项说明</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是否符合公司章程的规定或股东大会决议的要</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是</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是</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中小股东是否有充分表达意见和诉求的机会，其 合法权益是否得到了充分保护：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是</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现金分红政策进行调整或变更的，条件及程序是 否合规、透明：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是</w:t>
            </w:r>
          </w:p>
        </w:tc>
      </w:tr>
    </w:tbl>
    <w:p>
      <w:pPr>
        <w:widowControl w:val="0"/>
        <w:spacing w:after="119" w:line="1" w:lineRule="exact"/>
      </w:pPr>
    </w:p>
    <w:p>
      <w:pPr>
        <w:pStyle w:val="Style17"/>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公司报告期内盈利且母公司可供股东分配利润为正但未提出现金红利分配预案</w:t>
      </w:r>
    </w:p>
    <w:p>
      <w:pPr>
        <w:pStyle w:val="Style17"/>
        <w:keepNext w:val="0"/>
        <w:keepLines w:val="0"/>
        <w:widowControl w:val="0"/>
        <w:shd w:val="clear" w:color="auto" w:fill="auto"/>
        <w:bidi w:val="0"/>
        <w:spacing w:before="0" w:after="220" w:line="240" w:lineRule="auto"/>
        <w:ind w:left="0" w:right="0" w:firstLine="48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本报告期利润分配及资本公积金转增股本情况</w:t>
      </w:r>
    </w:p>
    <w:p>
      <w:pPr>
        <w:pStyle w:val="Style17"/>
        <w:keepNext w:val="0"/>
        <w:keepLines w:val="0"/>
        <w:widowControl w:val="0"/>
        <w:shd w:val="clear" w:color="auto" w:fill="auto"/>
        <w:bidi w:val="0"/>
        <w:spacing w:before="0" w:after="220" w:line="240" w:lineRule="auto"/>
        <w:ind w:left="0" w:right="0" w:firstLine="48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480" w:line="240" w:lineRule="auto"/>
        <w:ind w:left="0" w:right="0" w:firstLine="480"/>
        <w:jc w:val="left"/>
      </w:pPr>
      <w:r>
        <w:rPr>
          <w:color w:val="000000"/>
          <w:spacing w:val="0"/>
          <w:w w:val="100"/>
          <w:position w:val="0"/>
        </w:rPr>
        <w:t>公司计划年度不派发现金红利，不送红股，不以公积金转增股本。</w:t>
      </w:r>
    </w:p>
    <w:p>
      <w:pPr>
        <w:pStyle w:val="Style32"/>
        <w:keepNext/>
        <w:keepLines/>
        <w:widowControl w:val="0"/>
        <w:shd w:val="clear" w:color="auto" w:fill="auto"/>
        <w:bidi w:val="0"/>
        <w:spacing w:before="0" w:after="440" w:line="240" w:lineRule="auto"/>
        <w:ind w:left="0" w:right="0" w:firstLine="0"/>
        <w:jc w:val="left"/>
      </w:pPr>
      <w:bookmarkStart w:id="365" w:name="bookmark365"/>
      <w:bookmarkStart w:id="366" w:name="bookmark366"/>
      <w:bookmarkStart w:id="367" w:name="bookmark367"/>
      <w:r>
        <w:rPr>
          <w:color w:val="000000"/>
          <w:spacing w:val="0"/>
          <w:w w:val="100"/>
          <w:position w:val="0"/>
          <w:sz w:val="24"/>
          <w:szCs w:val="24"/>
        </w:rPr>
        <w:t>十一、公司股权激励计划、员工持股计划或其他员工激励措施的实施情况</w:t>
      </w:r>
      <w:bookmarkEnd w:id="365"/>
      <w:bookmarkEnd w:id="366"/>
      <w:bookmarkEnd w:id="367"/>
    </w:p>
    <w:p>
      <w:pPr>
        <w:pStyle w:val="Style35"/>
        <w:keepNext/>
        <w:keepLines/>
        <w:widowControl w:val="0"/>
        <w:shd w:val="clear" w:color="auto" w:fill="auto"/>
        <w:tabs>
          <w:tab w:pos="368" w:val="left"/>
        </w:tabs>
        <w:bidi w:val="0"/>
        <w:spacing w:before="0" w:after="44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1</w:t>
      </w:r>
      <w:bookmarkEnd w:id="370"/>
      <w:r>
        <w:rPr>
          <w:color w:val="000000"/>
          <w:spacing w:val="0"/>
          <w:w w:val="100"/>
          <w:position w:val="0"/>
        </w:rPr>
        <w:t>、</w:t>
        <w:tab/>
        <w:t>股权激励</w:t>
      </w:r>
      <w:bookmarkEnd w:id="368"/>
      <w:bookmarkEnd w:id="369"/>
      <w:bookmarkEnd w:id="371"/>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公司报告期无股权激励计划。</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公司董事、高级管理人员获得的股权激励情况</w:t>
      </w:r>
    </w:p>
    <w:p>
      <w:pPr>
        <w:pStyle w:val="Style1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高级管理人员的考评机制及激励情况</w:t>
      </w:r>
    </w:p>
    <w:p>
      <w:pPr>
        <w:pStyle w:val="Style17"/>
        <w:keepNext w:val="0"/>
        <w:keepLines w:val="0"/>
        <w:widowControl w:val="0"/>
        <w:shd w:val="clear" w:color="auto" w:fill="auto"/>
        <w:bidi w:val="0"/>
        <w:spacing w:before="0" w:after="440" w:line="240" w:lineRule="auto"/>
        <w:ind w:left="0" w:right="0" w:firstLine="0"/>
        <w:jc w:val="left"/>
      </w:pPr>
      <w:r>
        <w:rPr>
          <w:color w:val="000000"/>
          <w:spacing w:val="0"/>
          <w:w w:val="100"/>
          <w:position w:val="0"/>
        </w:rPr>
        <w:t>报告期内公司未实施股权激励计划。</w:t>
      </w:r>
    </w:p>
    <w:p>
      <w:pPr>
        <w:pStyle w:val="Style35"/>
        <w:keepNext/>
        <w:keepLines/>
        <w:widowControl w:val="0"/>
        <w:shd w:val="clear" w:color="auto" w:fill="auto"/>
        <w:tabs>
          <w:tab w:pos="378" w:val="left"/>
        </w:tabs>
        <w:bidi w:val="0"/>
        <w:spacing w:before="0" w:after="44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w:t>
        <w:tab/>
        <w:t>员工持股计划的实施情况</w:t>
      </w:r>
      <w:bookmarkEnd w:id="372"/>
      <w:bookmarkEnd w:id="373"/>
      <w:bookmarkEnd w:id="375"/>
    </w:p>
    <w:p>
      <w:pPr>
        <w:pStyle w:val="Style26"/>
        <w:keepNext w:val="0"/>
        <w:keepLines w:val="0"/>
        <w:widowControl w:val="0"/>
        <w:shd w:val="clear" w:color="auto" w:fill="auto"/>
        <w:bidi w:val="0"/>
        <w:spacing w:before="0" w:after="0" w:line="240" w:lineRule="auto"/>
        <w:ind w:left="38"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）报告期内全部有效的员工持股计划情况</w:t>
      </w:r>
    </w:p>
    <w:tbl>
      <w:tblPr>
        <w:tblOverlap w:val="never"/>
        <w:jc w:val="center"/>
        <w:tblLayout w:type="fixed"/>
      </w:tblPr>
      <w:tblGrid>
        <w:gridCol w:w="1392"/>
        <w:gridCol w:w="2755"/>
        <w:gridCol w:w="1138"/>
        <w:gridCol w:w="1133"/>
        <w:gridCol w:w="850"/>
        <w:gridCol w:w="1056"/>
        <w:gridCol w:w="1392"/>
      </w:tblGrid>
      <w:tr>
        <w:trPr>
          <w:trHeight w:val="1262"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员工持股计划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员工的范围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报告期末</w:t>
            </w:r>
          </w:p>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员工人数</w:t>
            </w:r>
          </w:p>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报告期末</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持有的股</w:t>
            </w:r>
          </w:p>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票总额</w:t>
            </w:r>
          </w:p>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变更情 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9" w:lineRule="exact"/>
              <w:ind w:left="0" w:right="0" w:firstLine="0"/>
              <w:jc w:val="center"/>
              <w:rPr>
                <w:sz w:val="20"/>
                <w:szCs w:val="20"/>
              </w:rPr>
            </w:pPr>
            <w:r>
              <w:rPr>
                <w:rFonts w:ascii="SimSun" w:eastAsia="SimSun" w:hAnsi="SimSun" w:cs="SimSun"/>
                <w:color w:val="000000"/>
                <w:spacing w:val="0"/>
                <w:w w:val="100"/>
                <w:position w:val="0"/>
                <w:sz w:val="20"/>
                <w:szCs w:val="20"/>
              </w:rPr>
              <w:t>报告期末 占上市公 司股本总 额的比例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实施计划的资 金来源</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苏宁易购集团 股份有限公司 一第二期员工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公司董事、监事和高级管理 人员；公司线上线下运营管 理、商品供应链经营、物流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65,919,578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无变更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0.71 </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自筹资金、合 法借款等按照 法律、行政法</w:t>
            </w:r>
          </w:p>
        </w:tc>
      </w:tr>
    </w:tbl>
    <w:p>
      <w:pPr>
        <w:spacing w:lineRule="exact" w:line="1"/>
        <w:rPr>
          <w:sz w:val="2"/>
          <w:szCs w:val="2"/>
        </w:rPr>
      </w:pPr>
      <w:r>
        <w:br w:type="page"/>
      </w:r>
    </w:p>
    <w:tbl>
      <w:tblPr>
        <w:tblOverlap w:val="never"/>
        <w:jc w:val="center"/>
        <w:tblLayout w:type="fixed"/>
      </w:tblPr>
      <w:tblGrid>
        <w:gridCol w:w="1392"/>
        <w:gridCol w:w="2755"/>
        <w:gridCol w:w="1138"/>
        <w:gridCol w:w="1133"/>
        <w:gridCol w:w="850"/>
        <w:gridCol w:w="1056"/>
        <w:gridCol w:w="1392"/>
      </w:tblGrid>
      <w:tr>
        <w:trPr>
          <w:trHeight w:val="1262"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员工持股计划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员工的范围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报告期末</w:t>
            </w:r>
          </w:p>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员工人数</w:t>
            </w:r>
          </w:p>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报告期末</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持有的股</w:t>
            </w:r>
          </w:p>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票总额</w:t>
            </w:r>
          </w:p>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变更情 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9" w:lineRule="exact"/>
              <w:ind w:left="0" w:right="0" w:firstLine="0"/>
              <w:jc w:val="center"/>
              <w:rPr>
                <w:sz w:val="20"/>
                <w:szCs w:val="20"/>
              </w:rPr>
            </w:pPr>
            <w:r>
              <w:rPr>
                <w:rFonts w:ascii="SimSun" w:eastAsia="SimSun" w:hAnsi="SimSun" w:cs="SimSun"/>
                <w:color w:val="000000"/>
                <w:spacing w:val="0"/>
                <w:w w:val="100"/>
                <w:position w:val="0"/>
                <w:sz w:val="20"/>
                <w:szCs w:val="20"/>
              </w:rPr>
              <w:t>报告期末 占上市公 司股本总 额的比例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实施计划的资 金来源</w:t>
            </w:r>
          </w:p>
        </w:tc>
      </w:tr>
      <w:tr>
        <w:trPr>
          <w:trHeight w:val="157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持股计划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服务等业务体系中高层人 员；技术开发体系骨干；职 能管理体系的中高层人员以 及公司认可的有特殊贡献的 其他员工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规允许方式取</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得的资金</w:t>
            </w:r>
          </w:p>
        </w:tc>
      </w:tr>
      <w:tr>
        <w:trPr>
          <w:trHeight w:val="251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苏宁易购集团 股份有限公司 ―第三期员工 持股计划</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6" w:lineRule="exact"/>
              <w:ind w:left="0" w:right="0" w:firstLine="0"/>
              <w:jc w:val="both"/>
              <w:rPr>
                <w:sz w:val="20"/>
                <w:szCs w:val="20"/>
              </w:rPr>
            </w:pPr>
            <w:r>
              <w:rPr>
                <w:rFonts w:ascii="SimSun" w:eastAsia="SimSun" w:hAnsi="SimSun" w:cs="SimSun"/>
                <w:color w:val="000000"/>
                <w:spacing w:val="0"/>
                <w:w w:val="100"/>
                <w:position w:val="0"/>
                <w:sz w:val="20"/>
                <w:szCs w:val="20"/>
              </w:rPr>
              <w:t>公司董事、高级管理人员， 公司零售、物流、金融三大 业务体系的中高层人员及业 务骨干，技术开发体系核心 技术人员，职能管理体系的 中高层人员以及公司认为对 公司经营业绩和未来发展有 直接影响的其他员工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22,752,316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无变更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20"/>
                <w:szCs w:val="20"/>
              </w:rPr>
            </w:pPr>
            <w:r>
              <w:rPr>
                <w:rFonts w:ascii="SimSun" w:eastAsia="SimSun" w:hAnsi="SimSun" w:cs="SimSun"/>
                <w:color w:val="000000"/>
                <w:spacing w:val="0"/>
                <w:w w:val="100"/>
                <w:position w:val="0"/>
                <w:sz w:val="20"/>
                <w:szCs w:val="20"/>
              </w:rPr>
              <w:t>员工合法薪 酬、自筹资金 以及法律法规 允许的其他方 式</w:t>
            </w:r>
          </w:p>
        </w:tc>
      </w:tr>
    </w:tbl>
    <w:p>
      <w:pPr>
        <w:widowControl w:val="0"/>
        <w:spacing w:after="559" w:line="1" w:lineRule="exact"/>
      </w:pPr>
    </w:p>
    <w:p>
      <w:pPr>
        <w:pStyle w:val="Style17"/>
        <w:keepNext w:val="0"/>
        <w:keepLines w:val="0"/>
        <w:widowControl w:val="0"/>
        <w:shd w:val="clear" w:color="auto" w:fill="auto"/>
        <w:bidi w:val="0"/>
        <w:spacing w:before="0" w:after="200" w:line="240" w:lineRule="auto"/>
        <w:ind w:left="0" w:right="0" w:firstLine="0"/>
        <w:jc w:val="left"/>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sz w:val="22"/>
          <w:szCs w:val="22"/>
        </w:rPr>
        <w:t>2</w:t>
      </w:r>
      <w:r>
        <w:rPr>
          <w:color w:val="000000"/>
          <w:spacing w:val="0"/>
          <w:w w:val="100"/>
          <w:position w:val="0"/>
        </w:rPr>
        <w:t>）报告期内董事、监事、高级管理人员在员工持股计划中的持股情况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587"/>
        <w:gridCol w:w="994"/>
        <w:gridCol w:w="1272"/>
        <w:gridCol w:w="1618"/>
        <w:gridCol w:w="1618"/>
        <w:gridCol w:w="1627"/>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员工持股计划名称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报告期初持股数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报告期末持股数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占上市公司股本 总额的比例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苏宁易购集团股份有限公 司一第二期员工持股计划</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任峻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5,558,338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5,558,338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苏宁易购集团股份有限公 司一第二期员工持股计划</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侯恩龙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业务线总裁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1,318,391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1,318,391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苏宁易购集团股份有限公 司一第二期员工持股计划</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姚凯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业务线总裁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316,413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0.003%</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苏宁易购集团股份有限公 司一第二期员工持股计划</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顾伟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263,678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苏宁易购集团股份有限公 司一第二期员工持股计划</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龚震宇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395,517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苏宁易购集团股份有限公 司一第二期员工持股计划</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田睿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659,195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659,195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苏宁易购集团股份有限公 司一第二期员工持股计划</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汪晓玲</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158,206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0.002%</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苏宁易购集团股份有限公 司一第二期员工持股计划</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华志松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0.002%</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苏宁易购集团股份有限公 司一第二期员工持股计划</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李建颖</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0.001%</w:t>
            </w:r>
          </w:p>
        </w:tc>
      </w:tr>
    </w:tbl>
    <w:tbl>
      <w:tblPr>
        <w:tblOverlap w:val="never"/>
        <w:jc w:val="center"/>
        <w:tblLayout w:type="fixed"/>
      </w:tblPr>
      <w:tblGrid>
        <w:gridCol w:w="2587"/>
        <w:gridCol w:w="994"/>
        <w:gridCol w:w="1272"/>
        <w:gridCol w:w="1618"/>
        <w:gridCol w:w="1618"/>
        <w:gridCol w:w="1627"/>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员工持股计划名称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报告期初持股数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报告期末持股数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占上市公司股本 总额的比例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苏宁易购集团股份有限公 司一第二期员工持股计划</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黄巍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财务负责人、 董事会秘书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1,133,816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1,133,816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苏宁易购集团股份有限公 司一第三期员工持股计划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723,402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0.008%</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苏宁易购集团股份有限公 司一第三期员工持股计划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侯恩龙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业务线总裁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723,402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0.008%</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苏宁易购集团股份有限公 司一第三期员工持股计划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姚凯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业务线总裁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苏宁易购集团股份有限公 司一第三期员工持股计划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顾伟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苏宁易购集团股份有限公 司一第三期员工持股计划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田睿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苏宁易购集团股份有限公 司一第三期员工持股计划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龚震宇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0.001%</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苏宁易购集团股份有限公 司一第三期员工持股计划</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黄巍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财务负责人、 董事会秘书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96,454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0.001%</w:t>
            </w:r>
          </w:p>
        </w:tc>
      </w:tr>
    </w:tbl>
    <w:p>
      <w:pPr>
        <w:pStyle w:val="Style17"/>
        <w:keepNext w:val="0"/>
        <w:keepLines w:val="0"/>
        <w:widowControl w:val="0"/>
        <w:shd w:val="clear" w:color="auto" w:fill="auto"/>
        <w:tabs>
          <w:tab w:pos="502" w:val="left"/>
        </w:tabs>
        <w:bidi w:val="0"/>
        <w:spacing w:before="0" w:after="0" w:line="468" w:lineRule="exact"/>
        <w:ind w:left="0" w:right="0" w:firstLine="0"/>
        <w:jc w:val="left"/>
      </w:pPr>
      <w:bookmarkStart w:id="377" w:name="bookmark377"/>
      <w:r>
        <w:rPr>
          <w:color w:val="000000"/>
          <w:spacing w:val="0"/>
          <w:w w:val="100"/>
          <w:position w:val="0"/>
        </w:rPr>
        <w:t>（</w:t>
      </w:r>
      <w:bookmarkEnd w:id="377"/>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报告期内资产管理机构的变更情况</w:t>
      </w:r>
    </w:p>
    <w:p>
      <w:pPr>
        <w:pStyle w:val="Style17"/>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tabs>
          <w:tab w:pos="502" w:val="left"/>
        </w:tabs>
        <w:bidi w:val="0"/>
        <w:spacing w:before="0" w:after="180" w:line="468" w:lineRule="exact"/>
        <w:ind w:left="0" w:right="0" w:firstLine="0"/>
        <w:jc w:val="left"/>
      </w:pPr>
      <w:bookmarkStart w:id="378" w:name="bookmark378"/>
      <w:r>
        <w:rPr>
          <w:color w:val="000000"/>
          <w:spacing w:val="0"/>
          <w:w w:val="100"/>
          <w:position w:val="0"/>
        </w:rPr>
        <w:t>（</w:t>
      </w:r>
      <w:bookmarkEnd w:id="378"/>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报告期内因持有人处置份额等引起的权益变动情况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苏宁易购集团股份有限公司一第三期员工持股计划报告期内出售股份数量</w:t>
      </w:r>
      <w:r>
        <w:rPr>
          <w:rFonts w:ascii="Times New Roman" w:eastAsia="Times New Roman" w:hAnsi="Times New Roman" w:cs="Times New Roman"/>
          <w:color w:val="000000"/>
          <w:spacing w:val="0"/>
          <w:w w:val="100"/>
          <w:position w:val="0"/>
          <w:sz w:val="22"/>
          <w:szCs w:val="22"/>
        </w:rPr>
        <w:t>1,368,900</w:t>
      </w:r>
      <w:r>
        <w:rPr>
          <w:color w:val="000000"/>
          <w:spacing w:val="0"/>
          <w:w w:val="100"/>
          <w:position w:val="0"/>
        </w:rPr>
        <w:t>股。</w:t>
      </w:r>
    </w:p>
    <w:p>
      <w:pPr>
        <w:pStyle w:val="Style17"/>
        <w:keepNext w:val="0"/>
        <w:keepLines w:val="0"/>
        <w:widowControl w:val="0"/>
        <w:shd w:val="clear" w:color="auto" w:fill="auto"/>
        <w:tabs>
          <w:tab w:pos="502" w:val="left"/>
        </w:tabs>
        <w:bidi w:val="0"/>
        <w:spacing w:before="0" w:after="0" w:line="468" w:lineRule="exact"/>
        <w:ind w:left="0" w:right="0" w:firstLine="0"/>
        <w:jc w:val="left"/>
      </w:pPr>
      <w:bookmarkStart w:id="379" w:name="bookmark379"/>
      <w:r>
        <w:rPr>
          <w:color w:val="000000"/>
          <w:spacing w:val="0"/>
          <w:w w:val="100"/>
          <w:position w:val="0"/>
        </w:rPr>
        <w:t>（</w:t>
      </w:r>
      <w:bookmarkEnd w:id="379"/>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tab/>
        <w:t>报告期内股东权利行使的情况：报告期内未行使股东权利。</w:t>
      </w:r>
    </w:p>
    <w:p>
      <w:pPr>
        <w:pStyle w:val="Style17"/>
        <w:keepNext w:val="0"/>
        <w:keepLines w:val="0"/>
        <w:widowControl w:val="0"/>
        <w:shd w:val="clear" w:color="auto" w:fill="auto"/>
        <w:tabs>
          <w:tab w:pos="502" w:val="left"/>
        </w:tabs>
        <w:bidi w:val="0"/>
        <w:spacing w:before="0" w:after="0" w:line="468" w:lineRule="exact"/>
        <w:ind w:left="0" w:right="0" w:firstLine="0"/>
        <w:jc w:val="left"/>
      </w:pPr>
      <w:bookmarkStart w:id="380" w:name="bookmark380"/>
      <w:r>
        <w:rPr>
          <w:color w:val="000000"/>
          <w:spacing w:val="0"/>
          <w:w w:val="100"/>
          <w:position w:val="0"/>
        </w:rPr>
        <w:t>（</w:t>
      </w:r>
      <w:bookmarkEnd w:id="380"/>
      <w:r>
        <w:rPr>
          <w:rFonts w:ascii="Times New Roman" w:eastAsia="Times New Roman" w:hAnsi="Times New Roman" w:cs="Times New Roman"/>
          <w:color w:val="000000"/>
          <w:spacing w:val="0"/>
          <w:w w:val="100"/>
          <w:position w:val="0"/>
          <w:sz w:val="22"/>
          <w:szCs w:val="22"/>
        </w:rPr>
        <w:t>6</w:t>
      </w:r>
      <w:r>
        <w:rPr>
          <w:color w:val="000000"/>
          <w:spacing w:val="0"/>
          <w:w w:val="100"/>
          <w:position w:val="0"/>
        </w:rPr>
        <w:t>）</w:t>
        <w:tab/>
        <w:t>报告期内员工持股计划的其他相关情形及说明</w:t>
      </w:r>
    </w:p>
    <w:p>
      <w:pPr>
        <w:pStyle w:val="Style17"/>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tabs>
          <w:tab w:pos="502" w:val="left"/>
        </w:tabs>
        <w:bidi w:val="0"/>
        <w:spacing w:before="0" w:after="0" w:line="468" w:lineRule="exact"/>
        <w:ind w:left="0" w:right="0" w:firstLine="0"/>
        <w:jc w:val="left"/>
      </w:pPr>
      <w:bookmarkStart w:id="381" w:name="bookmark381"/>
      <w:r>
        <w:rPr>
          <w:color w:val="000000"/>
          <w:spacing w:val="0"/>
          <w:w w:val="100"/>
          <w:position w:val="0"/>
        </w:rPr>
        <w:t>（</w:t>
      </w:r>
      <w:bookmarkEnd w:id="381"/>
      <w:r>
        <w:rPr>
          <w:rFonts w:ascii="Times New Roman" w:eastAsia="Times New Roman" w:hAnsi="Times New Roman" w:cs="Times New Roman"/>
          <w:color w:val="000000"/>
          <w:spacing w:val="0"/>
          <w:w w:val="100"/>
          <w:position w:val="0"/>
          <w:sz w:val="22"/>
          <w:szCs w:val="22"/>
        </w:rPr>
        <w:t>7</w:t>
      </w:r>
      <w:r>
        <w:rPr>
          <w:color w:val="000000"/>
          <w:spacing w:val="0"/>
          <w:w w:val="100"/>
          <w:position w:val="0"/>
        </w:rPr>
        <w:t>）</w:t>
        <w:tab/>
        <w:t>员工持股计划管理委员会成员发生变化</w:t>
      </w:r>
    </w:p>
    <w:p>
      <w:pPr>
        <w:pStyle w:val="Style17"/>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tabs>
          <w:tab w:pos="502" w:val="left"/>
        </w:tabs>
        <w:bidi w:val="0"/>
        <w:spacing w:before="0" w:after="0" w:line="468" w:lineRule="exact"/>
        <w:ind w:left="0" w:right="0" w:firstLine="0"/>
        <w:jc w:val="left"/>
      </w:pPr>
      <w:bookmarkStart w:id="382" w:name="bookmark382"/>
      <w:r>
        <w:rPr>
          <w:color w:val="000000"/>
          <w:spacing w:val="0"/>
          <w:w w:val="100"/>
          <w:position w:val="0"/>
        </w:rPr>
        <w:t>（</w:t>
      </w:r>
      <w:bookmarkEnd w:id="382"/>
      <w:r>
        <w:rPr>
          <w:rFonts w:ascii="Times New Roman" w:eastAsia="Times New Roman" w:hAnsi="Times New Roman" w:cs="Times New Roman"/>
          <w:color w:val="000000"/>
          <w:spacing w:val="0"/>
          <w:w w:val="100"/>
          <w:position w:val="0"/>
          <w:sz w:val="22"/>
          <w:szCs w:val="22"/>
        </w:rPr>
        <w:t>8</w:t>
      </w:r>
      <w:r>
        <w:rPr>
          <w:color w:val="000000"/>
          <w:spacing w:val="0"/>
          <w:w w:val="100"/>
          <w:position w:val="0"/>
        </w:rPr>
        <w:t>）</w:t>
        <w:tab/>
        <w:t>员工持股计划对报告期上市公司的财务影响及相关会计处理</w:t>
      </w:r>
    </w:p>
    <w:p>
      <w:pPr>
        <w:pStyle w:val="Style17"/>
        <w:keepNext w:val="0"/>
        <w:keepLines w:val="0"/>
        <w:widowControl w:val="0"/>
        <w:shd w:val="clear" w:color="auto" w:fill="auto"/>
        <w:bidi w:val="0"/>
        <w:spacing w:before="0" w:after="0" w:line="468" w:lineRule="exact"/>
        <w:ind w:left="0" w:right="0" w:firstLine="0"/>
        <w:jc w:val="left"/>
      </w:pPr>
      <w:r>
        <w:rPr>
          <w:color w:val="000000"/>
          <w:spacing w:val="0"/>
          <w:w w:val="100"/>
          <w:position w:val="0"/>
        </w:rPr>
        <w:t>苏宁易购集团股份有限公司一第三期员工持股计划</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年确认管理费用金额</w:t>
      </w:r>
      <w:r>
        <w:rPr>
          <w:rFonts w:ascii="Times New Roman" w:eastAsia="Times New Roman" w:hAnsi="Times New Roman" w:cs="Times New Roman"/>
          <w:color w:val="000000"/>
          <w:spacing w:val="0"/>
          <w:w w:val="100"/>
          <w:position w:val="0"/>
          <w:sz w:val="22"/>
          <w:szCs w:val="22"/>
        </w:rPr>
        <w:t>0.24</w:t>
      </w:r>
      <w:r>
        <w:rPr>
          <w:color w:val="000000"/>
          <w:spacing w:val="0"/>
          <w:w w:val="100"/>
          <w:position w:val="0"/>
        </w:rPr>
        <w:t>亿元。</w:t>
      </w:r>
    </w:p>
    <w:p>
      <w:pPr>
        <w:pStyle w:val="Style17"/>
        <w:keepNext w:val="0"/>
        <w:keepLines w:val="0"/>
        <w:widowControl w:val="0"/>
        <w:shd w:val="clear" w:color="auto" w:fill="auto"/>
        <w:tabs>
          <w:tab w:pos="502" w:val="left"/>
        </w:tabs>
        <w:bidi w:val="0"/>
        <w:spacing w:before="0" w:after="0" w:line="468" w:lineRule="exact"/>
        <w:ind w:left="0" w:right="0" w:firstLine="0"/>
        <w:jc w:val="left"/>
      </w:pPr>
      <w:bookmarkStart w:id="383" w:name="bookmark383"/>
      <w:r>
        <w:rPr>
          <w:color w:val="000000"/>
          <w:spacing w:val="0"/>
          <w:w w:val="100"/>
          <w:position w:val="0"/>
        </w:rPr>
        <w:t>（</w:t>
      </w:r>
      <w:bookmarkEnd w:id="383"/>
      <w:r>
        <w:rPr>
          <w:rFonts w:ascii="Times New Roman" w:eastAsia="Times New Roman" w:hAnsi="Times New Roman" w:cs="Times New Roman"/>
          <w:color w:val="000000"/>
          <w:spacing w:val="0"/>
          <w:w w:val="100"/>
          <w:position w:val="0"/>
          <w:sz w:val="22"/>
          <w:szCs w:val="22"/>
        </w:rPr>
        <w:t>9</w:t>
      </w:r>
      <w:r>
        <w:rPr>
          <w:color w:val="000000"/>
          <w:spacing w:val="0"/>
          <w:w w:val="100"/>
          <w:position w:val="0"/>
        </w:rPr>
        <w:t>）</w:t>
        <w:tab/>
        <w:t>报告期内员工持股计划终止的情况</w:t>
      </w:r>
    </w:p>
    <w:p>
      <w:pPr>
        <w:pStyle w:val="Style17"/>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日召开了公司第七届董事会第十八次会议和第七届监事会第十三次会议，审议 通过了《关于终止公司第四期员工持股计划的议案》，决定终止公司第四期员工持股计划，具体内容 详见</w:t>
      </w:r>
      <w:r>
        <w:rPr>
          <w:rFonts w:ascii="Times New Roman" w:eastAsia="Times New Roman" w:hAnsi="Times New Roman" w:cs="Times New Roman"/>
          <w:color w:val="000000"/>
          <w:spacing w:val="0"/>
          <w:w w:val="100"/>
          <w:position w:val="0"/>
          <w:sz w:val="22"/>
          <w:szCs w:val="22"/>
        </w:rPr>
        <w:t>2021-119</w:t>
      </w:r>
      <w:r>
        <w:rPr>
          <w:color w:val="000000"/>
          <w:spacing w:val="0"/>
          <w:w w:val="100"/>
          <w:position w:val="0"/>
        </w:rPr>
        <w:t>号公告。</w:t>
      </w:r>
    </w:p>
    <w:p>
      <w:pPr>
        <w:pStyle w:val="Style17"/>
        <w:keepNext w:val="0"/>
        <w:keepLines w:val="0"/>
        <w:widowControl w:val="0"/>
        <w:shd w:val="clear" w:color="auto" w:fill="auto"/>
        <w:tabs>
          <w:tab w:pos="613" w:val="left"/>
        </w:tabs>
        <w:bidi w:val="0"/>
        <w:spacing w:before="0" w:after="0" w:line="468" w:lineRule="exact"/>
        <w:ind w:left="0" w:right="0" w:firstLine="0"/>
        <w:jc w:val="left"/>
      </w:pPr>
      <w:bookmarkStart w:id="384" w:name="bookmark384"/>
      <w:r>
        <w:rPr>
          <w:color w:val="000000"/>
          <w:spacing w:val="0"/>
          <w:w w:val="100"/>
          <w:position w:val="0"/>
        </w:rPr>
        <w:t>（</w:t>
      </w:r>
      <w:bookmarkEnd w:id="384"/>
      <w:r>
        <w:rPr>
          <w:rFonts w:ascii="Times New Roman" w:eastAsia="Times New Roman" w:hAnsi="Times New Roman" w:cs="Times New Roman"/>
          <w:color w:val="000000"/>
          <w:spacing w:val="0"/>
          <w:w w:val="100"/>
          <w:position w:val="0"/>
          <w:sz w:val="22"/>
          <w:szCs w:val="22"/>
        </w:rPr>
        <w:t>10</w:t>
      </w:r>
      <w:r>
        <w:rPr>
          <w:color w:val="000000"/>
          <w:spacing w:val="0"/>
          <w:w w:val="100"/>
          <w:position w:val="0"/>
        </w:rPr>
        <w:t>）</w:t>
        <w:tab/>
        <w:t>其他说明</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80" w:line="467" w:lineRule="exact"/>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、其他员工激励措施</w:t>
      </w:r>
      <w:bookmarkEnd w:id="385"/>
      <w:bookmarkEnd w:id="386"/>
      <w:bookmarkEnd w:id="388"/>
    </w:p>
    <w:p>
      <w:pPr>
        <w:pStyle w:val="Style17"/>
        <w:keepNext w:val="0"/>
        <w:keepLines w:val="0"/>
        <w:widowControl w:val="0"/>
        <w:shd w:val="clear" w:color="auto" w:fill="auto"/>
        <w:bidi w:val="0"/>
        <w:spacing w:before="0" w:after="400" w:line="467" w:lineRule="exact"/>
        <w:ind w:left="0" w:right="0" w:firstLine="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2"/>
        <w:keepNext/>
        <w:keepLines/>
        <w:widowControl w:val="0"/>
        <w:shd w:val="clear" w:color="auto" w:fill="auto"/>
        <w:bidi w:val="0"/>
        <w:spacing w:before="0" w:after="18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十二、报告期内的内部控制制度建设及实施情况</w:t>
      </w:r>
      <w:bookmarkEnd w:id="389"/>
      <w:bookmarkEnd w:id="390"/>
      <w:bookmarkEnd w:id="391"/>
    </w:p>
    <w:p>
      <w:pPr>
        <w:pStyle w:val="Style35"/>
        <w:keepNext/>
        <w:keepLines/>
        <w:widowControl w:val="0"/>
        <w:shd w:val="clear" w:color="auto" w:fill="auto"/>
        <w:tabs>
          <w:tab w:pos="368" w:val="left"/>
        </w:tabs>
        <w:bidi w:val="0"/>
        <w:spacing w:before="0" w:after="180" w:line="467" w:lineRule="exact"/>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w:t>
        <w:tab/>
        <w:t>内部控制建设及实施情况</w:t>
      </w:r>
      <w:bookmarkEnd w:id="392"/>
      <w:bookmarkEnd w:id="393"/>
      <w:bookmarkEnd w:id="395"/>
    </w:p>
    <w:p>
      <w:pPr>
        <w:pStyle w:val="Style1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根据《企业内部控制基本规范》及其配套指引的规定和其他内部控制监管要求，结合本公司《苏 宁易购集团内部控制自我评价管理规范》，对公司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日（内部控制评价报告基准日）的 内部控制有效性进行了评价。</w:t>
      </w:r>
    </w:p>
    <w:p>
      <w:pPr>
        <w:pStyle w:val="Style17"/>
        <w:keepNext w:val="0"/>
        <w:keepLines w:val="0"/>
        <w:widowControl w:val="0"/>
        <w:shd w:val="clear" w:color="auto" w:fill="auto"/>
        <w:bidi w:val="0"/>
        <w:spacing w:before="0" w:after="180" w:line="470" w:lineRule="exact"/>
        <w:ind w:left="0" w:right="0" w:firstLine="460"/>
        <w:jc w:val="both"/>
      </w:pPr>
      <w:r>
        <w:rPr>
          <w:color w:val="000000"/>
          <w:spacing w:val="0"/>
          <w:w w:val="100"/>
          <w:position w:val="0"/>
        </w:rPr>
        <w:t>根据公司财务报告及非财务报告内部控制重大缺陷的认定情况，于报告基准日不存在财务报告及 非财务报告内部控制重大缺陷。董事会认为，公司已按照企业内部控制规范体系和相关规定要求在所 有重大方面保持了有效的内部控制。自内部控制评价报告基准日至报告发出日之间，未发生影响内部 控制有效性评价结论的因素。</w:t>
      </w:r>
    </w:p>
    <w:p>
      <w:pPr>
        <w:pStyle w:val="Style17"/>
        <w:keepNext w:val="0"/>
        <w:keepLines w:val="0"/>
        <w:widowControl w:val="0"/>
        <w:shd w:val="clear" w:color="auto" w:fill="auto"/>
        <w:bidi w:val="0"/>
        <w:spacing w:before="0" w:after="180" w:line="240" w:lineRule="auto"/>
        <w:ind w:left="0" w:right="0" w:firstLine="380"/>
        <w:jc w:val="both"/>
      </w:pPr>
      <w:r>
        <w:rPr>
          <w:color w:val="000000"/>
          <w:spacing w:val="0"/>
          <w:w w:val="100"/>
          <w:position w:val="0"/>
        </w:rPr>
        <w:t>具体内容详见《</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年度内部控制评价报告》。</w:t>
      </w:r>
    </w:p>
    <w:p>
      <w:pPr>
        <w:pStyle w:val="Style35"/>
        <w:keepNext/>
        <w:keepLines/>
        <w:widowControl w:val="0"/>
        <w:shd w:val="clear" w:color="auto" w:fill="auto"/>
        <w:tabs>
          <w:tab w:pos="378" w:val="left"/>
        </w:tabs>
        <w:bidi w:val="0"/>
        <w:spacing w:before="0" w:after="180" w:line="467" w:lineRule="exact"/>
        <w:ind w:left="0" w:right="0" w:firstLine="0"/>
        <w:jc w:val="both"/>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w:t>
        <w:tab/>
        <w:t>报告期内发现的内部控制重大缺陷的具体情况</w:t>
      </w:r>
      <w:bookmarkEnd w:id="396"/>
      <w:bookmarkEnd w:id="397"/>
      <w:bookmarkEnd w:id="399"/>
    </w:p>
    <w:p>
      <w:pPr>
        <w:pStyle w:val="Style17"/>
        <w:keepNext w:val="0"/>
        <w:keepLines w:val="0"/>
        <w:widowControl w:val="0"/>
        <w:shd w:val="clear" w:color="auto" w:fill="auto"/>
        <w:bidi w:val="0"/>
        <w:spacing w:before="0" w:after="480" w:line="467" w:lineRule="exact"/>
        <w:ind w:left="0" w:right="0" w:firstLine="460"/>
        <w:jc w:val="both"/>
      </w:pPr>
      <w:r>
        <w:rPr>
          <w:color w:val="000000"/>
          <w:spacing w:val="0"/>
          <w:w w:val="100"/>
          <w:position w:val="0"/>
          <w:sz w:val="22"/>
          <w:szCs w:val="22"/>
        </w:rPr>
        <w:t>口</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32"/>
        <w:keepNext/>
        <w:keepLines/>
        <w:widowControl w:val="0"/>
        <w:shd w:val="clear" w:color="auto" w:fill="auto"/>
        <w:bidi w:val="0"/>
        <w:spacing w:before="0" w:after="260" w:line="240" w:lineRule="auto"/>
        <w:ind w:left="0" w:right="0" w:firstLine="0"/>
        <w:jc w:val="both"/>
      </w:pPr>
      <w:bookmarkStart w:id="400" w:name="bookmark400"/>
      <w:bookmarkStart w:id="401" w:name="bookmark401"/>
      <w:bookmarkStart w:id="402" w:name="bookmark402"/>
      <w:r>
        <w:rPr>
          <w:color w:val="000000"/>
          <w:spacing w:val="0"/>
          <w:w w:val="100"/>
          <w:position w:val="0"/>
          <w:sz w:val="24"/>
          <w:szCs w:val="24"/>
        </w:rPr>
        <w:t>十三、公司报告期内对子公司的管理控制情况</w:t>
      </w:r>
      <w:bookmarkEnd w:id="400"/>
      <w:bookmarkEnd w:id="401"/>
      <w:bookmarkEnd w:id="402"/>
    </w:p>
    <w:p>
      <w:pPr>
        <w:pStyle w:val="Style17"/>
        <w:keepNext w:val="0"/>
        <w:keepLines w:val="0"/>
        <w:widowControl w:val="0"/>
        <w:shd w:val="clear" w:color="auto" w:fill="auto"/>
        <w:bidi w:val="0"/>
        <w:spacing w:before="0" w:after="120" w:line="466" w:lineRule="exact"/>
        <w:ind w:left="0" w:right="0" w:firstLine="460"/>
        <w:jc w:val="both"/>
      </w:pPr>
      <w:r>
        <w:rPr>
          <w:color w:val="000000"/>
          <w:spacing w:val="0"/>
          <w:w w:val="100"/>
          <w:position w:val="0"/>
        </w:rPr>
        <w:t>公司拥有《重大投资及财务决策制度》《套期保值业务管理制度》《募集资金管理制度》《对外捐 赠管理制度》《对外担保管理制度》《对外提供财务资助管理制度》《投资理财管理制度》《风险投资管 理制度》等，约定了上市公司及子公司遵循的内控规范。公司针对各体系、各层级、各岗位制定了明 确的工作职责和权限，同时制定了相应的管理手册，逐步规范和完善各项制度、标准和流程，建立相 关部门之间、岗位之间的制衡和监督机制。同时，运用信息系统平台，对上述流程、标准进一步固化、 完善。公司第七届董事会第二十七次会议审议通过《子公司管理制度》，进一步提升了公司对子公司 的管理控制。</w:t>
      </w:r>
    </w:p>
    <w:tbl>
      <w:tblPr>
        <w:tblOverlap w:val="never"/>
        <w:jc w:val="center"/>
        <w:tblLayout w:type="fixed"/>
      </w:tblPr>
      <w:tblGrid>
        <w:gridCol w:w="1378"/>
        <w:gridCol w:w="1363"/>
        <w:gridCol w:w="1368"/>
        <w:gridCol w:w="1368"/>
        <w:gridCol w:w="1368"/>
        <w:gridCol w:w="1368"/>
        <w:gridCol w:w="1378"/>
      </w:tblGrid>
      <w:tr>
        <w:trPr>
          <w:trHeight w:val="63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整合计划</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整合进展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整合中遇到 的问题</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已采取的解 决措施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解决进展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后续解决计 划</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r>
    </w:tbl>
    <w:p>
      <w:pPr>
        <w:spacing w:lineRule="exact" w:line="1"/>
        <w:rPr>
          <w:sz w:val="2"/>
          <w:szCs w:val="2"/>
        </w:rPr>
      </w:pPr>
      <w:r>
        <w:br w:type="page"/>
      </w:r>
    </w:p>
    <w:p>
      <w:pPr>
        <w:pStyle w:val="Style32"/>
        <w:keepNext/>
        <w:keepLines/>
        <w:widowControl w:val="0"/>
        <w:shd w:val="clear" w:color="auto" w:fill="auto"/>
        <w:bidi w:val="0"/>
        <w:spacing w:before="0" w:after="42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十四、内部控制自我评价报告或内部控制审计报告</w:t>
      </w:r>
      <w:bookmarkEnd w:id="403"/>
      <w:bookmarkEnd w:id="404"/>
      <w:bookmarkEnd w:id="405"/>
    </w:p>
    <w:p>
      <w:pPr>
        <w:pStyle w:val="Style26"/>
        <w:keepNext w:val="0"/>
        <w:keepLines w:val="0"/>
        <w:widowControl w:val="0"/>
        <w:shd w:val="clear" w:color="auto" w:fill="auto"/>
        <w:bidi w:val="0"/>
        <w:spacing w:before="0" w:after="0" w:line="240" w:lineRule="auto"/>
        <w:ind w:left="0" w:right="0" w:firstLine="0"/>
        <w:jc w:val="left"/>
      </w:pPr>
      <w:bookmarkStart w:id="406" w:name="bookmark406"/>
      <w:r>
        <w:rPr>
          <w:rFonts w:ascii="Times New Roman" w:eastAsia="Times New Roman" w:hAnsi="Times New Roman" w:cs="Times New Roman"/>
          <w:b/>
          <w:bCs/>
          <w:color w:val="000000"/>
          <w:spacing w:val="0"/>
          <w:w w:val="100"/>
          <w:position w:val="0"/>
        </w:rPr>
        <w:t>1</w:t>
      </w:r>
      <w:r>
        <w:rPr>
          <w:b/>
          <w:bCs/>
          <w:color w:val="000000"/>
          <w:spacing w:val="0"/>
          <w:w w:val="100"/>
          <w:position w:val="0"/>
        </w:rPr>
        <w:t>、内控自我评价报告</w:t>
      </w:r>
      <w:bookmarkEnd w:id="406"/>
    </w:p>
    <w:tbl>
      <w:tblPr>
        <w:tblOverlap w:val="never"/>
        <w:jc w:val="center"/>
        <w:tblLayout w:type="fixed"/>
      </w:tblPr>
      <w:tblGrid>
        <w:gridCol w:w="3245"/>
        <w:gridCol w:w="3365"/>
        <w:gridCol w:w="3101"/>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内部控制评价报告全文披露日期</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2"/>
                <w:szCs w:val="22"/>
              </w:rPr>
              <w:t>2022</w:t>
            </w:r>
            <w:r>
              <w:rPr>
                <w:rFonts w:ascii="SimSun" w:eastAsia="SimSun" w:hAnsi="SimSun" w:cs="SimSun"/>
                <w:color w:val="000000"/>
                <w:spacing w:val="0"/>
                <w:w w:val="100"/>
                <w:position w:val="0"/>
                <w:sz w:val="20"/>
                <w:szCs w:val="20"/>
              </w:rPr>
              <w:t>年</w:t>
            </w:r>
            <w:r>
              <w:rPr>
                <w:color w:val="000000"/>
                <w:spacing w:val="0"/>
                <w:w w:val="100"/>
                <w:position w:val="0"/>
                <w:sz w:val="22"/>
                <w:szCs w:val="22"/>
              </w:rPr>
              <w:t>4</w:t>
            </w:r>
            <w:r>
              <w:rPr>
                <w:rFonts w:ascii="SimSun" w:eastAsia="SimSun" w:hAnsi="SimSun" w:cs="SimSun"/>
                <w:color w:val="000000"/>
                <w:spacing w:val="0"/>
                <w:w w:val="100"/>
                <w:position w:val="0"/>
                <w:sz w:val="20"/>
                <w:szCs w:val="20"/>
              </w:rPr>
              <w:t>月</w:t>
            </w:r>
            <w:r>
              <w:rPr>
                <w:color w:val="000000"/>
                <w:spacing w:val="0"/>
                <w:w w:val="100"/>
                <w:position w:val="0"/>
                <w:sz w:val="22"/>
                <w:szCs w:val="22"/>
              </w:rPr>
              <w:t>30</w:t>
            </w:r>
            <w:r>
              <w:rPr>
                <w:rFonts w:ascii="SimSun" w:eastAsia="SimSun" w:hAnsi="SimSun" w:cs="SimSun"/>
                <w:color w:val="000000"/>
                <w:spacing w:val="0"/>
                <w:w w:val="100"/>
                <w:position w:val="0"/>
                <w:sz w:val="20"/>
                <w:szCs w:val="20"/>
              </w:rPr>
              <w:t>日</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内部控制评价报告全文披露索引</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巨潮资讯网《</w:t>
            </w:r>
            <w:r>
              <w:rPr>
                <w:color w:val="000000"/>
                <w:spacing w:val="0"/>
                <w:w w:val="100"/>
                <w:position w:val="0"/>
                <w:sz w:val="22"/>
                <w:szCs w:val="22"/>
              </w:rPr>
              <w:t>2021</w:t>
            </w:r>
            <w:r>
              <w:rPr>
                <w:rFonts w:ascii="SimSun" w:eastAsia="SimSun" w:hAnsi="SimSun" w:cs="SimSun"/>
                <w:color w:val="000000"/>
                <w:spacing w:val="0"/>
                <w:w w:val="100"/>
                <w:position w:val="0"/>
                <w:sz w:val="20"/>
                <w:szCs w:val="20"/>
              </w:rPr>
              <w:t>年度内部控制评价报告》</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22"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缺陷认定标准</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类别</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财务报告</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非财务报告</w:t>
            </w:r>
          </w:p>
        </w:tc>
      </w:tr>
      <w:tr>
        <w:trPr>
          <w:trHeight w:val="9058"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定性标准</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pos="576" w:val="left"/>
              </w:tabs>
              <w:bidi w:val="0"/>
              <w:spacing w:before="0" w:after="0" w:line="316"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2"/>
                <w:szCs w:val="22"/>
              </w:rPr>
              <w:t>1</w:t>
            </w:r>
            <w:r>
              <w:rPr>
                <w:rFonts w:ascii="SimSun" w:eastAsia="SimSun" w:hAnsi="SimSun" w:cs="SimSun"/>
                <w:color w:val="000000"/>
                <w:spacing w:val="0"/>
                <w:w w:val="100"/>
                <w:position w:val="0"/>
                <w:sz w:val="20"/>
                <w:szCs w:val="20"/>
              </w:rPr>
              <w:t>）</w:t>
              <w:tab/>
              <w:t>财务报告重大缺陷的迹象包 括：</w:t>
            </w:r>
          </w:p>
          <w:p>
            <w:pPr>
              <w:pStyle w:val="Style29"/>
              <w:keepNext w:val="0"/>
              <w:keepLines w:val="0"/>
              <w:widowControl w:val="0"/>
              <w:numPr>
                <w:ilvl w:val="0"/>
                <w:numId w:val="5"/>
              </w:numPr>
              <w:shd w:val="clear" w:color="auto" w:fill="auto"/>
              <w:tabs>
                <w:tab w:pos="134" w:val="left"/>
              </w:tabs>
              <w:bidi w:val="0"/>
              <w:spacing w:before="0" w:after="0" w:line="316" w:lineRule="exact"/>
              <w:ind w:left="0" w:right="0" w:firstLine="0"/>
              <w:jc w:val="both"/>
              <w:rPr>
                <w:sz w:val="20"/>
                <w:szCs w:val="20"/>
              </w:rPr>
            </w:pPr>
            <w:r>
              <w:rPr>
                <w:rFonts w:ascii="SimSun" w:eastAsia="SimSun" w:hAnsi="SimSun" w:cs="SimSun"/>
                <w:color w:val="000000"/>
                <w:spacing w:val="0"/>
                <w:w w:val="100"/>
                <w:position w:val="0"/>
                <w:sz w:val="20"/>
                <w:szCs w:val="20"/>
              </w:rPr>
              <w:t>公司董事、监事或高管人员的舞弊 行为；</w:t>
            </w:r>
          </w:p>
          <w:p>
            <w:pPr>
              <w:pStyle w:val="Style29"/>
              <w:keepNext w:val="0"/>
              <w:keepLines w:val="0"/>
              <w:widowControl w:val="0"/>
              <w:numPr>
                <w:ilvl w:val="0"/>
                <w:numId w:val="5"/>
              </w:numPr>
              <w:shd w:val="clear" w:color="auto" w:fill="auto"/>
              <w:tabs>
                <w:tab w:pos="192" w:val="left"/>
              </w:tabs>
              <w:bidi w:val="0"/>
              <w:spacing w:before="0" w:after="0" w:line="316" w:lineRule="exact"/>
              <w:ind w:left="0" w:right="0" w:firstLine="0"/>
              <w:jc w:val="both"/>
              <w:rPr>
                <w:sz w:val="20"/>
                <w:szCs w:val="20"/>
              </w:rPr>
            </w:pPr>
            <w:r>
              <w:rPr>
                <w:rFonts w:ascii="SimSun" w:eastAsia="SimSun" w:hAnsi="SimSun" w:cs="SimSun"/>
                <w:color w:val="000000"/>
                <w:spacing w:val="0"/>
                <w:w w:val="100"/>
                <w:position w:val="0"/>
                <w:sz w:val="20"/>
                <w:szCs w:val="20"/>
              </w:rPr>
              <w:t>发现当期财务报表的重大错报， 而管理层未能在内控运行过程中发 现；</w:t>
            </w:r>
          </w:p>
          <w:p>
            <w:pPr>
              <w:pStyle w:val="Style29"/>
              <w:keepNext w:val="0"/>
              <w:keepLines w:val="0"/>
              <w:widowControl w:val="0"/>
              <w:numPr>
                <w:ilvl w:val="0"/>
                <w:numId w:val="5"/>
              </w:numPr>
              <w:shd w:val="clear" w:color="auto" w:fill="auto"/>
              <w:tabs>
                <w:tab w:pos="278" w:val="left"/>
              </w:tabs>
              <w:bidi w:val="0"/>
              <w:spacing w:before="0" w:after="0" w:line="316" w:lineRule="exact"/>
              <w:ind w:left="0" w:right="0" w:firstLine="0"/>
              <w:jc w:val="both"/>
              <w:rPr>
                <w:sz w:val="20"/>
                <w:szCs w:val="20"/>
              </w:rPr>
            </w:pPr>
            <w:r>
              <w:rPr>
                <w:rFonts w:ascii="SimSun" w:eastAsia="SimSun" w:hAnsi="SimSun" w:cs="SimSun"/>
                <w:color w:val="000000"/>
                <w:spacing w:val="0"/>
                <w:w w:val="100"/>
                <w:position w:val="0"/>
                <w:sz w:val="20"/>
                <w:szCs w:val="20"/>
              </w:rPr>
              <w:t>内部控制评价的结果</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重大缺陷 未得到整改；</w:t>
            </w:r>
          </w:p>
          <w:p>
            <w:pPr>
              <w:pStyle w:val="Style29"/>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2"/>
                <w:szCs w:val="22"/>
              </w:rPr>
              <w:t>1v.</w:t>
            </w:r>
            <w:r>
              <w:rPr>
                <w:rFonts w:ascii="SimSun" w:eastAsia="SimSun" w:hAnsi="SimSun" w:cs="SimSun"/>
                <w:color w:val="000000"/>
                <w:spacing w:val="0"/>
                <w:w w:val="100"/>
                <w:position w:val="0"/>
                <w:sz w:val="20"/>
                <w:szCs w:val="20"/>
              </w:rPr>
              <w:t>审计委员会和内部审计机构对内 部控制的监督无效。</w:t>
            </w:r>
          </w:p>
          <w:p>
            <w:pPr>
              <w:pStyle w:val="Style29"/>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2"/>
                <w:szCs w:val="22"/>
              </w:rPr>
              <w:t>V.</w:t>
            </w:r>
            <w:r>
              <w:rPr>
                <w:rFonts w:ascii="SimSun" w:eastAsia="SimSun" w:hAnsi="SimSun" w:cs="SimSun"/>
                <w:color w:val="000000"/>
                <w:spacing w:val="0"/>
                <w:w w:val="100"/>
                <w:position w:val="0"/>
                <w:sz w:val="20"/>
                <w:szCs w:val="20"/>
              </w:rPr>
              <w:t>其他可能导致公司严重偏离控制</w:t>
            </w:r>
            <w:r>
              <w:rPr>
                <w:color w:val="000000"/>
                <w:spacing w:val="0"/>
                <w:w w:val="100"/>
                <w:position w:val="0"/>
                <w:sz w:val="22"/>
                <w:szCs w:val="22"/>
              </w:rPr>
              <w:t xml:space="preserve">/ </w:t>
            </w:r>
            <w:r>
              <w:rPr>
                <w:rFonts w:ascii="SimSun" w:eastAsia="SimSun" w:hAnsi="SimSun" w:cs="SimSun"/>
                <w:color w:val="000000"/>
                <w:spacing w:val="0"/>
                <w:w w:val="100"/>
                <w:position w:val="0"/>
                <w:sz w:val="20"/>
                <w:szCs w:val="20"/>
              </w:rPr>
              <w:t>经营目标的事项。</w:t>
            </w:r>
          </w:p>
          <w:p>
            <w:pPr>
              <w:pStyle w:val="Style29"/>
              <w:keepNext w:val="0"/>
              <w:keepLines w:val="0"/>
              <w:widowControl w:val="0"/>
              <w:shd w:val="clear" w:color="auto" w:fill="auto"/>
              <w:tabs>
                <w:tab w:pos="576" w:val="left"/>
              </w:tabs>
              <w:bidi w:val="0"/>
              <w:spacing w:before="0" w:after="0" w:line="319"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2"/>
                <w:szCs w:val="22"/>
              </w:rPr>
              <w:t>2</w:t>
            </w:r>
            <w:r>
              <w:rPr>
                <w:rFonts w:ascii="SimSun" w:eastAsia="SimSun" w:hAnsi="SimSun" w:cs="SimSun"/>
                <w:color w:val="000000"/>
                <w:spacing w:val="0"/>
                <w:w w:val="100"/>
                <w:position w:val="0"/>
                <w:sz w:val="20"/>
                <w:szCs w:val="20"/>
              </w:rPr>
              <w:t>）</w:t>
              <w:tab/>
              <w:t>财务报告重要缺陷的迹象包 括：</w:t>
            </w:r>
          </w:p>
          <w:p>
            <w:pPr>
              <w:pStyle w:val="Style29"/>
              <w:keepNext w:val="0"/>
              <w:keepLines w:val="0"/>
              <w:widowControl w:val="0"/>
              <w:numPr>
                <w:ilvl w:val="0"/>
                <w:numId w:val="7"/>
              </w:numPr>
              <w:shd w:val="clear" w:color="auto" w:fill="auto"/>
              <w:tabs>
                <w:tab w:pos="134" w:val="left"/>
              </w:tabs>
              <w:bidi w:val="0"/>
              <w:spacing w:before="0" w:after="60" w:line="319" w:lineRule="exact"/>
              <w:ind w:left="0" w:right="0" w:firstLine="0"/>
              <w:jc w:val="both"/>
              <w:rPr>
                <w:sz w:val="20"/>
                <w:szCs w:val="20"/>
              </w:rPr>
            </w:pPr>
            <w:r>
              <w:rPr>
                <w:rFonts w:ascii="SimSun" w:eastAsia="SimSun" w:hAnsi="SimSun" w:cs="SimSun"/>
                <w:color w:val="000000"/>
                <w:spacing w:val="0"/>
                <w:w w:val="100"/>
                <w:position w:val="0"/>
                <w:sz w:val="20"/>
                <w:szCs w:val="20"/>
              </w:rPr>
              <w:t>未依照公认会计准则选择和应用 会计政策；</w:t>
            </w:r>
          </w:p>
          <w:p>
            <w:pPr>
              <w:pStyle w:val="Style29"/>
              <w:keepNext w:val="0"/>
              <w:keepLines w:val="0"/>
              <w:widowControl w:val="0"/>
              <w:numPr>
                <w:ilvl w:val="0"/>
                <w:numId w:val="7"/>
              </w:numPr>
              <w:shd w:val="clear" w:color="auto" w:fill="auto"/>
              <w:tabs>
                <w:tab w:pos="192" w:val="left"/>
              </w:tabs>
              <w:bidi w:val="0"/>
              <w:spacing w:before="0" w:after="0" w:line="302" w:lineRule="auto"/>
              <w:ind w:left="0" w:right="0" w:firstLine="0"/>
              <w:jc w:val="both"/>
              <w:rPr>
                <w:sz w:val="20"/>
                <w:szCs w:val="20"/>
              </w:rPr>
            </w:pPr>
            <w:r>
              <w:rPr>
                <w:rFonts w:ascii="SimSun" w:eastAsia="SimSun" w:hAnsi="SimSun" w:cs="SimSun"/>
                <w:color w:val="000000"/>
                <w:spacing w:val="0"/>
                <w:w w:val="100"/>
                <w:position w:val="0"/>
                <w:sz w:val="20"/>
                <w:szCs w:val="20"/>
              </w:rPr>
              <w:t>未建立反舞弊程序和控制措施；</w:t>
            </w:r>
          </w:p>
          <w:p>
            <w:pPr>
              <w:pStyle w:val="Style29"/>
              <w:keepNext w:val="0"/>
              <w:keepLines w:val="0"/>
              <w:widowControl w:val="0"/>
              <w:numPr>
                <w:ilvl w:val="0"/>
                <w:numId w:val="7"/>
              </w:numPr>
              <w:shd w:val="clear" w:color="auto" w:fill="auto"/>
              <w:tabs>
                <w:tab w:pos="264" w:val="left"/>
              </w:tabs>
              <w:bidi w:val="0"/>
              <w:spacing w:before="0" w:after="0" w:line="319" w:lineRule="exact"/>
              <w:ind w:left="0" w:right="0" w:firstLine="0"/>
              <w:jc w:val="both"/>
              <w:rPr>
                <w:sz w:val="20"/>
                <w:szCs w:val="20"/>
              </w:rPr>
            </w:pPr>
            <w:r>
              <w:rPr>
                <w:rFonts w:ascii="SimSun" w:eastAsia="SimSun" w:hAnsi="SimSun" w:cs="SimSun"/>
                <w:color w:val="000000"/>
                <w:spacing w:val="0"/>
                <w:w w:val="100"/>
                <w:position w:val="0"/>
                <w:sz w:val="20"/>
                <w:szCs w:val="20"/>
              </w:rPr>
              <w:t>对于非常规或特殊交易的账务 处理没有建立相应的控制机制或没 有实施且没有相应的补偿性控制；</w:t>
            </w:r>
          </w:p>
          <w:p>
            <w:pPr>
              <w:pStyle w:val="Style29"/>
              <w:keepNext w:val="0"/>
              <w:keepLines w:val="0"/>
              <w:widowControl w:val="0"/>
              <w:numPr>
                <w:ilvl w:val="0"/>
                <w:numId w:val="7"/>
              </w:numPr>
              <w:shd w:val="clear" w:color="auto" w:fill="auto"/>
              <w:tabs>
                <w:tab w:pos="226" w:val="left"/>
              </w:tabs>
              <w:bidi w:val="0"/>
              <w:spacing w:before="0" w:after="0" w:line="319" w:lineRule="exact"/>
              <w:ind w:left="0" w:right="0" w:firstLine="0"/>
              <w:jc w:val="both"/>
              <w:rPr>
                <w:sz w:val="20"/>
                <w:szCs w:val="20"/>
              </w:rPr>
            </w:pPr>
            <w:r>
              <w:rPr>
                <w:rFonts w:ascii="SimSun" w:eastAsia="SimSun" w:hAnsi="SimSun" w:cs="SimSun"/>
                <w:color w:val="000000"/>
                <w:spacing w:val="0"/>
                <w:w w:val="100"/>
                <w:position w:val="0"/>
                <w:sz w:val="20"/>
                <w:szCs w:val="20"/>
              </w:rPr>
              <w:t>对于期末财务报告过程的控制存 在一项或多项缺陷且不能合理保证 编制的财务报表达到真实、准确的</w:t>
            </w:r>
          </w:p>
          <w:p>
            <w:pPr>
              <w:pStyle w:val="Style29"/>
              <w:keepNext w:val="0"/>
              <w:keepLines w:val="0"/>
              <w:widowControl w:val="0"/>
              <w:shd w:val="clear" w:color="auto" w:fill="auto"/>
              <w:bidi w:val="0"/>
              <w:spacing w:before="0" w:after="0" w:line="319" w:lineRule="exact"/>
              <w:ind w:left="0" w:right="0" w:firstLine="0"/>
              <w:jc w:val="both"/>
              <w:rPr>
                <w:sz w:val="20"/>
                <w:szCs w:val="20"/>
              </w:rPr>
            </w:pPr>
            <w:r>
              <w:rPr>
                <w:rFonts w:ascii="SimSun" w:eastAsia="SimSun" w:hAnsi="SimSun" w:cs="SimSun"/>
                <w:color w:val="000000"/>
                <w:spacing w:val="0"/>
                <w:w w:val="100"/>
                <w:position w:val="0"/>
                <w:sz w:val="20"/>
                <w:szCs w:val="20"/>
              </w:rPr>
              <w:t>目标。</w:t>
            </w:r>
          </w:p>
          <w:p>
            <w:pPr>
              <w:pStyle w:val="Style29"/>
              <w:keepNext w:val="0"/>
              <w:keepLines w:val="0"/>
              <w:widowControl w:val="0"/>
              <w:numPr>
                <w:ilvl w:val="0"/>
                <w:numId w:val="7"/>
              </w:numPr>
              <w:shd w:val="clear" w:color="auto" w:fill="auto"/>
              <w:tabs>
                <w:tab w:pos="197" w:val="left"/>
              </w:tabs>
              <w:bidi w:val="0"/>
              <w:spacing w:before="0" w:after="0" w:line="319" w:lineRule="exact"/>
              <w:ind w:left="0" w:right="0" w:firstLine="0"/>
              <w:jc w:val="both"/>
              <w:rPr>
                <w:sz w:val="20"/>
                <w:szCs w:val="20"/>
              </w:rPr>
            </w:pPr>
            <w:r>
              <w:rPr>
                <w:rFonts w:ascii="SimSun" w:eastAsia="SimSun" w:hAnsi="SimSun" w:cs="SimSun"/>
                <w:color w:val="000000"/>
                <w:spacing w:val="0"/>
                <w:w w:val="100"/>
                <w:position w:val="0"/>
                <w:sz w:val="20"/>
                <w:szCs w:val="20"/>
              </w:rPr>
              <w:t>其他不构成重大缺陷，但需要提 请董事会重视和关注的事项。</w:t>
            </w:r>
          </w:p>
          <w:p>
            <w:pPr>
              <w:pStyle w:val="Style29"/>
              <w:keepNext w:val="0"/>
              <w:keepLines w:val="0"/>
              <w:widowControl w:val="0"/>
              <w:shd w:val="clear" w:color="auto" w:fill="auto"/>
              <w:tabs>
                <w:tab w:pos="566" w:val="left"/>
              </w:tabs>
              <w:bidi w:val="0"/>
              <w:spacing w:before="0" w:after="0" w:line="326"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2"/>
                <w:szCs w:val="22"/>
              </w:rPr>
              <w:t>3</w:t>
            </w:r>
            <w:r>
              <w:rPr>
                <w:rFonts w:ascii="SimSun" w:eastAsia="SimSun" w:hAnsi="SimSun" w:cs="SimSun"/>
                <w:color w:val="000000"/>
                <w:spacing w:val="0"/>
                <w:w w:val="100"/>
                <w:position w:val="0"/>
                <w:sz w:val="20"/>
                <w:szCs w:val="20"/>
              </w:rPr>
              <w:t>）</w:t>
              <w:tab/>
              <w:t>一般缺陷是指除上述重大缺 陷、重要缺陷之外的其他控制缺陷。</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出现以下情形的</w:t>
            </w:r>
            <w:r>
              <w:rPr>
                <w:color w:val="000000"/>
                <w:spacing w:val="0"/>
                <w:w w:val="100"/>
                <w:position w:val="0"/>
                <w:sz w:val="22"/>
                <w:szCs w:val="22"/>
              </w:rPr>
              <w:t>,</w:t>
            </w:r>
            <w:r>
              <w:rPr>
                <w:rFonts w:ascii="SimSun" w:eastAsia="SimSun" w:hAnsi="SimSun" w:cs="SimSun"/>
                <w:color w:val="000000"/>
                <w:spacing w:val="0"/>
                <w:w w:val="100"/>
                <w:position w:val="0"/>
                <w:sz w:val="20"/>
                <w:szCs w:val="20"/>
              </w:rPr>
              <w:t>可认定为重大 缺陷</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0"/>
                <w:szCs w:val="20"/>
              </w:rPr>
              <w:t>其他情形按影响程度分别 确定为重要缺陷或一般缺陷：</w:t>
            </w:r>
          </w:p>
          <w:p>
            <w:pPr>
              <w:pStyle w:val="Style29"/>
              <w:keepNext w:val="0"/>
              <w:keepLines w:val="0"/>
              <w:widowControl w:val="0"/>
              <w:shd w:val="clear" w:color="auto" w:fill="auto"/>
              <w:tabs>
                <w:tab w:pos="566" w:val="left"/>
              </w:tabs>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2"/>
                <w:szCs w:val="22"/>
              </w:rPr>
              <w:t>1</w:t>
            </w:r>
            <w:r>
              <w:rPr>
                <w:rFonts w:ascii="SimSun" w:eastAsia="SimSun" w:hAnsi="SimSun" w:cs="SimSun"/>
                <w:color w:val="000000"/>
                <w:spacing w:val="0"/>
                <w:w w:val="100"/>
                <w:position w:val="0"/>
                <w:sz w:val="20"/>
                <w:szCs w:val="20"/>
              </w:rPr>
              <w:t>）</w:t>
              <w:tab/>
              <w:t>缺乏民主决策程序、决策 程序不科学，出现重大失误，给 公司造成重大财产损失；</w:t>
            </w:r>
          </w:p>
          <w:p>
            <w:pPr>
              <w:pStyle w:val="Style29"/>
              <w:keepNext w:val="0"/>
              <w:keepLines w:val="0"/>
              <w:widowControl w:val="0"/>
              <w:shd w:val="clear" w:color="auto" w:fill="auto"/>
              <w:tabs>
                <w:tab w:pos="442" w:val="left"/>
              </w:tabs>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2"/>
                <w:szCs w:val="22"/>
              </w:rPr>
              <w:t>2</w:t>
            </w:r>
            <w:r>
              <w:rPr>
                <w:rFonts w:ascii="SimSun" w:eastAsia="SimSun" w:hAnsi="SimSun" w:cs="SimSun"/>
                <w:color w:val="000000"/>
                <w:spacing w:val="0"/>
                <w:w w:val="100"/>
                <w:position w:val="0"/>
                <w:sz w:val="20"/>
                <w:szCs w:val="20"/>
              </w:rPr>
              <w:t>）</w:t>
              <w:tab/>
              <w:t>严重违反国家法律法规；</w:t>
            </w:r>
          </w:p>
          <w:p>
            <w:pPr>
              <w:pStyle w:val="Style29"/>
              <w:keepNext w:val="0"/>
              <w:keepLines w:val="0"/>
              <w:widowControl w:val="0"/>
              <w:shd w:val="clear" w:color="auto" w:fill="auto"/>
              <w:tabs>
                <w:tab w:pos="451" w:val="left"/>
              </w:tabs>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2"/>
                <w:szCs w:val="22"/>
              </w:rPr>
              <w:t>3</w:t>
            </w:r>
            <w:r>
              <w:rPr>
                <w:rFonts w:ascii="SimSun" w:eastAsia="SimSun" w:hAnsi="SimSun" w:cs="SimSun"/>
                <w:color w:val="000000"/>
                <w:spacing w:val="0"/>
                <w:w w:val="100"/>
                <w:position w:val="0"/>
                <w:sz w:val="20"/>
                <w:szCs w:val="20"/>
              </w:rPr>
              <w:t>）</w:t>
              <w:tab/>
              <w:t>缺乏重要的业务管理制度</w:t>
            </w:r>
          </w:p>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或制度运行系统性失效；</w:t>
            </w:r>
          </w:p>
          <w:p>
            <w:pPr>
              <w:pStyle w:val="Style29"/>
              <w:keepNext w:val="0"/>
              <w:keepLines w:val="0"/>
              <w:widowControl w:val="0"/>
              <w:shd w:val="clear" w:color="auto" w:fill="auto"/>
              <w:tabs>
                <w:tab w:pos="562" w:val="left"/>
              </w:tabs>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2"/>
                <w:szCs w:val="22"/>
              </w:rPr>
              <w:t>4</w:t>
            </w:r>
            <w:r>
              <w:rPr>
                <w:rFonts w:ascii="SimSun" w:eastAsia="SimSun" w:hAnsi="SimSun" w:cs="SimSun"/>
                <w:color w:val="000000"/>
                <w:spacing w:val="0"/>
                <w:w w:val="100"/>
                <w:position w:val="0"/>
                <w:sz w:val="20"/>
                <w:szCs w:val="20"/>
              </w:rPr>
              <w:t>）</w:t>
              <w:tab/>
              <w:t>公司的重大或重要内控缺 陷不能得到及时整改；</w:t>
            </w:r>
          </w:p>
          <w:p>
            <w:pPr>
              <w:pStyle w:val="Style29"/>
              <w:keepNext w:val="0"/>
              <w:keepLines w:val="0"/>
              <w:widowControl w:val="0"/>
              <w:shd w:val="clear" w:color="auto" w:fill="auto"/>
              <w:tabs>
                <w:tab w:pos="552" w:val="left"/>
              </w:tabs>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2"/>
                <w:szCs w:val="22"/>
              </w:rPr>
              <w:t>5</w:t>
            </w:r>
            <w:r>
              <w:rPr>
                <w:rFonts w:ascii="SimSun" w:eastAsia="SimSun" w:hAnsi="SimSun" w:cs="SimSun"/>
                <w:color w:val="000000"/>
                <w:spacing w:val="0"/>
                <w:w w:val="100"/>
                <w:position w:val="0"/>
                <w:sz w:val="20"/>
                <w:szCs w:val="20"/>
              </w:rPr>
              <w:t>）</w:t>
              <w:tab/>
              <w:t>公司持续或大量出现重要 内控缺陷。</w:t>
            </w:r>
          </w:p>
          <w:p>
            <w:pPr>
              <w:pStyle w:val="Style29"/>
              <w:keepNext w:val="0"/>
              <w:keepLines w:val="0"/>
              <w:widowControl w:val="0"/>
              <w:shd w:val="clear" w:color="auto" w:fill="auto"/>
              <w:tabs>
                <w:tab w:pos="571" w:val="left"/>
              </w:tabs>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2"/>
                <w:szCs w:val="22"/>
              </w:rPr>
              <w:t>6</w:t>
            </w:r>
            <w:r>
              <w:rPr>
                <w:rFonts w:ascii="SimSun" w:eastAsia="SimSun" w:hAnsi="SimSun" w:cs="SimSun"/>
                <w:color w:val="000000"/>
                <w:spacing w:val="0"/>
                <w:w w:val="100"/>
                <w:position w:val="0"/>
                <w:sz w:val="20"/>
                <w:szCs w:val="20"/>
              </w:rPr>
              <w:t>）</w:t>
              <w:tab/>
              <w:t>其他严重影响公司经营管 理的合法合规、资产安全以及营 运的效率和效果的事项。</w:t>
            </w:r>
          </w:p>
        </w:tc>
      </w:tr>
      <w:tr>
        <w:trPr>
          <w:trHeight w:val="95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定量标准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利润总额</w:t>
            </w:r>
          </w:p>
          <w:p>
            <w:pPr>
              <w:pStyle w:val="Style29"/>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20"/>
                <w:szCs w:val="20"/>
              </w:rPr>
              <w:t>重大缺陷：财务报表的错报金额</w:t>
            </w:r>
            <w:r>
              <w:rPr>
                <w:rFonts w:ascii="SimSun" w:eastAsia="SimSun" w:hAnsi="SimSun" w:cs="SimSun"/>
                <w:color w:val="000000"/>
                <w:spacing w:val="0"/>
                <w:w w:val="100"/>
                <w:position w:val="0"/>
              </w:rPr>
              <w:t>土</w:t>
            </w:r>
            <w:r>
              <w:rPr>
                <w:color w:val="000000"/>
                <w:spacing w:val="0"/>
                <w:w w:val="100"/>
                <w:position w:val="0"/>
              </w:rPr>
              <w:t xml:space="preserve"> </w:t>
            </w:r>
            <w:r>
              <w:rPr>
                <w:rFonts w:ascii="SimSun" w:eastAsia="SimSun" w:hAnsi="SimSun" w:cs="SimSun"/>
                <w:color w:val="000000"/>
                <w:spacing w:val="0"/>
                <w:w w:val="100"/>
                <w:position w:val="0"/>
                <w:sz w:val="20"/>
                <w:szCs w:val="20"/>
              </w:rPr>
              <w:t>利润总额的</w:t>
            </w: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利润总额：</w:t>
            </w:r>
          </w:p>
          <w:p>
            <w:pPr>
              <w:pStyle w:val="Style29"/>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sz w:val="20"/>
                <w:szCs w:val="20"/>
              </w:rPr>
              <w:t>重大缺陷：缺陷造成损失金额</w:t>
            </w:r>
            <w:r>
              <w:rPr>
                <w:rFonts w:ascii="SimSun" w:eastAsia="SimSun" w:hAnsi="SimSun" w:cs="SimSun"/>
                <w:color w:val="000000"/>
                <w:spacing w:val="0"/>
                <w:w w:val="100"/>
                <w:position w:val="0"/>
              </w:rPr>
              <w:t>土</w:t>
            </w:r>
          </w:p>
          <w:p>
            <w:pPr>
              <w:pStyle w:val="Style29"/>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sz w:val="20"/>
                <w:szCs w:val="20"/>
              </w:rPr>
              <w:t>利润总额的</w:t>
            </w:r>
            <w:r>
              <w:rPr>
                <w:color w:val="000000"/>
                <w:spacing w:val="0"/>
                <w:w w:val="100"/>
                <w:position w:val="0"/>
              </w:rPr>
              <w:t>5%</w:t>
            </w:r>
          </w:p>
        </w:tc>
      </w:tr>
    </w:tbl>
    <w:tbl>
      <w:tblPr>
        <w:tblOverlap w:val="never"/>
        <w:jc w:val="center"/>
        <w:tblLayout w:type="fixed"/>
      </w:tblPr>
      <w:tblGrid>
        <w:gridCol w:w="3245"/>
        <w:gridCol w:w="3365"/>
        <w:gridCol w:w="3101"/>
      </w:tblGrid>
      <w:tr>
        <w:trPr>
          <w:trHeight w:val="12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重要缺陷：利润总额的</w:t>
            </w:r>
            <w:r>
              <w:rPr>
                <w:color w:val="000000"/>
                <w:spacing w:val="0"/>
                <w:w w:val="100"/>
                <w:position w:val="0"/>
                <w:sz w:val="22"/>
                <w:szCs w:val="22"/>
              </w:rPr>
              <w:t>3%*</w:t>
            </w:r>
            <w:r>
              <w:rPr>
                <w:rFonts w:ascii="SimSun" w:eastAsia="SimSun" w:hAnsi="SimSun" w:cs="SimSun"/>
                <w:color w:val="000000"/>
                <w:spacing w:val="0"/>
                <w:w w:val="100"/>
                <w:position w:val="0"/>
                <w:sz w:val="20"/>
                <w:szCs w:val="20"/>
              </w:rPr>
              <w:t>昔报＜</w:t>
            </w:r>
          </w:p>
          <w:p>
            <w:pPr>
              <w:pStyle w:val="Style29"/>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sz w:val="20"/>
                <w:szCs w:val="20"/>
              </w:rPr>
              <w:t>利润总额的</w:t>
            </w:r>
            <w:r>
              <w:rPr>
                <w:color w:val="000000"/>
                <w:spacing w:val="0"/>
                <w:w w:val="100"/>
                <w:position w:val="0"/>
              </w:rPr>
              <w:t>5%</w:t>
            </w:r>
          </w:p>
          <w:p>
            <w:pPr>
              <w:pStyle w:val="Style29"/>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sz w:val="20"/>
                <w:szCs w:val="20"/>
              </w:rPr>
              <w:t>一般缺陷：错报（利润总额的</w:t>
            </w:r>
            <w:r>
              <w:rPr>
                <w:color w:val="000000"/>
                <w:spacing w:val="0"/>
                <w:w w:val="100"/>
                <w:position w:val="0"/>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20"/>
                <w:szCs w:val="20"/>
              </w:rPr>
              <w:t>重要缺陷：利润总额的</w:t>
            </w:r>
            <w:r>
              <w:rPr>
                <w:color w:val="000000"/>
                <w:spacing w:val="0"/>
                <w:w w:val="100"/>
                <w:position w:val="0"/>
              </w:rPr>
              <w:t>3%V</w:t>
            </w:r>
            <w:r>
              <w:rPr>
                <w:rFonts w:ascii="SimSun" w:eastAsia="SimSun" w:hAnsi="SimSun" w:cs="SimSun"/>
                <w:color w:val="000000"/>
                <w:spacing w:val="0"/>
                <w:w w:val="100"/>
                <w:position w:val="0"/>
                <w:sz w:val="20"/>
                <w:szCs w:val="20"/>
              </w:rPr>
              <w:t>损失 （利润总额的</w:t>
            </w:r>
            <w:r>
              <w:rPr>
                <w:color w:val="000000"/>
                <w:spacing w:val="0"/>
                <w:w w:val="100"/>
                <w:position w:val="0"/>
              </w:rPr>
              <w:t>5%</w:t>
            </w:r>
          </w:p>
          <w:p>
            <w:pPr>
              <w:pStyle w:val="Style29"/>
              <w:keepNext w:val="0"/>
              <w:keepLines w:val="0"/>
              <w:widowControl w:val="0"/>
              <w:shd w:val="clear" w:color="auto" w:fill="auto"/>
              <w:bidi w:val="0"/>
              <w:spacing w:before="0" w:after="60" w:line="302" w:lineRule="exact"/>
              <w:ind w:left="0" w:right="0" w:firstLine="0"/>
              <w:jc w:val="left"/>
              <w:rPr>
                <w:sz w:val="20"/>
                <w:szCs w:val="20"/>
              </w:rPr>
            </w:pPr>
            <w:r>
              <w:rPr>
                <w:rFonts w:ascii="SimSun" w:eastAsia="SimSun" w:hAnsi="SimSun" w:cs="SimSun"/>
                <w:color w:val="000000"/>
                <w:spacing w:val="0"/>
                <w:w w:val="100"/>
                <w:position w:val="0"/>
                <w:sz w:val="20"/>
                <w:szCs w:val="20"/>
              </w:rPr>
              <w:t>一般缺陷：损失〈利润总额的</w:t>
            </w:r>
          </w:p>
          <w:p>
            <w:pPr>
              <w:pStyle w:val="Style29"/>
              <w:keepNext w:val="0"/>
              <w:keepLines w:val="0"/>
              <w:widowControl w:val="0"/>
              <w:shd w:val="clear" w:color="auto" w:fill="auto"/>
              <w:bidi w:val="0"/>
              <w:spacing w:before="0" w:after="40" w:line="288" w:lineRule="auto"/>
              <w:ind w:left="0" w:right="0" w:firstLine="0"/>
              <w:jc w:val="both"/>
            </w:pPr>
            <w:r>
              <w:rPr>
                <w:color w:val="000000"/>
                <w:spacing w:val="0"/>
                <w:w w:val="100"/>
                <w:position w:val="0"/>
              </w:rPr>
              <w:t>3%</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财务报告重大缺陷数量（个）</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非财务报告重大缺陷数量（个）</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财务报告重要缺陷数量（个）</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6"/>
        <w:keepNext w:val="0"/>
        <w:keepLines w:val="0"/>
        <w:widowControl w:val="0"/>
        <w:shd w:val="clear" w:color="auto" w:fill="auto"/>
        <w:bidi w:val="0"/>
        <w:spacing w:before="0" w:after="0" w:line="240" w:lineRule="auto"/>
        <w:ind w:left="0" w:right="0" w:firstLine="0"/>
        <w:jc w:val="left"/>
      </w:pPr>
      <w:bookmarkStart w:id="407" w:name="bookmark407"/>
      <w:r>
        <w:rPr>
          <w:rFonts w:ascii="Times New Roman" w:eastAsia="Times New Roman" w:hAnsi="Times New Roman" w:cs="Times New Roman"/>
          <w:b/>
          <w:bCs/>
          <w:color w:val="000000"/>
          <w:spacing w:val="0"/>
          <w:w w:val="100"/>
          <w:position w:val="0"/>
        </w:rPr>
        <w:t>2</w:t>
      </w:r>
      <w:r>
        <w:rPr>
          <w:b/>
          <w:bCs/>
          <w:color w:val="000000"/>
          <w:spacing w:val="0"/>
          <w:w w:val="100"/>
          <w:position w:val="0"/>
        </w:rPr>
        <w:t>、内部控制审计报告</w:t>
      </w:r>
      <w:bookmarkEnd w:id="407"/>
    </w:p>
    <w:p>
      <w:pPr>
        <w:widowControl w:val="0"/>
        <w:spacing w:after="279" w:line="1" w:lineRule="exact"/>
      </w:pPr>
    </w:p>
    <w:tbl>
      <w:tblPr>
        <w:tblOverlap w:val="never"/>
        <w:jc w:val="center"/>
        <w:tblLayout w:type="fixed"/>
      </w:tblPr>
      <w:tblGrid>
        <w:gridCol w:w="3835"/>
        <w:gridCol w:w="5875"/>
      </w:tblGrid>
      <w:tr>
        <w:trPr>
          <w:trHeight w:val="326"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内部控制审计报告中的审议意见段</w:t>
            </w:r>
          </w:p>
        </w:tc>
      </w:tr>
      <w:tr>
        <w:trPr>
          <w:trHeight w:val="634"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我们认为，苏宁易购于</w:t>
            </w: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日按照《企业内部控制基本规范》和相关规定在所有重大方 面保持了有效的财务报告内部控制。</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内控审计报告披露情况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披露</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内部控制审计报告全文披露日期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2"/>
                <w:szCs w:val="22"/>
              </w:rPr>
              <w:t>2022</w:t>
            </w:r>
            <w:r>
              <w:rPr>
                <w:rFonts w:ascii="SimSun" w:eastAsia="SimSun" w:hAnsi="SimSun" w:cs="SimSun"/>
                <w:color w:val="000000"/>
                <w:spacing w:val="0"/>
                <w:w w:val="100"/>
                <w:position w:val="0"/>
                <w:sz w:val="20"/>
                <w:szCs w:val="20"/>
              </w:rPr>
              <w:t>年</w:t>
            </w:r>
            <w:r>
              <w:rPr>
                <w:color w:val="000000"/>
                <w:spacing w:val="0"/>
                <w:w w:val="100"/>
                <w:position w:val="0"/>
                <w:sz w:val="22"/>
                <w:szCs w:val="22"/>
              </w:rPr>
              <w:t>4</w:t>
            </w:r>
            <w:r>
              <w:rPr>
                <w:rFonts w:ascii="SimSun" w:eastAsia="SimSun" w:hAnsi="SimSun" w:cs="SimSun"/>
                <w:color w:val="000000"/>
                <w:spacing w:val="0"/>
                <w:w w:val="100"/>
                <w:position w:val="0"/>
                <w:sz w:val="20"/>
                <w:szCs w:val="20"/>
              </w:rPr>
              <w:t>月</w:t>
            </w:r>
            <w:r>
              <w:rPr>
                <w:color w:val="000000"/>
                <w:spacing w:val="0"/>
                <w:w w:val="100"/>
                <w:position w:val="0"/>
                <w:sz w:val="22"/>
                <w:szCs w:val="22"/>
              </w:rPr>
              <w:t>30</w:t>
            </w:r>
            <w:r>
              <w:rPr>
                <w:rFonts w:ascii="SimSun" w:eastAsia="SimSun" w:hAnsi="SimSun" w:cs="SimSun"/>
                <w:color w:val="000000"/>
                <w:spacing w:val="0"/>
                <w:w w:val="100"/>
                <w:position w:val="0"/>
                <w:sz w:val="20"/>
                <w:szCs w:val="20"/>
              </w:rPr>
              <w:t>日</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内部控制审计报告全文披露索引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巨潮资讯网《</w:t>
            </w:r>
            <w:r>
              <w:rPr>
                <w:color w:val="000000"/>
                <w:spacing w:val="0"/>
                <w:w w:val="100"/>
                <w:position w:val="0"/>
                <w:sz w:val="22"/>
                <w:szCs w:val="22"/>
              </w:rPr>
              <w:t>2021</w:t>
            </w:r>
            <w:r>
              <w:rPr>
                <w:rFonts w:ascii="SimSun" w:eastAsia="SimSun" w:hAnsi="SimSun" w:cs="SimSun"/>
                <w:color w:val="000000"/>
                <w:spacing w:val="0"/>
                <w:w w:val="100"/>
                <w:position w:val="0"/>
                <w:sz w:val="20"/>
                <w:szCs w:val="20"/>
              </w:rPr>
              <w:t>年度内部控制审计报告》</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内控审计报告意见类型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标准无保留</w:t>
            </w:r>
          </w:p>
        </w:tc>
      </w:tr>
      <w:tr>
        <w:trPr>
          <w:trHeight w:val="33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非财务报告是否存在重大缺陷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否</w:t>
            </w:r>
          </w:p>
        </w:tc>
      </w:tr>
    </w:tbl>
    <w:p>
      <w:pPr>
        <w:pStyle w:val="Style26"/>
        <w:keepNext w:val="0"/>
        <w:keepLines w:val="0"/>
        <w:widowControl w:val="0"/>
        <w:shd w:val="clear" w:color="auto" w:fill="auto"/>
        <w:bidi w:val="0"/>
        <w:spacing w:before="0" w:after="0" w:line="240" w:lineRule="auto"/>
        <w:ind w:left="432" w:right="0" w:firstLine="0"/>
        <w:jc w:val="left"/>
      </w:pPr>
      <w:r>
        <w:rPr>
          <w:color w:val="000000"/>
          <w:spacing w:val="0"/>
          <w:w w:val="100"/>
          <w:position w:val="0"/>
        </w:rPr>
        <w:t>会计师事务所是否出具非标准意见的内部控制审计报告</w:t>
      </w:r>
    </w:p>
    <w:p>
      <w:pPr>
        <w:pStyle w:val="Style17"/>
        <w:keepNext w:val="0"/>
        <w:keepLines w:val="0"/>
        <w:widowControl w:val="0"/>
        <w:shd w:val="clear" w:color="auto" w:fill="auto"/>
        <w:bidi w:val="0"/>
        <w:spacing w:before="0" w:after="0" w:line="476" w:lineRule="exact"/>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17"/>
        <w:keepNext w:val="0"/>
        <w:keepLines w:val="0"/>
        <w:widowControl w:val="0"/>
        <w:shd w:val="clear" w:color="auto" w:fill="auto"/>
        <w:bidi w:val="0"/>
        <w:spacing w:before="0" w:after="0" w:line="476" w:lineRule="exact"/>
        <w:ind w:left="0" w:right="0" w:firstLine="460"/>
        <w:jc w:val="both"/>
      </w:pPr>
      <w:r>
        <w:rPr>
          <w:color w:val="000000"/>
          <w:spacing w:val="0"/>
          <w:w w:val="100"/>
          <w:position w:val="0"/>
        </w:rPr>
        <w:t>会计师事务所出具的内部控制审计报告与董事会的自我评价报告意见是否一致</w:t>
      </w:r>
    </w:p>
    <w:p>
      <w:pPr>
        <w:pStyle w:val="Style17"/>
        <w:keepNext w:val="0"/>
        <w:keepLines w:val="0"/>
        <w:widowControl w:val="0"/>
        <w:shd w:val="clear" w:color="auto" w:fill="auto"/>
        <w:bidi w:val="0"/>
        <w:spacing w:before="0" w:after="280" w:line="476" w:lineRule="exact"/>
        <w:ind w:left="0" w:right="0" w:firstLine="460"/>
        <w:jc w:val="both"/>
      </w:pPr>
      <w:r>
        <w:rPr>
          <w:color w:val="000000"/>
          <w:spacing w:val="0"/>
          <w:w w:val="100"/>
          <w:position w:val="0"/>
          <w:sz w:val="22"/>
          <w:szCs w:val="22"/>
        </w:rPr>
        <w:t>寸</w:t>
      </w:r>
      <w:r>
        <w:rPr>
          <w:color w:val="000000"/>
          <w:spacing w:val="0"/>
          <w:w w:val="100"/>
          <w:position w:val="0"/>
        </w:rPr>
        <w:t>是</w:t>
      </w:r>
      <w:r>
        <w:rPr>
          <w:color w:val="000000"/>
          <w:spacing w:val="0"/>
          <w:w w:val="100"/>
          <w:position w:val="0"/>
          <w:sz w:val="22"/>
          <w:szCs w:val="22"/>
        </w:rPr>
        <w:t>口</w:t>
      </w:r>
      <w:r>
        <w:rPr>
          <w:color w:val="000000"/>
          <w:spacing w:val="0"/>
          <w:w w:val="100"/>
          <w:position w:val="0"/>
        </w:rPr>
        <w:t>否</w:t>
      </w:r>
    </w:p>
    <w:p>
      <w:pPr>
        <w:pStyle w:val="Style32"/>
        <w:keepNext/>
        <w:keepLines/>
        <w:widowControl w:val="0"/>
        <w:shd w:val="clear" w:color="auto" w:fill="auto"/>
        <w:bidi w:val="0"/>
        <w:spacing w:before="0" w:after="280" w:line="476" w:lineRule="exact"/>
        <w:ind w:left="0" w:right="0" w:firstLine="0"/>
        <w:jc w:val="left"/>
      </w:pPr>
      <w:bookmarkStart w:id="408" w:name="bookmark408"/>
      <w:bookmarkStart w:id="409" w:name="bookmark409"/>
      <w:bookmarkStart w:id="410" w:name="bookmark410"/>
      <w:r>
        <w:rPr>
          <w:color w:val="000000"/>
          <w:spacing w:val="0"/>
          <w:w w:val="100"/>
          <w:position w:val="0"/>
          <w:sz w:val="24"/>
          <w:szCs w:val="24"/>
        </w:rPr>
        <w:t>十五、上市公司治理专项行动自查问题整改情况</w:t>
      </w:r>
      <w:bookmarkEnd w:id="408"/>
      <w:bookmarkEnd w:id="409"/>
      <w:bookmarkEnd w:id="410"/>
    </w:p>
    <w:p>
      <w:pPr>
        <w:pStyle w:val="Style17"/>
        <w:keepNext w:val="0"/>
        <w:keepLines w:val="0"/>
        <w:widowControl w:val="0"/>
        <w:shd w:val="clear" w:color="auto" w:fill="auto"/>
        <w:bidi w:val="0"/>
        <w:spacing w:before="0" w:after="0" w:line="476" w:lineRule="exact"/>
        <w:ind w:left="0" w:right="0" w:firstLine="460"/>
        <w:jc w:val="both"/>
      </w:pPr>
      <w:r>
        <w:rPr>
          <w:color w:val="000000"/>
          <w:spacing w:val="0"/>
          <w:w w:val="100"/>
          <w:position w:val="0"/>
        </w:rPr>
        <w:t>为贯彻落实《国务院关于进一步提高上市公司质量的意见》，在</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日前公司对照《上 市公司治理专项自查清单》（以下简称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《自查清单》</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），认真梳理查找存在的问题，总结公司治理经 验，完成专项自查工作。《自查清单》落实情况如下：</w:t>
      </w:r>
    </w:p>
    <w:p>
      <w:pPr>
        <w:pStyle w:val="Style17"/>
        <w:keepNext w:val="0"/>
        <w:keepLines w:val="0"/>
        <w:widowControl w:val="0"/>
        <w:shd w:val="clear" w:color="auto" w:fill="auto"/>
        <w:tabs>
          <w:tab w:pos="818" w:val="left"/>
        </w:tabs>
        <w:bidi w:val="0"/>
        <w:spacing w:before="0" w:after="0" w:line="476" w:lineRule="exact"/>
        <w:ind w:left="0" w:right="0" w:firstLine="460"/>
        <w:jc w:val="both"/>
      </w:pPr>
      <w:bookmarkStart w:id="411" w:name="bookmark411"/>
      <w:r>
        <w:rPr>
          <w:rFonts w:ascii="Times New Roman" w:eastAsia="Times New Roman" w:hAnsi="Times New Roman" w:cs="Times New Roman"/>
          <w:color w:val="000000"/>
          <w:spacing w:val="0"/>
          <w:w w:val="100"/>
          <w:position w:val="0"/>
          <w:sz w:val="22"/>
          <w:szCs w:val="22"/>
        </w:rPr>
        <w:t>1</w:t>
      </w:r>
      <w:bookmarkEnd w:id="411"/>
      <w:r>
        <w:rPr>
          <w:color w:val="000000"/>
          <w:spacing w:val="0"/>
          <w:w w:val="100"/>
          <w:position w:val="0"/>
        </w:rPr>
        <w:t>、</w:t>
        <w:tab/>
        <w:t>上市公司基本情况，公司未发现公司与本章节内容与制度规范不符事项；</w:t>
      </w:r>
    </w:p>
    <w:p>
      <w:pPr>
        <w:pStyle w:val="Style17"/>
        <w:keepNext w:val="0"/>
        <w:keepLines w:val="0"/>
        <w:widowControl w:val="0"/>
        <w:shd w:val="clear" w:color="auto" w:fill="auto"/>
        <w:tabs>
          <w:tab w:pos="819" w:val="left"/>
        </w:tabs>
        <w:bidi w:val="0"/>
        <w:spacing w:before="0" w:after="0" w:line="476" w:lineRule="exact"/>
        <w:ind w:left="0" w:right="0" w:firstLine="460"/>
        <w:jc w:val="both"/>
      </w:pPr>
      <w:bookmarkStart w:id="412" w:name="bookmark412"/>
      <w:r>
        <w:rPr>
          <w:rFonts w:ascii="Times New Roman" w:eastAsia="Times New Roman" w:hAnsi="Times New Roman" w:cs="Times New Roman"/>
          <w:color w:val="000000"/>
          <w:spacing w:val="0"/>
          <w:w w:val="100"/>
          <w:position w:val="0"/>
          <w:sz w:val="22"/>
          <w:szCs w:val="22"/>
        </w:rPr>
        <w:t>2</w:t>
      </w:r>
      <w:bookmarkEnd w:id="412"/>
      <w:r>
        <w:rPr>
          <w:color w:val="000000"/>
          <w:spacing w:val="0"/>
          <w:w w:val="100"/>
          <w:position w:val="0"/>
        </w:rPr>
        <w:t>、</w:t>
        <w:tab/>
        <w:t>组织机构的运行和决策，公司股东会、董事会、监事会、董事履职等方面能够按照《公司章 程》和制度规范运行和决策；</w:t>
      </w:r>
    </w:p>
    <w:p>
      <w:pPr>
        <w:pStyle w:val="Style17"/>
        <w:keepNext w:val="0"/>
        <w:keepLines w:val="0"/>
        <w:widowControl w:val="0"/>
        <w:shd w:val="clear" w:color="auto" w:fill="auto"/>
        <w:tabs>
          <w:tab w:pos="824" w:val="left"/>
        </w:tabs>
        <w:bidi w:val="0"/>
        <w:spacing w:before="0" w:after="0" w:line="476" w:lineRule="exact"/>
        <w:ind w:left="0" w:right="0" w:firstLine="460"/>
        <w:jc w:val="both"/>
      </w:pPr>
      <w:bookmarkStart w:id="413" w:name="bookmark413"/>
      <w:r>
        <w:rPr>
          <w:rFonts w:ascii="Times New Roman" w:eastAsia="Times New Roman" w:hAnsi="Times New Roman" w:cs="Times New Roman"/>
          <w:color w:val="000000"/>
          <w:spacing w:val="0"/>
          <w:w w:val="100"/>
          <w:position w:val="0"/>
          <w:sz w:val="22"/>
          <w:szCs w:val="22"/>
        </w:rPr>
        <w:t>3</w:t>
      </w:r>
      <w:bookmarkEnd w:id="413"/>
      <w:r>
        <w:rPr>
          <w:color w:val="000000"/>
          <w:spacing w:val="0"/>
          <w:w w:val="100"/>
          <w:position w:val="0"/>
        </w:rPr>
        <w:t>、</w:t>
        <w:tab/>
        <w:t>控股股东、实际控制人及关联方，公司在关联交易、资金占用和对外担保等方面均能够与控 股股东、实际控制人及关联方方面保持规范运作；</w:t>
      </w:r>
    </w:p>
    <w:p>
      <w:pPr>
        <w:pStyle w:val="Style17"/>
        <w:keepNext w:val="0"/>
        <w:keepLines w:val="0"/>
        <w:widowControl w:val="0"/>
        <w:shd w:val="clear" w:color="auto" w:fill="auto"/>
        <w:tabs>
          <w:tab w:pos="842" w:val="left"/>
        </w:tabs>
        <w:bidi w:val="0"/>
        <w:spacing w:before="0" w:after="0" w:line="476" w:lineRule="exact"/>
        <w:ind w:left="0" w:right="0" w:firstLine="460"/>
        <w:jc w:val="both"/>
      </w:pPr>
      <w:bookmarkStart w:id="414" w:name="bookmark414"/>
      <w:r>
        <w:rPr>
          <w:rFonts w:ascii="Times New Roman" w:eastAsia="Times New Roman" w:hAnsi="Times New Roman" w:cs="Times New Roman"/>
          <w:color w:val="000000"/>
          <w:spacing w:val="0"/>
          <w:w w:val="100"/>
          <w:position w:val="0"/>
          <w:sz w:val="22"/>
          <w:szCs w:val="22"/>
        </w:rPr>
        <w:t>4</w:t>
      </w:r>
      <w:bookmarkEnd w:id="414"/>
      <w:r>
        <w:rPr>
          <w:color w:val="000000"/>
          <w:spacing w:val="0"/>
          <w:w w:val="100"/>
          <w:position w:val="0"/>
        </w:rPr>
        <w:t>、</w:t>
        <w:tab/>
        <w:t>内部控制规范体系建设，公司在内控制度、内审部门和募集资金等方面保持规范；</w:t>
      </w:r>
    </w:p>
    <w:p>
      <w:pPr>
        <w:pStyle w:val="Style17"/>
        <w:keepNext w:val="0"/>
        <w:keepLines w:val="0"/>
        <w:widowControl w:val="0"/>
        <w:shd w:val="clear" w:color="auto" w:fill="auto"/>
        <w:tabs>
          <w:tab w:pos="378" w:val="left"/>
        </w:tabs>
        <w:bidi w:val="0"/>
        <w:spacing w:before="0" w:after="0" w:line="476" w:lineRule="exact"/>
        <w:ind w:left="0" w:right="0" w:firstLine="460"/>
        <w:jc w:val="both"/>
      </w:pPr>
      <w:bookmarkStart w:id="415" w:name="bookmark415"/>
      <w:r>
        <w:rPr>
          <w:rFonts w:ascii="Times New Roman" w:eastAsia="Times New Roman" w:hAnsi="Times New Roman" w:cs="Times New Roman"/>
          <w:color w:val="000000"/>
          <w:spacing w:val="0"/>
          <w:w w:val="100"/>
          <w:position w:val="0"/>
          <w:sz w:val="22"/>
          <w:szCs w:val="22"/>
        </w:rPr>
        <w:t>5</w:t>
      </w:r>
      <w:bookmarkEnd w:id="415"/>
      <w:r>
        <w:rPr>
          <w:color w:val="000000"/>
          <w:spacing w:val="0"/>
          <w:w w:val="100"/>
          <w:position w:val="0"/>
        </w:rPr>
        <w:t>、</w:t>
        <w:tab/>
        <w:t xml:space="preserve">信息披露与透明度，公司在信息披露、社会责任报告等方面保证信息披露内容的真实、准确 </w:t>
      </w:r>
      <w:r>
        <w:rPr>
          <w:color w:val="000000"/>
          <w:spacing w:val="0"/>
          <w:w w:val="100"/>
          <w:position w:val="0"/>
        </w:rPr>
        <w:t>和完整；</w:t>
      </w:r>
    </w:p>
    <w:p>
      <w:pPr>
        <w:pStyle w:val="Style17"/>
        <w:keepNext w:val="0"/>
        <w:keepLines w:val="0"/>
        <w:widowControl w:val="0"/>
        <w:shd w:val="clear" w:color="auto" w:fill="auto"/>
        <w:tabs>
          <w:tab w:pos="858" w:val="left"/>
        </w:tabs>
        <w:bidi w:val="0"/>
        <w:spacing w:before="0" w:after="0" w:line="480" w:lineRule="exact"/>
        <w:ind w:left="0" w:right="0" w:firstLine="480"/>
        <w:jc w:val="left"/>
      </w:pPr>
      <w:bookmarkStart w:id="416" w:name="bookmark416"/>
      <w:r>
        <w:rPr>
          <w:rFonts w:ascii="Times New Roman" w:eastAsia="Times New Roman" w:hAnsi="Times New Roman" w:cs="Times New Roman"/>
          <w:color w:val="000000"/>
          <w:spacing w:val="0"/>
          <w:w w:val="100"/>
          <w:position w:val="0"/>
          <w:sz w:val="22"/>
          <w:szCs w:val="22"/>
        </w:rPr>
        <w:t>6</w:t>
      </w:r>
      <w:bookmarkEnd w:id="416"/>
      <w:r>
        <w:rPr>
          <w:color w:val="000000"/>
          <w:spacing w:val="0"/>
          <w:w w:val="100"/>
          <w:position w:val="0"/>
        </w:rPr>
        <w:t>、</w:t>
        <w:tab/>
        <w:t>机构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境外投资者，公司股东结构多元，有利于提升公司治理的规范运作；</w:t>
      </w:r>
    </w:p>
    <w:p>
      <w:pPr>
        <w:pStyle w:val="Style17"/>
        <w:keepNext w:val="0"/>
        <w:keepLines w:val="0"/>
        <w:widowControl w:val="0"/>
        <w:shd w:val="clear" w:color="auto" w:fill="auto"/>
        <w:tabs>
          <w:tab w:pos="810" w:val="left"/>
        </w:tabs>
        <w:bidi w:val="0"/>
        <w:spacing w:before="0" w:after="0" w:line="480" w:lineRule="exact"/>
        <w:ind w:left="0" w:right="0" w:firstLine="480"/>
        <w:jc w:val="left"/>
        <w:sectPr>
          <w:footnotePr>
            <w:pos w:val="pageBottom"/>
            <w:numFmt w:val="decimal"/>
            <w:numStart w:val="1"/>
            <w:numRestart w:val="continuous"/>
            <w15:footnoteColumns w:val="1"/>
          </w:footnotePr>
          <w:pgSz w:w="11900" w:h="16840"/>
          <w:pgMar w:top="1218" w:right="824" w:bottom="1262" w:left="968" w:header="0" w:footer="3" w:gutter="0"/>
          <w:cols w:space="720"/>
          <w:noEndnote/>
          <w:rtlGutter w:val="0"/>
          <w:docGrid w:linePitch="360"/>
        </w:sectPr>
      </w:pPr>
      <w:bookmarkStart w:id="417" w:name="bookmark417"/>
      <w:r>
        <w:rPr>
          <w:rFonts w:ascii="Times New Roman" w:eastAsia="Times New Roman" w:hAnsi="Times New Roman" w:cs="Times New Roman"/>
          <w:color w:val="000000"/>
          <w:spacing w:val="0"/>
          <w:w w:val="100"/>
          <w:position w:val="0"/>
          <w:sz w:val="22"/>
          <w:szCs w:val="22"/>
        </w:rPr>
        <w:t>7</w:t>
      </w:r>
      <w:bookmarkEnd w:id="417"/>
      <w:r>
        <w:rPr>
          <w:color w:val="000000"/>
          <w:spacing w:val="0"/>
          <w:w w:val="100"/>
          <w:position w:val="0"/>
        </w:rPr>
        <w:t>、</w:t>
        <w:tab/>
        <w:t>其他问题，公司未发现《公司章程》存在在股东权利、决策程序等方面与《公司法》《上市公 司章程指引》等不一致的条款，公司始终保持公司治理的规范性。</w:t>
      </w:r>
    </w:p>
    <w:p>
      <w:pPr>
        <w:pStyle w:val="Style15"/>
        <w:keepNext/>
        <w:keepLines/>
        <w:widowControl w:val="0"/>
        <w:shd w:val="clear" w:color="auto" w:fill="auto"/>
        <w:bidi w:val="0"/>
        <w:spacing w:before="300" w:after="340" w:line="240" w:lineRule="auto"/>
        <w:ind w:left="0" w:right="0" w:firstLine="0"/>
        <w:jc w:val="center"/>
      </w:pPr>
      <w:bookmarkStart w:id="418" w:name="bookmark418"/>
      <w:bookmarkStart w:id="419" w:name="bookmark419"/>
      <w:bookmarkStart w:id="420" w:name="bookmark420"/>
      <w:r>
        <w:rPr>
          <w:color w:val="000000"/>
          <w:spacing w:val="0"/>
          <w:w w:val="100"/>
          <w:position w:val="0"/>
        </w:rPr>
        <w:t>第六节环境和社会责任</w:t>
      </w:r>
      <w:bookmarkEnd w:id="418"/>
      <w:bookmarkEnd w:id="419"/>
      <w:bookmarkEnd w:id="420"/>
    </w:p>
    <w:p>
      <w:pPr>
        <w:pStyle w:val="Style32"/>
        <w:keepNext/>
        <w:keepLines/>
        <w:widowControl w:val="0"/>
        <w:shd w:val="clear" w:color="auto" w:fill="auto"/>
        <w:tabs>
          <w:tab w:pos="517" w:val="left"/>
        </w:tabs>
        <w:bidi w:val="0"/>
        <w:spacing w:before="0" w:after="200" w:line="470" w:lineRule="exact"/>
        <w:ind w:left="0" w:right="0" w:firstLine="0"/>
        <w:jc w:val="both"/>
      </w:pPr>
      <w:bookmarkStart w:id="421" w:name="bookmark421"/>
      <w:bookmarkStart w:id="422" w:name="bookmark422"/>
      <w:bookmarkStart w:id="423" w:name="bookmark423"/>
      <w:bookmarkStart w:id="424" w:name="bookmark424"/>
      <w:bookmarkStart w:id="425" w:name="bookmark425"/>
      <w:r>
        <w:rPr>
          <w:color w:val="000000"/>
          <w:spacing w:val="0"/>
          <w:w w:val="100"/>
          <w:position w:val="0"/>
          <w:sz w:val="24"/>
          <w:szCs w:val="24"/>
        </w:rPr>
        <w:t>一</w:t>
      </w:r>
      <w:bookmarkEnd w:id="424"/>
      <w:r>
        <w:rPr>
          <w:color w:val="000000"/>
          <w:spacing w:val="0"/>
          <w:w w:val="100"/>
          <w:position w:val="0"/>
          <w:sz w:val="24"/>
          <w:szCs w:val="24"/>
        </w:rPr>
        <w:t>、</w:t>
        <w:tab/>
        <w:t>重大环保问题</w:t>
      </w:r>
      <w:bookmarkEnd w:id="422"/>
      <w:bookmarkEnd w:id="423"/>
      <w:bookmarkEnd w:id="425"/>
      <w:bookmarkEnd w:id="421"/>
    </w:p>
    <w:p>
      <w:pPr>
        <w:pStyle w:val="Style17"/>
        <w:keepNext w:val="0"/>
        <w:keepLines w:val="0"/>
        <w:widowControl w:val="0"/>
        <w:shd w:val="clear" w:color="auto" w:fill="auto"/>
        <w:bidi w:val="0"/>
        <w:spacing w:before="0" w:after="200" w:line="467" w:lineRule="exact"/>
        <w:ind w:left="0" w:right="0" w:firstLine="460"/>
        <w:jc w:val="left"/>
      </w:pPr>
      <w:r>
        <w:rPr>
          <w:color w:val="000000"/>
          <w:spacing w:val="0"/>
          <w:w w:val="100"/>
          <w:position w:val="0"/>
        </w:rPr>
        <w:t>上市公司及其子公司是否属于环境保护部门公布的重点排污单位</w:t>
      </w:r>
    </w:p>
    <w:p>
      <w:pPr>
        <w:pStyle w:val="Style17"/>
        <w:keepNext w:val="0"/>
        <w:keepLines w:val="0"/>
        <w:widowControl w:val="0"/>
        <w:shd w:val="clear" w:color="auto" w:fill="auto"/>
        <w:bidi w:val="0"/>
        <w:spacing w:before="0" w:after="0" w:line="444" w:lineRule="auto"/>
        <w:ind w:left="0" w:right="0" w:firstLine="46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17"/>
        <w:keepNext w:val="0"/>
        <w:keepLines w:val="0"/>
        <w:widowControl w:val="0"/>
        <w:shd w:val="clear" w:color="auto" w:fill="auto"/>
        <w:bidi w:val="0"/>
        <w:spacing w:before="0" w:after="0" w:line="467" w:lineRule="exact"/>
        <w:ind w:left="0" w:right="0" w:firstLine="460"/>
        <w:jc w:val="left"/>
      </w:pPr>
      <w:r>
        <w:rPr>
          <w:color w:val="000000"/>
          <w:spacing w:val="0"/>
          <w:w w:val="100"/>
          <w:position w:val="0"/>
        </w:rPr>
        <w:t>报告期内因环境问题受到行政处罚的情况</w:t>
      </w:r>
    </w:p>
    <w:p>
      <w:pPr>
        <w:pStyle w:val="Style17"/>
        <w:keepNext w:val="0"/>
        <w:keepLines w:val="0"/>
        <w:widowControl w:val="0"/>
        <w:shd w:val="clear" w:color="auto" w:fill="auto"/>
        <w:bidi w:val="0"/>
        <w:spacing w:before="0" w:after="0" w:line="467" w:lineRule="exact"/>
        <w:ind w:left="0" w:right="0" w:firstLine="460"/>
        <w:jc w:val="left"/>
      </w:pPr>
      <w:r>
        <w:rPr>
          <w:color w:val="000000"/>
          <w:spacing w:val="0"/>
          <w:w w:val="100"/>
          <w:position w:val="0"/>
        </w:rPr>
        <w:t>无</w:t>
      </w:r>
    </w:p>
    <w:p>
      <w:pPr>
        <w:pStyle w:val="Style17"/>
        <w:keepNext w:val="0"/>
        <w:keepLines w:val="0"/>
        <w:widowControl w:val="0"/>
        <w:shd w:val="clear" w:color="auto" w:fill="auto"/>
        <w:bidi w:val="0"/>
        <w:spacing w:before="0" w:after="0" w:line="467" w:lineRule="exact"/>
        <w:ind w:left="0" w:right="0" w:firstLine="460"/>
        <w:jc w:val="left"/>
      </w:pPr>
      <w:r>
        <w:rPr>
          <w:color w:val="000000"/>
          <w:spacing w:val="0"/>
          <w:w w:val="100"/>
          <w:position w:val="0"/>
        </w:rPr>
        <w:t>参照重点排污单位披露的其他环境信息</w:t>
      </w:r>
    </w:p>
    <w:p>
      <w:pPr>
        <w:pStyle w:val="Style17"/>
        <w:keepNext w:val="0"/>
        <w:keepLines w:val="0"/>
        <w:widowControl w:val="0"/>
        <w:shd w:val="clear" w:color="auto" w:fill="auto"/>
        <w:bidi w:val="0"/>
        <w:spacing w:before="0" w:after="460" w:line="467" w:lineRule="exact"/>
        <w:ind w:left="0" w:right="0" w:firstLine="460"/>
        <w:jc w:val="both"/>
      </w:pPr>
      <w:r>
        <w:rPr>
          <w:color w:val="000000"/>
          <w:spacing w:val="0"/>
          <w:w w:val="100"/>
          <w:position w:val="0"/>
        </w:rPr>
        <w:t>公司将环境保护作为企业可持续发展战略的重要环节，注重履行企业环境保护的职责，严格贯彻 执行《中华人民共和国环境保护法》的有关规定。公司主业为零售服务，通过线下店面、线上网上商 城，销售家电</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w:t>
      </w:r>
      <w:r>
        <w:rPr>
          <w:color w:val="000000"/>
          <w:spacing w:val="0"/>
          <w:w w:val="100"/>
          <w:position w:val="0"/>
        </w:rPr>
        <w:t>母婴、超市、百货等商品，不属于环境保护部门公布的重点排污单位。截至</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日未发生重大环境违法事件，严格执行环境影响评价及相关制度，不断加强环保监督管理， 确保企业经营符合相关要求。</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在报告期内为减少其碳排放所采取的措施及效果</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在</w:t>
      </w:r>
      <w:r>
        <w:rPr>
          <w:rFonts w:ascii="Times New Roman" w:eastAsia="Times New Roman" w:hAnsi="Times New Roman" w:cs="Times New Roman"/>
          <w:color w:val="000000"/>
          <w:spacing w:val="0"/>
          <w:w w:val="100"/>
          <w:position w:val="0"/>
          <w:sz w:val="22"/>
          <w:szCs w:val="22"/>
        </w:rPr>
        <w:t>“3060</w:t>
      </w:r>
      <w:r>
        <w:rPr>
          <w:color w:val="000000"/>
          <w:spacing w:val="0"/>
          <w:w w:val="100"/>
          <w:position w:val="0"/>
        </w:rPr>
        <w:t>碳达峰碳中和</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的国家战略背景下，苏宁易购主动且积极应对气候变化，通过健全环境管 理体系、构建绿色经营模式、贯彻落实环保行动，致力于保护生态环境，提高资源能源利用效率，为 创建绿色生态贡献力量。</w:t>
      </w:r>
    </w:p>
    <w:p>
      <w:pPr>
        <w:pStyle w:val="Style17"/>
        <w:keepNext w:val="0"/>
        <w:keepLines w:val="0"/>
        <w:widowControl w:val="0"/>
        <w:shd w:val="clear" w:color="auto" w:fill="auto"/>
        <w:bidi w:val="0"/>
        <w:spacing w:before="0" w:after="460" w:line="470" w:lineRule="exact"/>
        <w:ind w:left="0" w:right="0" w:firstLine="460"/>
        <w:jc w:val="left"/>
      </w:pPr>
      <w:r>
        <w:rPr>
          <w:color w:val="000000"/>
          <w:spacing w:val="0"/>
          <w:w w:val="100"/>
          <w:position w:val="0"/>
        </w:rPr>
        <w:t>具体内容可参见《</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年社会责任报告》</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贡献</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易</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份力量助力创建绿色生态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章节。</w:t>
      </w:r>
    </w:p>
    <w:p>
      <w:pPr>
        <w:pStyle w:val="Style17"/>
        <w:keepNext w:val="0"/>
        <w:keepLines w:val="0"/>
        <w:widowControl w:val="0"/>
        <w:shd w:val="clear" w:color="auto" w:fill="auto"/>
        <w:bidi w:val="0"/>
        <w:spacing w:before="0" w:after="0" w:line="475" w:lineRule="exact"/>
        <w:ind w:left="0" w:right="0" w:firstLine="460"/>
        <w:jc w:val="both"/>
      </w:pPr>
      <w:r>
        <w:rPr>
          <w:color w:val="000000"/>
          <w:spacing w:val="0"/>
          <w:w w:val="100"/>
          <w:position w:val="0"/>
        </w:rPr>
        <w:t>未披露其他环境信息的原因</w:t>
      </w:r>
    </w:p>
    <w:p>
      <w:pPr>
        <w:pStyle w:val="Style17"/>
        <w:keepNext w:val="0"/>
        <w:keepLines w:val="0"/>
        <w:widowControl w:val="0"/>
        <w:shd w:val="clear" w:color="auto" w:fill="auto"/>
        <w:bidi w:val="0"/>
        <w:spacing w:before="0" w:after="200" w:line="475" w:lineRule="exact"/>
        <w:ind w:left="0" w:right="0" w:firstLine="460"/>
        <w:jc w:val="both"/>
      </w:pPr>
      <w:r>
        <w:rPr>
          <w:color w:val="000000"/>
          <w:spacing w:val="0"/>
          <w:w w:val="100"/>
          <w:position w:val="0"/>
        </w:rPr>
        <w:t>公司及子公司不属于环境保护部门公布的重点排污单位。报告期内，公司积极响应国家环保政策， 严格遵守国家颁布的法律、法规及相关行业规范。</w:t>
      </w:r>
    </w:p>
    <w:p>
      <w:pPr>
        <w:pStyle w:val="Style32"/>
        <w:keepNext/>
        <w:keepLines/>
        <w:widowControl w:val="0"/>
        <w:shd w:val="clear" w:color="auto" w:fill="auto"/>
        <w:tabs>
          <w:tab w:pos="517" w:val="left"/>
        </w:tabs>
        <w:bidi w:val="0"/>
        <w:spacing w:before="0" w:after="200" w:line="470" w:lineRule="exact"/>
        <w:ind w:left="0" w:right="0" w:firstLine="0"/>
        <w:jc w:val="both"/>
      </w:pPr>
      <w:bookmarkStart w:id="426" w:name="bookmark426"/>
      <w:bookmarkStart w:id="427" w:name="bookmark427"/>
      <w:bookmarkStart w:id="428" w:name="bookmark428"/>
      <w:bookmarkStart w:id="429" w:name="bookmark429"/>
      <w:r>
        <w:rPr>
          <w:color w:val="000000"/>
          <w:spacing w:val="0"/>
          <w:w w:val="100"/>
          <w:position w:val="0"/>
          <w:sz w:val="24"/>
          <w:szCs w:val="24"/>
        </w:rPr>
        <w:t>二</w:t>
      </w:r>
      <w:bookmarkEnd w:id="428"/>
      <w:r>
        <w:rPr>
          <w:color w:val="000000"/>
          <w:spacing w:val="0"/>
          <w:w w:val="100"/>
          <w:position w:val="0"/>
          <w:sz w:val="24"/>
          <w:szCs w:val="24"/>
        </w:rPr>
        <w:t>、</w:t>
        <w:tab/>
        <w:t>社会责任情况</w:t>
      </w:r>
      <w:bookmarkEnd w:id="426"/>
      <w:bookmarkEnd w:id="427"/>
      <w:bookmarkEnd w:id="429"/>
    </w:p>
    <w:p>
      <w:pPr>
        <w:pStyle w:val="Style17"/>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年是苏宁易购再出发的一年，在新董事会的带领下，苏宁易购持续加强党建引领，优化治理， 关注风控合规、廉洁从业、知识产权和投资者关系等方面的工作，践行治理责任，保障公司稳健运营。</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苏宁易购秉承</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服务是苏宁唯一产品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xml:space="preserve">的理念，紧跟数字化转型浪潮，聚焦零售发展，夯实零售渠 道建设和产品质量优选，充分发挥平台和资源整合优势，为消费者提供场景化、品质化、一体化的消 </w:t>
      </w:r>
      <w:r>
        <w:rPr>
          <w:color w:val="000000"/>
          <w:spacing w:val="0"/>
          <w:w w:val="100"/>
          <w:position w:val="0"/>
        </w:rPr>
        <w:t>费体验，打造高品质、高质量、高发展的产业模式。</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苏宁易购持续打造领先的供应链基础设施建设，不断完善供应商管理措施，强化供应链布局，从 源头赋能，推动供应商产品转型，推进供应链建设。公司致力于与供应商协同发展，提供更全品类的 产品，保障更高品质的服务。</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苏宁易购积极推行人才工程建设，坚持以人为本的理念，保障员工各项基本权益的落实，关爱每 一位员工的身体及职业安全健康，为员工提供舒适的工作环境，坚信人才的发展是公司发展的基石， 完善人才培训标准，加强人才团队建设，与员工携手共进，实现与员工共创、共当、共享。</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在</w:t>
      </w:r>
      <w:r>
        <w:rPr>
          <w:rFonts w:ascii="Times New Roman" w:eastAsia="Times New Roman" w:hAnsi="Times New Roman" w:cs="Times New Roman"/>
          <w:color w:val="000000"/>
          <w:spacing w:val="0"/>
          <w:w w:val="100"/>
          <w:position w:val="0"/>
          <w:sz w:val="22"/>
          <w:szCs w:val="22"/>
        </w:rPr>
        <w:t>“3060</w:t>
      </w:r>
      <w:r>
        <w:rPr>
          <w:color w:val="000000"/>
          <w:spacing w:val="0"/>
          <w:w w:val="100"/>
          <w:position w:val="0"/>
        </w:rPr>
        <w:t>碳达峰碳中和</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的国家战略背景下，苏宁易购主动且积极应对气候变化，通过健全环境管 理体系、构建绿色经营模式、贯彻落实环保行动，致力于保护生态环境，提高资源能源利用效率，为 创建绿色生态贡献力量。</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苏宁易购在不断完善环境、经济效益的同时，发挥零售资源平台优势，聚焦苏宁易购公益建设， 强化乡村振兴工作，不断推进社区建设、深化社区服务，并全力应对常态化疫情带来的挑战。</w:t>
      </w:r>
    </w:p>
    <w:p>
      <w:pPr>
        <w:pStyle w:val="Style17"/>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公司履行的社会责任具体内容详见</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日巨潮资讯网披露的《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年社会责任报告》 全文。</w:t>
      </w:r>
    </w:p>
    <w:p>
      <w:pPr>
        <w:pStyle w:val="Style32"/>
        <w:keepNext/>
        <w:keepLines/>
        <w:widowControl w:val="0"/>
        <w:shd w:val="clear" w:color="auto" w:fill="auto"/>
        <w:bidi w:val="0"/>
        <w:spacing w:before="0" w:after="220" w:line="469" w:lineRule="exact"/>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三</w:t>
      </w:r>
      <w:bookmarkEnd w:id="432"/>
      <w:r>
        <w:rPr>
          <w:color w:val="000000"/>
          <w:spacing w:val="0"/>
          <w:w w:val="100"/>
          <w:position w:val="0"/>
          <w:sz w:val="24"/>
          <w:szCs w:val="24"/>
        </w:rPr>
        <w:t>、巩固拓展脱贫攻坚成果、乡村振兴的情况</w:t>
      </w:r>
      <w:bookmarkEnd w:id="430"/>
      <w:bookmarkEnd w:id="431"/>
      <w:bookmarkEnd w:id="433"/>
    </w:p>
    <w:p>
      <w:pPr>
        <w:pStyle w:val="Style17"/>
        <w:keepNext w:val="0"/>
        <w:keepLines w:val="0"/>
        <w:widowControl w:val="0"/>
        <w:shd w:val="clear" w:color="auto" w:fill="auto"/>
        <w:bidi w:val="0"/>
        <w:spacing w:before="0" w:after="220" w:line="467" w:lineRule="exact"/>
        <w:ind w:left="0" w:right="0" w:firstLine="460"/>
        <w:jc w:val="both"/>
      </w:pPr>
      <w:r>
        <w:rPr>
          <w:color w:val="000000"/>
          <w:spacing w:val="0"/>
          <w:w w:val="100"/>
          <w:position w:val="0"/>
        </w:rPr>
        <w:t>苏宁易购不断整合自身资源，全面升级</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零售服务商</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的同时，重点向农村地区赋能，通过零售云 模式促进区县经济建设，建设农村产业基地，加大扶农助农战略，带动县镇就业水平，进而全面助力 乡村振兴的发展。</w:t>
      </w:r>
    </w:p>
    <w:p>
      <w:pPr>
        <w:pStyle w:val="Style17"/>
        <w:keepNext w:val="0"/>
        <w:keepLines w:val="0"/>
        <w:widowControl w:val="0"/>
        <w:shd w:val="clear" w:color="auto" w:fill="auto"/>
        <w:tabs>
          <w:tab w:pos="800" w:val="left"/>
        </w:tabs>
        <w:bidi w:val="0"/>
        <w:spacing w:before="0" w:after="0" w:line="444" w:lineRule="auto"/>
        <w:ind w:left="0" w:right="0" w:firstLine="460"/>
        <w:jc w:val="both"/>
      </w:pPr>
      <w:bookmarkStart w:id="434" w:name="bookmark434"/>
      <w:r>
        <w:rPr>
          <w:rFonts w:ascii="Times New Roman" w:eastAsia="Times New Roman" w:hAnsi="Times New Roman" w:cs="Times New Roman"/>
          <w:color w:val="000000"/>
          <w:spacing w:val="0"/>
          <w:w w:val="100"/>
          <w:position w:val="0"/>
          <w:sz w:val="22"/>
          <w:szCs w:val="22"/>
        </w:rPr>
        <w:t>1</w:t>
      </w:r>
      <w:bookmarkEnd w:id="434"/>
      <w:r>
        <w:rPr>
          <w:color w:val="000000"/>
          <w:spacing w:val="0"/>
          <w:w w:val="100"/>
          <w:position w:val="0"/>
        </w:rPr>
        <w:t>、</w:t>
        <w:tab/>
        <w:t>促进地区就业</w:t>
      </w:r>
    </w:p>
    <w:p>
      <w:pPr>
        <w:pStyle w:val="Style17"/>
        <w:keepNext w:val="0"/>
        <w:keepLines w:val="0"/>
        <w:widowControl w:val="0"/>
        <w:shd w:val="clear" w:color="auto" w:fill="auto"/>
        <w:bidi w:val="0"/>
        <w:spacing w:before="0" w:after="220" w:line="467" w:lineRule="exact"/>
        <w:ind w:left="0" w:right="0" w:firstLine="460"/>
        <w:jc w:val="both"/>
      </w:pPr>
      <w:r>
        <w:rPr>
          <w:color w:val="000000"/>
          <w:spacing w:val="0"/>
          <w:w w:val="100"/>
          <w:position w:val="0"/>
        </w:rPr>
        <w:t>公司结合自身零售服务商优势，通过共享苏宁易购品牌、技术、供应链、运营、物流等优势资源， 赋能县镇乡村零售行业转型升级，提升地区就业水平。此外，公司为农牧民提供创业扶持，提升收入 水平，带动区域经济发展。截至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年底，苏宁易购零售云已覆盖全国</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个省级行政单位，直接带 动就业规模超过数万人。</w:t>
      </w:r>
    </w:p>
    <w:p>
      <w:pPr>
        <w:pStyle w:val="Style17"/>
        <w:keepNext w:val="0"/>
        <w:keepLines w:val="0"/>
        <w:widowControl w:val="0"/>
        <w:shd w:val="clear" w:color="auto" w:fill="auto"/>
        <w:tabs>
          <w:tab w:pos="824" w:val="left"/>
        </w:tabs>
        <w:bidi w:val="0"/>
        <w:spacing w:before="0" w:after="0" w:line="444" w:lineRule="auto"/>
        <w:ind w:left="0" w:right="0" w:firstLine="460"/>
        <w:jc w:val="both"/>
      </w:pPr>
      <w:bookmarkStart w:id="435" w:name="bookmark435"/>
      <w:r>
        <w:rPr>
          <w:rFonts w:ascii="Times New Roman" w:eastAsia="Times New Roman" w:hAnsi="Times New Roman" w:cs="Times New Roman"/>
          <w:color w:val="000000"/>
          <w:spacing w:val="0"/>
          <w:w w:val="100"/>
          <w:position w:val="0"/>
          <w:sz w:val="22"/>
          <w:szCs w:val="22"/>
        </w:rPr>
        <w:t>2</w:t>
      </w:r>
      <w:bookmarkEnd w:id="435"/>
      <w:r>
        <w:rPr>
          <w:color w:val="000000"/>
          <w:spacing w:val="0"/>
          <w:w w:val="100"/>
          <w:position w:val="0"/>
        </w:rPr>
        <w:t>、</w:t>
        <w:tab/>
        <w:t>发展扶农助农</w:t>
      </w:r>
    </w:p>
    <w:p>
      <w:pPr>
        <w:pStyle w:val="Style17"/>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公司借助自身平台特性和直播推广农产品的手段，助力农产品向外发展，持续加大扶农助农力度， 通过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基地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合作社</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线上商城</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市场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的模式、产地直采合作模式和零售云等，打通农产品上行渠道， 促进当地农副产品生产规模化、标准化、品牌化，打造全新的供应链模式，使得所有中间利润直接惠 及农民。</w:t>
      </w:r>
    </w:p>
    <w:p>
      <w:pPr>
        <w:pStyle w:val="Style17"/>
        <w:keepNext w:val="0"/>
        <w:keepLines w:val="0"/>
        <w:widowControl w:val="0"/>
        <w:shd w:val="clear" w:color="auto" w:fill="auto"/>
        <w:bidi w:val="0"/>
        <w:spacing w:before="0" w:after="200" w:line="467" w:lineRule="exact"/>
        <w:ind w:left="0" w:right="0" w:firstLine="460"/>
        <w:jc w:val="both"/>
      </w:pPr>
      <w:r>
        <w:rPr>
          <w:color w:val="000000"/>
          <w:spacing w:val="0"/>
          <w:w w:val="100"/>
          <w:position w:val="0"/>
        </w:rPr>
        <w:t xml:space="preserve">家乐福通过产地直采模式实现助农销售，依托苏鲜生平台，提升农业产品市场竞争力，建设可持 </w:t>
      </w:r>
      <w:r>
        <w:rPr>
          <w:color w:val="000000"/>
          <w:spacing w:val="0"/>
          <w:w w:val="100"/>
          <w:position w:val="0"/>
        </w:rPr>
        <w:t>续发展链条。截至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年底，家乐福采购助农商品约</w:t>
      </w:r>
      <w:r>
        <w:rPr>
          <w:rFonts w:ascii="Times New Roman" w:eastAsia="Times New Roman" w:hAnsi="Times New Roman" w:cs="Times New Roman"/>
          <w:color w:val="000000"/>
          <w:spacing w:val="0"/>
          <w:w w:val="100"/>
          <w:position w:val="0"/>
          <w:sz w:val="22"/>
          <w:szCs w:val="22"/>
        </w:rPr>
        <w:t>700</w:t>
      </w:r>
      <w:r>
        <w:rPr>
          <w:color w:val="000000"/>
          <w:spacing w:val="0"/>
          <w:w w:val="100"/>
          <w:position w:val="0"/>
        </w:rPr>
        <w:t>吨，涉及帮扶地区超过</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个地市县。</w:t>
      </w:r>
    </w:p>
    <w:p>
      <w:pPr>
        <w:pStyle w:val="Style17"/>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公司在巩固拓展脱贫攻坚成果、乡村振兴的具体内容详见</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日巨潮资讯网披露的</w:t>
      </w:r>
    </w:p>
    <w:p>
      <w:pPr>
        <w:pStyle w:val="Style17"/>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年社会责任报告》全文。</w:t>
      </w:r>
      <w:r>
        <w:br w:type="page"/>
      </w:r>
    </w:p>
    <w:p>
      <w:pPr>
        <w:pStyle w:val="Style15"/>
        <w:keepNext/>
        <w:keepLines/>
        <w:widowControl w:val="0"/>
        <w:shd w:val="clear" w:color="auto" w:fill="auto"/>
        <w:bidi w:val="0"/>
        <w:spacing w:before="0" w:after="560" w:line="240" w:lineRule="auto"/>
        <w:ind w:left="0" w:right="0" w:firstLine="0"/>
        <w:jc w:val="center"/>
      </w:pPr>
      <w:bookmarkStart w:id="436" w:name="bookmark436"/>
      <w:bookmarkStart w:id="437" w:name="bookmark437"/>
      <w:bookmarkStart w:id="438" w:name="bookmark438"/>
      <w:r>
        <w:rPr>
          <w:color w:val="000000"/>
          <w:spacing w:val="0"/>
          <w:w w:val="100"/>
          <w:position w:val="0"/>
        </w:rPr>
        <w:t>第七节重要事项</w:t>
      </w:r>
      <w:bookmarkEnd w:id="436"/>
      <w:bookmarkEnd w:id="437"/>
      <w:bookmarkEnd w:id="438"/>
    </w:p>
    <w:p>
      <w:pPr>
        <w:pStyle w:val="Style32"/>
        <w:keepNext/>
        <w:keepLines/>
        <w:widowControl w:val="0"/>
        <w:shd w:val="clear" w:color="auto" w:fill="auto"/>
        <w:bidi w:val="0"/>
        <w:spacing w:before="0" w:after="300" w:line="240" w:lineRule="auto"/>
        <w:ind w:left="0" w:right="0" w:firstLine="240"/>
        <w:jc w:val="left"/>
      </w:pPr>
      <w:bookmarkStart w:id="439" w:name="bookmark439"/>
      <w:bookmarkStart w:id="440" w:name="bookmark440"/>
      <w:bookmarkStart w:id="441" w:name="bookmark441"/>
      <w:bookmarkStart w:id="442" w:name="bookmark442"/>
      <w:r>
        <w:rPr>
          <w:color w:val="000000"/>
          <w:spacing w:val="0"/>
          <w:w w:val="100"/>
          <w:position w:val="0"/>
          <w:sz w:val="24"/>
          <w:szCs w:val="24"/>
        </w:rPr>
        <w:t>、承诺事项履行情况</w:t>
      </w:r>
      <w:bookmarkEnd w:id="440"/>
      <w:bookmarkEnd w:id="441"/>
      <w:bookmarkEnd w:id="442"/>
      <w:bookmarkEnd w:id="439"/>
    </w:p>
    <w:p>
      <w:pPr>
        <w:pStyle w:val="Style35"/>
        <w:keepNext/>
        <w:keepLines/>
        <w:widowControl w:val="0"/>
        <w:shd w:val="clear" w:color="auto" w:fill="auto"/>
        <w:bidi w:val="0"/>
        <w:spacing w:before="0" w:after="400" w:line="470" w:lineRule="exact"/>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sz w:val="22"/>
          <w:szCs w:val="22"/>
        </w:rPr>
        <w:t>1</w:t>
      </w:r>
      <w:bookmarkEnd w:id="445"/>
      <w:r>
        <w:rPr>
          <w:color w:val="000000"/>
          <w:spacing w:val="0"/>
          <w:w w:val="100"/>
          <w:position w:val="0"/>
        </w:rPr>
        <w:t>、公司实际控制人、股东、关联方、收购人以及公司等承诺相关方在报告期内履行完毕及截至报告 期末尚未履行完毕的承诺事项</w:t>
      </w:r>
      <w:bookmarkEnd w:id="443"/>
      <w:bookmarkEnd w:id="444"/>
      <w:bookmarkEnd w:id="446"/>
    </w:p>
    <w:tbl>
      <w:tblPr>
        <w:tblOverlap w:val="never"/>
        <w:jc w:val="center"/>
        <w:tblLayout w:type="fixed"/>
      </w:tblPr>
      <w:tblGrid>
        <w:gridCol w:w="1502"/>
        <w:gridCol w:w="1277"/>
        <w:gridCol w:w="850"/>
        <w:gridCol w:w="3403"/>
        <w:gridCol w:w="850"/>
        <w:gridCol w:w="850"/>
        <w:gridCol w:w="1056"/>
      </w:tblGrid>
      <w:tr>
        <w:trPr>
          <w:trHeight w:val="63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承诺事由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承诺方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color w:val="000000"/>
                <w:spacing w:val="0"/>
                <w:w w:val="100"/>
                <w:position w:val="0"/>
                <w:sz w:val="20"/>
                <w:szCs w:val="20"/>
              </w:rPr>
              <w:t>承诺类 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承诺内容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承诺时 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承诺期 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履行情况</w:t>
            </w:r>
          </w:p>
        </w:tc>
      </w:tr>
      <w:tr>
        <w:trPr>
          <w:trHeight w:val="188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股改承诺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公司原非流 通股东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股份减</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持承诺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股权分置改革中公司原非流通股股 东持续到报告期内的承诺为：通过 证券交易所挂牌交易出售的股份数 量，达到公司股份总数百分之一的， 自该事实发生之日起两个工作日内 做出公告。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2"/>
                <w:szCs w:val="22"/>
              </w:rPr>
              <w:t xml:space="preserve">2005 </w:t>
            </w:r>
            <w:r>
              <w:rPr>
                <w:rFonts w:ascii="SimSun" w:eastAsia="SimSun" w:hAnsi="SimSun" w:cs="SimSun"/>
                <w:color w:val="000000"/>
                <w:spacing w:val="0"/>
                <w:w w:val="100"/>
                <w:position w:val="0"/>
                <w:sz w:val="20"/>
                <w:szCs w:val="20"/>
              </w:rPr>
              <w:t xml:space="preserve">年 </w:t>
            </w:r>
            <w:r>
              <w:rPr>
                <w:color w:val="000000"/>
                <w:spacing w:val="0"/>
                <w:w w:val="100"/>
                <w:position w:val="0"/>
                <w:sz w:val="22"/>
                <w:szCs w:val="22"/>
              </w:rPr>
              <w:t>6</w:t>
            </w:r>
            <w:r>
              <w:rPr>
                <w:rFonts w:ascii="SimSun" w:eastAsia="SimSun" w:hAnsi="SimSun" w:cs="SimSun"/>
                <w:color w:val="000000"/>
                <w:spacing w:val="0"/>
                <w:w w:val="100"/>
                <w:position w:val="0"/>
                <w:sz w:val="20"/>
                <w:szCs w:val="20"/>
              </w:rPr>
              <w:t>月</w:t>
            </w:r>
            <w:r>
              <w:rPr>
                <w:color w:val="000000"/>
                <w:spacing w:val="0"/>
                <w:w w:val="100"/>
                <w:position w:val="0"/>
                <w:sz w:val="22"/>
                <w:szCs w:val="22"/>
              </w:rPr>
              <w:t xml:space="preserve">17 </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无期限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8" w:lineRule="exact"/>
              <w:ind w:left="0" w:right="0" w:firstLine="0"/>
              <w:jc w:val="left"/>
              <w:rPr>
                <w:sz w:val="20"/>
                <w:szCs w:val="20"/>
              </w:rPr>
            </w:pPr>
            <w:r>
              <w:rPr>
                <w:rFonts w:ascii="SimSun" w:eastAsia="SimSun" w:hAnsi="SimSun" w:cs="SimSun"/>
                <w:color w:val="000000"/>
                <w:spacing w:val="0"/>
                <w:w w:val="100"/>
                <w:position w:val="0"/>
                <w:sz w:val="20"/>
                <w:szCs w:val="20"/>
              </w:rPr>
              <w:t>报告期内， 公司原非 流通股股 东均履行 承诺。</w:t>
            </w:r>
          </w:p>
        </w:tc>
      </w:tr>
      <w:tr>
        <w:trPr>
          <w:trHeight w:val="94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收购报告书或</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权益变动报告</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书中所作承诺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资产重组时所 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1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首次公开发行</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或再融资时所</w:t>
            </w:r>
          </w:p>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rPr>
                <w:sz w:val="20"/>
                <w:szCs w:val="20"/>
              </w:rPr>
            </w:pPr>
            <w:r>
              <w:rPr>
                <w:rFonts w:ascii="SimSun" w:eastAsia="SimSun" w:hAnsi="SimSun" w:cs="SimSun"/>
                <w:color w:val="000000"/>
                <w:spacing w:val="0"/>
                <w:w w:val="100"/>
                <w:position w:val="0"/>
                <w:sz w:val="20"/>
                <w:szCs w:val="20"/>
              </w:rPr>
              <w:t>公司股东张 近东先生、苏 宁电器集团 有限公司、陈 金凤女士、赵 蓓女士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同业竞</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争承诺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rPr>
                <w:sz w:val="20"/>
                <w:szCs w:val="20"/>
              </w:rPr>
            </w:pPr>
            <w:r>
              <w:rPr>
                <w:rFonts w:ascii="SimSun" w:eastAsia="SimSun" w:hAnsi="SimSun" w:cs="SimSun"/>
                <w:color w:val="000000"/>
                <w:spacing w:val="0"/>
                <w:w w:val="100"/>
                <w:position w:val="0"/>
                <w:sz w:val="20"/>
                <w:szCs w:val="20"/>
              </w:rPr>
              <w:t>为避免同业竞争损害本公司及其他 股东的利益，公司股东张近东先生、 苏宁电器集团有限公司、陈金凤女 士、赵蓓女士已于</w:t>
            </w:r>
            <w:r>
              <w:rPr>
                <w:color w:val="000000"/>
                <w:spacing w:val="0"/>
                <w:w w:val="100"/>
                <w:position w:val="0"/>
                <w:sz w:val="22"/>
                <w:szCs w:val="22"/>
              </w:rPr>
              <w:t>2002</w:t>
            </w:r>
            <w:r>
              <w:rPr>
                <w:rFonts w:ascii="SimSun" w:eastAsia="SimSun" w:hAnsi="SimSun" w:cs="SimSun"/>
                <w:color w:val="000000"/>
                <w:spacing w:val="0"/>
                <w:w w:val="100"/>
                <w:position w:val="0"/>
                <w:sz w:val="20"/>
                <w:szCs w:val="20"/>
              </w:rPr>
              <w:t>年</w:t>
            </w:r>
            <w:r>
              <w:rPr>
                <w:color w:val="000000"/>
                <w:spacing w:val="0"/>
                <w:w w:val="100"/>
                <w:position w:val="0"/>
                <w:sz w:val="22"/>
                <w:szCs w:val="22"/>
              </w:rPr>
              <w:t>11</w:t>
            </w:r>
            <w:r>
              <w:rPr>
                <w:rFonts w:ascii="SimSun" w:eastAsia="SimSun" w:hAnsi="SimSun" w:cs="SimSun"/>
                <w:color w:val="000000"/>
                <w:spacing w:val="0"/>
                <w:w w:val="100"/>
                <w:position w:val="0"/>
                <w:sz w:val="20"/>
                <w:szCs w:val="20"/>
              </w:rPr>
              <w:t>月</w:t>
            </w:r>
            <w:r>
              <w:rPr>
                <w:color w:val="000000"/>
                <w:spacing w:val="0"/>
                <w:w w:val="100"/>
                <w:position w:val="0"/>
                <w:sz w:val="22"/>
                <w:szCs w:val="22"/>
              </w:rPr>
              <w:t xml:space="preserve">15 </w:t>
            </w:r>
            <w:r>
              <w:rPr>
                <w:rFonts w:ascii="SimSun" w:eastAsia="SimSun" w:hAnsi="SimSun" w:cs="SimSun"/>
                <w:color w:val="000000"/>
                <w:spacing w:val="0"/>
                <w:w w:val="100"/>
                <w:position w:val="0"/>
                <w:sz w:val="20"/>
                <w:szCs w:val="20"/>
              </w:rPr>
              <w:t>日分别向公司出具《不竞争承诺 函》；苏宁电器集团有限公司</w:t>
            </w:r>
            <w:r>
              <w:rPr>
                <w:color w:val="000000"/>
                <w:spacing w:val="0"/>
                <w:w w:val="100"/>
                <w:position w:val="0"/>
                <w:sz w:val="22"/>
                <w:szCs w:val="22"/>
              </w:rPr>
              <w:t xml:space="preserve">2003 </w:t>
            </w:r>
            <w:r>
              <w:rPr>
                <w:rFonts w:ascii="SimSun" w:eastAsia="SimSun" w:hAnsi="SimSun" w:cs="SimSun"/>
                <w:color w:val="000000"/>
                <w:spacing w:val="0"/>
                <w:w w:val="100"/>
                <w:position w:val="0"/>
                <w:sz w:val="20"/>
                <w:szCs w:val="20"/>
              </w:rPr>
              <w:t>年</w:t>
            </w:r>
            <w:r>
              <w:rPr>
                <w:color w:val="000000"/>
                <w:spacing w:val="0"/>
                <w:w w:val="100"/>
                <w:position w:val="0"/>
                <w:sz w:val="22"/>
                <w:szCs w:val="22"/>
              </w:rPr>
              <w:t>3</w:t>
            </w:r>
            <w:r>
              <w:rPr>
                <w:rFonts w:ascii="SimSun" w:eastAsia="SimSun" w:hAnsi="SimSun" w:cs="SimSun"/>
                <w:color w:val="000000"/>
                <w:spacing w:val="0"/>
                <w:w w:val="100"/>
                <w:position w:val="0"/>
                <w:sz w:val="20"/>
                <w:szCs w:val="20"/>
              </w:rPr>
              <w:t>月</w:t>
            </w:r>
            <w:r>
              <w:rPr>
                <w:color w:val="000000"/>
                <w:spacing w:val="0"/>
                <w:w w:val="100"/>
                <w:position w:val="0"/>
                <w:sz w:val="22"/>
                <w:szCs w:val="22"/>
              </w:rPr>
              <w:t>6</w:t>
            </w:r>
            <w:r>
              <w:rPr>
                <w:rFonts w:ascii="SimSun" w:eastAsia="SimSun" w:hAnsi="SimSun" w:cs="SimSun"/>
                <w:color w:val="000000"/>
                <w:spacing w:val="0"/>
                <w:w w:val="100"/>
                <w:position w:val="0"/>
                <w:sz w:val="20"/>
                <w:szCs w:val="20"/>
              </w:rPr>
              <w:t>日出具承诺函，保证今后 避免发生除正常业务外的一切资金 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2"/>
                <w:szCs w:val="22"/>
              </w:rPr>
              <w:t xml:space="preserve">2002 </w:t>
            </w:r>
            <w:r>
              <w:rPr>
                <w:rFonts w:ascii="SimSun" w:eastAsia="SimSun" w:hAnsi="SimSun" w:cs="SimSun"/>
                <w:color w:val="000000"/>
                <w:spacing w:val="0"/>
                <w:w w:val="100"/>
                <w:position w:val="0"/>
                <w:sz w:val="20"/>
                <w:szCs w:val="20"/>
              </w:rPr>
              <w:t>年</w:t>
            </w:r>
          </w:p>
          <w:p>
            <w:pPr>
              <w:pStyle w:val="Style2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2"/>
                <w:szCs w:val="22"/>
              </w:rPr>
              <w:t xml:space="preserve">11 </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 xml:space="preserve">15 </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无期限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rPr>
                <w:sz w:val="20"/>
                <w:szCs w:val="20"/>
              </w:rPr>
            </w:pPr>
            <w:r>
              <w:rPr>
                <w:rFonts w:ascii="SimSun" w:eastAsia="SimSun" w:hAnsi="SimSun" w:cs="SimSun"/>
                <w:color w:val="000000"/>
                <w:spacing w:val="0"/>
                <w:w w:val="100"/>
                <w:position w:val="0"/>
                <w:sz w:val="20"/>
                <w:szCs w:val="20"/>
              </w:rPr>
              <w:t>报告期内， 张近东先 生、苏宁电 器集团有 限公司、陈 金凤女士、 赵蓓女士 均履行承 诺。</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股权激励承诺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1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其他对公司中 小股东所作承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苏宁控股集 团有限公司</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（以下简称</w:t>
            </w:r>
            <w:r>
              <w:rPr>
                <w:color w:val="000000"/>
                <w:spacing w:val="0"/>
                <w:w w:val="100"/>
                <w:position w:val="0"/>
                <w:sz w:val="22"/>
                <w:szCs w:val="22"/>
              </w:rPr>
              <w:t xml:space="preserve">" </w:t>
            </w:r>
            <w:r>
              <w:rPr>
                <w:rFonts w:ascii="SimSun" w:eastAsia="SimSun" w:hAnsi="SimSun" w:cs="SimSun"/>
                <w:color w:val="000000"/>
                <w:spacing w:val="0"/>
                <w:w w:val="100"/>
                <w:position w:val="0"/>
                <w:sz w:val="20"/>
                <w:szCs w:val="20"/>
              </w:rPr>
              <w:t>苏宁控股集 团</w:t>
            </w:r>
            <w:r>
              <w:rPr>
                <w:color w:val="000000"/>
                <w:spacing w:val="0"/>
                <w:w w:val="100"/>
                <w:position w:val="0"/>
                <w:sz w:val="22"/>
                <w:szCs w:val="22"/>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股份锁</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定承诺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rPr>
                <w:sz w:val="20"/>
                <w:szCs w:val="20"/>
              </w:rPr>
            </w:pPr>
            <w:r>
              <w:rPr>
                <w:rFonts w:ascii="SimSun" w:eastAsia="SimSun" w:hAnsi="SimSun" w:cs="SimSun"/>
                <w:color w:val="000000"/>
                <w:spacing w:val="0"/>
                <w:w w:val="100"/>
                <w:position w:val="0"/>
                <w:sz w:val="20"/>
                <w:szCs w:val="20"/>
              </w:rPr>
              <w:t>苏宁控股集团通过大宗交易受让苏 宁易购集团股份有限公司</w:t>
            </w:r>
            <w:r>
              <w:rPr>
                <w:color w:val="000000"/>
                <w:spacing w:val="0"/>
                <w:w w:val="100"/>
                <w:position w:val="0"/>
                <w:sz w:val="22"/>
                <w:szCs w:val="22"/>
              </w:rPr>
              <w:t>2014</w:t>
            </w:r>
            <w:r>
              <w:rPr>
                <w:rFonts w:ascii="SimSun" w:eastAsia="SimSun" w:hAnsi="SimSun" w:cs="SimSun"/>
                <w:color w:val="000000"/>
                <w:spacing w:val="0"/>
                <w:w w:val="100"/>
                <w:position w:val="0"/>
                <w:sz w:val="20"/>
                <w:szCs w:val="20"/>
              </w:rPr>
              <w:t xml:space="preserve">年 员工持股计划所持有的公司股份 </w:t>
            </w:r>
            <w:r>
              <w:rPr>
                <w:color w:val="000000"/>
                <w:spacing w:val="0"/>
                <w:w w:val="100"/>
                <w:position w:val="0"/>
                <w:sz w:val="22"/>
                <w:szCs w:val="22"/>
              </w:rPr>
              <w:t>61,056,374</w:t>
            </w:r>
            <w:r>
              <w:rPr>
                <w:rFonts w:ascii="SimSun" w:eastAsia="SimSun" w:hAnsi="SimSun" w:cs="SimSun"/>
                <w:color w:val="000000"/>
                <w:spacing w:val="0"/>
                <w:w w:val="100"/>
                <w:position w:val="0"/>
                <w:sz w:val="20"/>
                <w:szCs w:val="20"/>
              </w:rPr>
              <w:t>股，占公司总股本比例 的</w:t>
            </w:r>
            <w:r>
              <w:rPr>
                <w:color w:val="000000"/>
                <w:spacing w:val="0"/>
                <w:w w:val="100"/>
                <w:position w:val="0"/>
                <w:sz w:val="22"/>
                <w:szCs w:val="22"/>
              </w:rPr>
              <w:t>0.66%</w:t>
            </w:r>
            <w:r>
              <w:rPr>
                <w:rFonts w:ascii="SimSun" w:eastAsia="SimSun" w:hAnsi="SimSun" w:cs="SimSun"/>
                <w:color w:val="000000"/>
                <w:spacing w:val="0"/>
                <w:w w:val="100"/>
                <w:position w:val="0"/>
                <w:sz w:val="20"/>
                <w:szCs w:val="20"/>
              </w:rPr>
              <w:t xml:space="preserve">。苏宁控股集团承诺自 </w:t>
            </w:r>
            <w:r>
              <w:rPr>
                <w:color w:val="000000"/>
                <w:spacing w:val="0"/>
                <w:w w:val="100"/>
                <w:position w:val="0"/>
                <w:sz w:val="22"/>
                <w:szCs w:val="22"/>
              </w:rPr>
              <w:t>2019</w:t>
            </w:r>
            <w:r>
              <w:rPr>
                <w:rFonts w:ascii="SimSun" w:eastAsia="SimSun" w:hAnsi="SimSun" w:cs="SimSun"/>
                <w:color w:val="000000"/>
                <w:spacing w:val="0"/>
                <w:w w:val="100"/>
                <w:position w:val="0"/>
                <w:sz w:val="20"/>
                <w:szCs w:val="20"/>
              </w:rPr>
              <w:t>年</w:t>
            </w:r>
            <w:r>
              <w:rPr>
                <w:color w:val="000000"/>
                <w:spacing w:val="0"/>
                <w:w w:val="100"/>
                <w:position w:val="0"/>
                <w:sz w:val="22"/>
                <w:szCs w:val="22"/>
              </w:rPr>
              <w:t>1</w:t>
            </w:r>
            <w:r>
              <w:rPr>
                <w:rFonts w:ascii="SimSun" w:eastAsia="SimSun" w:hAnsi="SimSun" w:cs="SimSun"/>
                <w:color w:val="000000"/>
                <w:spacing w:val="0"/>
                <w:w w:val="100"/>
                <w:position w:val="0"/>
                <w:sz w:val="20"/>
                <w:szCs w:val="20"/>
              </w:rPr>
              <w:t>月</w:t>
            </w:r>
            <w:r>
              <w:rPr>
                <w:color w:val="000000"/>
                <w:spacing w:val="0"/>
                <w:w w:val="100"/>
                <w:position w:val="0"/>
                <w:sz w:val="22"/>
                <w:szCs w:val="22"/>
              </w:rPr>
              <w:t>18</w:t>
            </w:r>
            <w:r>
              <w:rPr>
                <w:rFonts w:ascii="SimSun" w:eastAsia="SimSun" w:hAnsi="SimSun" w:cs="SimSun"/>
                <w:color w:val="000000"/>
                <w:spacing w:val="0"/>
                <w:w w:val="100"/>
                <w:position w:val="0"/>
                <w:sz w:val="20"/>
                <w:szCs w:val="20"/>
              </w:rPr>
              <w:t>日起三十六个月内 不减持本次增持股份。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2"/>
                <w:szCs w:val="22"/>
              </w:rPr>
              <w:t xml:space="preserve">2019 </w:t>
            </w:r>
            <w:r>
              <w:rPr>
                <w:rFonts w:ascii="SimSun" w:eastAsia="SimSun" w:hAnsi="SimSun" w:cs="SimSun"/>
                <w:color w:val="000000"/>
                <w:spacing w:val="0"/>
                <w:w w:val="100"/>
                <w:position w:val="0"/>
                <w:sz w:val="20"/>
                <w:szCs w:val="20"/>
              </w:rPr>
              <w:t xml:space="preserve">年 </w:t>
            </w:r>
            <w:r>
              <w:rPr>
                <w:color w:val="000000"/>
                <w:spacing w:val="0"/>
                <w:w w:val="100"/>
                <w:position w:val="0"/>
                <w:sz w:val="22"/>
                <w:szCs w:val="22"/>
              </w:rPr>
              <w:t>1</w:t>
            </w:r>
            <w:r>
              <w:rPr>
                <w:rFonts w:ascii="SimSun" w:eastAsia="SimSun" w:hAnsi="SimSun" w:cs="SimSun"/>
                <w:color w:val="000000"/>
                <w:spacing w:val="0"/>
                <w:w w:val="100"/>
                <w:position w:val="0"/>
                <w:sz w:val="20"/>
                <w:szCs w:val="20"/>
              </w:rPr>
              <w:t>月</w:t>
            </w:r>
            <w:r>
              <w:rPr>
                <w:color w:val="000000"/>
                <w:spacing w:val="0"/>
                <w:w w:val="100"/>
                <w:position w:val="0"/>
                <w:sz w:val="22"/>
                <w:szCs w:val="22"/>
              </w:rPr>
              <w:t xml:space="preserve">18 </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left"/>
              <w:rPr>
                <w:sz w:val="20"/>
                <w:szCs w:val="20"/>
              </w:rPr>
            </w:pPr>
            <w:r>
              <w:rPr>
                <w:color w:val="000000"/>
                <w:spacing w:val="0"/>
                <w:w w:val="100"/>
                <w:position w:val="0"/>
                <w:sz w:val="22"/>
                <w:szCs w:val="22"/>
              </w:rPr>
              <w:t xml:space="preserve">2019 </w:t>
            </w:r>
            <w:r>
              <w:rPr>
                <w:rFonts w:ascii="SimSun" w:eastAsia="SimSun" w:hAnsi="SimSun" w:cs="SimSun"/>
                <w:color w:val="000000"/>
                <w:spacing w:val="0"/>
                <w:w w:val="100"/>
                <w:position w:val="0"/>
                <w:sz w:val="20"/>
                <w:szCs w:val="20"/>
              </w:rPr>
              <w:t xml:space="preserve">年 </w:t>
            </w:r>
            <w:r>
              <w:rPr>
                <w:color w:val="000000"/>
                <w:spacing w:val="0"/>
                <w:w w:val="100"/>
                <w:position w:val="0"/>
                <w:sz w:val="22"/>
                <w:szCs w:val="22"/>
              </w:rPr>
              <w:t>1</w:t>
            </w:r>
            <w:r>
              <w:rPr>
                <w:rFonts w:ascii="SimSun" w:eastAsia="SimSun" w:hAnsi="SimSun" w:cs="SimSun"/>
                <w:color w:val="000000"/>
                <w:spacing w:val="0"/>
                <w:w w:val="100"/>
                <w:position w:val="0"/>
                <w:sz w:val="20"/>
                <w:szCs w:val="20"/>
              </w:rPr>
              <w:t>月</w:t>
            </w:r>
            <w:r>
              <w:rPr>
                <w:color w:val="000000"/>
                <w:spacing w:val="0"/>
                <w:w w:val="100"/>
                <w:position w:val="0"/>
                <w:sz w:val="22"/>
                <w:szCs w:val="22"/>
              </w:rPr>
              <w:t xml:space="preserve">18 </w:t>
            </w:r>
            <w:r>
              <w:rPr>
                <w:rFonts w:ascii="SimSun" w:eastAsia="SimSun" w:hAnsi="SimSun" w:cs="SimSun"/>
                <w:color w:val="000000"/>
                <w:spacing w:val="0"/>
                <w:w w:val="100"/>
                <w:position w:val="0"/>
                <w:sz w:val="20"/>
                <w:szCs w:val="20"/>
              </w:rPr>
              <w:t>日至</w:t>
            </w:r>
          </w:p>
          <w:p>
            <w:pPr>
              <w:pStyle w:val="Style29"/>
              <w:keepNext w:val="0"/>
              <w:keepLines w:val="0"/>
              <w:widowControl w:val="0"/>
              <w:shd w:val="clear" w:color="auto" w:fill="auto"/>
              <w:bidi w:val="0"/>
              <w:spacing w:before="0" w:after="0" w:line="318" w:lineRule="exact"/>
              <w:ind w:left="0" w:right="0" w:firstLine="0"/>
              <w:jc w:val="left"/>
              <w:rPr>
                <w:sz w:val="20"/>
                <w:szCs w:val="20"/>
              </w:rPr>
            </w:pPr>
            <w:r>
              <w:rPr>
                <w:color w:val="000000"/>
                <w:spacing w:val="0"/>
                <w:w w:val="100"/>
                <w:position w:val="0"/>
                <w:sz w:val="22"/>
                <w:szCs w:val="22"/>
              </w:rPr>
              <w:t xml:space="preserve">2022 </w:t>
            </w:r>
            <w:r>
              <w:rPr>
                <w:rFonts w:ascii="SimSun" w:eastAsia="SimSun" w:hAnsi="SimSun" w:cs="SimSun"/>
                <w:color w:val="000000"/>
                <w:spacing w:val="0"/>
                <w:w w:val="100"/>
                <w:position w:val="0"/>
                <w:sz w:val="20"/>
                <w:szCs w:val="20"/>
              </w:rPr>
              <w:t xml:space="preserve">年 </w:t>
            </w:r>
            <w:r>
              <w:rPr>
                <w:color w:val="000000"/>
                <w:spacing w:val="0"/>
                <w:w w:val="100"/>
                <w:position w:val="0"/>
                <w:sz w:val="22"/>
                <w:szCs w:val="22"/>
              </w:rPr>
              <w:t>1</w:t>
            </w:r>
            <w:r>
              <w:rPr>
                <w:rFonts w:ascii="SimSun" w:eastAsia="SimSun" w:hAnsi="SimSun" w:cs="SimSun"/>
                <w:color w:val="000000"/>
                <w:spacing w:val="0"/>
                <w:w w:val="100"/>
                <w:position w:val="0"/>
                <w:sz w:val="20"/>
                <w:szCs w:val="20"/>
              </w:rPr>
              <w:t>月</w:t>
            </w:r>
            <w:r>
              <w:rPr>
                <w:color w:val="000000"/>
                <w:spacing w:val="0"/>
                <w:w w:val="100"/>
                <w:position w:val="0"/>
                <w:sz w:val="22"/>
                <w:szCs w:val="22"/>
              </w:rPr>
              <w:t xml:space="preserve">17 </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报告期内， 苏宁控股 集团履行 承诺。</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承诺是否按时 履行</w:t>
            </w:r>
          </w:p>
        </w:tc>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r>
        <w:trPr>
          <w:trHeight w:val="64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如承诺超期未 履行完毕的，应</w:t>
            </w:r>
          </w:p>
        </w:tc>
        <w:tc>
          <w:tcPr>
            <w:gridSpan w:val="6"/>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r>
    </w:tbl>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当详细说明未</w:t>
      </w:r>
    </w:p>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完成履行的具</w:t>
      </w:r>
    </w:p>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体原因及下一</w:t>
      </w:r>
    </w:p>
    <w:p>
      <w:pPr>
        <w:pStyle w:val="Style17"/>
        <w:keepNext w:val="0"/>
        <w:keepLines w:val="0"/>
        <w:widowControl w:val="0"/>
        <w:shd w:val="clear" w:color="auto" w:fill="auto"/>
        <w:bidi w:val="0"/>
        <w:spacing w:before="0" w:after="260" w:line="240" w:lineRule="auto"/>
        <w:ind w:left="0" w:right="0" w:firstLine="0"/>
        <w:jc w:val="both"/>
      </w:pPr>
      <w:r>
        <w:rPr>
          <w:color w:val="000000"/>
          <w:spacing w:val="0"/>
          <w:w w:val="100"/>
          <w:position w:val="0"/>
        </w:rPr>
        <w:t>步的工作计划</w:t>
      </w:r>
    </w:p>
    <w:p>
      <w:pPr>
        <w:pStyle w:val="Style35"/>
        <w:keepNext/>
        <w:keepLines/>
        <w:widowControl w:val="0"/>
        <w:shd w:val="clear" w:color="auto" w:fill="auto"/>
        <w:bidi w:val="0"/>
        <w:spacing w:before="0" w:after="500" w:line="475" w:lineRule="exact"/>
        <w:ind w:left="0" w:right="0" w:firstLine="0"/>
        <w:jc w:val="both"/>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sz w:val="22"/>
          <w:szCs w:val="22"/>
        </w:rPr>
        <w:t>2</w:t>
      </w:r>
      <w:bookmarkEnd w:id="449"/>
      <w:r>
        <w:rPr>
          <w:color w:val="000000"/>
          <w:spacing w:val="0"/>
          <w:w w:val="100"/>
          <w:position w:val="0"/>
        </w:rPr>
        <w:t>、公司资产或项目存在盈利预测，且报告期仍处在盈利预测期间，公司就资产或项目达到原盈利预 测及其原因做出说明</w:t>
      </w:r>
      <w:bookmarkEnd w:id="447"/>
      <w:bookmarkEnd w:id="448"/>
      <w:bookmarkEnd w:id="450"/>
    </w:p>
    <w:p>
      <w:pPr>
        <w:pStyle w:val="Style17"/>
        <w:keepNext w:val="0"/>
        <w:keepLines w:val="0"/>
        <w:widowControl w:val="0"/>
        <w:shd w:val="clear" w:color="auto" w:fill="auto"/>
        <w:bidi w:val="0"/>
        <w:spacing w:before="0" w:after="60" w:line="446"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2"/>
        <w:keepNext/>
        <w:keepLines/>
        <w:widowControl w:val="0"/>
        <w:shd w:val="clear" w:color="auto" w:fill="auto"/>
        <w:tabs>
          <w:tab w:pos="517" w:val="left"/>
        </w:tabs>
        <w:bidi w:val="0"/>
        <w:spacing w:before="0" w:after="500" w:line="469" w:lineRule="exact"/>
        <w:ind w:left="0" w:right="0" w:firstLine="0"/>
        <w:jc w:val="both"/>
      </w:pPr>
      <w:bookmarkStart w:id="451" w:name="bookmark451"/>
      <w:bookmarkStart w:id="452" w:name="bookmark452"/>
      <w:bookmarkStart w:id="453" w:name="bookmark453"/>
      <w:bookmarkStart w:id="454" w:name="bookmark454"/>
      <w:r>
        <w:rPr>
          <w:color w:val="000000"/>
          <w:spacing w:val="0"/>
          <w:w w:val="100"/>
          <w:position w:val="0"/>
          <w:sz w:val="24"/>
          <w:szCs w:val="24"/>
        </w:rPr>
        <w:t>二</w:t>
      </w:r>
      <w:bookmarkEnd w:id="453"/>
      <w:r>
        <w:rPr>
          <w:color w:val="000000"/>
          <w:spacing w:val="0"/>
          <w:w w:val="100"/>
          <w:position w:val="0"/>
          <w:sz w:val="24"/>
          <w:szCs w:val="24"/>
        </w:rPr>
        <w:t>、</w:t>
        <w:tab/>
        <w:t>控股股东及其他关联方对上市公司的非经营性占用资金情况</w:t>
      </w:r>
      <w:bookmarkEnd w:id="451"/>
      <w:bookmarkEnd w:id="452"/>
      <w:bookmarkEnd w:id="454"/>
    </w:p>
    <w:p>
      <w:pPr>
        <w:pStyle w:val="Style17"/>
        <w:keepNext w:val="0"/>
        <w:keepLines w:val="0"/>
        <w:widowControl w:val="0"/>
        <w:shd w:val="clear" w:color="auto" w:fill="auto"/>
        <w:bidi w:val="0"/>
        <w:spacing w:before="0" w:after="0" w:line="446"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300" w:line="469" w:lineRule="exact"/>
        <w:ind w:left="0" w:right="0" w:firstLine="460"/>
        <w:jc w:val="both"/>
      </w:pPr>
      <w:r>
        <w:rPr>
          <w:color w:val="000000"/>
          <w:spacing w:val="0"/>
          <w:w w:val="100"/>
          <w:position w:val="0"/>
        </w:rPr>
        <w:t>公司报告期不存在控股股东及其他关联方对上市公司的非经营性占用资金。</w:t>
      </w:r>
    </w:p>
    <w:p>
      <w:pPr>
        <w:pStyle w:val="Style32"/>
        <w:keepNext/>
        <w:keepLines/>
        <w:widowControl w:val="0"/>
        <w:shd w:val="clear" w:color="auto" w:fill="auto"/>
        <w:tabs>
          <w:tab w:pos="522" w:val="left"/>
        </w:tabs>
        <w:bidi w:val="0"/>
        <w:spacing w:before="0" w:after="500" w:line="469" w:lineRule="exact"/>
        <w:ind w:left="0" w:right="0" w:firstLine="0"/>
        <w:jc w:val="both"/>
      </w:pPr>
      <w:bookmarkStart w:id="455" w:name="bookmark455"/>
      <w:bookmarkStart w:id="456" w:name="bookmark456"/>
      <w:bookmarkStart w:id="457" w:name="bookmark457"/>
      <w:bookmarkStart w:id="458" w:name="bookmark458"/>
      <w:r>
        <w:rPr>
          <w:color w:val="000000"/>
          <w:spacing w:val="0"/>
          <w:w w:val="100"/>
          <w:position w:val="0"/>
          <w:sz w:val="24"/>
          <w:szCs w:val="24"/>
        </w:rPr>
        <w:t>三</w:t>
      </w:r>
      <w:bookmarkEnd w:id="457"/>
      <w:r>
        <w:rPr>
          <w:color w:val="000000"/>
          <w:spacing w:val="0"/>
          <w:w w:val="100"/>
          <w:position w:val="0"/>
          <w:sz w:val="24"/>
          <w:szCs w:val="24"/>
        </w:rPr>
        <w:t>、</w:t>
        <w:tab/>
        <w:t>违规对外担保情况</w:t>
      </w:r>
      <w:bookmarkEnd w:id="455"/>
      <w:bookmarkEnd w:id="456"/>
      <w:bookmarkEnd w:id="458"/>
    </w:p>
    <w:p>
      <w:pPr>
        <w:pStyle w:val="Style17"/>
        <w:keepNext w:val="0"/>
        <w:keepLines w:val="0"/>
        <w:widowControl w:val="0"/>
        <w:shd w:val="clear" w:color="auto" w:fill="auto"/>
        <w:bidi w:val="0"/>
        <w:spacing w:before="0" w:after="0" w:line="446"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300" w:line="469" w:lineRule="exact"/>
        <w:ind w:left="0" w:right="0" w:firstLine="460"/>
        <w:jc w:val="both"/>
      </w:pPr>
      <w:r>
        <w:rPr>
          <w:color w:val="000000"/>
          <w:spacing w:val="0"/>
          <w:w w:val="100"/>
          <w:position w:val="0"/>
        </w:rPr>
        <w:t>公司报告期无违规对外担保情况。</w:t>
      </w:r>
    </w:p>
    <w:p>
      <w:pPr>
        <w:pStyle w:val="Style32"/>
        <w:keepNext/>
        <w:keepLines/>
        <w:widowControl w:val="0"/>
        <w:shd w:val="clear" w:color="auto" w:fill="auto"/>
        <w:tabs>
          <w:tab w:pos="522" w:val="left"/>
        </w:tabs>
        <w:bidi w:val="0"/>
        <w:spacing w:before="0" w:after="500" w:line="469" w:lineRule="exact"/>
        <w:ind w:left="0" w:right="0" w:firstLine="0"/>
        <w:jc w:val="both"/>
      </w:pPr>
      <w:bookmarkStart w:id="459" w:name="bookmark459"/>
      <w:bookmarkStart w:id="460" w:name="bookmark460"/>
      <w:bookmarkStart w:id="461" w:name="bookmark461"/>
      <w:bookmarkStart w:id="462" w:name="bookmark462"/>
      <w:r>
        <w:rPr>
          <w:color w:val="000000"/>
          <w:spacing w:val="0"/>
          <w:w w:val="100"/>
          <w:position w:val="0"/>
          <w:sz w:val="24"/>
          <w:szCs w:val="24"/>
        </w:rPr>
        <w:t>四</w:t>
      </w:r>
      <w:bookmarkEnd w:id="46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59"/>
      <w:bookmarkEnd w:id="460"/>
      <w:bookmarkEnd w:id="462"/>
    </w:p>
    <w:p>
      <w:pPr>
        <w:pStyle w:val="Style17"/>
        <w:keepNext w:val="0"/>
        <w:keepLines w:val="0"/>
        <w:widowControl w:val="0"/>
        <w:shd w:val="clear" w:color="auto" w:fill="auto"/>
        <w:bidi w:val="0"/>
        <w:spacing w:before="0" w:after="60" w:line="446"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2"/>
        <w:keepNext/>
        <w:keepLines/>
        <w:widowControl w:val="0"/>
        <w:shd w:val="clear" w:color="auto" w:fill="auto"/>
        <w:tabs>
          <w:tab w:pos="522" w:val="left"/>
        </w:tabs>
        <w:bidi w:val="0"/>
        <w:spacing w:before="0" w:after="260" w:line="469" w:lineRule="exact"/>
        <w:ind w:left="0" w:right="0" w:firstLine="0"/>
        <w:jc w:val="both"/>
      </w:pPr>
      <w:bookmarkStart w:id="463" w:name="bookmark463"/>
      <w:bookmarkStart w:id="464" w:name="bookmark464"/>
      <w:bookmarkStart w:id="465" w:name="bookmark465"/>
      <w:bookmarkStart w:id="466" w:name="bookmark466"/>
      <w:r>
        <w:rPr>
          <w:color w:val="000000"/>
          <w:spacing w:val="0"/>
          <w:w w:val="100"/>
          <w:position w:val="0"/>
          <w:sz w:val="24"/>
          <w:szCs w:val="24"/>
        </w:rPr>
        <w:t>五</w:t>
      </w:r>
      <w:bookmarkEnd w:id="46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63"/>
      <w:bookmarkEnd w:id="464"/>
      <w:bookmarkEnd w:id="466"/>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普华永道中天会计师事务所（特殊普通合伙）（以下简称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普华永道</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）为公司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年年度财务报 告出具了带与持续经营相关的重大不确定性段落的无保留意见审计报告。</w:t>
      </w:r>
    </w:p>
    <w:p>
      <w:pPr>
        <w:pStyle w:val="Style1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“三、与持续经营相关的重大不确定性</w:t>
      </w:r>
    </w:p>
    <w:p>
      <w:pPr>
        <w:pStyle w:val="Style17"/>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我们提请财务报表使用者关注，如合并财务报表附注二</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所述，苏宁易购于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年度合并净亏 损为人民币</w:t>
      </w:r>
      <w:r>
        <w:rPr>
          <w:rFonts w:ascii="Times New Roman" w:eastAsia="Times New Roman" w:hAnsi="Times New Roman" w:cs="Times New Roman"/>
          <w:color w:val="000000"/>
          <w:spacing w:val="0"/>
          <w:w w:val="100"/>
          <w:position w:val="0"/>
          <w:sz w:val="22"/>
          <w:szCs w:val="22"/>
        </w:rPr>
        <w:t>441.79</w:t>
      </w:r>
      <w:r>
        <w:rPr>
          <w:color w:val="000000"/>
          <w:spacing w:val="0"/>
          <w:w w:val="100"/>
          <w:position w:val="0"/>
        </w:rPr>
        <w:t>亿元，经营活动现金净流出为人民币</w:t>
      </w:r>
      <w:r>
        <w:rPr>
          <w:rFonts w:ascii="Times New Roman" w:eastAsia="Times New Roman" w:hAnsi="Times New Roman" w:cs="Times New Roman"/>
          <w:color w:val="000000"/>
          <w:spacing w:val="0"/>
          <w:w w:val="100"/>
          <w:position w:val="0"/>
          <w:sz w:val="22"/>
          <w:szCs w:val="22"/>
        </w:rPr>
        <w:t>64.30</w:t>
      </w:r>
      <w:r>
        <w:rPr>
          <w:color w:val="000000"/>
          <w:spacing w:val="0"/>
          <w:w w:val="100"/>
          <w:position w:val="0"/>
        </w:rPr>
        <w:t>亿元。于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日，苏宁易 购的流动负债超出流动资产为人民币</w:t>
      </w:r>
      <w:r>
        <w:rPr>
          <w:rFonts w:ascii="Times New Roman" w:eastAsia="Times New Roman" w:hAnsi="Times New Roman" w:cs="Times New Roman"/>
          <w:color w:val="000000"/>
          <w:spacing w:val="0"/>
          <w:w w:val="100"/>
          <w:position w:val="0"/>
          <w:sz w:val="22"/>
          <w:szCs w:val="22"/>
        </w:rPr>
        <w:t>349.94</w:t>
      </w:r>
      <w:r>
        <w:rPr>
          <w:color w:val="000000"/>
          <w:spacing w:val="0"/>
          <w:w w:val="100"/>
          <w:position w:val="0"/>
        </w:rPr>
        <w:t>亿元，现金及现金等价物余额为人民币</w:t>
      </w:r>
      <w:r>
        <w:rPr>
          <w:rFonts w:ascii="Times New Roman" w:eastAsia="Times New Roman" w:hAnsi="Times New Roman" w:cs="Times New Roman"/>
          <w:color w:val="000000"/>
          <w:spacing w:val="0"/>
          <w:w w:val="100"/>
          <w:position w:val="0"/>
          <w:sz w:val="22"/>
          <w:szCs w:val="22"/>
        </w:rPr>
        <w:t>41.62</w:t>
      </w:r>
      <w:r>
        <w:rPr>
          <w:color w:val="000000"/>
          <w:spacing w:val="0"/>
          <w:w w:val="100"/>
          <w:position w:val="0"/>
        </w:rPr>
        <w:t>亿元。于</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年度，苏宁易购由于未能履行若干银行借款协议中的约定条款而触发了部分银行借款合同中的违约或 交叉违约条款</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以下合称“违约事项”</w:t>
      </w:r>
      <w:r>
        <w:rPr>
          <w:color w:val="000000"/>
          <w:spacing w:val="0"/>
          <w:w w:val="100"/>
          <w:position w:val="0"/>
          <w:sz w:val="22"/>
          <w:szCs w:val="22"/>
        </w:rPr>
        <w:t>）</w:t>
      </w:r>
      <w:r>
        <w:rPr>
          <w:color w:val="000000"/>
          <w:spacing w:val="0"/>
          <w:w w:val="100"/>
          <w:position w:val="0"/>
        </w:rPr>
        <w:t>。于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 xml:space="preserve">日，该等违约事项导致相关银行及其他金 </w:t>
      </w:r>
      <w:r>
        <w:rPr>
          <w:color w:val="000000"/>
          <w:spacing w:val="0"/>
          <w:w w:val="100"/>
          <w:position w:val="0"/>
        </w:rPr>
        <w:t>融机构有权要求苏宁易购提前偿还共计人民币</w:t>
      </w:r>
      <w:r>
        <w:rPr>
          <w:rFonts w:ascii="Times New Roman" w:eastAsia="Times New Roman" w:hAnsi="Times New Roman" w:cs="Times New Roman"/>
          <w:color w:val="000000"/>
          <w:spacing w:val="0"/>
          <w:w w:val="100"/>
          <w:position w:val="0"/>
          <w:sz w:val="22"/>
          <w:szCs w:val="22"/>
        </w:rPr>
        <w:t>191.05</w:t>
      </w:r>
      <w:r>
        <w:rPr>
          <w:color w:val="000000"/>
          <w:spacing w:val="0"/>
          <w:w w:val="100"/>
          <w:position w:val="0"/>
        </w:rPr>
        <w:t>亿元的银行借款本金及利息。此外，于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日，苏宁易购部分应付款项共约人民币</w:t>
      </w:r>
      <w:r>
        <w:rPr>
          <w:rFonts w:ascii="Times New Roman" w:eastAsia="Times New Roman" w:hAnsi="Times New Roman" w:cs="Times New Roman"/>
          <w:color w:val="000000"/>
          <w:spacing w:val="0"/>
          <w:w w:val="100"/>
          <w:position w:val="0"/>
          <w:sz w:val="22"/>
          <w:szCs w:val="22"/>
        </w:rPr>
        <w:t>328.93</w:t>
      </w:r>
      <w:r>
        <w:rPr>
          <w:color w:val="000000"/>
          <w:spacing w:val="0"/>
          <w:w w:val="100"/>
          <w:position w:val="0"/>
        </w:rPr>
        <w:t>亿元亦已逾期未支付。上述事项，连同财务报 表附注二</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所述的其他事项，表明存在可能导致对苏宁易购持续经营能力产生重大疑虑的重大不确定 性。本事项不影响已发表的审计意见。”</w:t>
      </w:r>
    </w:p>
    <w:p>
      <w:pPr>
        <w:pStyle w:val="Style35"/>
        <w:keepNext/>
        <w:keepLines/>
        <w:widowControl w:val="0"/>
        <w:shd w:val="clear" w:color="auto" w:fill="auto"/>
        <w:bidi w:val="0"/>
        <w:spacing w:before="0" w:line="471" w:lineRule="exact"/>
        <w:ind w:left="0" w:right="0" w:firstLine="0"/>
        <w:jc w:val="both"/>
      </w:pPr>
      <w:bookmarkStart w:id="467" w:name="bookmark467"/>
      <w:bookmarkStart w:id="468" w:name="bookmark468"/>
      <w:bookmarkStart w:id="469" w:name="bookmark469"/>
      <w:r>
        <w:rPr>
          <w:color w:val="000000"/>
          <w:spacing w:val="0"/>
          <w:w w:val="100"/>
          <w:position w:val="0"/>
        </w:rPr>
        <w:t>(一)公司董事会说明</w:t>
      </w:r>
      <w:bookmarkEnd w:id="467"/>
      <w:bookmarkEnd w:id="468"/>
      <w:bookmarkEnd w:id="469"/>
    </w:p>
    <w:p>
      <w:pPr>
        <w:pStyle w:val="Style17"/>
        <w:keepNext w:val="0"/>
        <w:keepLines w:val="0"/>
        <w:widowControl w:val="0"/>
        <w:shd w:val="clear" w:color="auto" w:fill="auto"/>
        <w:bidi w:val="0"/>
        <w:spacing w:before="0" w:after="0" w:line="471" w:lineRule="exact"/>
        <w:ind w:left="0" w:right="0" w:firstLine="460"/>
        <w:jc w:val="left"/>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年公司遇到了较大的流动性压力，在江苏省、南京市党委政府、战略股东的支持下，正在逐 步恢复各项工作，并取得一定的成效。但由于疫情的反复，行业的快速变化及激烈竞争使得企业的经 营提升面临较多的外部不确定性，加之企业内部运营资金仍不足，应付款超期较多，面临较大的偿付 压力。公司董事会积极采取各项举措，增加资金回笼，增强流动性，保障公司的持续经营能力。</w:t>
      </w:r>
    </w:p>
    <w:p>
      <w:pPr>
        <w:pStyle w:val="Style17"/>
        <w:keepNext w:val="0"/>
        <w:keepLines w:val="0"/>
        <w:widowControl w:val="0"/>
        <w:shd w:val="clear" w:color="auto" w:fill="auto"/>
        <w:tabs>
          <w:tab w:pos="766" w:val="left"/>
        </w:tabs>
        <w:bidi w:val="0"/>
        <w:spacing w:before="0" w:after="0" w:line="471" w:lineRule="exact"/>
        <w:ind w:left="0" w:right="0" w:firstLine="460"/>
        <w:jc w:val="left"/>
      </w:pPr>
      <w:bookmarkStart w:id="470" w:name="bookmark470"/>
      <w:r>
        <w:rPr>
          <w:rFonts w:ascii="Times New Roman" w:eastAsia="Times New Roman" w:hAnsi="Times New Roman" w:cs="Times New Roman"/>
          <w:color w:val="000000"/>
          <w:spacing w:val="0"/>
          <w:w w:val="100"/>
          <w:position w:val="0"/>
          <w:sz w:val="22"/>
          <w:szCs w:val="22"/>
        </w:rPr>
        <w:t>1</w:t>
      </w:r>
      <w:bookmarkEnd w:id="470"/>
      <w:r>
        <w:rPr>
          <w:color w:val="000000"/>
          <w:spacing w:val="0"/>
          <w:w w:val="100"/>
          <w:position w:val="0"/>
        </w:rPr>
        <w:t>、</w:t>
        <w:tab/>
        <w:t>银行授信方面，在江苏省政府相关部门的支持下，公司联合授信委员会运作良性，未出现因 为</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年业绩亏损及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年年内实际控制人变更事项被合作银行要求提前还款或者宣布违约等情形， 自联合授信委员会成立日起至本报告披露日，公司存量信贷保持稳定，且取得了约</w:t>
      </w:r>
      <w:r>
        <w:rPr>
          <w:rFonts w:ascii="Times New Roman" w:eastAsia="Times New Roman" w:hAnsi="Times New Roman" w:cs="Times New Roman"/>
          <w:color w:val="000000"/>
          <w:spacing w:val="0"/>
          <w:w w:val="100"/>
          <w:position w:val="0"/>
          <w:sz w:val="22"/>
          <w:szCs w:val="22"/>
        </w:rPr>
        <w:t>105</w:t>
      </w:r>
      <w:r>
        <w:rPr>
          <w:color w:val="000000"/>
          <w:spacing w:val="0"/>
          <w:w w:val="100"/>
          <w:position w:val="0"/>
        </w:rPr>
        <w:t>亿元的增量融 资额度。</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年，公司进一步深化苏宁易购联合授信委员会的运作机制，一方面加强与银行的积极沟 通，建立长期合作业务关系，保障存量的稳定；另一方面，随着公司经营业绩的逐步改善，在联信委 的积极协调下获得更多的增量授信，更好的保障企业的稳健经营。</w:t>
      </w:r>
    </w:p>
    <w:p>
      <w:pPr>
        <w:pStyle w:val="Style17"/>
        <w:keepNext w:val="0"/>
        <w:keepLines w:val="0"/>
        <w:widowControl w:val="0"/>
        <w:shd w:val="clear" w:color="auto" w:fill="auto"/>
        <w:tabs>
          <w:tab w:pos="766" w:val="left"/>
        </w:tabs>
        <w:bidi w:val="0"/>
        <w:spacing w:before="0" w:after="0" w:line="471" w:lineRule="exact"/>
        <w:ind w:left="0" w:right="0" w:firstLine="460"/>
        <w:jc w:val="left"/>
      </w:pPr>
      <w:bookmarkStart w:id="471" w:name="bookmark471"/>
      <w:r>
        <w:rPr>
          <w:rFonts w:ascii="Times New Roman" w:eastAsia="Times New Roman" w:hAnsi="Times New Roman" w:cs="Times New Roman"/>
          <w:color w:val="000000"/>
          <w:spacing w:val="0"/>
          <w:w w:val="100"/>
          <w:position w:val="0"/>
          <w:sz w:val="22"/>
          <w:szCs w:val="22"/>
        </w:rPr>
        <w:t>2</w:t>
      </w:r>
      <w:bookmarkEnd w:id="471"/>
      <w:r>
        <w:rPr>
          <w:color w:val="000000"/>
          <w:spacing w:val="0"/>
          <w:w w:val="100"/>
          <w:position w:val="0"/>
        </w:rPr>
        <w:t>、</w:t>
        <w:tab/>
        <w:t>经营方面，公司将继续严控各项经营开支，积极采取各项措施支持业务发展以改善经营活动 现金流。</w:t>
      </w:r>
    </w:p>
    <w:p>
      <w:pPr>
        <w:pStyle w:val="Style17"/>
        <w:keepNext w:val="0"/>
        <w:keepLines w:val="0"/>
        <w:widowControl w:val="0"/>
        <w:shd w:val="clear" w:color="auto" w:fill="auto"/>
        <w:bidi w:val="0"/>
        <w:spacing w:before="0" w:after="0" w:line="471" w:lineRule="exact"/>
        <w:ind w:left="0" w:right="0" w:firstLine="460"/>
        <w:jc w:val="left"/>
      </w:pPr>
      <w:r>
        <w:rPr>
          <w:color w:val="000000"/>
          <w:spacing w:val="0"/>
          <w:w w:val="100"/>
          <w:position w:val="0"/>
        </w:rPr>
        <w:t>公司将继续深耕家电市场，充分发挥物流、售后服务优势，持续优化用户体验，加快下沉市场的 发展，巩固企业在家电行业的地位；加快零售云业务发展，加大对中小企业、上游品牌制造商的扶持 力度，构建产业互联网生态，寻求业务增长点。</w:t>
      </w:r>
    </w:p>
    <w:p>
      <w:pPr>
        <w:pStyle w:val="Style17"/>
        <w:keepNext w:val="0"/>
        <w:keepLines w:val="0"/>
        <w:widowControl w:val="0"/>
        <w:shd w:val="clear" w:color="auto" w:fill="auto"/>
        <w:tabs>
          <w:tab w:pos="766" w:val="left"/>
        </w:tabs>
        <w:bidi w:val="0"/>
        <w:spacing w:before="0" w:after="0" w:line="471" w:lineRule="exact"/>
        <w:ind w:left="0" w:right="0" w:firstLine="460"/>
        <w:jc w:val="left"/>
      </w:pPr>
      <w:bookmarkStart w:id="472" w:name="bookmark472"/>
      <w:r>
        <w:rPr>
          <w:rFonts w:ascii="Times New Roman" w:eastAsia="Times New Roman" w:hAnsi="Times New Roman" w:cs="Times New Roman"/>
          <w:color w:val="000000"/>
          <w:spacing w:val="0"/>
          <w:w w:val="100"/>
          <w:position w:val="0"/>
          <w:sz w:val="22"/>
          <w:szCs w:val="22"/>
        </w:rPr>
        <w:t>3</w:t>
      </w:r>
      <w:bookmarkEnd w:id="472"/>
      <w:r>
        <w:rPr>
          <w:color w:val="000000"/>
          <w:spacing w:val="0"/>
          <w:w w:val="100"/>
          <w:position w:val="0"/>
        </w:rPr>
        <w:t>、</w:t>
        <w:tab/>
        <w:t>积极推动与供应商、合作伙伴的合作恢复及应付款项的解决，公司积极沟通供应商及其他债 权人对应付账款的偿付安排，采取包括与核心品牌商开展创新合作模式，提出分期还款安排并达成协 商一致等多项措施，在维护和相关方良好持续合作关系及业务稳健运营的基础上，平稳解决应付款项 的支付安排，减轻对公司运营资金及流动性的压力。</w:t>
      </w:r>
    </w:p>
    <w:p>
      <w:pPr>
        <w:pStyle w:val="Style17"/>
        <w:keepNext w:val="0"/>
        <w:keepLines w:val="0"/>
        <w:widowControl w:val="0"/>
        <w:shd w:val="clear" w:color="auto" w:fill="auto"/>
        <w:tabs>
          <w:tab w:pos="766" w:val="left"/>
        </w:tabs>
        <w:bidi w:val="0"/>
        <w:spacing w:before="0" w:after="0" w:line="471" w:lineRule="exact"/>
        <w:ind w:left="0" w:right="0" w:firstLine="460"/>
        <w:jc w:val="left"/>
      </w:pPr>
      <w:bookmarkStart w:id="473" w:name="bookmark473"/>
      <w:r>
        <w:rPr>
          <w:rFonts w:ascii="Times New Roman" w:eastAsia="Times New Roman" w:hAnsi="Times New Roman" w:cs="Times New Roman"/>
          <w:color w:val="000000"/>
          <w:spacing w:val="0"/>
          <w:w w:val="100"/>
          <w:position w:val="0"/>
          <w:sz w:val="22"/>
          <w:szCs w:val="22"/>
        </w:rPr>
        <w:t>4</w:t>
      </w:r>
      <w:bookmarkEnd w:id="473"/>
      <w:r>
        <w:rPr>
          <w:color w:val="000000"/>
          <w:spacing w:val="0"/>
          <w:w w:val="100"/>
          <w:position w:val="0"/>
        </w:rPr>
        <w:t>、</w:t>
        <w:tab/>
        <w:t>积极拓展融资渠道及融资方式，一方面公司加快存量资产，尤其部分土地储备及权益性投资、 持有的物流地产项目的盘活；另一方面，积极推进公司内部优质业务引进战略投资，不仅增强该业务 的资金实力，更能带动公司整体的业务增长。前述资产盘活及资本引资安排将能有效地增加公司的现 金流入。</w:t>
      </w:r>
    </w:p>
    <w:p>
      <w:pPr>
        <w:pStyle w:val="Style17"/>
        <w:keepNext w:val="0"/>
        <w:keepLines w:val="0"/>
        <w:widowControl w:val="0"/>
        <w:shd w:val="clear" w:color="auto" w:fill="auto"/>
        <w:tabs>
          <w:tab w:pos="322" w:val="left"/>
        </w:tabs>
        <w:bidi w:val="0"/>
        <w:spacing w:before="0" w:after="0" w:line="471" w:lineRule="exact"/>
        <w:ind w:left="0" w:right="0" w:firstLine="460"/>
        <w:jc w:val="left"/>
      </w:pPr>
      <w:bookmarkStart w:id="474" w:name="bookmark474"/>
      <w:r>
        <w:rPr>
          <w:rFonts w:ascii="Times New Roman" w:eastAsia="Times New Roman" w:hAnsi="Times New Roman" w:cs="Times New Roman"/>
          <w:color w:val="000000"/>
          <w:spacing w:val="0"/>
          <w:w w:val="100"/>
          <w:position w:val="0"/>
          <w:sz w:val="22"/>
          <w:szCs w:val="22"/>
        </w:rPr>
        <w:t>5</w:t>
      </w:r>
      <w:bookmarkEnd w:id="474"/>
      <w:r>
        <w:rPr>
          <w:color w:val="000000"/>
          <w:spacing w:val="0"/>
          <w:w w:val="100"/>
          <w:position w:val="0"/>
        </w:rPr>
        <w:t>、</w:t>
        <w:tab/>
        <w:t xml:space="preserve">积极争取战略股东、产业投资人的支持，加强在商品、物流、电商运营等方面的合作，深化 </w:t>
      </w:r>
      <w:r>
        <w:rPr>
          <w:color w:val="000000"/>
          <w:spacing w:val="0"/>
          <w:w w:val="100"/>
          <w:position w:val="0"/>
        </w:rPr>
        <w:t>战略合作关系，将有助于提升公司经营业绩，改善经营现金流状况。</w:t>
      </w:r>
    </w:p>
    <w:p>
      <w:pPr>
        <w:pStyle w:val="Style17"/>
        <w:keepNext w:val="0"/>
        <w:keepLines w:val="0"/>
        <w:widowControl w:val="0"/>
        <w:shd w:val="clear" w:color="auto" w:fill="auto"/>
        <w:bidi w:val="0"/>
        <w:spacing w:before="0" w:after="220" w:line="475" w:lineRule="exact"/>
        <w:ind w:left="0" w:right="0" w:firstLine="460"/>
        <w:jc w:val="both"/>
      </w:pPr>
      <w:r>
        <w:rPr>
          <w:color w:val="000000"/>
          <w:spacing w:val="0"/>
          <w:w w:val="100"/>
          <w:position w:val="0"/>
        </w:rPr>
        <w:t>董事会将与公司管理层保持沟通，推动公司采取各项措施，增强公司持续经营能力，努力消除审 计报告中所强调事项对公司的影响，维护公司和广大投资者的利益。</w:t>
      </w:r>
    </w:p>
    <w:p>
      <w:pPr>
        <w:pStyle w:val="Style35"/>
        <w:keepNext/>
        <w:keepLines/>
        <w:widowControl w:val="0"/>
        <w:shd w:val="clear" w:color="auto" w:fill="auto"/>
        <w:tabs>
          <w:tab w:pos="601" w:val="left"/>
        </w:tabs>
        <w:bidi w:val="0"/>
        <w:spacing w:before="0" w:line="468" w:lineRule="exact"/>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w:t>
      </w:r>
      <w:bookmarkEnd w:id="477"/>
      <w:r>
        <w:rPr>
          <w:color w:val="000000"/>
          <w:spacing w:val="0"/>
          <w:w w:val="100"/>
          <w:position w:val="0"/>
        </w:rPr>
        <w:t>二）</w:t>
        <w:tab/>
        <w:t>公司监事会说明</w:t>
      </w:r>
      <w:bookmarkEnd w:id="475"/>
      <w:bookmarkEnd w:id="476"/>
      <w:bookmarkEnd w:id="478"/>
    </w:p>
    <w:p>
      <w:pPr>
        <w:pStyle w:val="Style17"/>
        <w:keepNext w:val="0"/>
        <w:keepLines w:val="0"/>
        <w:widowControl w:val="0"/>
        <w:shd w:val="clear" w:color="auto" w:fill="auto"/>
        <w:bidi w:val="0"/>
        <w:spacing w:before="0" w:after="220" w:line="468" w:lineRule="exact"/>
        <w:ind w:left="0" w:right="0" w:firstLine="460"/>
        <w:jc w:val="both"/>
      </w:pPr>
      <w:r>
        <w:rPr>
          <w:color w:val="000000"/>
          <w:spacing w:val="0"/>
          <w:w w:val="100"/>
          <w:position w:val="0"/>
        </w:rPr>
        <w:t>经审核，我们同意公司董事会对普华永道出具的带与持续经营相关的重大不确定性段落的无保留 意见的审计报告涉及事项所做出的说明，该说明内容符合中国证监会、深圳证券交易所相关规定的要 求，客观反映了公司截止</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日的财务状况，揭示了公司的财务风险。公司监事会将继 续督促董事会和管理层切实采取有效措施，努力降低和消除所涉事项对公司的不利影响，切实维护公 司及全体股东特别是中小股东的合法权益，保证公司持续、稳定、健康发展。</w:t>
      </w:r>
    </w:p>
    <w:p>
      <w:pPr>
        <w:pStyle w:val="Style35"/>
        <w:keepNext/>
        <w:keepLines/>
        <w:widowControl w:val="0"/>
        <w:shd w:val="clear" w:color="auto" w:fill="auto"/>
        <w:tabs>
          <w:tab w:pos="601" w:val="left"/>
        </w:tabs>
        <w:bidi w:val="0"/>
        <w:spacing w:before="0" w:line="468" w:lineRule="exact"/>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w:t>
      </w:r>
      <w:bookmarkEnd w:id="481"/>
      <w:r>
        <w:rPr>
          <w:color w:val="000000"/>
          <w:spacing w:val="0"/>
          <w:w w:val="100"/>
          <w:position w:val="0"/>
        </w:rPr>
        <w:t>三）</w:t>
        <w:tab/>
        <w:t>公司独立董事说明</w:t>
      </w:r>
      <w:bookmarkEnd w:id="479"/>
      <w:bookmarkEnd w:id="480"/>
      <w:bookmarkEnd w:id="482"/>
    </w:p>
    <w:p>
      <w:pPr>
        <w:pStyle w:val="Style17"/>
        <w:keepNext w:val="0"/>
        <w:keepLines w:val="0"/>
        <w:widowControl w:val="0"/>
        <w:shd w:val="clear" w:color="auto" w:fill="auto"/>
        <w:bidi w:val="0"/>
        <w:spacing w:before="0" w:after="300" w:line="468" w:lineRule="exact"/>
        <w:ind w:left="0" w:right="0" w:firstLine="460"/>
        <w:jc w:val="both"/>
      </w:pPr>
      <w:r>
        <w:rPr>
          <w:color w:val="000000"/>
          <w:spacing w:val="0"/>
          <w:w w:val="100"/>
          <w:position w:val="0"/>
        </w:rPr>
        <w:t>普华永道中天会计师事务所（特殊普通合伙）（以下简称“普华永道”）对苏宁易购集团股份有限 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年度财务报告出具了带与持续经营相关的重大不确定性段落的无保留意见审计报告，普华 永道</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年度审计报告客观、真实的反映了公司的实际情况；我们同意公司董事会对涉及事项的专 项说明；我们将高度重视和督促公司董事会及管理层落实相应措施的执行，尽快消除审计报告中所强 调事项对公司的影响，保护公司和全体股东的利益。</w:t>
      </w:r>
    </w:p>
    <w:p>
      <w:pPr>
        <w:pStyle w:val="Style32"/>
        <w:keepNext/>
        <w:keepLines/>
        <w:widowControl w:val="0"/>
        <w:shd w:val="clear" w:color="auto" w:fill="auto"/>
        <w:bidi w:val="0"/>
        <w:spacing w:before="0" w:after="300" w:line="468" w:lineRule="exact"/>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六</w:t>
      </w:r>
      <w:bookmarkEnd w:id="485"/>
      <w:r>
        <w:rPr>
          <w:color w:val="000000"/>
          <w:spacing w:val="0"/>
          <w:w w:val="100"/>
          <w:position w:val="0"/>
          <w:sz w:val="24"/>
          <w:szCs w:val="24"/>
        </w:rPr>
        <w:t>、与上年度财务报告相比，会计政策、会计估计变更或重大会计差错更正的情况说明</w:t>
      </w:r>
      <w:bookmarkEnd w:id="483"/>
      <w:bookmarkEnd w:id="484"/>
      <w:bookmarkEnd w:id="486"/>
    </w:p>
    <w:p>
      <w:pPr>
        <w:pStyle w:val="Style17"/>
        <w:keepNext w:val="0"/>
        <w:keepLines w:val="0"/>
        <w:widowControl w:val="0"/>
        <w:shd w:val="clear" w:color="auto" w:fill="auto"/>
        <w:bidi w:val="0"/>
        <w:spacing w:before="0" w:after="220" w:line="466" w:lineRule="exact"/>
        <w:ind w:left="0" w:right="0" w:firstLine="460"/>
        <w:jc w:val="left"/>
      </w:pPr>
      <w:r>
        <w:rPr>
          <w:color w:val="000000"/>
          <w:spacing w:val="0"/>
          <w:w w:val="100"/>
          <w:position w:val="0"/>
        </w:rPr>
        <w:t>公司第七届董事会第十三次会议审议通过了《关于会计政策变更的议案》，本次会计政策变更无 需提交股东大会审议，具体情况如下：</w:t>
      </w:r>
    </w:p>
    <w:p>
      <w:pPr>
        <w:pStyle w:val="Style17"/>
        <w:keepNext w:val="0"/>
        <w:keepLines w:val="0"/>
        <w:widowControl w:val="0"/>
        <w:shd w:val="clear" w:color="auto" w:fill="auto"/>
        <w:bidi w:val="0"/>
        <w:spacing w:before="0" w:after="0" w:line="442" w:lineRule="auto"/>
        <w:ind w:left="0" w:right="0" w:firstLine="460"/>
        <w:jc w:val="left"/>
      </w:pP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、会计政策变更情况概述</w:t>
      </w:r>
    </w:p>
    <w:p>
      <w:pPr>
        <w:pStyle w:val="Style17"/>
        <w:keepNext w:val="0"/>
        <w:keepLines w:val="0"/>
        <w:widowControl w:val="0"/>
        <w:shd w:val="clear" w:color="auto" w:fill="auto"/>
        <w:tabs>
          <w:tab w:pos="950" w:val="left"/>
        </w:tabs>
        <w:bidi w:val="0"/>
        <w:spacing w:before="0" w:after="0" w:line="466" w:lineRule="exact"/>
        <w:ind w:left="0" w:right="0" w:firstLine="460"/>
        <w:jc w:val="left"/>
      </w:pPr>
      <w:bookmarkStart w:id="487" w:name="bookmark487"/>
      <w:r>
        <w:rPr>
          <w:color w:val="000000"/>
          <w:spacing w:val="0"/>
          <w:w w:val="100"/>
          <w:position w:val="0"/>
        </w:rPr>
        <w:t>（</w:t>
      </w:r>
      <w:bookmarkEnd w:id="487"/>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会计政策变更原因</w:t>
      </w:r>
    </w:p>
    <w:p>
      <w:pPr>
        <w:pStyle w:val="Style17"/>
        <w:keepNext w:val="0"/>
        <w:keepLines w:val="0"/>
        <w:widowControl w:val="0"/>
        <w:shd w:val="clear" w:color="auto" w:fill="auto"/>
        <w:bidi w:val="0"/>
        <w:spacing w:before="0" w:after="0" w:line="473" w:lineRule="exact"/>
        <w:ind w:left="0" w:right="0" w:firstLine="46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日修订并印发了《企业会计准则第</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号</w:t>
      </w:r>
      <w:r>
        <w:rPr>
          <w:color w:val="000000"/>
          <w:spacing w:val="0"/>
          <w:w w:val="100"/>
          <w:position w:val="0"/>
          <w:sz w:val="22"/>
          <w:szCs w:val="22"/>
        </w:rPr>
        <w:t>一一</w:t>
      </w:r>
      <w:r>
        <w:rPr>
          <w:color w:val="000000"/>
          <w:spacing w:val="0"/>
          <w:w w:val="100"/>
          <w:position w:val="0"/>
        </w:rPr>
        <w:t>租赁》（财会〔</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 xml:space="preserve">35 </w:t>
      </w:r>
      <w:r>
        <w:rPr>
          <w:color w:val="000000"/>
          <w:spacing w:val="0"/>
          <w:w w:val="100"/>
          <w:position w:val="0"/>
        </w:rPr>
        <w:t>号），要求在境内外同时上市的企业以及在境外上市并采用国际财务报告准则或企业会计准则编制财 务报表的企业，自</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日起施行。 根据上述会计准则的修订及执行期限要求，公司对会计政策相关内容进行调整，并从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rPr>
        <w:t>日起开始执行。</w:t>
      </w:r>
    </w:p>
    <w:p>
      <w:pPr>
        <w:pStyle w:val="Style17"/>
        <w:keepNext w:val="0"/>
        <w:keepLines w:val="0"/>
        <w:widowControl w:val="0"/>
        <w:shd w:val="clear" w:color="auto" w:fill="auto"/>
        <w:tabs>
          <w:tab w:pos="950" w:val="left"/>
        </w:tabs>
        <w:bidi w:val="0"/>
        <w:spacing w:before="0" w:after="220" w:line="468" w:lineRule="exact"/>
        <w:ind w:left="0" w:right="0" w:firstLine="460"/>
        <w:jc w:val="both"/>
      </w:pPr>
      <w:bookmarkStart w:id="488" w:name="bookmark488"/>
      <w:r>
        <w:rPr>
          <w:color w:val="000000"/>
          <w:spacing w:val="0"/>
          <w:w w:val="100"/>
          <w:position w:val="0"/>
        </w:rPr>
        <w:t>（</w:t>
      </w:r>
      <w:bookmarkEnd w:id="488"/>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会计政策变更日期</w:t>
      </w:r>
    </w:p>
    <w:p>
      <w:pPr>
        <w:pStyle w:val="Style17"/>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公司根据财政部相关文件规定的起始日，执行上述会计政策。</w:t>
      </w:r>
    </w:p>
    <w:p>
      <w:pPr>
        <w:pStyle w:val="Style17"/>
        <w:keepNext w:val="0"/>
        <w:keepLines w:val="0"/>
        <w:widowControl w:val="0"/>
        <w:shd w:val="clear" w:color="auto" w:fill="auto"/>
        <w:tabs>
          <w:tab w:pos="957" w:val="left"/>
        </w:tabs>
        <w:bidi w:val="0"/>
        <w:spacing w:before="0" w:after="0" w:line="472" w:lineRule="exact"/>
        <w:ind w:left="0" w:right="0" w:firstLine="460"/>
        <w:jc w:val="both"/>
      </w:pPr>
      <w:bookmarkStart w:id="489" w:name="bookmark489"/>
      <w:r>
        <w:rPr>
          <w:color w:val="000000"/>
          <w:spacing w:val="0"/>
          <w:w w:val="100"/>
          <w:position w:val="0"/>
        </w:rPr>
        <w:t>（</w:t>
      </w:r>
      <w:bookmarkEnd w:id="489"/>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变更前公司采用的会计政策</w:t>
      </w:r>
    </w:p>
    <w:p>
      <w:pPr>
        <w:pStyle w:val="Style17"/>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本次会计政策变更前，公司执行财政部发布的《企业会计准则</w:t>
      </w:r>
      <w:r>
        <w:rPr>
          <w:color w:val="000000"/>
          <w:spacing w:val="0"/>
          <w:w w:val="100"/>
          <w:position w:val="0"/>
          <w:sz w:val="22"/>
          <w:szCs w:val="22"/>
        </w:rPr>
        <w:t>一</w:t>
      </w:r>
      <w:r>
        <w:rPr>
          <w:color w:val="000000"/>
          <w:spacing w:val="0"/>
          <w:w w:val="100"/>
          <w:position w:val="0"/>
        </w:rPr>
        <w:t>基本准则》和各项具体会计准则、 企业会计准则应用指南、企业会计准则解释公告以及其他相关规定。</w:t>
      </w:r>
    </w:p>
    <w:p>
      <w:pPr>
        <w:pStyle w:val="Style17"/>
        <w:keepNext w:val="0"/>
        <w:keepLines w:val="0"/>
        <w:widowControl w:val="0"/>
        <w:shd w:val="clear" w:color="auto" w:fill="auto"/>
        <w:tabs>
          <w:tab w:pos="957" w:val="left"/>
        </w:tabs>
        <w:bidi w:val="0"/>
        <w:spacing w:before="0" w:after="0" w:line="472" w:lineRule="exact"/>
        <w:ind w:left="0" w:right="0" w:firstLine="46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变更后公司采用的会计政策</w:t>
      </w:r>
    </w:p>
    <w:p>
      <w:pPr>
        <w:pStyle w:val="Style17"/>
        <w:keepNext w:val="0"/>
        <w:keepLines w:val="0"/>
        <w:widowControl w:val="0"/>
        <w:shd w:val="clear" w:color="auto" w:fill="auto"/>
        <w:bidi w:val="0"/>
        <w:spacing w:before="0" w:after="220" w:line="472" w:lineRule="exact"/>
        <w:ind w:left="0" w:right="0" w:firstLine="460"/>
        <w:jc w:val="both"/>
      </w:pPr>
      <w:r>
        <w:rPr>
          <w:color w:val="000000"/>
          <w:spacing w:val="0"/>
          <w:w w:val="100"/>
          <w:position w:val="0"/>
        </w:rPr>
        <w:t>本次会计政策变更后，公司将按照财政部于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号</w:t>
      </w:r>
      <w:r>
        <w:rPr>
          <w:color w:val="000000"/>
          <w:spacing w:val="0"/>
          <w:w w:val="100"/>
          <w:position w:val="0"/>
          <w:sz w:val="22"/>
          <w:szCs w:val="22"/>
        </w:rPr>
        <w:t>一一</w:t>
      </w:r>
      <w:r>
        <w:rPr>
          <w:color w:val="000000"/>
          <w:spacing w:val="0"/>
          <w:w w:val="100"/>
          <w:position w:val="0"/>
        </w:rPr>
        <w:t>租赁》（财 会〔</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35</w:t>
      </w:r>
      <w:r>
        <w:rPr>
          <w:color w:val="000000"/>
          <w:spacing w:val="0"/>
          <w:w w:val="100"/>
          <w:position w:val="0"/>
        </w:rPr>
        <w:t>号），以及于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号</w:t>
      </w:r>
      <w:r>
        <w:rPr>
          <w:color w:val="000000"/>
          <w:spacing w:val="0"/>
          <w:w w:val="100"/>
          <w:position w:val="0"/>
          <w:sz w:val="22"/>
          <w:szCs w:val="22"/>
        </w:rPr>
        <w:t>一一</w:t>
      </w:r>
      <w:r>
        <w:rPr>
          <w:color w:val="000000"/>
          <w:spacing w:val="0"/>
          <w:w w:val="100"/>
          <w:position w:val="0"/>
        </w:rPr>
        <w:t>租赁》应用指南的规定执行， 其他未变更部分，仍按照财政部前期颁布的《企业会计准则</w:t>
      </w:r>
      <w:r>
        <w:rPr>
          <w:color w:val="000000"/>
          <w:spacing w:val="0"/>
          <w:w w:val="100"/>
          <w:position w:val="0"/>
          <w:sz w:val="22"/>
          <w:szCs w:val="22"/>
        </w:rPr>
        <w:t>一一</w:t>
      </w:r>
      <w:r>
        <w:rPr>
          <w:color w:val="000000"/>
          <w:spacing w:val="0"/>
          <w:w w:val="100"/>
          <w:position w:val="0"/>
        </w:rPr>
        <w:t>基本准则》和各项具体会计准则、企 业会计准则应用指南、企业会计准则解释公告以及其他相关规定执行。</w:t>
      </w:r>
    </w:p>
    <w:p>
      <w:pPr>
        <w:pStyle w:val="Style17"/>
        <w:keepNext w:val="0"/>
        <w:keepLines w:val="0"/>
        <w:widowControl w:val="0"/>
        <w:shd w:val="clear" w:color="auto" w:fill="auto"/>
        <w:bidi w:val="0"/>
        <w:spacing w:before="0" w:after="0" w:line="449" w:lineRule="auto"/>
        <w:ind w:left="0" w:right="0" w:firstLine="460"/>
        <w:jc w:val="both"/>
      </w:pP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、本次会计政策变更对公司的影响</w:t>
      </w:r>
    </w:p>
    <w:p>
      <w:pPr>
        <w:pStyle w:val="Style17"/>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新租赁准则下，除短期租赁和低价值资产租赁外，承租人将不再区分融资租赁和经营租赁，所有 租赁将采用相同的会计处理，均须确认使用权资产和租赁负债。</w:t>
      </w:r>
    </w:p>
    <w:p>
      <w:pPr>
        <w:pStyle w:val="Style17"/>
        <w:keepNext w:val="0"/>
        <w:keepLines w:val="0"/>
        <w:widowControl w:val="0"/>
        <w:shd w:val="clear" w:color="auto" w:fill="auto"/>
        <w:bidi w:val="0"/>
        <w:spacing w:before="0" w:after="300" w:line="472"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日起执行新租赁准则，根据过渡期政策，公司在执行新租赁准则时选择简 化处理，即不追溯调整可比期间信息，只调整</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年年初数，租赁负债等于剩余租赁付款额的现值， 使用权资产等于租赁负债金额并进行必要调整，无需调整</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年年初留存收益。执行上述新准则会 增加公司的总资产和总负债，但对公司净资产和净利润不会产生重大影响。</w:t>
      </w:r>
    </w:p>
    <w:p>
      <w:pPr>
        <w:pStyle w:val="Style32"/>
        <w:keepNext/>
        <w:keepLines/>
        <w:widowControl w:val="0"/>
        <w:shd w:val="clear" w:color="auto" w:fill="auto"/>
        <w:tabs>
          <w:tab w:pos="516" w:val="left"/>
        </w:tabs>
        <w:bidi w:val="0"/>
        <w:spacing w:before="0" w:after="300" w:line="472" w:lineRule="exact"/>
        <w:ind w:left="0" w:right="0" w:firstLine="0"/>
        <w:jc w:val="both"/>
      </w:pPr>
      <w:bookmarkStart w:id="491" w:name="bookmark491"/>
      <w:bookmarkStart w:id="492" w:name="bookmark492"/>
      <w:bookmarkStart w:id="493" w:name="bookmark493"/>
      <w:bookmarkStart w:id="494" w:name="bookmark494"/>
      <w:r>
        <w:rPr>
          <w:color w:val="000000"/>
          <w:spacing w:val="0"/>
          <w:w w:val="100"/>
          <w:position w:val="0"/>
          <w:sz w:val="24"/>
          <w:szCs w:val="24"/>
        </w:rPr>
        <w:t>七</w:t>
      </w:r>
      <w:bookmarkEnd w:id="493"/>
      <w:r>
        <w:rPr>
          <w:color w:val="000000"/>
          <w:spacing w:val="0"/>
          <w:w w:val="100"/>
          <w:position w:val="0"/>
          <w:sz w:val="24"/>
          <w:szCs w:val="24"/>
        </w:rPr>
        <w:t>、</w:t>
        <w:tab/>
        <w:t>与上年度财务报告相比，合并报表范围发生变化的情况说明</w:t>
      </w:r>
      <w:bookmarkEnd w:id="491"/>
      <w:bookmarkEnd w:id="492"/>
      <w:bookmarkEnd w:id="494"/>
    </w:p>
    <w:p>
      <w:pPr>
        <w:pStyle w:val="Style17"/>
        <w:keepNext w:val="0"/>
        <w:keepLines w:val="0"/>
        <w:widowControl w:val="0"/>
        <w:shd w:val="clear" w:color="auto" w:fill="auto"/>
        <w:bidi w:val="0"/>
        <w:spacing w:before="0" w:after="0" w:line="472" w:lineRule="exact"/>
        <w:ind w:left="0" w:right="0" w:firstLine="46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年度，公司新设子公司</w:t>
      </w:r>
      <w:r>
        <w:rPr>
          <w:rFonts w:ascii="Times New Roman" w:eastAsia="Times New Roman" w:hAnsi="Times New Roman" w:cs="Times New Roman"/>
          <w:color w:val="000000"/>
          <w:spacing w:val="0"/>
          <w:w w:val="100"/>
          <w:position w:val="0"/>
          <w:sz w:val="22"/>
          <w:szCs w:val="22"/>
        </w:rPr>
        <w:t>19</w:t>
      </w:r>
      <w:r>
        <w:rPr>
          <w:color w:val="000000"/>
          <w:spacing w:val="0"/>
          <w:w w:val="100"/>
          <w:position w:val="0"/>
        </w:rPr>
        <w:t>家，包括江西苏宁易购采购中心有限公司、重庆苏宁极物电子商 务有限公司等，纳入合并范围；注销子公司</w:t>
      </w:r>
      <w:r>
        <w:rPr>
          <w:rFonts w:ascii="Times New Roman" w:eastAsia="Times New Roman" w:hAnsi="Times New Roman" w:cs="Times New Roman"/>
          <w:color w:val="000000"/>
          <w:spacing w:val="0"/>
          <w:w w:val="100"/>
          <w:position w:val="0"/>
          <w:sz w:val="22"/>
          <w:szCs w:val="22"/>
        </w:rPr>
        <w:t>37</w:t>
      </w:r>
      <w:r>
        <w:rPr>
          <w:color w:val="000000"/>
          <w:spacing w:val="0"/>
          <w:w w:val="100"/>
          <w:position w:val="0"/>
        </w:rPr>
        <w:t>家；处置了安庆苏宁悦城置业有限公司、</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家仓储物 流公司、南京悦百家网络技术服务有限公司、苏宁深创投</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云仓物流基础设施私募股权投资基金。</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年度具体合并报表范围变动详见财务报告附注“五合并范围的变更”。</w:t>
      </w:r>
    </w:p>
    <w:p>
      <w:pPr>
        <w:pStyle w:val="Style17"/>
        <w:keepNext w:val="0"/>
        <w:keepLines w:val="0"/>
        <w:widowControl w:val="0"/>
        <w:shd w:val="clear" w:color="auto" w:fill="auto"/>
        <w:bidi w:val="0"/>
        <w:spacing w:before="0" w:after="300" w:line="472" w:lineRule="exact"/>
        <w:ind w:left="0" w:right="0" w:firstLine="460"/>
        <w:jc w:val="both"/>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年度，公司新设子公司</w:t>
      </w:r>
      <w:r>
        <w:rPr>
          <w:rFonts w:ascii="Times New Roman" w:eastAsia="Times New Roman" w:hAnsi="Times New Roman" w:cs="Times New Roman"/>
          <w:color w:val="000000"/>
          <w:spacing w:val="0"/>
          <w:w w:val="100"/>
          <w:position w:val="0"/>
          <w:sz w:val="22"/>
          <w:szCs w:val="22"/>
        </w:rPr>
        <w:t>57</w:t>
      </w:r>
      <w:r>
        <w:rPr>
          <w:color w:val="000000"/>
          <w:spacing w:val="0"/>
          <w:w w:val="100"/>
          <w:position w:val="0"/>
        </w:rPr>
        <w:t>家，包括深圳市云网万店科技有限公司、北京苏宁易购信息科技 有限公司等。处置了中山市苏宁物流有限公司、山东渤宁苏宁易购商贸有限公司、湖北苏宁物流有限 公司、天津津宁易达物流有限公司、西安市高新区苏宁易达物流仓储有限公司、温州苏宁采购有限公 司，不再纳入合并范围。</w:t>
      </w:r>
    </w:p>
    <w:p>
      <w:pPr>
        <w:pStyle w:val="Style32"/>
        <w:keepNext/>
        <w:keepLines/>
        <w:widowControl w:val="0"/>
        <w:shd w:val="clear" w:color="auto" w:fill="auto"/>
        <w:tabs>
          <w:tab w:pos="516" w:val="left"/>
        </w:tabs>
        <w:bidi w:val="0"/>
        <w:spacing w:before="0" w:after="520" w:line="472" w:lineRule="exact"/>
        <w:ind w:left="0" w:right="0" w:firstLine="0"/>
        <w:jc w:val="both"/>
      </w:pPr>
      <w:bookmarkStart w:id="495" w:name="bookmark495"/>
      <w:bookmarkStart w:id="496" w:name="bookmark496"/>
      <w:bookmarkStart w:id="497" w:name="bookmark497"/>
      <w:bookmarkStart w:id="498" w:name="bookmark498"/>
      <w:r>
        <w:rPr>
          <w:color w:val="000000"/>
          <w:spacing w:val="0"/>
          <w:w w:val="100"/>
          <w:position w:val="0"/>
          <w:sz w:val="24"/>
          <w:szCs w:val="24"/>
        </w:rPr>
        <w:t>八</w:t>
      </w:r>
      <w:bookmarkEnd w:id="497"/>
      <w:r>
        <w:rPr>
          <w:color w:val="000000"/>
          <w:spacing w:val="0"/>
          <w:w w:val="100"/>
          <w:position w:val="0"/>
          <w:sz w:val="24"/>
          <w:szCs w:val="24"/>
        </w:rPr>
        <w:t>、</w:t>
        <w:tab/>
        <w:t>聘任、解聘会计师事务所情况</w:t>
      </w:r>
      <w:bookmarkEnd w:id="495"/>
      <w:bookmarkEnd w:id="496"/>
      <w:bookmarkEnd w:id="498"/>
    </w:p>
    <w:p>
      <w:pPr>
        <w:pStyle w:val="Style17"/>
        <w:keepNext w:val="0"/>
        <w:keepLines w:val="0"/>
        <w:widowControl w:val="0"/>
        <w:shd w:val="clear" w:color="auto" w:fill="auto"/>
        <w:bidi w:val="0"/>
        <w:spacing w:before="0" w:after="260" w:line="240" w:lineRule="auto"/>
        <w:ind w:left="0" w:right="0" w:firstLine="460"/>
        <w:jc w:val="both"/>
      </w:pPr>
      <w:r>
        <w:rPr>
          <w:color w:val="000000"/>
          <w:spacing w:val="0"/>
          <w:w w:val="100"/>
          <w:position w:val="0"/>
        </w:rPr>
        <w:t>现聘任的会计师事务所</w:t>
      </w:r>
    </w:p>
    <w:tbl>
      <w:tblPr>
        <w:tblOverlap w:val="never"/>
        <w:jc w:val="center"/>
        <w:tblLayout w:type="fixed"/>
      </w:tblPr>
      <w:tblGrid>
        <w:gridCol w:w="4800"/>
        <w:gridCol w:w="4786"/>
      </w:tblGrid>
      <w:tr>
        <w:trPr>
          <w:trHeight w:val="3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普华永道中天会计师事务所（特殊普通合伙）</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境内会计师事务所报酬（万元）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2,088</w:t>
            </w:r>
          </w:p>
        </w:tc>
      </w:tr>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境内会计师事务所审计服务的连续年限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15</w:t>
            </w:r>
            <w:r>
              <w:rPr>
                <w:rFonts w:ascii="SimSun" w:eastAsia="SimSun" w:hAnsi="SimSun" w:cs="SimSun"/>
                <w:color w:val="000000"/>
                <w:spacing w:val="0"/>
                <w:w w:val="100"/>
                <w:position w:val="0"/>
                <w:sz w:val="20"/>
                <w:szCs w:val="20"/>
              </w:rPr>
              <w:t>年</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境内会计师事务所注册会计师姓名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钱进、莫冰洁</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境内会计师事务所注册会计师审计服务的连续年 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钱进先生</w:t>
            </w:r>
            <w:r>
              <w:rPr>
                <w:color w:val="000000"/>
                <w:spacing w:val="0"/>
                <w:w w:val="100"/>
                <w:position w:val="0"/>
                <w:sz w:val="22"/>
                <w:szCs w:val="22"/>
              </w:rPr>
              <w:t>4</w:t>
            </w:r>
            <w:r>
              <w:rPr>
                <w:rFonts w:ascii="SimSun" w:eastAsia="SimSun" w:hAnsi="SimSun" w:cs="SimSun"/>
                <w:color w:val="000000"/>
                <w:spacing w:val="0"/>
                <w:w w:val="100"/>
                <w:position w:val="0"/>
                <w:sz w:val="20"/>
                <w:szCs w:val="20"/>
              </w:rPr>
              <w:t xml:space="preserve">年；莫冰洁女士 </w:t>
            </w:r>
            <w:r>
              <w:rPr>
                <w:color w:val="000000"/>
                <w:spacing w:val="0"/>
                <w:w w:val="100"/>
                <w:position w:val="0"/>
                <w:sz w:val="22"/>
                <w:szCs w:val="22"/>
              </w:rPr>
              <w:t>1</w:t>
            </w:r>
            <w:r>
              <w:rPr>
                <w:rFonts w:ascii="SimSun" w:eastAsia="SimSun" w:hAnsi="SimSun" w:cs="SimSun"/>
                <w:color w:val="000000"/>
                <w:spacing w:val="0"/>
                <w:w w:val="100"/>
                <w:position w:val="0"/>
                <w:sz w:val="20"/>
                <w:szCs w:val="20"/>
              </w:rPr>
              <w:t>年</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境外会计师事务所名称（如有）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境外会计师事务所报酬（万元）（如有）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境外会计师事务所审计服务的连续年限（如有）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境外会计师事务所注册会计师姓名（如有）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64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境外会计师事务所注册会计师审计服务的连续年 限（如有）</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17"/>
        <w:keepNext w:val="0"/>
        <w:keepLines w:val="0"/>
        <w:widowControl w:val="0"/>
        <w:shd w:val="clear" w:color="auto" w:fill="auto"/>
        <w:bidi w:val="0"/>
        <w:spacing w:before="0" w:after="220" w:line="475" w:lineRule="exact"/>
        <w:ind w:left="0" w:right="0" w:firstLine="460"/>
        <w:jc w:val="both"/>
      </w:pPr>
      <w:r>
        <w:rPr>
          <w:color w:val="000000"/>
          <w:spacing w:val="0"/>
          <w:w w:val="100"/>
          <w:position w:val="0"/>
        </w:rPr>
        <w:t>当期是否改聘会计师事务所</w:t>
      </w:r>
    </w:p>
    <w:p>
      <w:pPr>
        <w:pStyle w:val="Style17"/>
        <w:keepNext w:val="0"/>
        <w:keepLines w:val="0"/>
        <w:widowControl w:val="0"/>
        <w:shd w:val="clear" w:color="auto" w:fill="auto"/>
        <w:bidi w:val="0"/>
        <w:spacing w:before="0" w:after="0" w:line="451"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17"/>
        <w:keepNext w:val="0"/>
        <w:keepLines w:val="0"/>
        <w:widowControl w:val="0"/>
        <w:shd w:val="clear" w:color="auto" w:fill="auto"/>
        <w:bidi w:val="0"/>
        <w:spacing w:before="0" w:after="0" w:line="475" w:lineRule="exact"/>
        <w:ind w:left="0" w:right="0" w:firstLine="460"/>
        <w:jc w:val="both"/>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0" w:line="475" w:lineRule="exact"/>
        <w:ind w:left="0" w:right="0" w:firstLine="460"/>
        <w:jc w:val="both"/>
      </w:pPr>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17"/>
        <w:keepNext w:val="0"/>
        <w:keepLines w:val="0"/>
        <w:widowControl w:val="0"/>
        <w:shd w:val="clear" w:color="auto" w:fill="auto"/>
        <w:bidi w:val="0"/>
        <w:spacing w:before="0" w:after="300" w:line="475" w:lineRule="exact"/>
        <w:ind w:left="0" w:right="0" w:firstLine="460"/>
        <w:jc w:val="both"/>
      </w:pPr>
      <w:r>
        <w:rPr>
          <w:color w:val="000000"/>
          <w:spacing w:val="0"/>
          <w:w w:val="100"/>
          <w:position w:val="0"/>
        </w:rPr>
        <w:t>本年度，公司因</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年度内控审计工作事项，聘请普华永道中天会计师事务所（特殊普通合伙） 为内部控制审计会计师事务所，内控审计费用</w:t>
      </w:r>
      <w:r>
        <w:rPr>
          <w:rFonts w:ascii="Times New Roman" w:eastAsia="Times New Roman" w:hAnsi="Times New Roman" w:cs="Times New Roman"/>
          <w:color w:val="000000"/>
          <w:spacing w:val="0"/>
          <w:w w:val="100"/>
          <w:position w:val="0"/>
          <w:sz w:val="22"/>
          <w:szCs w:val="22"/>
        </w:rPr>
        <w:t>200</w:t>
      </w:r>
      <w:r>
        <w:rPr>
          <w:color w:val="000000"/>
          <w:spacing w:val="0"/>
          <w:w w:val="100"/>
          <w:position w:val="0"/>
        </w:rPr>
        <w:t>万元。</w:t>
      </w:r>
    </w:p>
    <w:p>
      <w:pPr>
        <w:pStyle w:val="Style32"/>
        <w:keepNext/>
        <w:keepLines/>
        <w:widowControl w:val="0"/>
        <w:shd w:val="clear" w:color="auto" w:fill="auto"/>
        <w:bidi w:val="0"/>
        <w:spacing w:before="0" w:after="500" w:line="475" w:lineRule="exact"/>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九</w:t>
      </w:r>
      <w:bookmarkEnd w:id="501"/>
      <w:r>
        <w:rPr>
          <w:color w:val="000000"/>
          <w:spacing w:val="0"/>
          <w:w w:val="100"/>
          <w:position w:val="0"/>
          <w:sz w:val="24"/>
          <w:szCs w:val="24"/>
        </w:rPr>
        <w:t>、年度报告披露后面临退市情况</w:t>
      </w:r>
      <w:bookmarkEnd w:id="499"/>
      <w:bookmarkEnd w:id="500"/>
      <w:bookmarkEnd w:id="502"/>
    </w:p>
    <w:p>
      <w:pPr>
        <w:pStyle w:val="Style17"/>
        <w:keepNext w:val="0"/>
        <w:keepLines w:val="0"/>
        <w:widowControl w:val="0"/>
        <w:shd w:val="clear" w:color="auto" w:fill="auto"/>
        <w:bidi w:val="0"/>
        <w:spacing w:before="0" w:after="60" w:line="451"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2"/>
        <w:keepNext/>
        <w:keepLines/>
        <w:widowControl w:val="0"/>
        <w:shd w:val="clear" w:color="auto" w:fill="auto"/>
        <w:bidi w:val="0"/>
        <w:spacing w:before="0" w:after="500" w:line="475" w:lineRule="exact"/>
        <w:ind w:left="0" w:right="0" w:firstLine="0"/>
        <w:jc w:val="left"/>
      </w:pPr>
      <w:bookmarkStart w:id="503" w:name="bookmark503"/>
      <w:bookmarkStart w:id="504" w:name="bookmark504"/>
      <w:bookmarkStart w:id="505" w:name="bookmark505"/>
      <w:r>
        <w:rPr>
          <w:color w:val="000000"/>
          <w:spacing w:val="0"/>
          <w:w w:val="100"/>
          <w:position w:val="0"/>
          <w:sz w:val="24"/>
          <w:szCs w:val="24"/>
        </w:rPr>
        <w:t>十、破产重整相关事项</w:t>
      </w:r>
      <w:bookmarkEnd w:id="503"/>
      <w:bookmarkEnd w:id="504"/>
      <w:bookmarkEnd w:id="505"/>
    </w:p>
    <w:p>
      <w:pPr>
        <w:pStyle w:val="Style17"/>
        <w:keepNext w:val="0"/>
        <w:keepLines w:val="0"/>
        <w:widowControl w:val="0"/>
        <w:shd w:val="clear" w:color="auto" w:fill="auto"/>
        <w:bidi w:val="0"/>
        <w:spacing w:before="0" w:after="60" w:line="451"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2"/>
        <w:keepNext/>
        <w:keepLines/>
        <w:widowControl w:val="0"/>
        <w:shd w:val="clear" w:color="auto" w:fill="auto"/>
        <w:bidi w:val="0"/>
        <w:spacing w:before="0" w:after="300" w:line="475" w:lineRule="exact"/>
        <w:ind w:left="0" w:right="0" w:firstLine="0"/>
        <w:jc w:val="left"/>
      </w:pPr>
      <w:bookmarkStart w:id="506" w:name="bookmark506"/>
      <w:bookmarkStart w:id="507" w:name="bookmark507"/>
      <w:bookmarkStart w:id="508" w:name="bookmark508"/>
      <w:r>
        <w:rPr>
          <w:color w:val="000000"/>
          <w:spacing w:val="0"/>
          <w:w w:val="100"/>
          <w:position w:val="0"/>
          <w:sz w:val="24"/>
          <w:szCs w:val="24"/>
        </w:rPr>
        <w:t>十一、重大诉讼、仲裁事项</w:t>
      </w:r>
      <w:bookmarkEnd w:id="506"/>
      <w:bookmarkEnd w:id="507"/>
      <w:bookmarkEnd w:id="508"/>
    </w:p>
    <w:p>
      <w:pPr>
        <w:pStyle w:val="Style17"/>
        <w:keepNext w:val="0"/>
        <w:keepLines w:val="0"/>
        <w:widowControl w:val="0"/>
        <w:shd w:val="clear" w:color="auto" w:fill="auto"/>
        <w:bidi w:val="0"/>
        <w:spacing w:before="0" w:after="0" w:line="475" w:lineRule="exact"/>
        <w:ind w:left="0" w:right="0" w:firstLine="460"/>
        <w:jc w:val="both"/>
      </w:pP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、报告期内重大诉讼、仲裁事项</w:t>
      </w:r>
    </w:p>
    <w:p>
      <w:pPr>
        <w:pStyle w:val="Style17"/>
        <w:keepNext w:val="0"/>
        <w:keepLines w:val="0"/>
        <w:widowControl w:val="0"/>
        <w:shd w:val="clear" w:color="auto" w:fill="auto"/>
        <w:bidi w:val="0"/>
        <w:spacing w:before="0" w:after="0" w:line="475" w:lineRule="exact"/>
        <w:ind w:left="0" w:right="0" w:firstLine="460"/>
        <w:jc w:val="both"/>
      </w:pPr>
      <w:r>
        <w:rPr>
          <w:color w:val="000000"/>
          <w:spacing w:val="0"/>
          <w:w w:val="100"/>
          <w:position w:val="0"/>
        </w:rPr>
        <w:t>本报告期内公司无重大、诉讼仲裁事项。</w:t>
      </w:r>
    </w:p>
    <w:p>
      <w:pPr>
        <w:pStyle w:val="Style17"/>
        <w:keepNext w:val="0"/>
        <w:keepLines w:val="0"/>
        <w:widowControl w:val="0"/>
        <w:shd w:val="clear" w:color="auto" w:fill="auto"/>
        <w:bidi w:val="0"/>
        <w:spacing w:before="0" w:after="440" w:line="475" w:lineRule="exact"/>
        <w:ind w:left="0" w:right="0" w:firstLine="460"/>
        <w:jc w:val="both"/>
      </w:pPr>
      <w:r>
        <w:rPr>
          <w:color w:val="000000"/>
          <w:spacing w:val="0"/>
          <w:w w:val="100"/>
          <w:position w:val="0"/>
        </w:rPr>
        <w:t>公司汇总披露未达到重大诉讼披露标准的其他诉讼的涉案总金额及预计总负债情况</w:t>
      </w:r>
    </w:p>
    <w:p>
      <w:pPr>
        <w:pStyle w:val="Style17"/>
        <w:keepNext w:val="0"/>
        <w:keepLines w:val="0"/>
        <w:widowControl w:val="0"/>
        <w:shd w:val="clear" w:color="auto" w:fill="auto"/>
        <w:bidi w:val="0"/>
        <w:spacing w:before="0" w:after="0" w:line="475"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年公司及公司控股子公司作为原告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申请人涉及的诉讼、仲裁</w:t>
      </w:r>
    </w:p>
    <w:p>
      <w:pPr>
        <w:pStyle w:val="Style17"/>
        <w:keepNext w:val="0"/>
        <w:keepLines w:val="0"/>
        <w:widowControl w:val="0"/>
        <w:shd w:val="clear" w:color="auto" w:fill="auto"/>
        <w:bidi w:val="0"/>
        <w:spacing w:before="0" w:after="300" w:line="475" w:lineRule="exact"/>
        <w:ind w:left="0" w:right="0" w:firstLine="0"/>
        <w:jc w:val="right"/>
      </w:pPr>
      <w:r>
        <w:rPr>
          <w:color w:val="000000"/>
          <w:spacing w:val="0"/>
          <w:w w:val="100"/>
          <w:position w:val="0"/>
        </w:rPr>
        <w:t>单位：亿元</w:t>
      </w:r>
      <w:r>
        <w:br w:type="page"/>
      </w:r>
    </w:p>
    <w:tbl>
      <w:tblPr>
        <w:tblOverlap w:val="never"/>
        <w:jc w:val="center"/>
        <w:tblLayout w:type="fixed"/>
      </w:tblPr>
      <w:tblGrid>
        <w:gridCol w:w="1090"/>
        <w:gridCol w:w="1008"/>
        <w:gridCol w:w="893"/>
        <w:gridCol w:w="1661"/>
        <w:gridCol w:w="1699"/>
        <w:gridCol w:w="1704"/>
        <w:gridCol w:w="850"/>
        <w:gridCol w:w="965"/>
      </w:tblGrid>
      <w:tr>
        <w:trPr>
          <w:trHeight w:val="9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诉讼</w:t>
            </w:r>
            <w:r>
              <w:rPr>
                <w:color w:val="000000"/>
                <w:spacing w:val="0"/>
                <w:w w:val="100"/>
                <w:position w:val="0"/>
                <w:sz w:val="22"/>
                <w:szCs w:val="22"/>
              </w:rPr>
              <w:t>（</w:t>
            </w:r>
            <w:r>
              <w:rPr>
                <w:rFonts w:ascii="SimSun" w:eastAsia="SimSun" w:hAnsi="SimSun" w:cs="SimSun"/>
                <w:color w:val="000000"/>
                <w:spacing w:val="0"/>
                <w:w w:val="100"/>
                <w:position w:val="0"/>
                <w:sz w:val="20"/>
                <w:szCs w:val="20"/>
              </w:rPr>
              <w:t>仲</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裁</w:t>
            </w:r>
            <w:r>
              <w:rPr>
                <w:color w:val="000000"/>
                <w:spacing w:val="0"/>
                <w:w w:val="100"/>
                <w:position w:val="0"/>
                <w:sz w:val="22"/>
                <w:szCs w:val="22"/>
              </w:rPr>
              <w:t>）</w:t>
            </w:r>
            <w:r>
              <w:rPr>
                <w:rFonts w:ascii="SimSun" w:eastAsia="SimSun" w:hAnsi="SimSun" w:cs="SimSun"/>
                <w:color w:val="000000"/>
                <w:spacing w:val="0"/>
                <w:w w:val="100"/>
                <w:position w:val="0"/>
                <w:sz w:val="20"/>
                <w:szCs w:val="20"/>
              </w:rPr>
              <w:t>基本</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涉案金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是否形 成预计 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诉讼</w:t>
            </w:r>
            <w:r>
              <w:rPr>
                <w:color w:val="000000"/>
                <w:spacing w:val="0"/>
                <w:w w:val="100"/>
                <w:position w:val="0"/>
                <w:sz w:val="22"/>
                <w:szCs w:val="22"/>
              </w:rPr>
              <w:t>（</w:t>
            </w:r>
            <w:r>
              <w:rPr>
                <w:rFonts w:ascii="SimSun" w:eastAsia="SimSun" w:hAnsi="SimSun" w:cs="SimSun"/>
                <w:color w:val="000000"/>
                <w:spacing w:val="0"/>
                <w:w w:val="100"/>
                <w:position w:val="0"/>
                <w:sz w:val="20"/>
                <w:szCs w:val="20"/>
              </w:rPr>
              <w:t>仲裁</w:t>
            </w:r>
            <w:r>
              <w:rPr>
                <w:color w:val="000000"/>
                <w:spacing w:val="0"/>
                <w:w w:val="100"/>
                <w:position w:val="0"/>
                <w:sz w:val="22"/>
                <w:szCs w:val="22"/>
              </w:rPr>
              <w:t>）</w:t>
            </w:r>
            <w:r>
              <w:rPr>
                <w:rFonts w:ascii="SimSun" w:eastAsia="SimSun" w:hAnsi="SimSun" w:cs="SimSun"/>
                <w:color w:val="000000"/>
                <w:spacing w:val="0"/>
                <w:w w:val="100"/>
                <w:position w:val="0"/>
                <w:sz w:val="20"/>
                <w:szCs w:val="20"/>
              </w:rPr>
              <w:t>进</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诉讼</w:t>
            </w:r>
            <w:r>
              <w:rPr>
                <w:color w:val="000000"/>
                <w:spacing w:val="0"/>
                <w:w w:val="100"/>
                <w:position w:val="0"/>
                <w:sz w:val="22"/>
                <w:szCs w:val="22"/>
              </w:rPr>
              <w:t>（</w:t>
            </w:r>
            <w:r>
              <w:rPr>
                <w:rFonts w:ascii="SimSun" w:eastAsia="SimSun" w:hAnsi="SimSun" w:cs="SimSun"/>
                <w:color w:val="000000"/>
                <w:spacing w:val="0"/>
                <w:w w:val="100"/>
                <w:position w:val="0"/>
                <w:sz w:val="20"/>
                <w:szCs w:val="20"/>
              </w:rPr>
              <w:t>仲裁</w:t>
            </w:r>
            <w:r>
              <w:rPr>
                <w:color w:val="000000"/>
                <w:spacing w:val="0"/>
                <w:w w:val="100"/>
                <w:position w:val="0"/>
                <w:sz w:val="22"/>
                <w:szCs w:val="22"/>
              </w:rPr>
              <w:t>）</w:t>
            </w:r>
            <w:r>
              <w:rPr>
                <w:rFonts w:ascii="SimSun" w:eastAsia="SimSun" w:hAnsi="SimSun" w:cs="SimSun"/>
                <w:color w:val="000000"/>
                <w:spacing w:val="0"/>
                <w:w w:val="100"/>
                <w:position w:val="0"/>
                <w:sz w:val="20"/>
                <w:szCs w:val="20"/>
              </w:rPr>
              <w:t>审理 结果及影响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诉讼</w:t>
            </w:r>
            <w:r>
              <w:rPr>
                <w:color w:val="000000"/>
                <w:spacing w:val="0"/>
                <w:w w:val="100"/>
                <w:position w:val="0"/>
                <w:sz w:val="22"/>
                <w:szCs w:val="22"/>
              </w:rPr>
              <w:t>（</w:t>
            </w:r>
            <w:r>
              <w:rPr>
                <w:rFonts w:ascii="SimSun" w:eastAsia="SimSun" w:hAnsi="SimSun" w:cs="SimSun"/>
                <w:color w:val="000000"/>
                <w:spacing w:val="0"/>
                <w:w w:val="100"/>
                <w:position w:val="0"/>
                <w:sz w:val="20"/>
                <w:szCs w:val="20"/>
              </w:rPr>
              <w:t>仲裁</w:t>
            </w:r>
            <w:r>
              <w:rPr>
                <w:color w:val="000000"/>
                <w:spacing w:val="0"/>
                <w:w w:val="100"/>
                <w:position w:val="0"/>
                <w:sz w:val="22"/>
                <w:szCs w:val="22"/>
              </w:rPr>
              <w:t>）</w:t>
            </w:r>
            <w:r>
              <w:rPr>
                <w:rFonts w:ascii="SimSun" w:eastAsia="SimSun" w:hAnsi="SimSun" w:cs="SimSun"/>
                <w:color w:val="000000"/>
                <w:spacing w:val="0"/>
                <w:w w:val="100"/>
                <w:position w:val="0"/>
                <w:sz w:val="20"/>
                <w:szCs w:val="20"/>
              </w:rPr>
              <w:t>判决 执行情况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披露</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披露索 引</w:t>
            </w:r>
          </w:p>
        </w:tc>
      </w:tr>
      <w:tr>
        <w:trPr>
          <w:trHeight w:val="313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主要涉</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及买卖</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合同纠</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纷、租赁</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及建筑</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工程合</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同纠纷、</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服务合</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同纠纷 等</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7.01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 xml:space="preserve">已结案金额 </w:t>
            </w:r>
            <w:r>
              <w:rPr>
                <w:color w:val="000000"/>
                <w:spacing w:val="0"/>
                <w:w w:val="100"/>
                <w:position w:val="0"/>
                <w:sz w:val="22"/>
                <w:szCs w:val="22"/>
              </w:rPr>
              <w:t>2.29</w:t>
            </w:r>
            <w:r>
              <w:rPr>
                <w:rFonts w:ascii="SimSun" w:eastAsia="SimSun" w:hAnsi="SimSun" w:cs="SimSun"/>
                <w:color w:val="000000"/>
                <w:spacing w:val="0"/>
                <w:w w:val="100"/>
                <w:position w:val="0"/>
                <w:sz w:val="20"/>
                <w:szCs w:val="20"/>
              </w:rPr>
              <w:t>亿元，尚处 于诉讼阶段金 额</w:t>
            </w:r>
            <w:r>
              <w:rPr>
                <w:color w:val="000000"/>
                <w:spacing w:val="0"/>
                <w:w w:val="100"/>
                <w:position w:val="0"/>
                <w:sz w:val="22"/>
                <w:szCs w:val="22"/>
              </w:rPr>
              <w:t>4.72</w:t>
            </w:r>
            <w:r>
              <w:rPr>
                <w:rFonts w:ascii="SimSun" w:eastAsia="SimSun" w:hAnsi="SimSun" w:cs="SimSun"/>
                <w:color w:val="000000"/>
                <w:spacing w:val="0"/>
                <w:w w:val="100"/>
                <w:position w:val="0"/>
                <w:sz w:val="20"/>
                <w:szCs w:val="20"/>
              </w:rPr>
              <w:t>亿元。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2"/>
                <w:szCs w:val="22"/>
              </w:rPr>
              <w:t>4.72</w:t>
            </w:r>
            <w:r>
              <w:rPr>
                <w:rFonts w:ascii="SimSun" w:eastAsia="SimSun" w:hAnsi="SimSun" w:cs="SimSun"/>
                <w:color w:val="000000"/>
                <w:spacing w:val="0"/>
                <w:w w:val="100"/>
                <w:position w:val="0"/>
                <w:sz w:val="20"/>
                <w:szCs w:val="20"/>
              </w:rPr>
              <w:t>亿元未结 诉讼案件，公司 目前正在积极 推动诉讼以及 调解的各项程 序，预计可以达 到既定诉讼目 标。</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1" w:lineRule="exact"/>
              <w:ind w:left="0" w:right="0" w:firstLine="0"/>
              <w:jc w:val="left"/>
              <w:rPr>
                <w:sz w:val="20"/>
                <w:szCs w:val="20"/>
              </w:rPr>
            </w:pPr>
            <w:r>
              <w:rPr>
                <w:rFonts w:ascii="SimSun" w:eastAsia="SimSun" w:hAnsi="SimSun" w:cs="SimSun"/>
                <w:color w:val="000000"/>
                <w:spacing w:val="0"/>
                <w:w w:val="100"/>
                <w:position w:val="0"/>
                <w:sz w:val="20"/>
                <w:szCs w:val="20"/>
              </w:rPr>
              <w:t xml:space="preserve">已结案金额 </w:t>
            </w:r>
            <w:r>
              <w:rPr>
                <w:color w:val="000000"/>
                <w:spacing w:val="0"/>
                <w:w w:val="100"/>
                <w:position w:val="0"/>
                <w:sz w:val="22"/>
                <w:szCs w:val="22"/>
              </w:rPr>
              <w:t>2.29</w:t>
            </w:r>
            <w:r>
              <w:rPr>
                <w:rFonts w:ascii="SimSun" w:eastAsia="SimSun" w:hAnsi="SimSun" w:cs="SimSun"/>
                <w:color w:val="000000"/>
                <w:spacing w:val="0"/>
                <w:w w:val="100"/>
                <w:position w:val="0"/>
                <w:sz w:val="20"/>
                <w:szCs w:val="20"/>
              </w:rPr>
              <w:t>亿元已全 部履行完毕，另 有</w:t>
            </w:r>
            <w:r>
              <w:rPr>
                <w:color w:val="000000"/>
                <w:spacing w:val="0"/>
                <w:w w:val="100"/>
                <w:position w:val="0"/>
                <w:sz w:val="22"/>
                <w:szCs w:val="22"/>
              </w:rPr>
              <w:t>0.43</w:t>
            </w:r>
            <w:r>
              <w:rPr>
                <w:rFonts w:ascii="SimSun" w:eastAsia="SimSun" w:hAnsi="SimSun" w:cs="SimSun"/>
                <w:color w:val="000000"/>
                <w:spacing w:val="0"/>
                <w:w w:val="100"/>
                <w:position w:val="0"/>
                <w:sz w:val="20"/>
                <w:szCs w:val="20"/>
              </w:rPr>
              <w:t>亿胜诉 诉讼案件在执 行程序中。</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不适 用</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r>
    </w:tbl>
    <w:p>
      <w:pPr>
        <w:widowControl w:val="0"/>
        <w:spacing w:after="559" w:line="1" w:lineRule="exact"/>
      </w:pPr>
    </w:p>
    <w:p>
      <w:pPr>
        <w:pStyle w:val="Style17"/>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年公司及公司控股子公司作为被告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被申请人涉及的诉讼、仲裁</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单位：亿元</w:t>
      </w:r>
    </w:p>
    <w:tbl>
      <w:tblPr>
        <w:tblOverlap w:val="never"/>
        <w:jc w:val="center"/>
        <w:tblLayout w:type="fixed"/>
      </w:tblPr>
      <w:tblGrid>
        <w:gridCol w:w="1075"/>
        <w:gridCol w:w="739"/>
        <w:gridCol w:w="1133"/>
        <w:gridCol w:w="1704"/>
        <w:gridCol w:w="1699"/>
        <w:gridCol w:w="1704"/>
        <w:gridCol w:w="850"/>
        <w:gridCol w:w="965"/>
      </w:tblGrid>
      <w:tr>
        <w:trPr>
          <w:trHeight w:val="9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诉讼</w:t>
            </w:r>
            <w:r>
              <w:rPr>
                <w:color w:val="000000"/>
                <w:spacing w:val="0"/>
                <w:w w:val="100"/>
                <w:position w:val="0"/>
                <w:sz w:val="22"/>
                <w:szCs w:val="22"/>
              </w:rPr>
              <w:t>（</w:t>
            </w:r>
            <w:r>
              <w:rPr>
                <w:rFonts w:ascii="SimSun" w:eastAsia="SimSun" w:hAnsi="SimSun" w:cs="SimSun"/>
                <w:color w:val="000000"/>
                <w:spacing w:val="0"/>
                <w:w w:val="100"/>
                <w:position w:val="0"/>
                <w:sz w:val="20"/>
                <w:szCs w:val="20"/>
              </w:rPr>
              <w:t>仲</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裁</w:t>
            </w:r>
            <w:r>
              <w:rPr>
                <w:color w:val="000000"/>
                <w:spacing w:val="0"/>
                <w:w w:val="100"/>
                <w:position w:val="0"/>
                <w:sz w:val="22"/>
                <w:szCs w:val="22"/>
              </w:rPr>
              <w:t>）</w:t>
            </w:r>
            <w:r>
              <w:rPr>
                <w:rFonts w:ascii="SimSun" w:eastAsia="SimSun" w:hAnsi="SimSun" w:cs="SimSun"/>
                <w:color w:val="000000"/>
                <w:spacing w:val="0"/>
                <w:w w:val="100"/>
                <w:position w:val="0"/>
                <w:sz w:val="20"/>
                <w:szCs w:val="20"/>
              </w:rPr>
              <w:t>基本</w:t>
            </w:r>
          </w:p>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涉案</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是否形成</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预计负债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诉讼</w:t>
            </w:r>
            <w:r>
              <w:rPr>
                <w:color w:val="000000"/>
                <w:spacing w:val="0"/>
                <w:w w:val="100"/>
                <w:position w:val="0"/>
                <w:sz w:val="22"/>
                <w:szCs w:val="22"/>
              </w:rPr>
              <w:t>（</w:t>
            </w:r>
            <w:r>
              <w:rPr>
                <w:rFonts w:ascii="SimSun" w:eastAsia="SimSun" w:hAnsi="SimSun" w:cs="SimSun"/>
                <w:color w:val="000000"/>
                <w:spacing w:val="0"/>
                <w:w w:val="100"/>
                <w:position w:val="0"/>
                <w:sz w:val="20"/>
                <w:szCs w:val="20"/>
              </w:rPr>
              <w:t>仲裁</w:t>
            </w:r>
            <w:r>
              <w:rPr>
                <w:color w:val="000000"/>
                <w:spacing w:val="0"/>
                <w:w w:val="100"/>
                <w:position w:val="0"/>
                <w:sz w:val="22"/>
                <w:szCs w:val="22"/>
              </w:rPr>
              <w:t>）</w:t>
            </w:r>
            <w:r>
              <w:rPr>
                <w:rFonts w:ascii="SimSun" w:eastAsia="SimSun" w:hAnsi="SimSun" w:cs="SimSun"/>
                <w:color w:val="000000"/>
                <w:spacing w:val="0"/>
                <w:w w:val="100"/>
                <w:position w:val="0"/>
                <w:sz w:val="20"/>
                <w:szCs w:val="20"/>
              </w:rPr>
              <w:t>进展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诉讼</w:t>
            </w:r>
            <w:r>
              <w:rPr>
                <w:color w:val="000000"/>
                <w:spacing w:val="0"/>
                <w:w w:val="100"/>
                <w:position w:val="0"/>
                <w:sz w:val="22"/>
                <w:szCs w:val="22"/>
              </w:rPr>
              <w:t>（</w:t>
            </w:r>
            <w:r>
              <w:rPr>
                <w:rFonts w:ascii="SimSun" w:eastAsia="SimSun" w:hAnsi="SimSun" w:cs="SimSun"/>
                <w:color w:val="000000"/>
                <w:spacing w:val="0"/>
                <w:w w:val="100"/>
                <w:position w:val="0"/>
                <w:sz w:val="20"/>
                <w:szCs w:val="20"/>
              </w:rPr>
              <w:t>仲裁</w:t>
            </w:r>
            <w:r>
              <w:rPr>
                <w:color w:val="000000"/>
                <w:spacing w:val="0"/>
                <w:w w:val="100"/>
                <w:position w:val="0"/>
                <w:sz w:val="22"/>
                <w:szCs w:val="22"/>
              </w:rPr>
              <w:t>）</w:t>
            </w:r>
            <w:r>
              <w:rPr>
                <w:rFonts w:ascii="SimSun" w:eastAsia="SimSun" w:hAnsi="SimSun" w:cs="SimSun"/>
                <w:color w:val="000000"/>
                <w:spacing w:val="0"/>
                <w:w w:val="100"/>
                <w:position w:val="0"/>
                <w:sz w:val="20"/>
                <w:szCs w:val="20"/>
              </w:rPr>
              <w:t>审理 结果及影响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诉讼</w:t>
            </w:r>
            <w:r>
              <w:rPr>
                <w:color w:val="000000"/>
                <w:spacing w:val="0"/>
                <w:w w:val="100"/>
                <w:position w:val="0"/>
                <w:sz w:val="22"/>
                <w:szCs w:val="22"/>
              </w:rPr>
              <w:t>（</w:t>
            </w:r>
            <w:r>
              <w:rPr>
                <w:rFonts w:ascii="SimSun" w:eastAsia="SimSun" w:hAnsi="SimSun" w:cs="SimSun"/>
                <w:color w:val="000000"/>
                <w:spacing w:val="0"/>
                <w:w w:val="100"/>
                <w:position w:val="0"/>
                <w:sz w:val="20"/>
                <w:szCs w:val="20"/>
              </w:rPr>
              <w:t>仲裁</w:t>
            </w:r>
            <w:r>
              <w:rPr>
                <w:color w:val="000000"/>
                <w:spacing w:val="0"/>
                <w:w w:val="100"/>
                <w:position w:val="0"/>
                <w:sz w:val="22"/>
                <w:szCs w:val="22"/>
              </w:rPr>
              <w:t>）</w:t>
            </w:r>
            <w:r>
              <w:rPr>
                <w:rFonts w:ascii="SimSun" w:eastAsia="SimSun" w:hAnsi="SimSun" w:cs="SimSun"/>
                <w:color w:val="000000"/>
                <w:spacing w:val="0"/>
                <w:w w:val="100"/>
                <w:position w:val="0"/>
                <w:sz w:val="20"/>
                <w:szCs w:val="20"/>
              </w:rPr>
              <w:t>判决 执行情况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披露</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披露索 引</w:t>
            </w:r>
          </w:p>
        </w:tc>
      </w:tr>
      <w:tr>
        <w:trPr>
          <w:trHeight w:val="376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主要涉 及买卖 合同纠 纷、租赁 及建筑 工程合 同纠纷、 服务合 同纠纷、 商业承 兑票据 纠纷等。</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0.90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1" w:lineRule="exact"/>
              <w:ind w:left="0" w:right="0" w:firstLine="0"/>
              <w:jc w:val="left"/>
              <w:rPr>
                <w:sz w:val="20"/>
                <w:szCs w:val="20"/>
              </w:rPr>
            </w:pPr>
            <w:r>
              <w:rPr>
                <w:rFonts w:ascii="SimSun" w:eastAsia="SimSun" w:hAnsi="SimSun" w:cs="SimSun"/>
                <w:color w:val="000000"/>
                <w:spacing w:val="0"/>
                <w:w w:val="100"/>
                <w:position w:val="0"/>
                <w:sz w:val="20"/>
                <w:szCs w:val="20"/>
              </w:rPr>
              <w:t xml:space="preserve">已结案金额 </w:t>
            </w:r>
            <w:r>
              <w:rPr>
                <w:color w:val="000000"/>
                <w:spacing w:val="0"/>
                <w:w w:val="100"/>
                <w:position w:val="0"/>
                <w:sz w:val="22"/>
                <w:szCs w:val="22"/>
              </w:rPr>
              <w:t>15.18</w:t>
            </w:r>
            <w:r>
              <w:rPr>
                <w:rFonts w:ascii="SimSun" w:eastAsia="SimSun" w:hAnsi="SimSun" w:cs="SimSun"/>
                <w:color w:val="000000"/>
                <w:spacing w:val="0"/>
                <w:w w:val="100"/>
                <w:position w:val="0"/>
                <w:sz w:val="20"/>
                <w:szCs w:val="20"/>
              </w:rPr>
              <w:t>亿元，尚 处于诉讼阶段 金额</w:t>
            </w:r>
            <w:r>
              <w:rPr>
                <w:color w:val="000000"/>
                <w:spacing w:val="0"/>
                <w:w w:val="100"/>
                <w:position w:val="0"/>
                <w:sz w:val="22"/>
                <w:szCs w:val="22"/>
              </w:rPr>
              <w:t>24.6</w:t>
            </w:r>
            <w:r>
              <w:rPr>
                <w:color w:val="000000"/>
                <w:spacing w:val="0"/>
                <w:w w:val="100"/>
                <w:position w:val="0"/>
                <w:sz w:val="22"/>
                <w:szCs w:val="22"/>
              </w:rPr>
              <w:t>2</w:t>
            </w:r>
            <w:r>
              <w:rPr>
                <w:rFonts w:ascii="SimSun" w:eastAsia="SimSun" w:hAnsi="SimSun" w:cs="SimSun"/>
                <w:color w:val="000000"/>
                <w:spacing w:val="0"/>
                <w:w w:val="100"/>
                <w:position w:val="0"/>
                <w:sz w:val="20"/>
                <w:szCs w:val="20"/>
              </w:rPr>
              <w:t>亿 元，其中公司及 公司控股子公 司作为第三人 金额为</w:t>
            </w:r>
            <w:r>
              <w:rPr>
                <w:color w:val="000000"/>
                <w:spacing w:val="0"/>
                <w:w w:val="100"/>
                <w:position w:val="0"/>
                <w:sz w:val="22"/>
                <w:szCs w:val="22"/>
              </w:rPr>
              <w:t>1.19</w:t>
            </w:r>
            <w:r>
              <w:rPr>
                <w:rFonts w:ascii="SimSun" w:eastAsia="SimSun" w:hAnsi="SimSun" w:cs="SimSun"/>
                <w:color w:val="000000"/>
                <w:spacing w:val="0"/>
                <w:w w:val="100"/>
                <w:position w:val="0"/>
                <w:sz w:val="20"/>
                <w:szCs w:val="20"/>
              </w:rPr>
              <w:t>亿 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1" w:lineRule="exact"/>
              <w:ind w:left="0" w:right="0" w:firstLine="0"/>
              <w:jc w:val="both"/>
              <w:rPr>
                <w:sz w:val="20"/>
                <w:szCs w:val="20"/>
              </w:rPr>
            </w:pPr>
            <w:r>
              <w:rPr>
                <w:rFonts w:ascii="SimSun" w:eastAsia="SimSun" w:hAnsi="SimSun" w:cs="SimSun"/>
                <w:color w:val="000000"/>
                <w:spacing w:val="0"/>
                <w:w w:val="100"/>
                <w:position w:val="0"/>
                <w:sz w:val="20"/>
                <w:szCs w:val="20"/>
              </w:rPr>
              <w:t>该部分案件涉 诉不会增加公 司负债，产生的 预计负债金额 较小。公司正与 相关原告积极 协商和解履约 的各项事宜。</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 xml:space="preserve">已结案金额 </w:t>
            </w:r>
            <w:r>
              <w:rPr>
                <w:color w:val="000000"/>
                <w:spacing w:val="0"/>
                <w:w w:val="100"/>
                <w:position w:val="0"/>
                <w:sz w:val="22"/>
                <w:szCs w:val="22"/>
              </w:rPr>
              <w:t>15.18</w:t>
            </w:r>
            <w:r>
              <w:rPr>
                <w:rFonts w:ascii="SimSun" w:eastAsia="SimSun" w:hAnsi="SimSun" w:cs="SimSun"/>
                <w:color w:val="000000"/>
                <w:spacing w:val="0"/>
                <w:w w:val="100"/>
                <w:position w:val="0"/>
                <w:sz w:val="20"/>
                <w:szCs w:val="20"/>
              </w:rPr>
              <w:t>亿元中需 要履行支付义 务的已全部履 行完毕。</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另未结案件中 有</w:t>
            </w:r>
            <w:r>
              <w:rPr>
                <w:color w:val="000000"/>
                <w:spacing w:val="0"/>
                <w:w w:val="100"/>
                <w:position w:val="0"/>
                <w:sz w:val="22"/>
                <w:szCs w:val="22"/>
              </w:rPr>
              <w:t>4.15</w:t>
            </w:r>
            <w:r>
              <w:rPr>
                <w:rFonts w:ascii="SimSun" w:eastAsia="SimSun" w:hAnsi="SimSun" w:cs="SimSun"/>
                <w:color w:val="000000"/>
                <w:spacing w:val="0"/>
                <w:w w:val="100"/>
                <w:position w:val="0"/>
                <w:sz w:val="20"/>
                <w:szCs w:val="20"/>
              </w:rPr>
              <w:t>亿元已 与原告达成调 解，正在分期履 行中。</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不适 用</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r>
    </w:tbl>
    <w:p>
      <w:pPr>
        <w:widowControl w:val="0"/>
        <w:spacing w:after="259" w:line="1" w:lineRule="exact"/>
      </w:pPr>
    </w:p>
    <w:p>
      <w:pPr>
        <w:pStyle w:val="Style17"/>
        <w:keepNext w:val="0"/>
        <w:keepLines w:val="0"/>
        <w:widowControl w:val="0"/>
        <w:shd w:val="clear" w:color="auto" w:fill="auto"/>
        <w:bidi w:val="0"/>
        <w:spacing w:before="0" w:after="40" w:line="468" w:lineRule="exact"/>
        <w:ind w:left="0" w:right="0" w:firstLine="540"/>
        <w:jc w:val="left"/>
      </w:pPr>
      <w:r>
        <w:rPr>
          <w:rFonts w:ascii="Times New Roman" w:eastAsia="Times New Roman" w:hAnsi="Times New Roman" w:cs="Times New Roman"/>
          <w:color w:val="000000"/>
          <w:spacing w:val="0"/>
          <w:w w:val="100"/>
          <w:position w:val="0"/>
          <w:sz w:val="22"/>
          <w:szCs w:val="22"/>
        </w:rPr>
        <w:t>2</w:t>
      </w:r>
      <w:r>
        <w:rPr>
          <w:color w:val="000000"/>
          <w:spacing w:val="0"/>
          <w:w w:val="100"/>
          <w:position w:val="0"/>
        </w:rPr>
        <w:t>、连续十二个月内累计诉讼、仲裁事项</w:t>
      </w:r>
    </w:p>
    <w:p>
      <w:pPr>
        <w:pStyle w:val="Style17"/>
        <w:keepNext w:val="0"/>
        <w:keepLines w:val="0"/>
        <w:widowControl w:val="0"/>
        <w:shd w:val="clear" w:color="auto" w:fill="auto"/>
        <w:bidi w:val="0"/>
        <w:spacing w:before="0" w:after="40" w:line="461" w:lineRule="exact"/>
        <w:ind w:left="0" w:right="0" w:firstLine="540"/>
        <w:jc w:val="both"/>
      </w:pPr>
      <w:r>
        <w:rPr>
          <w:color w:val="000000"/>
          <w:spacing w:val="0"/>
          <w:w w:val="100"/>
          <w:position w:val="0"/>
        </w:rPr>
        <w:t>根据《深圳证券交易所股票上市规则》（</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年修订）规定，公司对连续十二个月内（</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日）发生的诉讼、仲裁事项进行了统计，具体情况如下：</w:t>
      </w:r>
    </w:p>
    <w:p>
      <w:pPr>
        <w:pStyle w:val="Style17"/>
        <w:keepNext w:val="0"/>
        <w:keepLines w:val="0"/>
        <w:widowControl w:val="0"/>
        <w:shd w:val="clear" w:color="auto" w:fill="auto"/>
        <w:tabs>
          <w:tab w:pos="1059" w:val="left"/>
        </w:tabs>
        <w:bidi w:val="0"/>
        <w:spacing w:before="0" w:after="40" w:line="468" w:lineRule="exact"/>
        <w:ind w:left="0" w:right="0" w:firstLine="540"/>
        <w:jc w:val="both"/>
      </w:pPr>
      <w:bookmarkStart w:id="509" w:name="bookmark509"/>
      <w:r>
        <w:rPr>
          <w:color w:val="000000"/>
          <w:spacing w:val="0"/>
          <w:w w:val="100"/>
          <w:position w:val="0"/>
        </w:rPr>
        <w:t>（</w:t>
      </w:r>
      <w:bookmarkEnd w:id="509"/>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公司及公司控股子公司作为原告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申请人涉及的诉讼、仲裁合计涉案金额为</w:t>
      </w:r>
      <w:r>
        <w:rPr>
          <w:rFonts w:ascii="Times New Roman" w:eastAsia="Times New Roman" w:hAnsi="Times New Roman" w:cs="Times New Roman"/>
          <w:color w:val="000000"/>
          <w:spacing w:val="0"/>
          <w:w w:val="100"/>
          <w:position w:val="0"/>
          <w:sz w:val="22"/>
          <w:szCs w:val="22"/>
        </w:rPr>
        <w:t>7.79</w:t>
      </w:r>
      <w:r>
        <w:rPr>
          <w:color w:val="000000"/>
          <w:spacing w:val="0"/>
          <w:w w:val="100"/>
          <w:position w:val="0"/>
        </w:rPr>
        <w:t>亿元，其中 已结案金额</w:t>
      </w:r>
      <w:r>
        <w:rPr>
          <w:rFonts w:ascii="Times New Roman" w:eastAsia="Times New Roman" w:hAnsi="Times New Roman" w:cs="Times New Roman"/>
          <w:color w:val="000000"/>
          <w:spacing w:val="0"/>
          <w:w w:val="100"/>
          <w:position w:val="0"/>
          <w:sz w:val="22"/>
          <w:szCs w:val="22"/>
        </w:rPr>
        <w:t>2.17</w:t>
      </w:r>
      <w:r>
        <w:rPr>
          <w:color w:val="000000"/>
          <w:spacing w:val="0"/>
          <w:w w:val="100"/>
          <w:position w:val="0"/>
        </w:rPr>
        <w:t>亿元，尚处于诉讼阶段金额</w:t>
      </w:r>
      <w:r>
        <w:rPr>
          <w:rFonts w:ascii="Times New Roman" w:eastAsia="Times New Roman" w:hAnsi="Times New Roman" w:cs="Times New Roman"/>
          <w:color w:val="000000"/>
          <w:spacing w:val="0"/>
          <w:w w:val="100"/>
          <w:position w:val="0"/>
          <w:sz w:val="22"/>
          <w:szCs w:val="22"/>
        </w:rPr>
        <w:t>5.62</w:t>
      </w:r>
      <w:r>
        <w:rPr>
          <w:color w:val="000000"/>
          <w:spacing w:val="0"/>
          <w:w w:val="100"/>
          <w:position w:val="0"/>
        </w:rPr>
        <w:t>亿元。公司目前正在积极推动诉讼以及调解的各项 程序，预计可以达到既定诉讼目标。</w:t>
      </w:r>
    </w:p>
    <w:p>
      <w:pPr>
        <w:pStyle w:val="Style17"/>
        <w:keepNext w:val="0"/>
        <w:keepLines w:val="0"/>
        <w:widowControl w:val="0"/>
        <w:shd w:val="clear" w:color="auto" w:fill="auto"/>
        <w:tabs>
          <w:tab w:pos="502" w:val="left"/>
        </w:tabs>
        <w:bidi w:val="0"/>
        <w:spacing w:before="0" w:after="0" w:line="468" w:lineRule="exact"/>
        <w:ind w:left="0" w:right="0" w:firstLine="540"/>
        <w:jc w:val="both"/>
      </w:pPr>
      <w:bookmarkStart w:id="510" w:name="bookmark510"/>
      <w:r>
        <w:rPr>
          <w:color w:val="000000"/>
          <w:spacing w:val="0"/>
          <w:w w:val="100"/>
          <w:position w:val="0"/>
        </w:rPr>
        <w:t>（</w:t>
      </w:r>
      <w:bookmarkEnd w:id="510"/>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公司及公司控股子公司作为被告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被申请人涉及的诉讼、仲裁合计涉案金额为</w:t>
      </w:r>
      <w:r>
        <w:rPr>
          <w:rFonts w:ascii="Times New Roman" w:eastAsia="Times New Roman" w:hAnsi="Times New Roman" w:cs="Times New Roman"/>
          <w:color w:val="000000"/>
          <w:spacing w:val="0"/>
          <w:w w:val="100"/>
          <w:position w:val="0"/>
          <w:sz w:val="22"/>
          <w:szCs w:val="22"/>
        </w:rPr>
        <w:t>62.12</w:t>
      </w:r>
      <w:r>
        <w:rPr>
          <w:color w:val="000000"/>
          <w:spacing w:val="0"/>
          <w:w w:val="100"/>
          <w:position w:val="0"/>
        </w:rPr>
        <w:t xml:space="preserve">亿元， </w:t>
      </w:r>
      <w:r>
        <w:rPr>
          <w:color w:val="000000"/>
          <w:spacing w:val="0"/>
          <w:w w:val="100"/>
          <w:position w:val="0"/>
        </w:rPr>
        <w:t>其中已结案金额</w:t>
      </w:r>
      <w:r>
        <w:rPr>
          <w:rFonts w:ascii="Times New Roman" w:eastAsia="Times New Roman" w:hAnsi="Times New Roman" w:cs="Times New Roman"/>
          <w:color w:val="000000"/>
          <w:spacing w:val="0"/>
          <w:w w:val="100"/>
          <w:position w:val="0"/>
          <w:sz w:val="22"/>
          <w:szCs w:val="22"/>
        </w:rPr>
        <w:t>14.9</w:t>
      </w:r>
      <w:r>
        <w:rPr>
          <w:color w:val="000000"/>
          <w:spacing w:val="0"/>
          <w:w w:val="100"/>
          <w:position w:val="0"/>
        </w:rPr>
        <w:t>亿元，尚处于诉讼阶段金额</w:t>
      </w:r>
      <w:r>
        <w:rPr>
          <w:rFonts w:ascii="Times New Roman" w:eastAsia="Times New Roman" w:hAnsi="Times New Roman" w:cs="Times New Roman"/>
          <w:color w:val="000000"/>
          <w:spacing w:val="0"/>
          <w:w w:val="100"/>
          <w:position w:val="0"/>
          <w:sz w:val="22"/>
          <w:szCs w:val="22"/>
        </w:rPr>
        <w:t>47.22</w:t>
      </w:r>
      <w:r>
        <w:rPr>
          <w:color w:val="000000"/>
          <w:spacing w:val="0"/>
          <w:w w:val="100"/>
          <w:position w:val="0"/>
        </w:rPr>
        <w:t>亿元。已结案件中涉及支付义务的已全部履行 完毕，未结案件中有</w:t>
      </w:r>
      <w:r>
        <w:rPr>
          <w:rFonts w:ascii="Times New Roman" w:eastAsia="Times New Roman" w:hAnsi="Times New Roman" w:cs="Times New Roman"/>
          <w:color w:val="000000"/>
          <w:spacing w:val="0"/>
          <w:w w:val="100"/>
          <w:position w:val="0"/>
          <w:sz w:val="22"/>
          <w:szCs w:val="22"/>
        </w:rPr>
        <w:t>6.8</w:t>
      </w:r>
      <w:r>
        <w:rPr>
          <w:color w:val="000000"/>
          <w:spacing w:val="0"/>
          <w:w w:val="100"/>
          <w:position w:val="0"/>
        </w:rPr>
        <w:t>亿已与原告达成调解或和解，正在分期履行。该部分案件涉诉不会增加公司 负债，产生的预计负债金额较小。公司正与相关原告积极协商和解履约的各项事宜。</w:t>
      </w:r>
    </w:p>
    <w:p>
      <w:pPr>
        <w:pStyle w:val="Style17"/>
        <w:keepNext w:val="0"/>
        <w:keepLines w:val="0"/>
        <w:widowControl w:val="0"/>
        <w:shd w:val="clear" w:color="auto" w:fill="auto"/>
        <w:bidi w:val="0"/>
        <w:spacing w:before="0" w:after="0" w:line="473" w:lineRule="exact"/>
        <w:ind w:left="0" w:right="0" w:firstLine="460"/>
        <w:jc w:val="left"/>
      </w:pPr>
      <w:r>
        <w:rPr>
          <w:color w:val="000000"/>
          <w:spacing w:val="0"/>
          <w:w w:val="100"/>
          <w:position w:val="0"/>
        </w:rPr>
        <w:t>上述连续</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个月内累计未决诉讼、仲裁事项（涉案金额大于</w:t>
      </w:r>
      <w:r>
        <w:rPr>
          <w:rFonts w:ascii="Times New Roman" w:eastAsia="Times New Roman" w:hAnsi="Times New Roman" w:cs="Times New Roman"/>
          <w:color w:val="000000"/>
          <w:spacing w:val="0"/>
          <w:w w:val="100"/>
          <w:position w:val="0"/>
          <w:sz w:val="22"/>
          <w:szCs w:val="22"/>
        </w:rPr>
        <w:t>1000</w:t>
      </w:r>
      <w:r>
        <w:rPr>
          <w:color w:val="000000"/>
          <w:spacing w:val="0"/>
          <w:w w:val="100"/>
          <w:position w:val="0"/>
        </w:rPr>
        <w:t>万元）的汇总情况：</w:t>
      </w:r>
    </w:p>
    <w:p>
      <w:pPr>
        <w:pStyle w:val="Style17"/>
        <w:keepNext w:val="0"/>
        <w:keepLines w:val="0"/>
        <w:widowControl w:val="0"/>
        <w:shd w:val="clear" w:color="auto" w:fill="auto"/>
        <w:tabs>
          <w:tab w:pos="1040" w:val="left"/>
        </w:tabs>
        <w:bidi w:val="0"/>
        <w:spacing w:before="0" w:after="0" w:line="461" w:lineRule="exact"/>
        <w:ind w:left="0" w:right="0" w:firstLine="460"/>
        <w:jc w:val="both"/>
      </w:pPr>
      <w:bookmarkStart w:id="511" w:name="bookmark511"/>
      <w:r>
        <w:rPr>
          <w:color w:val="000000"/>
          <w:spacing w:val="0"/>
          <w:w w:val="100"/>
          <w:position w:val="0"/>
        </w:rPr>
        <w:t>（</w:t>
      </w:r>
      <w:bookmarkEnd w:id="511"/>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公司及公司控股子公司作为原告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申请人涉及买卖合同类纠纷</w:t>
      </w:r>
      <w:r>
        <w:rPr>
          <w:rFonts w:ascii="Times New Roman" w:eastAsia="Times New Roman" w:hAnsi="Times New Roman" w:cs="Times New Roman"/>
          <w:color w:val="000000"/>
          <w:spacing w:val="0"/>
          <w:w w:val="100"/>
          <w:position w:val="0"/>
          <w:sz w:val="22"/>
          <w:szCs w:val="22"/>
        </w:rPr>
        <w:t>1.15</w:t>
      </w:r>
      <w:r>
        <w:rPr>
          <w:color w:val="000000"/>
          <w:spacing w:val="0"/>
          <w:w w:val="100"/>
          <w:position w:val="0"/>
        </w:rPr>
        <w:t>亿元，租赁及建筑工程合 同类纠纷</w:t>
      </w:r>
      <w:r>
        <w:rPr>
          <w:rFonts w:ascii="Times New Roman" w:eastAsia="Times New Roman" w:hAnsi="Times New Roman" w:cs="Times New Roman"/>
          <w:color w:val="000000"/>
          <w:spacing w:val="0"/>
          <w:w w:val="100"/>
          <w:position w:val="0"/>
          <w:sz w:val="22"/>
          <w:szCs w:val="22"/>
        </w:rPr>
        <w:t>0.5</w:t>
      </w:r>
      <w:r>
        <w:rPr>
          <w:color w:val="000000"/>
          <w:spacing w:val="0"/>
          <w:w w:val="100"/>
          <w:position w:val="0"/>
        </w:rPr>
        <w:t>亿元，票据类纠纷</w:t>
      </w:r>
      <w:r>
        <w:rPr>
          <w:rFonts w:ascii="Times New Roman" w:eastAsia="Times New Roman" w:hAnsi="Times New Roman" w:cs="Times New Roman"/>
          <w:color w:val="000000"/>
          <w:spacing w:val="0"/>
          <w:w w:val="100"/>
          <w:position w:val="0"/>
          <w:sz w:val="22"/>
          <w:szCs w:val="22"/>
        </w:rPr>
        <w:t>1.14</w:t>
      </w:r>
      <w:r>
        <w:rPr>
          <w:color w:val="000000"/>
          <w:spacing w:val="0"/>
          <w:w w:val="100"/>
          <w:position w:val="0"/>
        </w:rPr>
        <w:t>亿元。公司正积极推进诉讼及和解程序。</w:t>
      </w:r>
    </w:p>
    <w:p>
      <w:pPr>
        <w:pStyle w:val="Style17"/>
        <w:keepNext w:val="0"/>
        <w:keepLines w:val="0"/>
        <w:widowControl w:val="0"/>
        <w:shd w:val="clear" w:color="auto" w:fill="auto"/>
        <w:tabs>
          <w:tab w:pos="1059" w:val="left"/>
        </w:tabs>
        <w:bidi w:val="0"/>
        <w:spacing w:before="0" w:after="280" w:line="475" w:lineRule="exact"/>
        <w:ind w:left="0" w:right="0" w:firstLine="460"/>
        <w:jc w:val="both"/>
      </w:pPr>
      <w:bookmarkStart w:id="512" w:name="bookmark512"/>
      <w:r>
        <w:rPr>
          <w:color w:val="000000"/>
          <w:spacing w:val="0"/>
          <w:w w:val="100"/>
          <w:position w:val="0"/>
        </w:rPr>
        <w:t>（</w:t>
      </w:r>
      <w:bookmarkEnd w:id="512"/>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公司及公司控股子公司作为被告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被申请人涉及买卖合同类纠纷</w:t>
      </w:r>
      <w:r>
        <w:rPr>
          <w:rFonts w:ascii="Times New Roman" w:eastAsia="Times New Roman" w:hAnsi="Times New Roman" w:cs="Times New Roman"/>
          <w:color w:val="000000"/>
          <w:spacing w:val="0"/>
          <w:w w:val="100"/>
          <w:position w:val="0"/>
          <w:sz w:val="22"/>
          <w:szCs w:val="22"/>
        </w:rPr>
        <w:t>8.82</w:t>
      </w:r>
      <w:r>
        <w:rPr>
          <w:color w:val="000000"/>
          <w:spacing w:val="0"/>
          <w:w w:val="100"/>
          <w:position w:val="0"/>
        </w:rPr>
        <w:t>亿元，租赁及建筑工程 合同类纠纷</w:t>
      </w:r>
      <w:r>
        <w:rPr>
          <w:rFonts w:ascii="Times New Roman" w:eastAsia="Times New Roman" w:hAnsi="Times New Roman" w:cs="Times New Roman"/>
          <w:color w:val="000000"/>
          <w:spacing w:val="0"/>
          <w:w w:val="100"/>
          <w:position w:val="0"/>
          <w:sz w:val="22"/>
          <w:szCs w:val="22"/>
        </w:rPr>
        <w:t>8.27</w:t>
      </w:r>
      <w:r>
        <w:rPr>
          <w:color w:val="000000"/>
          <w:spacing w:val="0"/>
          <w:w w:val="100"/>
          <w:position w:val="0"/>
        </w:rPr>
        <w:t>亿元，服务合同纠纷</w:t>
      </w:r>
      <w:r>
        <w:rPr>
          <w:rFonts w:ascii="Times New Roman" w:eastAsia="Times New Roman" w:hAnsi="Times New Roman" w:cs="Times New Roman"/>
          <w:color w:val="000000"/>
          <w:spacing w:val="0"/>
          <w:w w:val="100"/>
          <w:position w:val="0"/>
          <w:sz w:val="22"/>
          <w:szCs w:val="22"/>
        </w:rPr>
        <w:t>7.19</w:t>
      </w:r>
      <w:r>
        <w:rPr>
          <w:color w:val="000000"/>
          <w:spacing w:val="0"/>
          <w:w w:val="100"/>
          <w:position w:val="0"/>
        </w:rPr>
        <w:t>亿元、票据类纠纷</w:t>
      </w:r>
      <w:r>
        <w:rPr>
          <w:rFonts w:ascii="Times New Roman" w:eastAsia="Times New Roman" w:hAnsi="Times New Roman" w:cs="Times New Roman"/>
          <w:color w:val="000000"/>
          <w:spacing w:val="0"/>
          <w:w w:val="100"/>
          <w:position w:val="0"/>
          <w:sz w:val="22"/>
          <w:szCs w:val="22"/>
        </w:rPr>
        <w:t>2.06</w:t>
      </w:r>
      <w:r>
        <w:rPr>
          <w:color w:val="000000"/>
          <w:spacing w:val="0"/>
          <w:w w:val="100"/>
          <w:position w:val="0"/>
        </w:rPr>
        <w:t>亿元，其他类纠纷</w:t>
      </w:r>
      <w:r>
        <w:rPr>
          <w:rFonts w:ascii="Times New Roman" w:eastAsia="Times New Roman" w:hAnsi="Times New Roman" w:cs="Times New Roman"/>
          <w:color w:val="000000"/>
          <w:spacing w:val="0"/>
          <w:w w:val="100"/>
          <w:position w:val="0"/>
          <w:sz w:val="22"/>
          <w:szCs w:val="22"/>
        </w:rPr>
        <w:t>2.83</w:t>
      </w:r>
      <w:r>
        <w:rPr>
          <w:color w:val="000000"/>
          <w:spacing w:val="0"/>
          <w:w w:val="100"/>
          <w:position w:val="0"/>
        </w:rPr>
        <w:t>亿元。上述 案件不会增加公司负债，公司正与相关原告积极协商和解履约的各项事宜。</w:t>
      </w:r>
    </w:p>
    <w:p>
      <w:pPr>
        <w:pStyle w:val="Style32"/>
        <w:keepNext/>
        <w:keepLines/>
        <w:widowControl w:val="0"/>
        <w:shd w:val="clear" w:color="auto" w:fill="auto"/>
        <w:bidi w:val="0"/>
        <w:spacing w:before="0" w:after="280" w:line="473" w:lineRule="exact"/>
        <w:ind w:left="0" w:right="0" w:firstLine="0"/>
        <w:jc w:val="left"/>
      </w:pPr>
      <w:bookmarkStart w:id="513" w:name="bookmark513"/>
      <w:bookmarkStart w:id="514" w:name="bookmark514"/>
      <w:bookmarkStart w:id="515" w:name="bookmark515"/>
      <w:r>
        <w:rPr>
          <w:color w:val="000000"/>
          <w:spacing w:val="0"/>
          <w:w w:val="100"/>
          <w:position w:val="0"/>
          <w:sz w:val="24"/>
          <w:szCs w:val="24"/>
        </w:rPr>
        <w:t>十二、处罚及整改情况</w:t>
      </w:r>
      <w:bookmarkEnd w:id="513"/>
      <w:bookmarkEnd w:id="514"/>
      <w:bookmarkEnd w:id="515"/>
    </w:p>
    <w:p>
      <w:pPr>
        <w:pStyle w:val="Style17"/>
        <w:keepNext w:val="0"/>
        <w:keepLines w:val="0"/>
        <w:widowControl w:val="0"/>
        <w:shd w:val="clear" w:color="auto" w:fill="auto"/>
        <w:bidi w:val="0"/>
        <w:spacing w:before="0" w:after="0" w:line="473" w:lineRule="exact"/>
        <w:ind w:left="0" w:right="0" w:firstLine="46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280" w:line="473" w:lineRule="exact"/>
        <w:ind w:left="0" w:right="0" w:firstLine="460"/>
        <w:jc w:val="left"/>
      </w:pPr>
      <w:r>
        <w:rPr>
          <w:color w:val="000000"/>
          <w:spacing w:val="0"/>
          <w:w w:val="100"/>
          <w:position w:val="0"/>
        </w:rPr>
        <w:t>公司报告期不存在处罚及整改情况。</w:t>
      </w:r>
    </w:p>
    <w:p>
      <w:pPr>
        <w:pStyle w:val="Style32"/>
        <w:keepNext/>
        <w:keepLines/>
        <w:widowControl w:val="0"/>
        <w:shd w:val="clear" w:color="auto" w:fill="auto"/>
        <w:bidi w:val="0"/>
        <w:spacing w:before="0" w:after="280" w:line="473" w:lineRule="exact"/>
        <w:ind w:left="0" w:right="0" w:firstLine="0"/>
        <w:jc w:val="left"/>
      </w:pPr>
      <w:bookmarkStart w:id="516" w:name="bookmark516"/>
      <w:bookmarkStart w:id="517" w:name="bookmark517"/>
      <w:bookmarkStart w:id="518" w:name="bookmark518"/>
      <w:r>
        <w:rPr>
          <w:color w:val="000000"/>
          <w:spacing w:val="0"/>
          <w:w w:val="100"/>
          <w:position w:val="0"/>
          <w:sz w:val="24"/>
          <w:szCs w:val="24"/>
        </w:rPr>
        <w:t>十三、公司及其控股股东、实际控制人的诚信状况</w:t>
      </w:r>
      <w:bookmarkEnd w:id="516"/>
      <w:bookmarkEnd w:id="517"/>
      <w:bookmarkEnd w:id="518"/>
    </w:p>
    <w:p>
      <w:pPr>
        <w:pStyle w:val="Style17"/>
        <w:keepNext w:val="0"/>
        <w:keepLines w:val="0"/>
        <w:widowControl w:val="0"/>
        <w:shd w:val="clear" w:color="auto" w:fill="auto"/>
        <w:bidi w:val="0"/>
        <w:spacing w:before="0" w:after="280" w:line="470" w:lineRule="exact"/>
        <w:ind w:left="0" w:right="0" w:firstLine="460"/>
        <w:jc w:val="both"/>
        <w:sectPr>
          <w:footnotePr>
            <w:pos w:val="pageBottom"/>
            <w:numFmt w:val="decimal"/>
            <w:numStart w:val="1"/>
            <w:numRestart w:val="continuous"/>
            <w15:footnoteColumns w:val="1"/>
          </w:footnotePr>
          <w:pgSz w:w="11900" w:h="16840"/>
          <w:pgMar w:top="1327" w:right="985" w:bottom="1274" w:left="1018" w:header="0" w:footer="3" w:gutter="0"/>
          <w:cols w:space="720"/>
          <w:noEndnote/>
          <w:rtlGutter w:val="0"/>
          <w:docGrid w:linePitch="360"/>
        </w:sectPr>
      </w:pPr>
      <w:r>
        <w:rPr>
          <w:color w:val="000000"/>
          <w:spacing w:val="0"/>
          <w:w w:val="100"/>
          <w:position w:val="0"/>
        </w:rPr>
        <w:t>公司无控股股东、无实际控制人，公司股东淘宝（中国）软件有限公司及其实际控制人不存在未 履行法院生效判决或者所负数额较大的债务到期未清偿等不良诚信的状况。</w:t>
      </w:r>
    </w:p>
    <w:p>
      <w:pPr>
        <w:pStyle w:val="Style32"/>
        <w:keepNext/>
        <w:keepLines/>
        <w:widowControl w:val="0"/>
        <w:shd w:val="clear" w:color="auto" w:fill="auto"/>
        <w:bidi w:val="0"/>
        <w:spacing w:before="660" w:after="500" w:line="240" w:lineRule="auto"/>
        <w:ind w:left="0" w:right="0" w:firstLine="0"/>
        <w:jc w:val="left"/>
      </w:pPr>
      <w:bookmarkStart w:id="519" w:name="bookmark519"/>
      <w:bookmarkStart w:id="520" w:name="bookmark520"/>
      <w:bookmarkStart w:id="521" w:name="bookmark521"/>
      <w:r>
        <w:rPr>
          <w:color w:val="000000"/>
          <w:spacing w:val="0"/>
          <w:w w:val="100"/>
          <w:position w:val="0"/>
          <w:sz w:val="24"/>
          <w:szCs w:val="24"/>
        </w:rPr>
        <w:t>十四、重大关联交易</w:t>
      </w:r>
      <w:bookmarkEnd w:id="519"/>
      <w:bookmarkEnd w:id="520"/>
      <w:bookmarkEnd w:id="521"/>
    </w:p>
    <w:p>
      <w:pPr>
        <w:pStyle w:val="Style35"/>
        <w:keepNext/>
        <w:keepLines/>
        <w:widowControl w:val="0"/>
        <w:shd w:val="clear" w:color="auto" w:fill="auto"/>
        <w:bidi w:val="0"/>
        <w:spacing w:before="0" w:after="42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sz w:val="22"/>
          <w:szCs w:val="22"/>
        </w:rPr>
        <w:t>1</w:t>
      </w:r>
      <w:bookmarkEnd w:id="524"/>
      <w:r>
        <w:rPr>
          <w:color w:val="000000"/>
          <w:spacing w:val="0"/>
          <w:w w:val="100"/>
          <w:position w:val="0"/>
        </w:rPr>
        <w:t>、与日常经营相关的关联交易</w:t>
      </w:r>
      <w:bookmarkEnd w:id="522"/>
      <w:bookmarkEnd w:id="523"/>
      <w:bookmarkEnd w:id="525"/>
    </w:p>
    <w:p>
      <w:pPr>
        <w:pStyle w:val="Style26"/>
        <w:keepNext w:val="0"/>
        <w:keepLines w:val="0"/>
        <w:widowControl w:val="0"/>
        <w:shd w:val="clear" w:color="auto" w:fill="auto"/>
        <w:bidi w:val="0"/>
        <w:spacing w:before="0" w:after="0" w:line="240" w:lineRule="auto"/>
        <w:ind w:left="12619" w:right="0" w:firstLine="0"/>
        <w:jc w:val="left"/>
        <w:rPr>
          <w:sz w:val="18"/>
          <w:szCs w:val="18"/>
        </w:rPr>
      </w:pPr>
      <w:r>
        <w:rPr>
          <w:color w:val="000000"/>
          <w:spacing w:val="0"/>
          <w:w w:val="100"/>
          <w:position w:val="0"/>
          <w:sz w:val="18"/>
          <w:szCs w:val="18"/>
        </w:rPr>
        <w:t>单位：含税，万元</w:t>
      </w:r>
    </w:p>
    <w:tbl>
      <w:tblPr>
        <w:tblOverlap w:val="never"/>
        <w:jc w:val="center"/>
        <w:tblLayout w:type="fixed"/>
      </w:tblPr>
      <w:tblGrid>
        <w:gridCol w:w="811"/>
        <w:gridCol w:w="720"/>
        <w:gridCol w:w="566"/>
        <w:gridCol w:w="802"/>
        <w:gridCol w:w="1320"/>
        <w:gridCol w:w="3202"/>
        <w:gridCol w:w="1162"/>
        <w:gridCol w:w="970"/>
        <w:gridCol w:w="1056"/>
        <w:gridCol w:w="514"/>
        <w:gridCol w:w="619"/>
        <w:gridCol w:w="706"/>
        <w:gridCol w:w="629"/>
        <w:gridCol w:w="1114"/>
      </w:tblGrid>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关</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关联交易定价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占同类交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获批的交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可获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披露</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披露索引</w:t>
            </w:r>
          </w:p>
        </w:tc>
      </w:tr>
      <w:tr>
        <w:trPr>
          <w:trHeight w:val="312"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关系</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易内容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原则</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易金额的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易额度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得的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日期</w:t>
            </w: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交</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超</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同类</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易</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过</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类</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获</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市价</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批</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为公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代建费用由双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物流基地工程代建服务费用实施分档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2,615.98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52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受</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方依据相关的</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分级代建费率，具体根据每个物流基地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苏宁易</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成本投入以及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工程项目体量，按照预计建设总投资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2021-040</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司及子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东之</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购自建</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参考市场价格</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（不含土地及财务费、不可预见费）的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控股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店、物</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协商确定</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一定比例确定代建费率，即项目总建筑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流基地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面积</w:t>
            </w:r>
            <w:r>
              <w:rPr>
                <w:color w:val="000000"/>
                <w:spacing w:val="0"/>
                <w:w w:val="100"/>
                <w:position w:val="0"/>
                <w:sz w:val="18"/>
                <w:szCs w:val="18"/>
              </w:rPr>
              <w:t>5</w:t>
            </w:r>
            <w:r>
              <w:rPr>
                <w:rFonts w:ascii="SimSun" w:eastAsia="SimSun" w:hAnsi="SimSun" w:cs="SimSun"/>
                <w:color w:val="000000"/>
                <w:spacing w:val="0"/>
                <w:w w:val="100"/>
                <w:position w:val="0"/>
                <w:sz w:val="18"/>
                <w:szCs w:val="18"/>
              </w:rPr>
              <w:t>万平米（含）以下，代建费率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供</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提供工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w:t>
            </w:r>
            <w:r>
              <w:rPr>
                <w:rFonts w:ascii="SimSun" w:eastAsia="SimSun" w:hAnsi="SimSun" w:cs="SimSun"/>
                <w:color w:val="000000"/>
                <w:spacing w:val="0"/>
                <w:w w:val="100"/>
                <w:position w:val="0"/>
                <w:sz w:val="18"/>
                <w:szCs w:val="18"/>
              </w:rPr>
              <w:t>；项目总建筑面积</w:t>
            </w:r>
            <w:r>
              <w:rPr>
                <w:color w:val="000000"/>
                <w:spacing w:val="0"/>
                <w:w w:val="100"/>
                <w:position w:val="0"/>
                <w:sz w:val="18"/>
                <w:szCs w:val="18"/>
              </w:rPr>
              <w:t>5-10</w:t>
            </w:r>
            <w:r>
              <w:rPr>
                <w:rFonts w:ascii="SimSun" w:eastAsia="SimSun" w:hAnsi="SimSun" w:cs="SimSun"/>
                <w:color w:val="000000"/>
                <w:spacing w:val="0"/>
                <w:w w:val="100"/>
                <w:position w:val="0"/>
                <w:sz w:val="18"/>
                <w:szCs w:val="18"/>
              </w:rPr>
              <w:t>万平米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交易预计</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程代建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（含）以下，代建费率</w:t>
            </w:r>
            <w:r>
              <w:rPr>
                <w:color w:val="000000"/>
                <w:spacing w:val="0"/>
                <w:w w:val="100"/>
                <w:position w:val="0"/>
                <w:sz w:val="18"/>
                <w:szCs w:val="18"/>
              </w:rPr>
              <w:t>2.10%</w:t>
            </w:r>
            <w:r>
              <w:rPr>
                <w:rFonts w:ascii="SimSun" w:eastAsia="SimSun" w:hAnsi="SimSun" w:cs="SimSun"/>
                <w:color w:val="000000"/>
                <w:spacing w:val="0"/>
                <w:w w:val="100"/>
                <w:position w:val="0"/>
                <w:sz w:val="18"/>
                <w:szCs w:val="18"/>
              </w:rPr>
              <w:t>；项目总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的公告》</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建筑面积</w:t>
            </w:r>
            <w:r>
              <w:rPr>
                <w:color w:val="000000"/>
                <w:spacing w:val="0"/>
                <w:w w:val="100"/>
                <w:position w:val="0"/>
                <w:sz w:val="18"/>
                <w:szCs w:val="18"/>
              </w:rPr>
              <w:t>10-15</w:t>
            </w:r>
            <w:r>
              <w:rPr>
                <w:rFonts w:ascii="SimSun" w:eastAsia="SimSun" w:hAnsi="SimSun" w:cs="SimSun"/>
                <w:color w:val="000000"/>
                <w:spacing w:val="0"/>
                <w:w w:val="100"/>
                <w:position w:val="0"/>
                <w:sz w:val="18"/>
                <w:szCs w:val="18"/>
              </w:rPr>
              <w:t>万平米（含）以下，代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建费率</w:t>
            </w:r>
            <w:r>
              <w:rPr>
                <w:color w:val="000000"/>
                <w:spacing w:val="0"/>
                <w:w w:val="100"/>
                <w:position w:val="0"/>
                <w:sz w:val="18"/>
                <w:szCs w:val="18"/>
              </w:rPr>
              <w:t xml:space="preserve">1.70% </w:t>
            </w:r>
            <w:r>
              <w:rPr>
                <w:rFonts w:ascii="SimSun" w:eastAsia="SimSun" w:hAnsi="SimSun" w:cs="SimSun"/>
                <w:color w:val="000000"/>
                <w:spacing w:val="0"/>
                <w:w w:val="100"/>
                <w:position w:val="0"/>
                <w:sz w:val="18"/>
                <w:szCs w:val="18"/>
              </w:rPr>
              <w:t>；项目总建筑面积</w:t>
            </w:r>
            <w:r>
              <w:rPr>
                <w:color w:val="000000"/>
                <w:spacing w:val="0"/>
                <w:w w:val="100"/>
                <w:position w:val="0"/>
                <w:sz w:val="18"/>
                <w:szCs w:val="18"/>
              </w:rPr>
              <w:t>15-20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万平米（含）以下，代建费率</w:t>
            </w:r>
            <w:r>
              <w:rPr>
                <w:color w:val="000000"/>
                <w:spacing w:val="0"/>
                <w:w w:val="100"/>
                <w:position w:val="0"/>
                <w:sz w:val="18"/>
                <w:szCs w:val="18"/>
              </w:rPr>
              <w:t>1.50%</w:t>
            </w:r>
            <w:r>
              <w:rPr>
                <w:rFonts w:ascii="SimSun" w:eastAsia="SimSun" w:hAnsi="SimSun" w:cs="SimSu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项目总建筑面积</w:t>
            </w:r>
            <w:r>
              <w:rPr>
                <w:color w:val="000000"/>
                <w:spacing w:val="0"/>
                <w:w w:val="100"/>
                <w:position w:val="0"/>
                <w:sz w:val="18"/>
                <w:szCs w:val="18"/>
              </w:rPr>
              <w:t>20</w:t>
            </w:r>
            <w:r>
              <w:rPr>
                <w:rFonts w:ascii="SimSun" w:eastAsia="SimSun" w:hAnsi="SimSun" w:cs="SimSun"/>
                <w:color w:val="000000"/>
                <w:spacing w:val="0"/>
                <w:w w:val="100"/>
                <w:position w:val="0"/>
                <w:sz w:val="18"/>
                <w:szCs w:val="18"/>
              </w:rPr>
              <w:t>万平米（含）以上，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代建费率</w:t>
            </w:r>
            <w:r>
              <w:rPr>
                <w:color w:val="000000"/>
                <w:spacing w:val="0"/>
                <w:w w:val="100"/>
                <w:position w:val="0"/>
                <w:sz w:val="18"/>
                <w:szCs w:val="18"/>
              </w:rPr>
              <w:t>1.40%</w:t>
            </w:r>
            <w:r>
              <w:rPr>
                <w:rFonts w:ascii="SimSun" w:eastAsia="SimSun" w:hAnsi="SimSun" w:cs="SimSun"/>
                <w:color w:val="000000"/>
                <w:spacing w:val="0"/>
                <w:w w:val="100"/>
                <w:position w:val="0"/>
                <w:sz w:val="18"/>
                <w:szCs w:val="18"/>
              </w:rPr>
              <w:t>；此费用根据项目实施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过程中变更导致的建设工程总投入调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整而进行相应增减，最终进行决算。自</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720"/>
        <w:gridCol w:w="566"/>
        <w:gridCol w:w="802"/>
        <w:gridCol w:w="1320"/>
        <w:gridCol w:w="3202"/>
        <w:gridCol w:w="1162"/>
        <w:gridCol w:w="970"/>
        <w:gridCol w:w="1056"/>
        <w:gridCol w:w="514"/>
        <w:gridCol w:w="619"/>
        <w:gridCol w:w="706"/>
        <w:gridCol w:w="629"/>
        <w:gridCol w:w="1114"/>
      </w:tblGrid>
      <w:tr>
        <w:trPr>
          <w:trHeight w:val="2510"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 易方</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关系</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关 联 交 易 类</w:t>
            </w:r>
          </w:p>
          <w:p>
            <w:pPr>
              <w:pStyle w:val="Style29"/>
              <w:keepNext w:val="0"/>
              <w:keepLines w:val="0"/>
              <w:widowControl w:val="0"/>
              <w:shd w:val="clear" w:color="auto" w:fill="auto"/>
              <w:bidi w:val="0"/>
              <w:spacing w:before="0" w:after="0" w:line="312" w:lineRule="exact"/>
              <w:ind w:left="0" w:right="0" w:firstLine="180"/>
              <w:jc w:val="left"/>
              <w:rPr>
                <w:sz w:val="18"/>
                <w:szCs w:val="18"/>
              </w:rPr>
            </w:pPr>
            <w:r>
              <w:rPr>
                <w:rFonts w:ascii="SimSun" w:eastAsia="SimSun" w:hAnsi="SimSun" w:cs="SimSun"/>
                <w:color w:val="000000"/>
                <w:spacing w:val="0"/>
                <w:w w:val="100"/>
                <w:position w:val="0"/>
                <w:sz w:val="18"/>
                <w:szCs w:val="18"/>
              </w:rPr>
              <w:t>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易内容</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关联交易定价 原则</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关联交易金 额</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占同类交</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易金额的</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获批的交 易额度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160" w:right="0" w:firstLine="0"/>
              <w:jc w:val="left"/>
              <w:rPr>
                <w:sz w:val="18"/>
                <w:szCs w:val="18"/>
              </w:rPr>
            </w:pPr>
            <w:r>
              <w:rPr>
                <w:rFonts w:ascii="SimSun" w:eastAsia="SimSun" w:hAnsi="SimSun" w:cs="SimSun"/>
                <w:color w:val="000000"/>
                <w:spacing w:val="0"/>
                <w:w w:val="100"/>
                <w:position w:val="0"/>
                <w:sz w:val="18"/>
                <w:szCs w:val="18"/>
              </w:rPr>
              <w:t>是 否 超 过 获 批 额 度</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结算</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160" w:right="0" w:firstLine="0"/>
              <w:jc w:val="left"/>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披露</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日期</w:t>
            </w:r>
          </w:p>
        </w:tc>
        <w:tc>
          <w:tcPr>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披露索引</w:t>
            </w:r>
          </w:p>
        </w:tc>
      </w:tr>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建店项目按单个项目建设总投入（不含 土地款及相关税费）金额的</w:t>
            </w:r>
            <w:r>
              <w:rPr>
                <w:color w:val="000000"/>
                <w:spacing w:val="0"/>
                <w:w w:val="100"/>
                <w:position w:val="0"/>
                <w:sz w:val="18"/>
                <w:szCs w:val="18"/>
              </w:rPr>
              <w:t>3%</w:t>
            </w:r>
            <w:r>
              <w:rPr>
                <w:rFonts w:ascii="SimSun" w:eastAsia="SimSun" w:hAnsi="SimSun" w:cs="SimSun"/>
                <w:color w:val="000000"/>
                <w:spacing w:val="0"/>
                <w:w w:val="100"/>
                <w:position w:val="0"/>
                <w:sz w:val="18"/>
                <w:szCs w:val="18"/>
              </w:rPr>
              <w:t>予以支 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4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江苏银 河物业 管理有 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苏宁 置业 集团 之子 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接 受 关 联 方 提 供 服 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tabs>
                <w:tab w:pos="408" w:val="left"/>
              </w:tabs>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公司及 子公司 委托江 苏银河 物业为 连锁店 面、办 公物 业、物 流</w:t>
              <w:tab/>
              <w:t>基</w:t>
            </w:r>
          </w:p>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地、自 建店等 提供物 业服务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连锁店面物业服务价格按照连锁店面 物业所在地区、物业服务面积综合判 定，物业服务单价约在</w:t>
            </w:r>
            <w:r>
              <w:rPr>
                <w:color w:val="000000"/>
                <w:spacing w:val="0"/>
                <w:w w:val="100"/>
                <w:position w:val="0"/>
                <w:sz w:val="18"/>
                <w:szCs w:val="18"/>
              </w:rPr>
              <w:t>4</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平米</w:t>
            </w:r>
            <w:r>
              <w:rPr>
                <w:color w:val="000000"/>
                <w:spacing w:val="0"/>
                <w:w w:val="100"/>
                <w:position w:val="0"/>
                <w:sz w:val="18"/>
                <w:szCs w:val="18"/>
              </w:rPr>
              <w:t>/</w:t>
            </w:r>
            <w:r>
              <w:rPr>
                <w:rFonts w:ascii="SimSun" w:eastAsia="SimSun" w:hAnsi="SimSun" w:cs="SimSun"/>
                <w:color w:val="000000"/>
                <w:spacing w:val="0"/>
                <w:w w:val="100"/>
                <w:position w:val="0"/>
                <w:sz w:val="18"/>
                <w:szCs w:val="18"/>
              </w:rPr>
              <w:t>月</w:t>
            </w:r>
            <w:r>
              <w:rPr>
                <w:color w:val="000000"/>
                <w:spacing w:val="0"/>
                <w:w w:val="100"/>
                <w:position w:val="0"/>
                <w:sz w:val="18"/>
                <w:szCs w:val="18"/>
              </w:rPr>
              <w:t xml:space="preserve">-5 </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平米</w:t>
            </w:r>
            <w:r>
              <w:rPr>
                <w:color w:val="000000"/>
                <w:spacing w:val="0"/>
                <w:w w:val="100"/>
                <w:position w:val="0"/>
                <w:sz w:val="18"/>
                <w:szCs w:val="18"/>
              </w:rPr>
              <w:t>/</w:t>
            </w:r>
            <w:r>
              <w:rPr>
                <w:rFonts w:ascii="SimSun" w:eastAsia="SimSun" w:hAnsi="SimSun" w:cs="SimSun"/>
                <w:color w:val="000000"/>
                <w:spacing w:val="0"/>
                <w:w w:val="100"/>
                <w:position w:val="0"/>
                <w:sz w:val="18"/>
                <w:szCs w:val="18"/>
              </w:rPr>
              <w:t>月（具体物业服务价格按照项 目体量以及服务界面逐个项目确定）； 办公物业服务价格按照办公物业所在 地区、物业服务面积综合判定，物业服 务单价约在</w:t>
            </w:r>
            <w:r>
              <w:rPr>
                <w:color w:val="000000"/>
                <w:spacing w:val="0"/>
                <w:w w:val="100"/>
                <w:position w:val="0"/>
                <w:sz w:val="18"/>
                <w:szCs w:val="18"/>
              </w:rPr>
              <w:t>5</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平米</w:t>
            </w:r>
            <w:r>
              <w:rPr>
                <w:color w:val="000000"/>
                <w:spacing w:val="0"/>
                <w:w w:val="100"/>
                <w:position w:val="0"/>
                <w:sz w:val="18"/>
                <w:szCs w:val="18"/>
              </w:rPr>
              <w:t>/</w:t>
            </w:r>
            <w:r>
              <w:rPr>
                <w:rFonts w:ascii="SimSun" w:eastAsia="SimSun" w:hAnsi="SimSun" w:cs="SimSun"/>
                <w:color w:val="000000"/>
                <w:spacing w:val="0"/>
                <w:w w:val="100"/>
                <w:position w:val="0"/>
                <w:sz w:val="18"/>
                <w:szCs w:val="18"/>
              </w:rPr>
              <w:t>月</w:t>
            </w:r>
            <w:r>
              <w:rPr>
                <w:color w:val="000000"/>
                <w:spacing w:val="0"/>
                <w:w w:val="100"/>
                <w:position w:val="0"/>
                <w:sz w:val="18"/>
                <w:szCs w:val="18"/>
              </w:rPr>
              <w:t>-10</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平米</w:t>
            </w:r>
            <w:r>
              <w:rPr>
                <w:color w:val="000000"/>
                <w:spacing w:val="0"/>
                <w:w w:val="100"/>
                <w:position w:val="0"/>
                <w:sz w:val="18"/>
                <w:szCs w:val="18"/>
              </w:rPr>
              <w:t>/</w:t>
            </w:r>
            <w:r>
              <w:rPr>
                <w:rFonts w:ascii="SimSun" w:eastAsia="SimSun" w:hAnsi="SimSun" w:cs="SimSun"/>
                <w:color w:val="000000"/>
                <w:spacing w:val="0"/>
                <w:w w:val="100"/>
                <w:position w:val="0"/>
                <w:sz w:val="18"/>
                <w:szCs w:val="18"/>
              </w:rPr>
              <w:t>月 （具体物业服务价格按照项目体量以 及服务界面逐个项目确定）；物流基地 物业服务价格按照物流基地所在地区、 物业服务面积综合判定，物业服务单价 约在</w:t>
            </w:r>
            <w:r>
              <w:rPr>
                <w:color w:val="000000"/>
                <w:spacing w:val="0"/>
                <w:w w:val="100"/>
                <w:position w:val="0"/>
                <w:sz w:val="18"/>
                <w:szCs w:val="18"/>
              </w:rPr>
              <w:t>1.30</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平米</w:t>
            </w:r>
            <w:r>
              <w:rPr>
                <w:color w:val="000000"/>
                <w:spacing w:val="0"/>
                <w:w w:val="100"/>
                <w:position w:val="0"/>
                <w:sz w:val="18"/>
                <w:szCs w:val="18"/>
              </w:rPr>
              <w:t>/</w:t>
            </w:r>
            <w:r>
              <w:rPr>
                <w:rFonts w:ascii="SimSun" w:eastAsia="SimSun" w:hAnsi="SimSun" w:cs="SimSun"/>
                <w:color w:val="000000"/>
                <w:spacing w:val="0"/>
                <w:w w:val="100"/>
                <w:position w:val="0"/>
                <w:sz w:val="18"/>
                <w:szCs w:val="18"/>
              </w:rPr>
              <w:t>月</w:t>
            </w:r>
            <w:r>
              <w:rPr>
                <w:color w:val="000000"/>
                <w:spacing w:val="0"/>
                <w:w w:val="100"/>
                <w:position w:val="0"/>
                <w:sz w:val="18"/>
                <w:szCs w:val="18"/>
              </w:rPr>
              <w:t>-</w:t>
            </w:r>
            <w:r>
              <w:rPr>
                <w:color w:val="000000"/>
                <w:spacing w:val="0"/>
                <w:w w:val="100"/>
                <w:position w:val="0"/>
                <w:sz w:val="18"/>
                <w:szCs w:val="18"/>
              </w:rPr>
              <w:t>2.40</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平米</w:t>
            </w:r>
            <w:r>
              <w:rPr>
                <w:color w:val="000000"/>
                <w:spacing w:val="0"/>
                <w:w w:val="100"/>
                <w:position w:val="0"/>
                <w:sz w:val="18"/>
                <w:szCs w:val="18"/>
              </w:rPr>
              <w:t>/</w:t>
            </w:r>
            <w:r>
              <w:rPr>
                <w:rFonts w:ascii="SimSun" w:eastAsia="SimSun" w:hAnsi="SimSun" w:cs="SimSun"/>
                <w:color w:val="000000"/>
                <w:spacing w:val="0"/>
                <w:w w:val="100"/>
                <w:position w:val="0"/>
                <w:sz w:val="18"/>
                <w:szCs w:val="18"/>
              </w:rPr>
              <w:t>月 （按照物流基地项目规模以及投入时 间逐个项目核定）；自建店物业服务价 格：按照自建店所在地区，以及自建店 涵盖商业业态，逐个项目确定物业服务 价格，预计单价在</w:t>
            </w:r>
            <w:r>
              <w:rPr>
                <w:color w:val="000000"/>
                <w:spacing w:val="0"/>
                <w:w w:val="100"/>
                <w:position w:val="0"/>
                <w:sz w:val="18"/>
                <w:szCs w:val="18"/>
              </w:rPr>
              <w:t>4.50</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平米</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-12.00</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平米</w:t>
            </w:r>
            <w:r>
              <w:rPr>
                <w:color w:val="000000"/>
                <w:spacing w:val="0"/>
                <w:w w:val="100"/>
                <w:position w:val="0"/>
                <w:sz w:val="18"/>
                <w:szCs w:val="18"/>
              </w:rPr>
              <w:t>/</w:t>
            </w:r>
            <w:r>
              <w:rPr>
                <w:rFonts w:ascii="SimSun" w:eastAsia="SimSun" w:hAnsi="SimSun" w:cs="SimSun"/>
                <w:color w:val="000000"/>
                <w:spacing w:val="0"/>
                <w:w w:val="100"/>
                <w:position w:val="0"/>
                <w:sz w:val="18"/>
                <w:szCs w:val="18"/>
              </w:rPr>
              <w:t>月（具体自建店物业服</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37,188.57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按合 同约 定结 算</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月</w:t>
            </w:r>
            <w:r>
              <w:rPr>
                <w:color w:val="000000"/>
                <w:spacing w:val="0"/>
                <w:w w:val="100"/>
                <w:position w:val="0"/>
                <w:sz w:val="18"/>
                <w:szCs w:val="18"/>
              </w:rPr>
              <w:t xml:space="preserve">24 </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100" w:line="312" w:lineRule="exact"/>
              <w:ind w:left="0" w:right="0" w:firstLine="0"/>
              <w:jc w:val="left"/>
              <w:rPr>
                <w:sz w:val="18"/>
                <w:szCs w:val="18"/>
              </w:rPr>
            </w:pPr>
            <w:r>
              <w:rPr>
                <w:rFonts w:ascii="SimSun" w:eastAsia="SimSun" w:hAnsi="SimSun" w:cs="SimSun"/>
                <w:color w:val="000000"/>
                <w:spacing w:val="0"/>
                <w:w w:val="100"/>
                <w:position w:val="0"/>
                <w:sz w:val="18"/>
                <w:szCs w:val="18"/>
              </w:rPr>
              <w:t>巨潮资讯 网</w:t>
            </w:r>
          </w:p>
          <w:p>
            <w:pPr>
              <w:pStyle w:val="Style29"/>
              <w:keepNext w:val="0"/>
              <w:keepLines w:val="0"/>
              <w:widowControl w:val="0"/>
              <w:shd w:val="clear" w:color="auto" w:fill="auto"/>
              <w:bidi w:val="0"/>
              <w:spacing w:before="0" w:after="0" w:line="360" w:lineRule="auto"/>
              <w:ind w:left="0" w:right="0" w:firstLine="0"/>
              <w:jc w:val="left"/>
              <w:rPr>
                <w:sz w:val="18"/>
                <w:szCs w:val="18"/>
              </w:rPr>
            </w:pPr>
            <w:r>
              <w:rPr>
                <w:color w:val="000000"/>
                <w:spacing w:val="0"/>
                <w:w w:val="100"/>
                <w:position w:val="0"/>
                <w:sz w:val="18"/>
                <w:szCs w:val="18"/>
              </w:rPr>
              <w:t>2021-040</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 xml:space="preserve">《关于 </w:t>
            </w:r>
            <w:r>
              <w:rPr>
                <w:color w:val="000000"/>
                <w:spacing w:val="0"/>
                <w:w w:val="100"/>
                <w:position w:val="0"/>
                <w:sz w:val="18"/>
                <w:szCs w:val="18"/>
              </w:rPr>
              <w:t>2021</w:t>
            </w:r>
            <w:r>
              <w:rPr>
                <w:rFonts w:ascii="SimSun" w:eastAsia="SimSun" w:hAnsi="SimSun" w:cs="SimSun"/>
                <w:color w:val="000000"/>
                <w:spacing w:val="0"/>
                <w:w w:val="100"/>
                <w:position w:val="0"/>
                <w:sz w:val="18"/>
                <w:szCs w:val="18"/>
              </w:rPr>
              <w:t>年度 日常关联 交易预计 的公告》</w:t>
            </w:r>
          </w:p>
        </w:tc>
      </w:tr>
    </w:tbl>
    <w:p>
      <w:pPr>
        <w:spacing w:lineRule="exact" w:line="1"/>
        <w:rPr>
          <w:sz w:val="2"/>
          <w:szCs w:val="2"/>
        </w:rPr>
      </w:pPr>
      <w:r>
        <w:br w:type="page"/>
      </w:r>
    </w:p>
    <w:tbl>
      <w:tblPr>
        <w:tblOverlap w:val="never"/>
        <w:jc w:val="center"/>
        <w:tblLayout w:type="fixed"/>
      </w:tblPr>
      <w:tblGrid>
        <w:gridCol w:w="811"/>
        <w:gridCol w:w="720"/>
        <w:gridCol w:w="566"/>
        <w:gridCol w:w="802"/>
        <w:gridCol w:w="1320"/>
        <w:gridCol w:w="3202"/>
        <w:gridCol w:w="1162"/>
        <w:gridCol w:w="970"/>
        <w:gridCol w:w="1056"/>
        <w:gridCol w:w="514"/>
        <w:gridCol w:w="619"/>
        <w:gridCol w:w="706"/>
        <w:gridCol w:w="629"/>
        <w:gridCol w:w="1114"/>
      </w:tblGrid>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关</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关联交易定价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占同类交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获批的交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可获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披露</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披露索引</w:t>
            </w:r>
          </w:p>
        </w:tc>
      </w:tr>
      <w:tr>
        <w:trPr>
          <w:trHeight w:val="312"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关系</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易内容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原则</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易金额的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易额度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得的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日期</w:t>
            </w: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交</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超</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同类</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易</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过</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类</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获</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市价</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批</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务价格按照项目体量以及服务界面逐 个项目确定）。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苏宁控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采购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9,347.70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控股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PPTV</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有限公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电视等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2021-040</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司下属</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之子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智能硬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采</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件产品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交易预计</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的公告》</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阿里巴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持有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采购商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121,716.67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1,201,500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巴集团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本公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司</w:t>
            </w:r>
            <w:r>
              <w:rPr>
                <w:color w:val="000000"/>
                <w:spacing w:val="0"/>
                <w:w w:val="100"/>
                <w:position w:val="0"/>
                <w:sz w:val="18"/>
                <w:szCs w:val="18"/>
              </w:rPr>
              <w:t>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2021-040</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以上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股份</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法人</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股东</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交易预计</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之最</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的公告》；</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终控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2021-123</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股公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《关于增</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司及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加日常关</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其子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联交易预</w:t>
            </w:r>
          </w:p>
        </w:tc>
      </w:tr>
    </w:tbl>
    <w:p>
      <w:pPr>
        <w:spacing w:lineRule="exact" w:line="1"/>
        <w:rPr>
          <w:sz w:val="2"/>
          <w:szCs w:val="2"/>
        </w:rPr>
      </w:pPr>
      <w:r>
        <w:br w:type="page"/>
      </w:r>
    </w:p>
    <w:tbl>
      <w:tblPr>
        <w:tblOverlap w:val="never"/>
        <w:jc w:val="center"/>
        <w:tblLayout w:type="fixed"/>
      </w:tblPr>
      <w:tblGrid>
        <w:gridCol w:w="811"/>
        <w:gridCol w:w="720"/>
        <w:gridCol w:w="566"/>
        <w:gridCol w:w="802"/>
        <w:gridCol w:w="1320"/>
        <w:gridCol w:w="3202"/>
        <w:gridCol w:w="1162"/>
        <w:gridCol w:w="970"/>
        <w:gridCol w:w="1056"/>
        <w:gridCol w:w="514"/>
        <w:gridCol w:w="619"/>
        <w:gridCol w:w="706"/>
        <w:gridCol w:w="629"/>
        <w:gridCol w:w="1114"/>
      </w:tblGrid>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关</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关联交易定价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占同类交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获批的交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可获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披露</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披露索引</w:t>
            </w:r>
          </w:p>
        </w:tc>
      </w:tr>
      <w:tr>
        <w:trPr>
          <w:trHeight w:val="312"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关系</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易内容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原则</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易金额的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易额度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得的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日期</w:t>
            </w: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交</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超</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同类</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易</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过</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类</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获</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市价</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批</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计的公告》</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提供商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控股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品仓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储、干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2021-040</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司下属</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之子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线调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拨、售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供</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后维修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等服务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交易预计</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的公告》</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提供物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线投资</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控股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tabs>
                <w:tab w:pos="312" w:val="lef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w:t>
              <w:tab/>
              <w:t>北</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2021-040</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京）有</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之子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于苏宁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影城开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供</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交易预计</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的公告》</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阿里巴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持有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54,231.01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巴集团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本公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司</w:t>
            </w:r>
            <w:r>
              <w:rPr>
                <w:color w:val="000000"/>
                <w:spacing w:val="0"/>
                <w:w w:val="100"/>
                <w:position w:val="0"/>
                <w:sz w:val="18"/>
                <w:szCs w:val="18"/>
              </w:rPr>
              <w:t>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阿里巴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2021-040</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以上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巴集团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股份</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提</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菜鸟网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r>
    </w:tbl>
    <w:p>
      <w:pPr>
        <w:spacing w:lineRule="exact" w:line="1"/>
        <w:rPr>
          <w:sz w:val="2"/>
          <w:szCs w:val="2"/>
        </w:rPr>
      </w:pPr>
      <w:r>
        <w:br w:type="page"/>
      </w:r>
    </w:p>
    <w:tbl>
      <w:tblPr>
        <w:tblOverlap w:val="never"/>
        <w:jc w:val="center"/>
        <w:tblLayout w:type="fixed"/>
      </w:tblPr>
      <w:tblGrid>
        <w:gridCol w:w="811"/>
        <w:gridCol w:w="350"/>
        <w:gridCol w:w="370"/>
        <w:gridCol w:w="566"/>
        <w:gridCol w:w="802"/>
        <w:gridCol w:w="1320"/>
        <w:gridCol w:w="3202"/>
        <w:gridCol w:w="1162"/>
        <w:gridCol w:w="970"/>
        <w:gridCol w:w="1056"/>
        <w:gridCol w:w="514"/>
        <w:gridCol w:w="619"/>
        <w:gridCol w:w="706"/>
        <w:gridCol w:w="629"/>
        <w:gridCol w:w="1114"/>
      </w:tblGrid>
      <w:tr>
        <w:trPr>
          <w:trHeight w:val="2510"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 易方</w:t>
            </w:r>
          </w:p>
        </w:tc>
        <w:tc>
          <w:tcPr>
            <w:gridSpan w:val="2"/>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关系</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关 联 交 易 类</w:t>
            </w:r>
          </w:p>
          <w:p>
            <w:pPr>
              <w:pStyle w:val="Style29"/>
              <w:keepNext w:val="0"/>
              <w:keepLines w:val="0"/>
              <w:widowControl w:val="0"/>
              <w:shd w:val="clear" w:color="auto" w:fill="auto"/>
              <w:bidi w:val="0"/>
              <w:spacing w:before="0" w:after="0" w:line="312" w:lineRule="exact"/>
              <w:ind w:left="0" w:right="0" w:firstLine="180"/>
              <w:jc w:val="left"/>
              <w:rPr>
                <w:sz w:val="18"/>
                <w:szCs w:val="18"/>
              </w:rPr>
            </w:pPr>
            <w:r>
              <w:rPr>
                <w:rFonts w:ascii="SimSun" w:eastAsia="SimSun" w:hAnsi="SimSun" w:cs="SimSun"/>
                <w:color w:val="000000"/>
                <w:spacing w:val="0"/>
                <w:w w:val="100"/>
                <w:position w:val="0"/>
                <w:sz w:val="18"/>
                <w:szCs w:val="18"/>
              </w:rPr>
              <w:t>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易内容</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关联交易定价 原则</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关联交易金 额</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占同类交</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易金额的</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获批的交 易额度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160" w:right="0" w:firstLine="0"/>
              <w:jc w:val="left"/>
              <w:rPr>
                <w:sz w:val="18"/>
                <w:szCs w:val="18"/>
              </w:rPr>
            </w:pPr>
            <w:r>
              <w:rPr>
                <w:rFonts w:ascii="SimSun" w:eastAsia="SimSun" w:hAnsi="SimSun" w:cs="SimSun"/>
                <w:color w:val="000000"/>
                <w:spacing w:val="0"/>
                <w:w w:val="100"/>
                <w:position w:val="0"/>
                <w:sz w:val="18"/>
                <w:szCs w:val="18"/>
              </w:rPr>
              <w:t>是 否 超 过 获 批 额 度</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结算</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160" w:right="0" w:firstLine="0"/>
              <w:jc w:val="left"/>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披露</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日期</w:t>
            </w:r>
          </w:p>
        </w:tc>
        <w:tc>
          <w:tcPr>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披露索引</w:t>
            </w:r>
          </w:p>
        </w:tc>
      </w:tr>
      <w:tr>
        <w:trPr>
          <w:trHeight w:val="2506"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法人 股东 之最 终控 股公 司及 其子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供</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服</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络提供 商品仓 储、仓 库运营 管理、 物流配 送等服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日常关联</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交易预计</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的公告》</w:t>
            </w:r>
          </w:p>
        </w:tc>
      </w:tr>
      <w:tr>
        <w:trPr>
          <w:trHeight w:val="40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阿里巴</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巴集团</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持有 本公 司</w:t>
            </w:r>
            <w:r>
              <w:rPr>
                <w:color w:val="000000"/>
                <w:spacing w:val="0"/>
                <w:w w:val="100"/>
                <w:position w:val="0"/>
                <w:sz w:val="18"/>
                <w:szCs w:val="18"/>
              </w:rPr>
              <w:t xml:space="preserve">5% </w:t>
            </w:r>
            <w:r>
              <w:rPr>
                <w:rFonts w:ascii="SimSun" w:eastAsia="SimSun" w:hAnsi="SimSun" w:cs="SimSun"/>
                <w:color w:val="000000"/>
                <w:spacing w:val="0"/>
                <w:w w:val="100"/>
                <w:position w:val="0"/>
                <w:sz w:val="18"/>
                <w:szCs w:val="18"/>
              </w:rPr>
              <w:t>以上 股份 法人 股东 之最 终控 股公 司及 其子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向 关 联 方 提 供 服 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推广服</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务支持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9,784.40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按合 同约 定结 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月</w:t>
            </w:r>
            <w:r>
              <w:rPr>
                <w:color w:val="000000"/>
                <w:spacing w:val="0"/>
                <w:w w:val="100"/>
                <w:position w:val="0"/>
                <w:sz w:val="18"/>
                <w:szCs w:val="18"/>
              </w:rPr>
              <w:t xml:space="preserve">24 </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00" w:line="312" w:lineRule="exact"/>
              <w:ind w:left="0" w:right="0" w:firstLine="0"/>
              <w:jc w:val="left"/>
              <w:rPr>
                <w:sz w:val="18"/>
                <w:szCs w:val="18"/>
              </w:rPr>
            </w:pPr>
            <w:r>
              <w:rPr>
                <w:rFonts w:ascii="SimSun" w:eastAsia="SimSun" w:hAnsi="SimSun" w:cs="SimSun"/>
                <w:color w:val="000000"/>
                <w:spacing w:val="0"/>
                <w:w w:val="100"/>
                <w:position w:val="0"/>
                <w:sz w:val="18"/>
                <w:szCs w:val="18"/>
              </w:rPr>
              <w:t>巨潮资讯 网</w:t>
            </w:r>
          </w:p>
          <w:p>
            <w:pPr>
              <w:pStyle w:val="Style29"/>
              <w:keepNext w:val="0"/>
              <w:keepLines w:val="0"/>
              <w:widowControl w:val="0"/>
              <w:shd w:val="clear" w:color="auto" w:fill="auto"/>
              <w:bidi w:val="0"/>
              <w:spacing w:before="0" w:after="0" w:line="360" w:lineRule="auto"/>
              <w:ind w:left="0" w:right="0" w:firstLine="0"/>
              <w:jc w:val="left"/>
              <w:rPr>
                <w:sz w:val="18"/>
                <w:szCs w:val="18"/>
              </w:rPr>
            </w:pPr>
            <w:r>
              <w:rPr>
                <w:color w:val="000000"/>
                <w:spacing w:val="0"/>
                <w:w w:val="100"/>
                <w:position w:val="0"/>
                <w:sz w:val="18"/>
                <w:szCs w:val="18"/>
              </w:rPr>
              <w:t>2021-040</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 xml:space="preserve">《关于 </w:t>
            </w:r>
            <w:r>
              <w:rPr>
                <w:color w:val="000000"/>
                <w:spacing w:val="0"/>
                <w:w w:val="100"/>
                <w:position w:val="0"/>
                <w:sz w:val="18"/>
                <w:szCs w:val="18"/>
              </w:rPr>
              <w:t>2021</w:t>
            </w:r>
            <w:r>
              <w:rPr>
                <w:rFonts w:ascii="SimSun" w:eastAsia="SimSun" w:hAnsi="SimSun" w:cs="SimSun"/>
                <w:color w:val="000000"/>
                <w:spacing w:val="0"/>
                <w:w w:val="100"/>
                <w:position w:val="0"/>
                <w:sz w:val="18"/>
                <w:szCs w:val="18"/>
              </w:rPr>
              <w:t>年度 日常关联 交易预计 的公告》</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为</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自建店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按照各项目租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2,509.84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bl>
    <w:p>
      <w:pPr>
        <w:spacing w:lineRule="exact" w:line="1"/>
        <w:rPr>
          <w:sz w:val="2"/>
          <w:szCs w:val="2"/>
        </w:rPr>
      </w:pPr>
      <w:r>
        <w:br w:type="page"/>
      </w:r>
    </w:p>
    <w:tbl>
      <w:tblPr>
        <w:tblOverlap w:val="never"/>
        <w:jc w:val="center"/>
        <w:tblLayout w:type="fixed"/>
      </w:tblPr>
      <w:tblGrid>
        <w:gridCol w:w="811"/>
        <w:gridCol w:w="720"/>
        <w:gridCol w:w="566"/>
        <w:gridCol w:w="802"/>
        <w:gridCol w:w="1320"/>
        <w:gridCol w:w="3202"/>
        <w:gridCol w:w="1162"/>
        <w:gridCol w:w="970"/>
        <w:gridCol w:w="1056"/>
        <w:gridCol w:w="514"/>
        <w:gridCol w:w="619"/>
        <w:gridCol w:w="706"/>
        <w:gridCol w:w="629"/>
        <w:gridCol w:w="1114"/>
      </w:tblGrid>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关</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关联交易定价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占同类交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获批的交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可获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披露</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披露索引</w:t>
            </w:r>
          </w:p>
        </w:tc>
      </w:tr>
      <w:tr>
        <w:trPr>
          <w:trHeight w:val="312"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关系</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易内容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原则</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易金额的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易额度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得的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日期</w:t>
            </w: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交</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超</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同类</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易</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过</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类</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获</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市价</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批</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及配套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金、物业费等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总收入的</w:t>
            </w: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2021-040</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东之</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供商业</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收取代理运营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控股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广场代</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佣金和按照平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理运营</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均月租金（含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供</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物业费）的</w:t>
            </w:r>
            <w:r>
              <w:rPr>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交易预计</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倍计收代理招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的公告》</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商佣金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为公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自建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业集团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受</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店、物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有限公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流基地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2021-040</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司及其</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东之</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等提供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控股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程设计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供</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交易预计</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的公告》</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阿里巴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持有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为公司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公司及子公司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46,286.91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巴集团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本公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受</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天猫商</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按照平台统一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司</w:t>
            </w:r>
            <w:r>
              <w:rPr>
                <w:color w:val="000000"/>
                <w:spacing w:val="0"/>
                <w:w w:val="100"/>
                <w:position w:val="0"/>
                <w:sz w:val="18"/>
                <w:szCs w:val="18"/>
              </w:rPr>
              <w:t>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城苏宁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的规则支付相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2021-040</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以上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易购旗</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应的平台服务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股份</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方</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舰店提</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费用</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r>
    </w:tbl>
    <w:p>
      <w:pPr>
        <w:spacing w:lineRule="exact" w:line="1"/>
        <w:rPr>
          <w:sz w:val="2"/>
          <w:szCs w:val="2"/>
        </w:rPr>
      </w:pPr>
      <w:r>
        <w:br w:type="page"/>
      </w:r>
    </w:p>
    <w:tbl>
      <w:tblPr>
        <w:tblOverlap w:val="never"/>
        <w:jc w:val="center"/>
        <w:tblLayout w:type="fixed"/>
      </w:tblPr>
      <w:tblGrid>
        <w:gridCol w:w="811"/>
        <w:gridCol w:w="720"/>
        <w:gridCol w:w="566"/>
        <w:gridCol w:w="802"/>
        <w:gridCol w:w="1320"/>
        <w:gridCol w:w="3202"/>
        <w:gridCol w:w="1162"/>
        <w:gridCol w:w="970"/>
        <w:gridCol w:w="1056"/>
        <w:gridCol w:w="514"/>
        <w:gridCol w:w="619"/>
        <w:gridCol w:w="706"/>
        <w:gridCol w:w="629"/>
        <w:gridCol w:w="1114"/>
      </w:tblGrid>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关</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关联交易定价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占同类交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获批的交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可获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披露</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披露索引</w:t>
            </w:r>
          </w:p>
        </w:tc>
      </w:tr>
      <w:tr>
        <w:trPr>
          <w:trHeight w:val="312"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关系</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易内容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原则</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易金额的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易额度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得的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日期</w:t>
            </w: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交</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超</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同类</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易</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过</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类</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获</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市价</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批</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供信息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股东</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供</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交易预计</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之最</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的公告》</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终控</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广等服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司及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苏宁智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实际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销售商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47,644.31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能科技</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控制</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服务有</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人系</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2021-040</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张近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及下属</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东先</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生家</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庭成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交易预计</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员</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的公告》</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上海苏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苏宁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提供信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宁金融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控股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息技术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9</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服务集</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和数据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2019-102</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团有限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之子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《关于日</w:t>
            </w:r>
          </w:p>
        </w:tc>
      </w:tr>
      <w:tr>
        <w:trPr>
          <w:trHeight w:val="326" w:hRule="exact"/>
        </w:trPr>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18"/>
                <w:szCs w:val="18"/>
              </w:rPr>
              <w:t>公司</w:t>
            </w:r>
            <w:r>
              <w:rPr>
                <w:color w:val="000000"/>
                <w:spacing w:val="0"/>
                <w:w w:val="100"/>
                <w:position w:val="0"/>
                <w:sz w:val="20"/>
                <w:szCs w:val="20"/>
                <w:vertAlign w:val="superscript"/>
              </w:rPr>
              <w:t>4</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常关联交</w:t>
            </w:r>
          </w:p>
        </w:tc>
      </w:tr>
    </w:tbl>
    <w:p>
      <w:pPr>
        <w:pStyle w:val="Style26"/>
        <w:keepNext w:val="0"/>
        <w:keepLines w:val="0"/>
        <w:widowControl w:val="0"/>
        <w:shd w:val="clear" w:color="auto" w:fill="auto"/>
        <w:bidi w:val="0"/>
        <w:spacing w:before="0" w:after="0" w:line="240" w:lineRule="auto"/>
        <w:ind w:left="91" w:right="0" w:firstLine="0"/>
        <w:jc w:val="left"/>
        <w:rPr>
          <w:sz w:val="18"/>
          <w:szCs w:val="18"/>
        </w:rPr>
      </w:pPr>
      <w:r>
        <w:rPr>
          <w:rFonts w:ascii="Calibri" w:eastAsia="Calibri" w:hAnsi="Calibri" w:cs="Calibri"/>
          <w:color w:val="000000"/>
          <w:spacing w:val="0"/>
          <w:w w:val="100"/>
          <w:position w:val="0"/>
          <w:sz w:val="12"/>
          <w:szCs w:val="12"/>
          <w:vertAlign w:val="superscript"/>
        </w:rPr>
        <w:t>4</w:t>
      </w:r>
      <w:r>
        <w:rPr>
          <w:color w:val="000000"/>
          <w:spacing w:val="0"/>
          <w:w w:val="100"/>
          <w:position w:val="0"/>
          <w:sz w:val="18"/>
          <w:szCs w:val="18"/>
        </w:rPr>
        <w:t>现更名为上海星图金融服务集团有限公司。</w:t>
      </w:r>
      <w:r>
        <w:br w:type="page"/>
      </w:r>
    </w:p>
    <w:tbl>
      <w:tblPr>
        <w:tblOverlap w:val="never"/>
        <w:jc w:val="center"/>
        <w:tblLayout w:type="fixed"/>
      </w:tblPr>
      <w:tblGrid>
        <w:gridCol w:w="811"/>
        <w:gridCol w:w="720"/>
        <w:gridCol w:w="566"/>
        <w:gridCol w:w="802"/>
        <w:gridCol w:w="1320"/>
        <w:gridCol w:w="3202"/>
        <w:gridCol w:w="1162"/>
        <w:gridCol w:w="970"/>
        <w:gridCol w:w="1056"/>
        <w:gridCol w:w="110"/>
        <w:gridCol w:w="298"/>
        <w:gridCol w:w="106"/>
        <w:gridCol w:w="619"/>
        <w:gridCol w:w="706"/>
        <w:gridCol w:w="629"/>
        <w:gridCol w:w="1114"/>
      </w:tblGrid>
      <w:tr>
        <w:trPr>
          <w:trHeight w:val="2510"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 易方</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关系</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关 联 交 易 类</w:t>
            </w:r>
          </w:p>
          <w:p>
            <w:pPr>
              <w:pStyle w:val="Style29"/>
              <w:keepNext w:val="0"/>
              <w:keepLines w:val="0"/>
              <w:widowControl w:val="0"/>
              <w:shd w:val="clear" w:color="auto" w:fill="auto"/>
              <w:bidi w:val="0"/>
              <w:spacing w:before="0" w:after="0" w:line="312" w:lineRule="exact"/>
              <w:ind w:left="0" w:right="0" w:firstLine="180"/>
              <w:jc w:val="left"/>
              <w:rPr>
                <w:sz w:val="18"/>
                <w:szCs w:val="18"/>
              </w:rPr>
            </w:pPr>
            <w:r>
              <w:rPr>
                <w:rFonts w:ascii="SimSun" w:eastAsia="SimSun" w:hAnsi="SimSun" w:cs="SimSun"/>
                <w:color w:val="000000"/>
                <w:spacing w:val="0"/>
                <w:w w:val="100"/>
                <w:position w:val="0"/>
                <w:sz w:val="18"/>
                <w:szCs w:val="18"/>
              </w:rPr>
              <w:t>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易内容</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关联交易定价 原则</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关联交易金 额</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占同类交</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易金额的</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获批的交 易额度</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left"/>
              <w:rPr>
                <w:sz w:val="18"/>
                <w:szCs w:val="18"/>
              </w:rPr>
            </w:pPr>
            <w:r>
              <w:rPr>
                <w:rFonts w:ascii="SimSun" w:eastAsia="SimSun" w:hAnsi="SimSun" w:cs="SimSun"/>
                <w:color w:val="000000"/>
                <w:spacing w:val="0"/>
                <w:w w:val="100"/>
                <w:position w:val="0"/>
                <w:sz w:val="18"/>
                <w:szCs w:val="18"/>
              </w:rPr>
              <w:t>是 否 超 过 获 批 额 度</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结算</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160" w:right="0" w:firstLine="0"/>
              <w:jc w:val="left"/>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披露</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日期</w:t>
            </w:r>
          </w:p>
        </w:tc>
        <w:tc>
          <w:tcPr>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披露索引</w:t>
            </w: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及下属 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供</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服</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易预计的</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公告》</w:t>
            </w:r>
          </w:p>
        </w:tc>
      </w:tr>
      <w:tr>
        <w:trPr>
          <w:trHeight w:val="25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上海苏 宁金融 服务集 团有限 公司及 下属子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苏宁 控股 集团 之子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向 关 联 方 提 供 服 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提供物</w:t>
            </w:r>
          </w:p>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业租赁</w:t>
            </w:r>
          </w:p>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1,730.26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按合 同约 定结 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9 </w:t>
            </w:r>
            <w:r>
              <w:rPr>
                <w:rFonts w:ascii="SimSun" w:eastAsia="SimSun" w:hAnsi="SimSun" w:cs="SimSun"/>
                <w:color w:val="000000"/>
                <w:spacing w:val="0"/>
                <w:w w:val="100"/>
                <w:position w:val="0"/>
                <w:sz w:val="18"/>
                <w:szCs w:val="18"/>
              </w:rPr>
              <w:t>月</w:t>
            </w:r>
            <w:r>
              <w:rPr>
                <w:color w:val="000000"/>
                <w:spacing w:val="0"/>
                <w:w w:val="100"/>
                <w:position w:val="0"/>
                <w:sz w:val="18"/>
                <w:szCs w:val="18"/>
              </w:rPr>
              <w:t xml:space="preserve">28 </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00" w:line="312" w:lineRule="exact"/>
              <w:ind w:left="0" w:right="0" w:firstLine="0"/>
              <w:jc w:val="left"/>
              <w:rPr>
                <w:sz w:val="18"/>
                <w:szCs w:val="18"/>
              </w:rPr>
            </w:pPr>
            <w:r>
              <w:rPr>
                <w:rFonts w:ascii="SimSun" w:eastAsia="SimSun" w:hAnsi="SimSun" w:cs="SimSun"/>
                <w:color w:val="000000"/>
                <w:spacing w:val="0"/>
                <w:w w:val="100"/>
                <w:position w:val="0"/>
                <w:sz w:val="18"/>
                <w:szCs w:val="18"/>
              </w:rPr>
              <w:t>巨潮资讯 网</w:t>
            </w:r>
          </w:p>
          <w:p>
            <w:pPr>
              <w:pStyle w:val="Style29"/>
              <w:keepNext w:val="0"/>
              <w:keepLines w:val="0"/>
              <w:widowControl w:val="0"/>
              <w:shd w:val="clear" w:color="auto" w:fill="auto"/>
              <w:bidi w:val="0"/>
              <w:spacing w:before="0" w:after="0" w:line="360" w:lineRule="auto"/>
              <w:ind w:left="0" w:right="0" w:firstLine="0"/>
              <w:jc w:val="left"/>
              <w:rPr>
                <w:sz w:val="18"/>
                <w:szCs w:val="18"/>
              </w:rPr>
            </w:pPr>
            <w:r>
              <w:rPr>
                <w:color w:val="000000"/>
                <w:spacing w:val="0"/>
                <w:w w:val="100"/>
                <w:position w:val="0"/>
                <w:sz w:val="18"/>
                <w:szCs w:val="18"/>
              </w:rPr>
              <w:t>2019-102</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《关于日 常关联交 易预计的 公告》</w:t>
            </w:r>
          </w:p>
        </w:tc>
      </w:tr>
      <w:tr>
        <w:trPr>
          <w:trHeight w:val="25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上海苏 宁金融 服务集 团有限 公司及 下属子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苏宁 控股 集团 之子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向 关 联 方 提 供 服 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提供代</w:t>
            </w:r>
          </w:p>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理记账</w:t>
            </w:r>
          </w:p>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1,650</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按合 同约 定结 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9 </w:t>
            </w:r>
            <w:r>
              <w:rPr>
                <w:rFonts w:ascii="SimSun" w:eastAsia="SimSun" w:hAnsi="SimSun" w:cs="SimSun"/>
                <w:color w:val="000000"/>
                <w:spacing w:val="0"/>
                <w:w w:val="100"/>
                <w:position w:val="0"/>
                <w:sz w:val="18"/>
                <w:szCs w:val="18"/>
              </w:rPr>
              <w:t>月</w:t>
            </w:r>
            <w:r>
              <w:rPr>
                <w:color w:val="000000"/>
                <w:spacing w:val="0"/>
                <w:w w:val="100"/>
                <w:position w:val="0"/>
                <w:sz w:val="18"/>
                <w:szCs w:val="18"/>
              </w:rPr>
              <w:t xml:space="preserve">28 </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00" w:line="312" w:lineRule="exact"/>
              <w:ind w:left="0" w:right="0" w:firstLine="0"/>
              <w:jc w:val="left"/>
              <w:rPr>
                <w:sz w:val="18"/>
                <w:szCs w:val="18"/>
              </w:rPr>
            </w:pPr>
            <w:r>
              <w:rPr>
                <w:rFonts w:ascii="SimSun" w:eastAsia="SimSun" w:hAnsi="SimSun" w:cs="SimSun"/>
                <w:color w:val="000000"/>
                <w:spacing w:val="0"/>
                <w:w w:val="100"/>
                <w:position w:val="0"/>
                <w:sz w:val="18"/>
                <w:szCs w:val="18"/>
              </w:rPr>
              <w:t>巨潮资讯 网</w:t>
            </w:r>
          </w:p>
          <w:p>
            <w:pPr>
              <w:pStyle w:val="Style29"/>
              <w:keepNext w:val="0"/>
              <w:keepLines w:val="0"/>
              <w:widowControl w:val="0"/>
              <w:shd w:val="clear" w:color="auto" w:fill="auto"/>
              <w:bidi w:val="0"/>
              <w:spacing w:before="0" w:after="0" w:line="360" w:lineRule="auto"/>
              <w:ind w:left="0" w:right="0" w:firstLine="0"/>
              <w:jc w:val="left"/>
              <w:rPr>
                <w:sz w:val="18"/>
                <w:szCs w:val="18"/>
              </w:rPr>
            </w:pPr>
            <w:r>
              <w:rPr>
                <w:color w:val="000000"/>
                <w:spacing w:val="0"/>
                <w:w w:val="100"/>
                <w:position w:val="0"/>
                <w:sz w:val="18"/>
                <w:szCs w:val="18"/>
              </w:rPr>
              <w:t>2019-102</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《关于日 常关联交 易预计的 公告》</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上海苏</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宁金融</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服务集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苏宁 控股 集团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向</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提供市</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场推广</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服务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7,637.51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110,000</w:t>
            </w:r>
          </w:p>
        </w:tc>
        <w:tc>
          <w:tcPr>
            <w:gridSpan w:val="3"/>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按合 同约 定结</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9 </w:t>
            </w:r>
            <w:r>
              <w:rPr>
                <w:rFonts w:ascii="SimSun" w:eastAsia="SimSun" w:hAnsi="SimSun" w:cs="SimSun"/>
                <w:color w:val="000000"/>
                <w:spacing w:val="0"/>
                <w:w w:val="100"/>
                <w:position w:val="0"/>
                <w:sz w:val="18"/>
                <w:szCs w:val="18"/>
              </w:rPr>
              <w:t>月</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2019-102</w:t>
            </w:r>
          </w:p>
        </w:tc>
      </w:tr>
    </w:tbl>
    <w:p>
      <w:pPr>
        <w:spacing w:lineRule="exact" w:line="1"/>
        <w:rPr>
          <w:sz w:val="2"/>
          <w:szCs w:val="2"/>
        </w:rPr>
      </w:pPr>
      <w:r>
        <w:br w:type="page"/>
      </w:r>
    </w:p>
    <w:tbl>
      <w:tblPr>
        <w:tblOverlap w:val="never"/>
        <w:jc w:val="center"/>
        <w:tblLayout w:type="fixed"/>
      </w:tblPr>
      <w:tblGrid>
        <w:gridCol w:w="811"/>
        <w:gridCol w:w="720"/>
        <w:gridCol w:w="566"/>
        <w:gridCol w:w="802"/>
        <w:gridCol w:w="1320"/>
        <w:gridCol w:w="3202"/>
        <w:gridCol w:w="1162"/>
        <w:gridCol w:w="970"/>
        <w:gridCol w:w="1056"/>
        <w:gridCol w:w="110"/>
        <w:gridCol w:w="298"/>
        <w:gridCol w:w="106"/>
        <w:gridCol w:w="619"/>
        <w:gridCol w:w="706"/>
        <w:gridCol w:w="629"/>
        <w:gridCol w:w="1114"/>
      </w:tblGrid>
      <w:tr>
        <w:trPr>
          <w:trHeight w:val="2510"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 易方</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关系</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关 联 交 易 类</w:t>
            </w:r>
          </w:p>
          <w:p>
            <w:pPr>
              <w:pStyle w:val="Style29"/>
              <w:keepNext w:val="0"/>
              <w:keepLines w:val="0"/>
              <w:widowControl w:val="0"/>
              <w:shd w:val="clear" w:color="auto" w:fill="auto"/>
              <w:bidi w:val="0"/>
              <w:spacing w:before="0" w:after="0" w:line="312" w:lineRule="exact"/>
              <w:ind w:left="0" w:right="0" w:firstLine="180"/>
              <w:jc w:val="left"/>
              <w:rPr>
                <w:sz w:val="18"/>
                <w:szCs w:val="18"/>
              </w:rPr>
            </w:pPr>
            <w:r>
              <w:rPr>
                <w:rFonts w:ascii="SimSun" w:eastAsia="SimSun" w:hAnsi="SimSun" w:cs="SimSun"/>
                <w:color w:val="000000"/>
                <w:spacing w:val="0"/>
                <w:w w:val="100"/>
                <w:position w:val="0"/>
                <w:sz w:val="18"/>
                <w:szCs w:val="18"/>
              </w:rPr>
              <w:t>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易内容</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关联交易定价 原则</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关联交易金 额</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占同类交</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易金额的</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获批的交 易额度</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left"/>
              <w:rPr>
                <w:sz w:val="18"/>
                <w:szCs w:val="18"/>
              </w:rPr>
            </w:pPr>
            <w:r>
              <w:rPr>
                <w:rFonts w:ascii="SimSun" w:eastAsia="SimSun" w:hAnsi="SimSun" w:cs="SimSun"/>
                <w:color w:val="000000"/>
                <w:spacing w:val="0"/>
                <w:w w:val="100"/>
                <w:position w:val="0"/>
                <w:sz w:val="18"/>
                <w:szCs w:val="18"/>
              </w:rPr>
              <w:t>是 否 超 过 获 批 额 度</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160" w:right="0" w:firstLine="0"/>
              <w:jc w:val="left"/>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披露</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日期</w:t>
            </w:r>
          </w:p>
        </w:tc>
        <w:tc>
          <w:tcPr>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披露索引</w:t>
            </w:r>
          </w:p>
        </w:tc>
      </w:tr>
      <w:tr>
        <w:trPr>
          <w:trHeight w:val="157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团有限 公司及 下属子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both"/>
              <w:rPr>
                <w:sz w:val="18"/>
                <w:szCs w:val="18"/>
              </w:rPr>
            </w:pPr>
            <w:r>
              <w:rPr>
                <w:rFonts w:ascii="SimSun" w:eastAsia="SimSun" w:hAnsi="SimSun" w:cs="SimSun"/>
                <w:color w:val="000000"/>
                <w:spacing w:val="0"/>
                <w:w w:val="100"/>
                <w:position w:val="0"/>
                <w:sz w:val="18"/>
                <w:szCs w:val="18"/>
              </w:rPr>
              <w:t>之子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方 提 供 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《关于日 常关联交 易预计的 公告》</w:t>
            </w:r>
          </w:p>
        </w:tc>
      </w:tr>
      <w:tr>
        <w:trPr>
          <w:trHeight w:val="28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上海苏 宁金融 服务集 团有限 公司及 下属子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苏宁 控股 集团 之子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接 受 关 联 方 提 供 服 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提供第</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三方支</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付服务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37,652.22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121,000</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按合 同约 定结 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9 </w:t>
            </w:r>
            <w:r>
              <w:rPr>
                <w:rFonts w:ascii="SimSun" w:eastAsia="SimSun" w:hAnsi="SimSun" w:cs="SimSun"/>
                <w:color w:val="000000"/>
                <w:spacing w:val="0"/>
                <w:w w:val="100"/>
                <w:position w:val="0"/>
                <w:sz w:val="18"/>
                <w:szCs w:val="18"/>
              </w:rPr>
              <w:t>月</w:t>
            </w:r>
            <w:r>
              <w:rPr>
                <w:color w:val="000000"/>
                <w:spacing w:val="0"/>
                <w:w w:val="100"/>
                <w:position w:val="0"/>
                <w:sz w:val="18"/>
                <w:szCs w:val="18"/>
              </w:rPr>
              <w:t xml:space="preserve">28 </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00" w:line="312" w:lineRule="exact"/>
              <w:ind w:left="0" w:right="0" w:firstLine="0"/>
              <w:jc w:val="left"/>
              <w:rPr>
                <w:sz w:val="18"/>
                <w:szCs w:val="18"/>
              </w:rPr>
            </w:pPr>
            <w:r>
              <w:rPr>
                <w:rFonts w:ascii="SimSun" w:eastAsia="SimSun" w:hAnsi="SimSun" w:cs="SimSun"/>
                <w:color w:val="000000"/>
                <w:spacing w:val="0"/>
                <w:w w:val="100"/>
                <w:position w:val="0"/>
                <w:sz w:val="18"/>
                <w:szCs w:val="18"/>
              </w:rPr>
              <w:t>巨潮资讯 网</w:t>
            </w:r>
          </w:p>
          <w:p>
            <w:pPr>
              <w:pStyle w:val="Style29"/>
              <w:keepNext w:val="0"/>
              <w:keepLines w:val="0"/>
              <w:widowControl w:val="0"/>
              <w:shd w:val="clear" w:color="auto" w:fill="auto"/>
              <w:bidi w:val="0"/>
              <w:spacing w:before="0" w:after="0" w:line="360" w:lineRule="auto"/>
              <w:ind w:left="0" w:right="0" w:firstLine="0"/>
              <w:jc w:val="left"/>
              <w:rPr>
                <w:sz w:val="18"/>
                <w:szCs w:val="18"/>
              </w:rPr>
            </w:pPr>
            <w:r>
              <w:rPr>
                <w:color w:val="000000"/>
                <w:spacing w:val="0"/>
                <w:w w:val="100"/>
                <w:position w:val="0"/>
                <w:sz w:val="18"/>
                <w:szCs w:val="18"/>
              </w:rPr>
              <w:t>2019-102</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《关于日 常关联交 易预计的 公告》</w:t>
            </w:r>
          </w:p>
        </w:tc>
      </w:tr>
      <w:tr>
        <w:trPr>
          <w:trHeight w:val="251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上海苏 宁金融 服务集 团有限 公司及 下属子 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苏宁 控股 集团 之子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接 受 关 联 方 提 供 服</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销售延 长保修 产品</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12,017.89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66,000</w:t>
            </w:r>
          </w:p>
        </w:tc>
        <w:tc>
          <w:tcPr>
            <w:gridSpan w:val="3"/>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按合 同约 定结 算</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9 </w:t>
            </w:r>
            <w:r>
              <w:rPr>
                <w:rFonts w:ascii="SimSun" w:eastAsia="SimSun" w:hAnsi="SimSun" w:cs="SimSun"/>
                <w:color w:val="000000"/>
                <w:spacing w:val="0"/>
                <w:w w:val="100"/>
                <w:position w:val="0"/>
                <w:sz w:val="18"/>
                <w:szCs w:val="18"/>
              </w:rPr>
              <w:t>月</w:t>
            </w:r>
            <w:r>
              <w:rPr>
                <w:color w:val="000000"/>
                <w:spacing w:val="0"/>
                <w:w w:val="100"/>
                <w:position w:val="0"/>
                <w:sz w:val="18"/>
                <w:szCs w:val="18"/>
              </w:rPr>
              <w:t xml:space="preserve">28 </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100" w:line="312" w:lineRule="exact"/>
              <w:ind w:left="0" w:right="0" w:firstLine="0"/>
              <w:jc w:val="left"/>
              <w:rPr>
                <w:sz w:val="18"/>
                <w:szCs w:val="18"/>
              </w:rPr>
            </w:pPr>
            <w:r>
              <w:rPr>
                <w:rFonts w:ascii="SimSun" w:eastAsia="SimSun" w:hAnsi="SimSun" w:cs="SimSun"/>
                <w:color w:val="000000"/>
                <w:spacing w:val="0"/>
                <w:w w:val="100"/>
                <w:position w:val="0"/>
                <w:sz w:val="18"/>
                <w:szCs w:val="18"/>
              </w:rPr>
              <w:t>巨潮资讯 网</w:t>
            </w:r>
          </w:p>
          <w:p>
            <w:pPr>
              <w:pStyle w:val="Style29"/>
              <w:keepNext w:val="0"/>
              <w:keepLines w:val="0"/>
              <w:widowControl w:val="0"/>
              <w:shd w:val="clear" w:color="auto" w:fill="auto"/>
              <w:bidi w:val="0"/>
              <w:spacing w:before="0" w:after="0" w:line="360" w:lineRule="auto"/>
              <w:ind w:left="0" w:right="0" w:firstLine="0"/>
              <w:jc w:val="left"/>
              <w:rPr>
                <w:sz w:val="18"/>
                <w:szCs w:val="18"/>
              </w:rPr>
            </w:pPr>
            <w:r>
              <w:rPr>
                <w:color w:val="000000"/>
                <w:spacing w:val="0"/>
                <w:w w:val="100"/>
                <w:position w:val="0"/>
                <w:sz w:val="18"/>
                <w:szCs w:val="18"/>
              </w:rPr>
              <w:t>2019-102</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《关于日 常关联交 易预计的 公告》</w:t>
            </w:r>
          </w:p>
        </w:tc>
      </w:tr>
    </w:tbl>
    <w:p>
      <w:pPr>
        <w:spacing w:lineRule="exact" w:line="1"/>
        <w:rPr>
          <w:sz w:val="2"/>
          <w:szCs w:val="2"/>
        </w:rPr>
      </w:pPr>
      <w:r>
        <w:br w:type="page"/>
      </w:r>
    </w:p>
    <w:tbl>
      <w:tblPr>
        <w:tblOverlap w:val="never"/>
        <w:jc w:val="center"/>
        <w:tblLayout w:type="fixed"/>
      </w:tblPr>
      <w:tblGrid>
        <w:gridCol w:w="811"/>
        <w:gridCol w:w="720"/>
        <w:gridCol w:w="566"/>
        <w:gridCol w:w="802"/>
        <w:gridCol w:w="1320"/>
        <w:gridCol w:w="3202"/>
        <w:gridCol w:w="1162"/>
        <w:gridCol w:w="970"/>
        <w:gridCol w:w="1056"/>
        <w:gridCol w:w="514"/>
        <w:gridCol w:w="619"/>
        <w:gridCol w:w="706"/>
        <w:gridCol w:w="629"/>
        <w:gridCol w:w="1114"/>
      </w:tblGrid>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关</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关联交易定价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占同类交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获批的交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可获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披露</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披露索引</w:t>
            </w:r>
          </w:p>
        </w:tc>
      </w:tr>
      <w:tr>
        <w:trPr>
          <w:trHeight w:val="312"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关系</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易内容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原则</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易金额的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易额度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得的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日期</w:t>
            </w: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交</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超</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同类</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易</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过</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类</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获</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市价</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批</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苏宁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宁金融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控股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受</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服与公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9</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服务集</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司联合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2019-102</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团有限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之子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开展免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《关于日</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息、减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常关联交</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下属子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息等分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易预计的</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供</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期付款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公告》</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购物促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销活动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苏宁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61,466.22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宁金融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控股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9</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服务集</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服合作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2019-102</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团有限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之子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开展供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《关于日</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应链金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常关联交</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下属子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融服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易预计的</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务，公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公告》</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合</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司供应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作</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开</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运商等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展</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生态圈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供</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用户以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720"/>
        <w:gridCol w:w="566"/>
        <w:gridCol w:w="802"/>
        <w:gridCol w:w="1320"/>
        <w:gridCol w:w="3202"/>
        <w:gridCol w:w="1162"/>
        <w:gridCol w:w="970"/>
        <w:gridCol w:w="1056"/>
        <w:gridCol w:w="110"/>
        <w:gridCol w:w="298"/>
        <w:gridCol w:w="106"/>
        <w:gridCol w:w="619"/>
        <w:gridCol w:w="706"/>
        <w:gridCol w:w="629"/>
        <w:gridCol w:w="1114"/>
      </w:tblGrid>
      <w:tr>
        <w:trPr>
          <w:trHeight w:val="2510"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 易方</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关系</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关 联 交 易 类</w:t>
            </w:r>
          </w:p>
          <w:p>
            <w:pPr>
              <w:pStyle w:val="Style29"/>
              <w:keepNext w:val="0"/>
              <w:keepLines w:val="0"/>
              <w:widowControl w:val="0"/>
              <w:shd w:val="clear" w:color="auto" w:fill="auto"/>
              <w:bidi w:val="0"/>
              <w:spacing w:before="0" w:after="0" w:line="312" w:lineRule="exact"/>
              <w:ind w:left="0" w:right="0" w:firstLine="180"/>
              <w:jc w:val="left"/>
              <w:rPr>
                <w:sz w:val="18"/>
                <w:szCs w:val="18"/>
              </w:rPr>
            </w:pPr>
            <w:r>
              <w:rPr>
                <w:rFonts w:ascii="SimSun" w:eastAsia="SimSun" w:hAnsi="SimSun" w:cs="SimSun"/>
                <w:color w:val="000000"/>
                <w:spacing w:val="0"/>
                <w:w w:val="100"/>
                <w:position w:val="0"/>
                <w:sz w:val="18"/>
                <w:szCs w:val="18"/>
              </w:rPr>
              <w:t>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易内容</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关联交易定价 原则</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关联交易金 额</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占同类交</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易金额的</w:t>
            </w:r>
          </w:p>
          <w:p>
            <w:pPr>
              <w:pStyle w:val="Style29"/>
              <w:keepNext w:val="0"/>
              <w:keepLines w:val="0"/>
              <w:widowControl w:val="0"/>
              <w:shd w:val="clear" w:color="auto" w:fill="auto"/>
              <w:bidi w:val="0"/>
              <w:spacing w:before="0" w:after="100" w:line="240" w:lineRule="auto"/>
              <w:ind w:left="0" w:right="0" w:firstLine="30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获批的交 易额度</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left"/>
              <w:rPr>
                <w:sz w:val="18"/>
                <w:szCs w:val="18"/>
              </w:rPr>
            </w:pPr>
            <w:r>
              <w:rPr>
                <w:rFonts w:ascii="SimSun" w:eastAsia="SimSun" w:hAnsi="SimSun" w:cs="SimSun"/>
                <w:color w:val="000000"/>
                <w:spacing w:val="0"/>
                <w:w w:val="100"/>
                <w:position w:val="0"/>
                <w:sz w:val="18"/>
                <w:szCs w:val="18"/>
              </w:rPr>
              <w:t>是 否 超 过 获 批 额 度</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结算</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160" w:right="0" w:firstLine="0"/>
              <w:jc w:val="left"/>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披露</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日期</w:t>
            </w:r>
          </w:p>
        </w:tc>
        <w:tc>
          <w:tcPr>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披露索引</w:t>
            </w:r>
          </w:p>
        </w:tc>
      </w:tr>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应 链 金 融 业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苏宁易 购应付 账款向 苏宁金 服申请 保理融 资服务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9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上海苏 宁金融 服务集 团有限 公司及 下属子 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苏宁 控股 集团 之子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苏 宁 金 服 与 公 司 合 作 开 展 供 应 链 金</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苏宁金 服为公 司及子 公司提 供保理 融资服 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134,239.12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w:t>
            </w:r>
          </w:p>
        </w:tc>
        <w:tc>
          <w:tcPr>
            <w:gridSpan w:val="3"/>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按合 同约 定结 算</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9 </w:t>
            </w:r>
            <w:r>
              <w:rPr>
                <w:rFonts w:ascii="SimSun" w:eastAsia="SimSun" w:hAnsi="SimSun" w:cs="SimSun"/>
                <w:color w:val="000000"/>
                <w:spacing w:val="0"/>
                <w:w w:val="100"/>
                <w:position w:val="0"/>
                <w:sz w:val="18"/>
                <w:szCs w:val="18"/>
              </w:rPr>
              <w:t>月</w:t>
            </w:r>
            <w:r>
              <w:rPr>
                <w:color w:val="000000"/>
                <w:spacing w:val="0"/>
                <w:w w:val="100"/>
                <w:position w:val="0"/>
                <w:sz w:val="18"/>
                <w:szCs w:val="18"/>
              </w:rPr>
              <w:t xml:space="preserve">28 </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100" w:line="312" w:lineRule="exact"/>
              <w:ind w:left="0" w:right="0" w:firstLine="0"/>
              <w:jc w:val="left"/>
              <w:rPr>
                <w:sz w:val="18"/>
                <w:szCs w:val="18"/>
              </w:rPr>
            </w:pPr>
            <w:r>
              <w:rPr>
                <w:rFonts w:ascii="SimSun" w:eastAsia="SimSun" w:hAnsi="SimSun" w:cs="SimSun"/>
                <w:color w:val="000000"/>
                <w:spacing w:val="0"/>
                <w:w w:val="100"/>
                <w:position w:val="0"/>
                <w:sz w:val="18"/>
                <w:szCs w:val="18"/>
              </w:rPr>
              <w:t>巨潮资讯 网</w:t>
            </w:r>
          </w:p>
          <w:p>
            <w:pPr>
              <w:pStyle w:val="Style29"/>
              <w:keepNext w:val="0"/>
              <w:keepLines w:val="0"/>
              <w:widowControl w:val="0"/>
              <w:shd w:val="clear" w:color="auto" w:fill="auto"/>
              <w:bidi w:val="0"/>
              <w:spacing w:before="0" w:after="0" w:line="360" w:lineRule="auto"/>
              <w:ind w:left="0" w:right="0" w:firstLine="0"/>
              <w:jc w:val="left"/>
              <w:rPr>
                <w:sz w:val="18"/>
                <w:szCs w:val="18"/>
              </w:rPr>
            </w:pPr>
            <w:r>
              <w:rPr>
                <w:color w:val="000000"/>
                <w:spacing w:val="0"/>
                <w:w w:val="100"/>
                <w:position w:val="0"/>
                <w:sz w:val="18"/>
                <w:szCs w:val="18"/>
              </w:rPr>
              <w:t>2019-102</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《关于日 常关联交 易预计的 公告》</w:t>
            </w:r>
          </w:p>
        </w:tc>
      </w:tr>
    </w:tbl>
    <w:p>
      <w:pPr>
        <w:spacing w:lineRule="exact" w:line="1"/>
        <w:rPr>
          <w:sz w:val="2"/>
          <w:szCs w:val="2"/>
        </w:rPr>
      </w:pPr>
      <w:r>
        <w:br w:type="page"/>
      </w:r>
    </w:p>
    <w:tbl>
      <w:tblPr>
        <w:tblOverlap w:val="never"/>
        <w:jc w:val="center"/>
        <w:tblLayout w:type="fixed"/>
      </w:tblPr>
      <w:tblGrid>
        <w:gridCol w:w="811"/>
        <w:gridCol w:w="720"/>
        <w:gridCol w:w="566"/>
        <w:gridCol w:w="802"/>
        <w:gridCol w:w="1320"/>
        <w:gridCol w:w="3202"/>
        <w:gridCol w:w="1162"/>
        <w:gridCol w:w="970"/>
        <w:gridCol w:w="1056"/>
        <w:gridCol w:w="514"/>
        <w:gridCol w:w="619"/>
        <w:gridCol w:w="706"/>
        <w:gridCol w:w="629"/>
        <w:gridCol w:w="1114"/>
      </w:tblGrid>
      <w:tr>
        <w:trPr>
          <w:trHeight w:val="3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关</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关联交易定价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占同类交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获批的交</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可获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披露</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披露索引</w:t>
            </w:r>
          </w:p>
        </w:tc>
      </w:tr>
      <w:tr>
        <w:trPr>
          <w:trHeight w:val="312"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关系</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联</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易内容</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原则</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易金额的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易额度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否</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得的</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日期</w:t>
            </w: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交</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超</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同类</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易</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过</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交易</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类</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获</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市价</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批</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商品采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13,587.35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LAOX</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电器</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购</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株式会</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2021-040</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社</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之子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交易预计</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的公告》</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阿里巴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持有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商品采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121,716.67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巴集团</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本公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购</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司</w:t>
            </w:r>
            <w:r>
              <w:rPr>
                <w:color w:val="000000"/>
                <w:spacing w:val="0"/>
                <w:w w:val="100"/>
                <w:position w:val="0"/>
                <w:sz w:val="18"/>
                <w:szCs w:val="18"/>
              </w:rPr>
              <w:t>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2021-123</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以上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《关于增</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加日常关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法人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联交易预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股东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计的公告》</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之最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终控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股公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司及</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720"/>
        <w:gridCol w:w="566"/>
        <w:gridCol w:w="802"/>
        <w:gridCol w:w="1320"/>
        <w:gridCol w:w="3202"/>
        <w:gridCol w:w="1162"/>
        <w:gridCol w:w="970"/>
        <w:gridCol w:w="1056"/>
        <w:gridCol w:w="110"/>
        <w:gridCol w:w="298"/>
        <w:gridCol w:w="106"/>
        <w:gridCol w:w="619"/>
        <w:gridCol w:w="706"/>
        <w:gridCol w:w="629"/>
        <w:gridCol w:w="1114"/>
      </w:tblGrid>
      <w:tr>
        <w:trPr>
          <w:trHeight w:val="2510"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 易方</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关系</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关 联 交 易 类</w:t>
            </w:r>
          </w:p>
          <w:p>
            <w:pPr>
              <w:pStyle w:val="Style29"/>
              <w:keepNext w:val="0"/>
              <w:keepLines w:val="0"/>
              <w:widowControl w:val="0"/>
              <w:shd w:val="clear" w:color="auto" w:fill="auto"/>
              <w:bidi w:val="0"/>
              <w:spacing w:before="0" w:after="0" w:line="312" w:lineRule="exact"/>
              <w:ind w:left="0" w:right="0" w:firstLine="180"/>
              <w:jc w:val="left"/>
              <w:rPr>
                <w:sz w:val="18"/>
                <w:szCs w:val="18"/>
              </w:rPr>
            </w:pPr>
            <w:r>
              <w:rPr>
                <w:rFonts w:ascii="SimSun" w:eastAsia="SimSun" w:hAnsi="SimSun" w:cs="SimSun"/>
                <w:color w:val="000000"/>
                <w:spacing w:val="0"/>
                <w:w w:val="100"/>
                <w:position w:val="0"/>
                <w:sz w:val="18"/>
                <w:szCs w:val="18"/>
              </w:rPr>
              <w:t>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易内容</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关联交易定价 原则</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关联交易金 额</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占同类交</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易金额的</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获批的交 易额度</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left"/>
              <w:rPr>
                <w:sz w:val="18"/>
                <w:szCs w:val="18"/>
              </w:rPr>
            </w:pPr>
            <w:r>
              <w:rPr>
                <w:rFonts w:ascii="SimSun" w:eastAsia="SimSun" w:hAnsi="SimSun" w:cs="SimSun"/>
                <w:color w:val="000000"/>
                <w:spacing w:val="0"/>
                <w:w w:val="100"/>
                <w:position w:val="0"/>
                <w:sz w:val="18"/>
                <w:szCs w:val="18"/>
              </w:rPr>
              <w:t>是 否 超 过 获 批 额 度</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160" w:right="0" w:firstLine="0"/>
              <w:jc w:val="left"/>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披露</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日期</w:t>
            </w:r>
          </w:p>
        </w:tc>
        <w:tc>
          <w:tcPr>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披露索引</w:t>
            </w:r>
          </w:p>
        </w:tc>
      </w:tr>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其子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732,738.69</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gridSpan w:val="3"/>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322" w:hRule="exact"/>
        </w:trPr>
        <w:tc>
          <w:tcPr>
            <w:gridSpan w:val="6"/>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大额销货退回的详细情况</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r>
        <w:trPr>
          <w:trHeight w:val="322" w:hRule="exact"/>
        </w:trPr>
        <w:tc>
          <w:tcPr>
            <w:gridSpan w:val="6"/>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按类别对本期将发生的日常关联交易进行总金额预计的，在报告期内的实际履行情况（如有）</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具体执行情况详见披露内容。</w:t>
            </w:r>
          </w:p>
        </w:tc>
      </w:tr>
      <w:tr>
        <w:trPr>
          <w:trHeight w:val="336" w:hRule="exact"/>
        </w:trPr>
        <w:tc>
          <w:tcPr>
            <w:gridSpan w:val="6"/>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交易价格与市场参考价格差异较大的原因</w:t>
            </w:r>
          </w:p>
        </w:tc>
        <w:tc>
          <w:tcPr>
            <w:gridSpan w:val="10"/>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965"/>
        <w:gridCol w:w="994"/>
        <w:gridCol w:w="850"/>
        <w:gridCol w:w="3120"/>
        <w:gridCol w:w="1142"/>
        <w:gridCol w:w="1555"/>
        <w:gridCol w:w="845"/>
        <w:gridCol w:w="706"/>
        <w:gridCol w:w="922"/>
        <w:gridCol w:w="629"/>
        <w:gridCol w:w="576"/>
        <w:gridCol w:w="734"/>
        <w:gridCol w:w="398"/>
        <w:gridCol w:w="754"/>
      </w:tblGrid>
      <w:tr>
        <w:trPr>
          <w:trHeight w:val="115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w:t>
            </w:r>
          </w:p>
        </w:tc>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tc>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关联交易定</w:t>
            </w:r>
          </w:p>
        </w:tc>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占同</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类交</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易金</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获批的</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交易额</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是否</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超过</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可获</w:t>
            </w:r>
          </w:p>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得的</w:t>
            </w:r>
          </w:p>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同类</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披</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露</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披露</w:t>
            </w:r>
          </w:p>
        </w:tc>
      </w:tr>
      <w:tr>
        <w:trPr>
          <w:trHeight w:val="158" w:hRule="exact"/>
        </w:trPr>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方</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易类型</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价原则</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易金额</w:t>
            </w:r>
          </w:p>
        </w:tc>
        <w:tc>
          <w:tcPr>
            <w:vMerge w:val="restart"/>
            <w:tcBorders>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额的</w:t>
            </w:r>
          </w:p>
        </w:tc>
        <w:tc>
          <w:tcPr>
            <w:vMerge w:val="restart"/>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度</w:t>
            </w: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获批</w:t>
            </w: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日 期</w:t>
            </w:r>
          </w:p>
        </w:tc>
        <w:tc>
          <w:tcPr>
            <w:vMerge w:val="restart"/>
            <w:tcBorders>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索引</w:t>
            </w:r>
          </w:p>
        </w:tc>
      </w:tr>
      <w:tr>
        <w:trPr>
          <w:trHeight w:val="154" w:hRule="exact"/>
        </w:trPr>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交易</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120" w:after="0" w:line="240" w:lineRule="auto"/>
              <w:ind w:left="0" w:right="0" w:firstLine="0"/>
              <w:jc w:val="left"/>
              <w:rPr>
                <w:sz w:val="18"/>
                <w:szCs w:val="18"/>
              </w:rPr>
            </w:pPr>
            <w:r>
              <w:rPr>
                <w:rFonts w:ascii="SimSun" w:eastAsia="SimSun" w:hAnsi="SimSun" w:cs="SimSun"/>
                <w:color w:val="000000"/>
                <w:spacing w:val="0"/>
                <w:w w:val="100"/>
                <w:position w:val="0"/>
                <w:sz w:val="18"/>
                <w:szCs w:val="18"/>
              </w:rPr>
              <w:t>比例</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额度</w:t>
            </w:r>
          </w:p>
        </w:tc>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widowControl w:val="0"/>
              <w:rPr>
                <w:sz w:val="10"/>
                <w:szCs w:val="10"/>
              </w:rPr>
            </w:pPr>
          </w:p>
        </w:tc>
      </w:tr>
      <w:tr>
        <w:trPr>
          <w:trHeight w:val="52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市价</w:t>
            </w: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成都鸿业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苏宁控股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租赁位于成都市高新区南部园区天府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租赁费采用</w:t>
            </w:r>
            <w:r>
              <w:rPr>
                <w:color w:val="000000"/>
                <w:spacing w:val="0"/>
                <w:w w:val="100"/>
                <w:position w:val="0"/>
                <w:sz w:val="18"/>
                <w:szCs w:val="18"/>
              </w:rPr>
              <w:t>“</w:t>
            </w:r>
            <w:r>
              <w:rPr>
                <w:rFonts w:ascii="SimSun" w:eastAsia="SimSun" w:hAnsi="SimSun" w:cs="SimSun"/>
                <w:color w:val="000000"/>
                <w:spacing w:val="0"/>
                <w:w w:val="100"/>
                <w:position w:val="0"/>
                <w:sz w:val="18"/>
                <w:szCs w:val="18"/>
              </w:rPr>
              <w:t>保底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按该店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56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置业有限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集团之子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赁及服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大道北段</w:t>
            </w:r>
            <w:r>
              <w:rPr>
                <w:color w:val="000000"/>
                <w:spacing w:val="0"/>
                <w:w w:val="100"/>
                <w:position w:val="0"/>
                <w:sz w:val="18"/>
                <w:szCs w:val="18"/>
              </w:rPr>
              <w:t>8</w:t>
            </w:r>
            <w:r>
              <w:rPr>
                <w:rFonts w:ascii="SimSun" w:eastAsia="SimSun" w:hAnsi="SimSun" w:cs="SimSun"/>
                <w:color w:val="000000"/>
                <w:spacing w:val="0"/>
                <w:w w:val="100"/>
                <w:position w:val="0"/>
                <w:sz w:val="18"/>
                <w:szCs w:val="18"/>
              </w:rPr>
              <w:t>号物业一到四层用于店面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加提成</w:t>
            </w:r>
            <w:r>
              <w:rPr>
                <w:color w:val="000000"/>
                <w:spacing w:val="0"/>
                <w:w w:val="100"/>
                <w:position w:val="0"/>
                <w:sz w:val="18"/>
                <w:szCs w:val="18"/>
              </w:rPr>
              <w:t>”</w:t>
            </w:r>
            <w:r>
              <w:rPr>
                <w:rFonts w:ascii="SimSun" w:eastAsia="SimSun" w:hAnsi="SimSun" w:cs="SimSun"/>
                <w:color w:val="000000"/>
                <w:spacing w:val="0"/>
                <w:w w:val="100"/>
                <w:position w:val="0"/>
                <w:sz w:val="18"/>
                <w:szCs w:val="18"/>
              </w:rPr>
              <w:t>方式，每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年实现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资讯</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公司苏宁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公司的分</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经营，租赁面积共约</w:t>
            </w:r>
            <w:r>
              <w:rPr>
                <w:color w:val="000000"/>
                <w:spacing w:val="0"/>
                <w:w w:val="100"/>
                <w:position w:val="0"/>
                <w:sz w:val="18"/>
                <w:szCs w:val="18"/>
              </w:rPr>
              <w:t>10,973</w:t>
            </w:r>
            <w:r>
              <w:rPr>
                <w:rFonts w:ascii="SimSun" w:eastAsia="SimSun" w:hAnsi="SimSun" w:cs="SimSun"/>
                <w:color w:val="000000"/>
                <w:spacing w:val="0"/>
                <w:w w:val="100"/>
                <w:position w:val="0"/>
                <w:sz w:val="18"/>
                <w:szCs w:val="18"/>
              </w:rPr>
              <w:t>平方米，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年度按含税销售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销售收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广场购物</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支机构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租赁期限 </w:t>
            </w:r>
            <w:r>
              <w:rPr>
                <w:color w:val="000000"/>
                <w:spacing w:val="0"/>
                <w:w w:val="100"/>
                <w:position w:val="0"/>
                <w:sz w:val="18"/>
                <w:szCs w:val="18"/>
              </w:rPr>
              <w:t>2011/1/11-2031/1/10</w:t>
            </w:r>
            <w:r>
              <w:rPr>
                <w:rFonts w:ascii="SimSun" w:eastAsia="SimSun" w:hAnsi="SimSun" w:cs="SimSun"/>
                <w:color w:val="000000"/>
                <w:spacing w:val="0"/>
                <w:w w:val="100"/>
                <w:position w:val="0"/>
                <w:sz w:val="18"/>
                <w:szCs w:val="18"/>
              </w:rPr>
              <w:t>。</w:t>
            </w:r>
            <w:r>
              <w:rPr>
                <w:color w:val="000000"/>
                <w:spacing w:val="0"/>
                <w:w w:val="100"/>
                <w:position w:val="0"/>
                <w:sz w:val="18"/>
                <w:szCs w:val="18"/>
              </w:rPr>
              <w:t>2014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总额的</w:t>
            </w:r>
            <w:r>
              <w:rPr>
                <w:color w:val="000000"/>
                <w:spacing w:val="0"/>
                <w:w w:val="100"/>
                <w:position w:val="0"/>
                <w:sz w:val="18"/>
                <w:szCs w:val="18"/>
              </w:rPr>
              <w:t>3.2%</w:t>
            </w:r>
            <w:r>
              <w:rPr>
                <w:rFonts w:ascii="SimSun" w:eastAsia="SimSun" w:hAnsi="SimSun" w:cs="SimSun"/>
                <w:color w:val="000000"/>
                <w:spacing w:val="0"/>
                <w:w w:val="100"/>
                <w:position w:val="0"/>
                <w:sz w:val="18"/>
                <w:szCs w:val="18"/>
              </w:rPr>
              <w:t>支付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入（含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采取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2011-0</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分公司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1</w:t>
            </w:r>
            <w:r>
              <w:rPr>
                <w:rFonts w:ascii="SimSun" w:eastAsia="SimSun" w:hAnsi="SimSun" w:cs="SimSun"/>
                <w:color w:val="000000"/>
                <w:spacing w:val="0"/>
                <w:w w:val="100"/>
                <w:position w:val="0"/>
                <w:sz w:val="18"/>
                <w:szCs w:val="18"/>
              </w:rPr>
              <w:t>月，公司子公司退租部分经营区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租赁费，但租金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税）的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月</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03</w:t>
            </w:r>
            <w:r>
              <w:rPr>
                <w:rFonts w:ascii="SimSun" w:eastAsia="SimSun" w:hAnsi="SimSun" w:cs="SimSun"/>
                <w:color w:val="000000"/>
                <w:spacing w:val="0"/>
                <w:w w:val="100"/>
                <w:position w:val="0"/>
                <w:sz w:val="18"/>
                <w:szCs w:val="18"/>
              </w:rPr>
              <w:t>《关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域，退租后租赁面积为</w:t>
            </w:r>
            <w:r>
              <w:rPr>
                <w:color w:val="000000"/>
                <w:spacing w:val="0"/>
                <w:w w:val="100"/>
                <w:position w:val="0"/>
                <w:sz w:val="18"/>
                <w:szCs w:val="18"/>
              </w:rPr>
              <w:t>9,342</w:t>
            </w:r>
            <w:r>
              <w:rPr>
                <w:rFonts w:ascii="SimSun" w:eastAsia="SimSun" w:hAnsi="SimSun" w:cs="SimSun"/>
                <w:color w:val="000000"/>
                <w:spacing w:val="0"/>
                <w:w w:val="100"/>
                <w:position w:val="0"/>
                <w:sz w:val="18"/>
                <w:szCs w:val="18"/>
              </w:rPr>
              <w:t>平方米。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单价不低于</w:t>
            </w:r>
            <w:r>
              <w:rPr>
                <w:color w:val="000000"/>
                <w:spacing w:val="0"/>
                <w:w w:val="100"/>
                <w:position w:val="0"/>
                <w:sz w:val="18"/>
                <w:szCs w:val="18"/>
              </w:rPr>
              <w:t>70</w:t>
            </w:r>
            <w:r>
              <w:rPr>
                <w:rFonts w:ascii="SimSun" w:eastAsia="SimSun" w:hAnsi="SimSun" w:cs="SimSun"/>
                <w:color w:val="000000"/>
                <w:spacing w:val="0"/>
                <w:w w:val="100"/>
                <w:position w:val="0"/>
                <w:sz w:val="18"/>
                <w:szCs w:val="18"/>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 </w:t>
            </w:r>
            <w:r>
              <w:rPr>
                <w:rFonts w:ascii="SimSun" w:eastAsia="SimSun" w:hAnsi="SimSun" w:cs="SimSun"/>
                <w:color w:val="000000"/>
                <w:spacing w:val="0"/>
                <w:w w:val="100"/>
                <w:position w:val="0"/>
                <w:sz w:val="18"/>
                <w:szCs w:val="18"/>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付后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于物</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w:t>
            </w:r>
            <w:r>
              <w:rPr>
                <w:rFonts w:ascii="SimSun" w:eastAsia="SimSun" w:hAnsi="SimSun" w:cs="SimSun"/>
                <w:color w:val="000000"/>
                <w:spacing w:val="0"/>
                <w:w w:val="100"/>
                <w:position w:val="0"/>
                <w:sz w:val="18"/>
                <w:szCs w:val="18"/>
              </w:rPr>
              <w:t>年</w:t>
            </w:r>
            <w:r>
              <w:rPr>
                <w:color w:val="000000"/>
                <w:spacing w:val="0"/>
                <w:w w:val="100"/>
                <w:position w:val="0"/>
                <w:sz w:val="18"/>
                <w:szCs w:val="18"/>
              </w:rPr>
              <w:t>2</w:t>
            </w:r>
            <w:r>
              <w:rPr>
                <w:rFonts w:ascii="SimSun" w:eastAsia="SimSun" w:hAnsi="SimSun" w:cs="SimSun"/>
                <w:color w:val="000000"/>
                <w:spacing w:val="0"/>
                <w:w w:val="100"/>
                <w:position w:val="0"/>
                <w:sz w:val="18"/>
                <w:szCs w:val="18"/>
              </w:rPr>
              <w:t>月，公司子公司与成都鸿业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月</w:t>
            </w:r>
            <w:r>
              <w:rPr>
                <w:color w:val="000000"/>
                <w:spacing w:val="0"/>
                <w:w w:val="100"/>
                <w:position w:val="0"/>
                <w:sz w:val="18"/>
                <w:szCs w:val="18"/>
              </w:rPr>
              <w:t>/</w:t>
            </w:r>
            <w:r>
              <w:rPr>
                <w:rFonts w:ascii="SimSun" w:eastAsia="SimSun" w:hAnsi="SimSun" w:cs="SimSun"/>
                <w:color w:val="000000"/>
                <w:spacing w:val="0"/>
                <w:w w:val="100"/>
                <w:position w:val="0"/>
                <w:sz w:val="18"/>
                <w:szCs w:val="18"/>
              </w:rPr>
              <w:t>平米，即年保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算租金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业租</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置业签订服务合同，委托成都鸿业置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底租赁费</w:t>
            </w:r>
            <w:r>
              <w:rPr>
                <w:color w:val="000000"/>
                <w:spacing w:val="0"/>
                <w:w w:val="100"/>
                <w:position w:val="0"/>
                <w:sz w:val="18"/>
                <w:szCs w:val="18"/>
              </w:rPr>
              <w:t>784.728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费用，但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业为店面提供物业服务，服务期限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万元；物业服务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每平米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式按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2014/10/11 </w:t>
            </w:r>
            <w:r>
              <w:rPr>
                <w:rFonts w:ascii="SimSun" w:eastAsia="SimSun" w:hAnsi="SimSun" w:cs="SimSun"/>
                <w:color w:val="000000"/>
                <w:spacing w:val="0"/>
                <w:w w:val="100"/>
                <w:position w:val="0"/>
                <w:sz w:val="18"/>
                <w:szCs w:val="18"/>
              </w:rPr>
              <w:t xml:space="preserve">至 </w:t>
            </w:r>
            <w:r>
              <w:rPr>
                <w:color w:val="000000"/>
                <w:spacing w:val="0"/>
                <w:w w:val="100"/>
                <w:position w:val="0"/>
                <w:sz w:val="18"/>
                <w:szCs w:val="18"/>
              </w:rPr>
              <w:t>2021/1/10</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7 </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费</w:t>
            </w:r>
            <w:r>
              <w:rPr>
                <w:color w:val="000000"/>
                <w:spacing w:val="0"/>
                <w:w w:val="100"/>
                <w:position w:val="0"/>
                <w:sz w:val="18"/>
                <w:szCs w:val="18"/>
              </w:rPr>
              <w:t>16.5</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平米</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租金单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季提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公司子公司与成都鸿业置业签订《补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tabs>
                <w:tab w:pos="1171" w:val="lef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tab/>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价不低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前支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公告》</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充协议》，</w:t>
            </w:r>
            <w:r>
              <w:rPr>
                <w:color w:val="000000"/>
                <w:spacing w:val="0"/>
                <w:w w:val="100"/>
                <w:position w:val="0"/>
                <w:sz w:val="18"/>
                <w:szCs w:val="18"/>
              </w:rPr>
              <w:t xml:space="preserve">2017/10/11-2018/10/10 </w:t>
            </w:r>
            <w:r>
              <w:rPr>
                <w:rFonts w:ascii="SimSun" w:eastAsia="SimSun" w:hAnsi="SimSun" w:cs="SimSun"/>
                <w:color w:val="000000"/>
                <w:spacing w:val="0"/>
                <w:w w:val="100"/>
                <w:position w:val="0"/>
                <w:sz w:val="18"/>
                <w:szCs w:val="18"/>
              </w:rPr>
              <w:t>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2019/10/11-2020/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于</w:t>
            </w:r>
            <w:r>
              <w:rPr>
                <w:color w:val="000000"/>
                <w:spacing w:val="0"/>
                <w:w w:val="100"/>
                <w:position w:val="0"/>
                <w:sz w:val="18"/>
                <w:szCs w:val="18"/>
              </w:rPr>
              <w:t>70</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底租赁费用、物业费降低为</w:t>
            </w:r>
            <w:r>
              <w:rPr>
                <w:color w:val="000000"/>
                <w:spacing w:val="0"/>
                <w:w w:val="100"/>
                <w:position w:val="0"/>
                <w:sz w:val="18"/>
                <w:szCs w:val="18"/>
              </w:rPr>
              <w:t>721.950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10/10</w:t>
            </w:r>
            <w:r>
              <w:rPr>
                <w:rFonts w:ascii="SimSun" w:eastAsia="SimSun" w:hAnsi="SimSun" w:cs="SimSun"/>
                <w:color w:val="000000"/>
                <w:spacing w:val="0"/>
                <w:w w:val="100"/>
                <w:position w:val="0"/>
                <w:sz w:val="18"/>
                <w:szCs w:val="18"/>
              </w:rPr>
              <w:t>保底租赁费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月；物业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提成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万元、</w:t>
            </w:r>
            <w:r>
              <w:rPr>
                <w:color w:val="000000"/>
                <w:spacing w:val="0"/>
                <w:w w:val="100"/>
                <w:position w:val="0"/>
                <w:sz w:val="18"/>
                <w:szCs w:val="18"/>
              </w:rPr>
              <w:t>170.174</w:t>
            </w:r>
            <w:r>
              <w:rPr>
                <w:rFonts w:ascii="SimSun" w:eastAsia="SimSun" w:hAnsi="SimSun" w:cs="SimSun"/>
                <w:color w:val="000000"/>
                <w:spacing w:val="0"/>
                <w:w w:val="100"/>
                <w:position w:val="0"/>
                <w:sz w:val="18"/>
                <w:szCs w:val="18"/>
              </w:rPr>
              <w:t>万元。</w:t>
            </w:r>
            <w:r>
              <w:rPr>
                <w:color w:val="000000"/>
                <w:spacing w:val="0"/>
                <w:w w:val="100"/>
                <w:position w:val="0"/>
                <w:sz w:val="18"/>
                <w:szCs w:val="18"/>
              </w:rPr>
              <w:t>2019</w:t>
            </w:r>
            <w:r>
              <w:rPr>
                <w:rFonts w:ascii="SimSun" w:eastAsia="SimSun" w:hAnsi="SimSun" w:cs="SimSun"/>
                <w:color w:val="000000"/>
                <w:spacing w:val="0"/>
                <w:w w:val="100"/>
                <w:position w:val="0"/>
                <w:sz w:val="18"/>
                <w:szCs w:val="18"/>
              </w:rPr>
              <w:t>年</w:t>
            </w:r>
            <w:r>
              <w:rPr>
                <w:color w:val="000000"/>
                <w:spacing w:val="0"/>
                <w:w w:val="100"/>
                <w:position w:val="0"/>
                <w:sz w:val="18"/>
                <w:szCs w:val="18"/>
              </w:rPr>
              <w:t>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用降低为 </w:t>
            </w:r>
            <w:r>
              <w:rPr>
                <w:color w:val="000000"/>
                <w:spacing w:val="0"/>
                <w:w w:val="100"/>
                <w:position w:val="0"/>
                <w:sz w:val="18"/>
                <w:szCs w:val="18"/>
              </w:rPr>
              <w:t>707.22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四川苏宁与成都鸿业置业苏宁广场分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16.5 </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公司签订《补充协议》，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平米</w:t>
            </w:r>
            <w:r>
              <w:rPr>
                <w:color w:val="000000"/>
                <w:spacing w:val="0"/>
                <w:w w:val="100"/>
                <w:position w:val="0"/>
                <w:sz w:val="18"/>
                <w:szCs w:val="18"/>
              </w:rPr>
              <w:t>/</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采取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2019/10/11-2020/10/10 </w:t>
            </w:r>
            <w:r>
              <w:rPr>
                <w:rFonts w:ascii="SimSun" w:eastAsia="SimSun" w:hAnsi="SimSun" w:cs="SimSun"/>
                <w:color w:val="000000"/>
                <w:spacing w:val="0"/>
                <w:w w:val="100"/>
                <w:position w:val="0"/>
                <w:sz w:val="18"/>
                <w:szCs w:val="18"/>
              </w:rPr>
              <w:t>保底租赁费用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先租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降低为</w:t>
            </w:r>
            <w:r>
              <w:rPr>
                <w:color w:val="000000"/>
                <w:spacing w:val="0"/>
                <w:w w:val="100"/>
                <w:position w:val="0"/>
                <w:sz w:val="18"/>
                <w:szCs w:val="18"/>
              </w:rPr>
              <w:t>707.22</w:t>
            </w:r>
            <w:r>
              <w:rPr>
                <w:rFonts w:ascii="SimSun" w:eastAsia="SimSun" w:hAnsi="SimSun" w:cs="SimSun"/>
                <w:color w:val="000000"/>
                <w:spacing w:val="0"/>
                <w:w w:val="100"/>
                <w:position w:val="0"/>
                <w:sz w:val="18"/>
                <w:szCs w:val="18"/>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后付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每年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度结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束后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5"/>
        <w:gridCol w:w="994"/>
        <w:gridCol w:w="850"/>
        <w:gridCol w:w="3120"/>
        <w:gridCol w:w="1142"/>
        <w:gridCol w:w="1555"/>
        <w:gridCol w:w="845"/>
        <w:gridCol w:w="706"/>
        <w:gridCol w:w="922"/>
        <w:gridCol w:w="629"/>
        <w:gridCol w:w="576"/>
        <w:gridCol w:w="734"/>
        <w:gridCol w:w="398"/>
        <w:gridCol w:w="754"/>
      </w:tblGrid>
      <w:tr>
        <w:trPr>
          <w:trHeight w:val="21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 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关联交易定 价原则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rPr>
                <w:sz w:val="18"/>
                <w:szCs w:val="18"/>
              </w:rPr>
            </w:pPr>
            <w:r>
              <w:rPr>
                <w:rFonts w:ascii="SimSun" w:eastAsia="SimSun" w:hAnsi="SimSun" w:cs="SimSun"/>
                <w:color w:val="000000"/>
                <w:spacing w:val="0"/>
                <w:w w:val="100"/>
                <w:position w:val="0"/>
                <w:sz w:val="18"/>
                <w:szCs w:val="18"/>
              </w:rPr>
              <w:t>占同 类交 易金 额的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获批的</w:t>
            </w:r>
          </w:p>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交易额</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是否 超过 获批 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披 露 日 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披露</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索引</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南京玄武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苏宁置业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出租位于南京市徐庄软件园内苏宁电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第一年至第五年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苏宁置业</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集团之子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器总部</w:t>
            </w:r>
            <w:r>
              <w:rPr>
                <w:color w:val="000000"/>
                <w:spacing w:val="0"/>
                <w:w w:val="100"/>
                <w:position w:val="0"/>
                <w:sz w:val="18"/>
                <w:szCs w:val="18"/>
              </w:rPr>
              <w:t>7</w:t>
            </w:r>
            <w:r>
              <w:rPr>
                <w:rFonts w:ascii="SimSun" w:eastAsia="SimSun" w:hAnsi="SimSun" w:cs="SimSun"/>
                <w:color w:val="000000"/>
                <w:spacing w:val="0"/>
                <w:w w:val="100"/>
                <w:position w:val="0"/>
                <w:sz w:val="18"/>
                <w:szCs w:val="18"/>
              </w:rPr>
              <w:t>号、</w:t>
            </w:r>
            <w:r>
              <w:rPr>
                <w:color w:val="000000"/>
                <w:spacing w:val="0"/>
                <w:w w:val="100"/>
                <w:position w:val="0"/>
                <w:sz w:val="18"/>
                <w:szCs w:val="18"/>
              </w:rPr>
              <w:t>8</w:t>
            </w:r>
            <w:r>
              <w:rPr>
                <w:rFonts w:ascii="SimSun" w:eastAsia="SimSun" w:hAnsi="SimSun" w:cs="SimSun"/>
                <w:color w:val="000000"/>
                <w:spacing w:val="0"/>
                <w:w w:val="100"/>
                <w:position w:val="0"/>
                <w:sz w:val="18"/>
                <w:szCs w:val="18"/>
              </w:rPr>
              <w:t>号楼</w:t>
            </w:r>
            <w:r>
              <w:rPr>
                <w:color w:val="000000"/>
                <w:spacing w:val="0"/>
                <w:w w:val="100"/>
                <w:position w:val="0"/>
                <w:sz w:val="18"/>
                <w:szCs w:val="18"/>
              </w:rPr>
              <w:t>1-7</w:t>
            </w:r>
            <w:r>
              <w:rPr>
                <w:rFonts w:ascii="SimSun" w:eastAsia="SimSun" w:hAnsi="SimSun" w:cs="SimSun"/>
                <w:color w:val="000000"/>
                <w:spacing w:val="0"/>
                <w:w w:val="100"/>
                <w:position w:val="0"/>
                <w:sz w:val="18"/>
                <w:szCs w:val="18"/>
              </w:rPr>
              <w:t>层、地下夹层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平方米</w:t>
            </w:r>
            <w:r>
              <w:rPr>
                <w:color w:val="000000"/>
                <w:spacing w:val="0"/>
                <w:w w:val="100"/>
                <w:position w:val="0"/>
                <w:sz w:val="18"/>
                <w:szCs w:val="18"/>
              </w:rPr>
              <w:t>/</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度支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公司的分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及负一层部分物业用于其开展酒店经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自第六年起每两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玄武苏宁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支机构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营业务。出租物业面积约为</w:t>
            </w:r>
            <w:r>
              <w:rPr>
                <w:color w:val="000000"/>
                <w:spacing w:val="0"/>
                <w:w w:val="100"/>
                <w:position w:val="0"/>
                <w:sz w:val="18"/>
                <w:szCs w:val="18"/>
              </w:rPr>
              <w:t>45,000</w:t>
            </w:r>
            <w:r>
              <w:rPr>
                <w:rFonts w:ascii="SimSun" w:eastAsia="SimSun" w:hAnsi="SimSun" w:cs="SimSun"/>
                <w:color w:val="000000"/>
                <w:spacing w:val="0"/>
                <w:w w:val="100"/>
                <w:position w:val="0"/>
                <w:sz w:val="18"/>
                <w:szCs w:val="18"/>
              </w:rPr>
              <w:t>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年在上一年的基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2011-0</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银河诺富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米，租赁期限 </w:t>
            </w:r>
            <w:r>
              <w:rPr>
                <w:color w:val="000000"/>
                <w:spacing w:val="0"/>
                <w:w w:val="100"/>
                <w:position w:val="0"/>
                <w:sz w:val="18"/>
                <w:szCs w:val="18"/>
              </w:rPr>
              <w:t>2011/3/20-2026/3/19</w:t>
            </w:r>
            <w:r>
              <w:rPr>
                <w:rFonts w:ascii="SimSun" w:eastAsia="SimSun" w:hAnsi="SimSun" w:cs="SimSu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础上递增</w:t>
            </w:r>
            <w:r>
              <w:rPr>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月</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r>
              <w:rPr>
                <w:rFonts w:ascii="SimSun" w:eastAsia="SimSun" w:hAnsi="SimSun" w:cs="SimSun"/>
                <w:color w:val="000000"/>
                <w:spacing w:val="0"/>
                <w:w w:val="100"/>
                <w:position w:val="0"/>
                <w:sz w:val="18"/>
                <w:szCs w:val="18"/>
              </w:rPr>
              <w:t>《关</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特酒店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于向</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方出</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租物</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业的</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公告》</w:t>
            </w:r>
          </w:p>
        </w:tc>
      </w:tr>
    </w:tbl>
    <w:p>
      <w:pPr>
        <w:spacing w:lineRule="exact" w:line="1"/>
        <w:rPr>
          <w:sz w:val="2"/>
          <w:szCs w:val="2"/>
        </w:rPr>
      </w:pPr>
      <w:r>
        <w:br w:type="page"/>
      </w:r>
    </w:p>
    <w:tbl>
      <w:tblPr>
        <w:tblOverlap w:val="never"/>
        <w:jc w:val="center"/>
        <w:tblLayout w:type="fixed"/>
      </w:tblPr>
      <w:tblGrid>
        <w:gridCol w:w="965"/>
        <w:gridCol w:w="994"/>
        <w:gridCol w:w="850"/>
        <w:gridCol w:w="3120"/>
        <w:gridCol w:w="1142"/>
        <w:gridCol w:w="1555"/>
        <w:gridCol w:w="845"/>
        <w:gridCol w:w="706"/>
        <w:gridCol w:w="922"/>
        <w:gridCol w:w="629"/>
        <w:gridCol w:w="576"/>
        <w:gridCol w:w="734"/>
        <w:gridCol w:w="398"/>
        <w:gridCol w:w="754"/>
      </w:tblGrid>
      <w:tr>
        <w:trPr>
          <w:trHeight w:val="115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w:t>
            </w:r>
          </w:p>
        </w:tc>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tc>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关联交易定</w:t>
            </w:r>
          </w:p>
        </w:tc>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占同</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类交</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易金</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获批的</w:t>
            </w:r>
          </w:p>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交易额</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是否</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超过</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可获</w:t>
            </w:r>
          </w:p>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得的</w:t>
            </w:r>
          </w:p>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同类</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披</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露</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披露</w:t>
            </w:r>
          </w:p>
        </w:tc>
      </w:tr>
      <w:tr>
        <w:trPr>
          <w:trHeight w:val="158" w:hRule="exact"/>
        </w:trPr>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方</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易类型</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价原则</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易金额</w:t>
            </w:r>
          </w:p>
        </w:tc>
        <w:tc>
          <w:tcPr>
            <w:vMerge w:val="restart"/>
            <w:tcBorders>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额的</w:t>
            </w:r>
          </w:p>
        </w:tc>
        <w:tc>
          <w:tcPr>
            <w:vMerge w:val="restart"/>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度</w:t>
            </w: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获批</w:t>
            </w: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日 期</w:t>
            </w:r>
          </w:p>
        </w:tc>
        <w:tc>
          <w:tcPr>
            <w:vMerge w:val="restart"/>
            <w:tcBorders>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索引</w:t>
            </w:r>
          </w:p>
        </w:tc>
      </w:tr>
      <w:tr>
        <w:trPr>
          <w:trHeight w:val="154" w:hRule="exact"/>
        </w:trPr>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交易</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120" w:after="0" w:line="240" w:lineRule="auto"/>
              <w:ind w:left="0" w:right="0" w:firstLine="0"/>
              <w:jc w:val="left"/>
              <w:rPr>
                <w:sz w:val="18"/>
                <w:szCs w:val="18"/>
              </w:rPr>
            </w:pPr>
            <w:r>
              <w:rPr>
                <w:rFonts w:ascii="SimSun" w:eastAsia="SimSun" w:hAnsi="SimSun" w:cs="SimSun"/>
                <w:color w:val="000000"/>
                <w:spacing w:val="0"/>
                <w:w w:val="100"/>
                <w:position w:val="0"/>
                <w:sz w:val="18"/>
                <w:szCs w:val="18"/>
              </w:rPr>
              <w:t>比例</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额度</w:t>
            </w:r>
          </w:p>
        </w:tc>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widowControl w:val="0"/>
              <w:rPr>
                <w:sz w:val="10"/>
                <w:szCs w:val="10"/>
              </w:rPr>
            </w:pPr>
          </w:p>
        </w:tc>
      </w:tr>
      <w:tr>
        <w:trPr>
          <w:trHeight w:val="52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市价</w:t>
            </w: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青岛苏宁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苏宁置业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租赁位于青岛市李沧区京口路</w:t>
            </w:r>
            <w:r>
              <w:rPr>
                <w:color w:val="000000"/>
                <w:spacing w:val="0"/>
                <w:w w:val="100"/>
                <w:position w:val="0"/>
                <w:sz w:val="18"/>
                <w:szCs w:val="18"/>
              </w:rPr>
              <w:t>22-42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租赁费用采用</w:t>
            </w:r>
            <w:r>
              <w:rPr>
                <w:color w:val="000000"/>
                <w:spacing w:val="0"/>
                <w:w w:val="100"/>
                <w:position w:val="0"/>
                <w:sz w:val="18"/>
                <w:szCs w:val="18"/>
              </w:rPr>
              <w:t>“</w:t>
            </w:r>
            <w:r>
              <w:rPr>
                <w:rFonts w:ascii="SimSun" w:eastAsia="SimSun" w:hAnsi="SimSun" w:cs="SimSun"/>
                <w:color w:val="000000"/>
                <w:spacing w:val="0"/>
                <w:w w:val="100"/>
                <w:position w:val="0"/>
                <w:sz w:val="18"/>
                <w:szCs w:val="18"/>
              </w:rPr>
              <w:t>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604.43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按该店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56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商业有限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集团之子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号、古镇路</w:t>
            </w:r>
            <w:r>
              <w:rPr>
                <w:color w:val="000000"/>
                <w:spacing w:val="0"/>
                <w:w w:val="100"/>
                <w:position w:val="0"/>
                <w:sz w:val="18"/>
                <w:szCs w:val="18"/>
              </w:rPr>
              <w:t xml:space="preserve">1 </w:t>
            </w:r>
            <w:r>
              <w:rPr>
                <w:color w:val="000000"/>
                <w:spacing w:val="0"/>
                <w:w w:val="100"/>
                <w:position w:val="0"/>
                <w:sz w:val="18"/>
                <w:szCs w:val="18"/>
              </w:rPr>
              <w:t>-29</w:t>
            </w:r>
            <w:r>
              <w:rPr>
                <w:rFonts w:ascii="SimSun" w:eastAsia="SimSun" w:hAnsi="SimSun" w:cs="SimSun"/>
                <w:color w:val="000000"/>
                <w:spacing w:val="0"/>
                <w:w w:val="100"/>
                <w:position w:val="0"/>
                <w:sz w:val="18"/>
                <w:szCs w:val="18"/>
              </w:rPr>
              <w:t>号、书院路</w:t>
            </w:r>
            <w:r>
              <w:rPr>
                <w:color w:val="000000"/>
                <w:spacing w:val="0"/>
                <w:w w:val="100"/>
                <w:position w:val="0"/>
                <w:sz w:val="18"/>
                <w:szCs w:val="18"/>
              </w:rPr>
              <w:t>1-11</w:t>
            </w:r>
            <w:r>
              <w:rPr>
                <w:rFonts w:ascii="SimSun" w:eastAsia="SimSun" w:hAnsi="SimSun" w:cs="SimSun"/>
                <w:color w:val="000000"/>
                <w:spacing w:val="0"/>
                <w:w w:val="100"/>
                <w:position w:val="0"/>
                <w:sz w:val="18"/>
                <w:szCs w:val="18"/>
              </w:rPr>
              <w:t>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底加提成</w:t>
            </w:r>
            <w:r>
              <w:rPr>
                <w:color w:val="000000"/>
                <w:spacing w:val="0"/>
                <w:w w:val="100"/>
                <w:position w:val="0"/>
                <w:sz w:val="18"/>
                <w:szCs w:val="18"/>
              </w:rPr>
              <w:t>”</w:t>
            </w:r>
            <w:r>
              <w:rPr>
                <w:rFonts w:ascii="SimSun" w:eastAsia="SimSun" w:hAnsi="SimSun" w:cs="SimSun"/>
                <w:color w:val="000000"/>
                <w:spacing w:val="0"/>
                <w:w w:val="100"/>
                <w:position w:val="0"/>
                <w:sz w:val="18"/>
                <w:szCs w:val="18"/>
              </w:rPr>
              <w:t>方式计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年实现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的物业一至三层用于店面经营，租赁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算，按含税销售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销售收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物业建筑面积合计约</w:t>
            </w:r>
            <w:r>
              <w:rPr>
                <w:color w:val="000000"/>
                <w:spacing w:val="0"/>
                <w:w w:val="100"/>
                <w:position w:val="0"/>
                <w:sz w:val="18"/>
                <w:szCs w:val="18"/>
              </w:rPr>
              <w:t>14,120</w:t>
            </w:r>
            <w:r>
              <w:rPr>
                <w:rFonts w:ascii="SimSun" w:eastAsia="SimSun" w:hAnsi="SimSun" w:cs="SimSun"/>
                <w:color w:val="000000"/>
                <w:spacing w:val="0"/>
                <w:w w:val="100"/>
                <w:position w:val="0"/>
                <w:sz w:val="18"/>
                <w:szCs w:val="18"/>
              </w:rPr>
              <w:t>平米，租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总额的</w:t>
            </w:r>
            <w:r>
              <w:rPr>
                <w:color w:val="000000"/>
                <w:spacing w:val="0"/>
                <w:w w:val="100"/>
                <w:position w:val="0"/>
                <w:sz w:val="18"/>
                <w:szCs w:val="18"/>
              </w:rPr>
              <w:t>3%</w:t>
            </w:r>
            <w:r>
              <w:rPr>
                <w:rFonts w:ascii="SimSun" w:eastAsia="SimSun" w:hAnsi="SimSun" w:cs="SimSun"/>
                <w:color w:val="000000"/>
                <w:spacing w:val="0"/>
                <w:w w:val="100"/>
                <w:position w:val="0"/>
                <w:sz w:val="18"/>
                <w:szCs w:val="18"/>
              </w:rPr>
              <w:t>计算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入（含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采取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2011-0</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赁期 </w:t>
            </w:r>
            <w:r>
              <w:rPr>
                <w:color w:val="000000"/>
                <w:spacing w:val="0"/>
                <w:w w:val="100"/>
                <w:position w:val="0"/>
                <w:sz w:val="18"/>
                <w:szCs w:val="18"/>
              </w:rPr>
              <w:t>2011/4/19-2021/4/18</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2018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的金额作为租赁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税）的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先付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月</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r>
              <w:rPr>
                <w:rFonts w:ascii="SimSun" w:eastAsia="SimSun" w:hAnsi="SimSun" w:cs="SimSun"/>
                <w:color w:val="000000"/>
                <w:spacing w:val="0"/>
                <w:w w:val="100"/>
                <w:position w:val="0"/>
                <w:sz w:val="18"/>
                <w:szCs w:val="18"/>
              </w:rPr>
              <w:t>《关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月，公司子公司与青岛苏宁置业签订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费用，但每平米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 </w:t>
            </w:r>
            <w:r>
              <w:rPr>
                <w:rFonts w:ascii="SimSun" w:eastAsia="SimSun" w:hAnsi="SimSun" w:cs="SimSun"/>
                <w:color w:val="000000"/>
                <w:spacing w:val="0"/>
                <w:w w:val="100"/>
                <w:position w:val="0"/>
                <w:sz w:val="18"/>
                <w:szCs w:val="18"/>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后租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于物</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《补充协议》，青岛苏宁因店面经营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单价不低于</w:t>
            </w:r>
            <w:r>
              <w:rPr>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算租金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的方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业租</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需要增租苏宁广场部分面积，自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天，即年保底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费用，但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式按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w:t>
            </w:r>
            <w:r>
              <w:rPr>
                <w:rFonts w:ascii="SimSun" w:eastAsia="SimSun" w:hAnsi="SimSun" w:cs="SimSun"/>
                <w:color w:val="000000"/>
                <w:spacing w:val="0"/>
                <w:w w:val="100"/>
                <w:position w:val="0"/>
                <w:sz w:val="18"/>
                <w:szCs w:val="18"/>
              </w:rPr>
              <w:t>起租赁面积</w:t>
            </w:r>
            <w:r>
              <w:rPr>
                <w:color w:val="000000"/>
                <w:spacing w:val="0"/>
                <w:w w:val="100"/>
                <w:position w:val="0"/>
                <w:sz w:val="18"/>
                <w:szCs w:val="18"/>
              </w:rPr>
              <w:t>26,069.8</w:t>
            </w:r>
            <w:r>
              <w:rPr>
                <w:rFonts w:ascii="SimSun" w:eastAsia="SimSun" w:hAnsi="SimSun" w:cs="SimSun"/>
                <w:color w:val="000000"/>
                <w:spacing w:val="0"/>
                <w:w w:val="100"/>
                <w:position w:val="0"/>
                <w:sz w:val="18"/>
                <w:szCs w:val="18"/>
              </w:rPr>
              <w:t>平方米，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租赁费用为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每平米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季提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租期延长至</w:t>
            </w:r>
            <w:r>
              <w:rPr>
                <w:color w:val="000000"/>
                <w:spacing w:val="0"/>
                <w:w w:val="100"/>
                <w:position w:val="0"/>
                <w:sz w:val="18"/>
                <w:szCs w:val="18"/>
              </w:rPr>
              <w:t>2029/4/18</w:t>
            </w:r>
            <w:r>
              <w:rPr>
                <w:rFonts w:ascii="SimSun" w:eastAsia="SimSun" w:hAnsi="SimSun" w:cs="SimSun"/>
                <w:color w:val="000000"/>
                <w:spacing w:val="0"/>
                <w:w w:val="100"/>
                <w:position w:val="0"/>
                <w:sz w:val="18"/>
                <w:szCs w:val="18"/>
              </w:rPr>
              <w:t>，租赁期限内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1,288.45</w:t>
            </w:r>
            <w:r>
              <w:rPr>
                <w:rFonts w:ascii="SimSun" w:eastAsia="SimSun" w:hAnsi="SimSun" w:cs="SimSun"/>
                <w:color w:val="000000"/>
                <w:spacing w:val="0"/>
                <w:w w:val="100"/>
                <w:position w:val="0"/>
                <w:sz w:val="18"/>
                <w:szCs w:val="18"/>
              </w:rPr>
              <w:t>万元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租金单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前支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2019/1/1-2029/4/18</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赁费用采用</w:t>
            </w:r>
            <w:r>
              <w:rPr>
                <w:color w:val="000000"/>
                <w:spacing w:val="0"/>
                <w:w w:val="100"/>
                <w:position w:val="0"/>
                <w:sz w:val="18"/>
                <w:szCs w:val="18"/>
              </w:rPr>
              <w:t>“</w:t>
            </w:r>
            <w:r>
              <w:rPr>
                <w:rFonts w:ascii="SimSun" w:eastAsia="SimSun" w:hAnsi="SimSun" w:cs="SimSun"/>
                <w:color w:val="000000"/>
                <w:spacing w:val="0"/>
                <w:w w:val="100"/>
                <w:position w:val="0"/>
                <w:sz w:val="18"/>
                <w:szCs w:val="18"/>
              </w:rPr>
              <w:t>保底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w:t>
            </w:r>
            <w:r>
              <w:rPr>
                <w:rFonts w:ascii="SimSun" w:eastAsia="SimSun" w:hAnsi="SimSun" w:cs="SimSun"/>
                <w:color w:val="000000"/>
                <w:spacing w:val="0"/>
                <w:w w:val="100"/>
                <w:position w:val="0"/>
                <w:sz w:val="18"/>
                <w:szCs w:val="18"/>
              </w:rPr>
              <w:t>起</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年保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价不低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公告》</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加提成</w:t>
            </w:r>
            <w:r>
              <w:rPr>
                <w:color w:val="000000"/>
                <w:spacing w:val="0"/>
                <w:w w:val="100"/>
                <w:position w:val="0"/>
                <w:sz w:val="18"/>
                <w:szCs w:val="18"/>
              </w:rPr>
              <w:t>”</w:t>
            </w:r>
            <w:r>
              <w:rPr>
                <w:rFonts w:ascii="SimSun" w:eastAsia="SimSun" w:hAnsi="SimSun" w:cs="SimSun"/>
                <w:color w:val="000000"/>
                <w:spacing w:val="0"/>
                <w:w w:val="100"/>
                <w:position w:val="0"/>
                <w:sz w:val="18"/>
                <w:szCs w:val="18"/>
              </w:rPr>
              <w:t>方式计算，按含税销售总额的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底租赁费用调整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于</w:t>
            </w:r>
            <w:r>
              <w:rPr>
                <w:color w:val="000000"/>
                <w:spacing w:val="0"/>
                <w:w w:val="100"/>
                <w:position w:val="0"/>
                <w:sz w:val="18"/>
                <w:szCs w:val="18"/>
              </w:rPr>
              <w:t>2.5</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提成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计算的金额作为租赁费用，年保底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为</w:t>
            </w:r>
            <w:r>
              <w:rPr>
                <w:color w:val="000000"/>
                <w:spacing w:val="0"/>
                <w:w w:val="100"/>
                <w:position w:val="0"/>
                <w:sz w:val="18"/>
                <w:szCs w:val="18"/>
              </w:rPr>
              <w:t>1,150</w:t>
            </w:r>
            <w:r>
              <w:rPr>
                <w:rFonts w:ascii="SimSun" w:eastAsia="SimSun" w:hAnsi="SimSun" w:cs="SimSun"/>
                <w:color w:val="000000"/>
                <w:spacing w:val="0"/>
                <w:w w:val="100"/>
                <w:position w:val="0"/>
                <w:sz w:val="18"/>
                <w:szCs w:val="18"/>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租赁费用为</w:t>
            </w:r>
            <w:r>
              <w:rPr>
                <w:color w:val="000000"/>
                <w:spacing w:val="0"/>
                <w:w w:val="100"/>
                <w:position w:val="0"/>
                <w:sz w:val="18"/>
                <w:szCs w:val="18"/>
              </w:rPr>
              <w:t>1,150</w:t>
            </w:r>
            <w:r>
              <w:rPr>
                <w:rFonts w:ascii="SimSun" w:eastAsia="SimSun" w:hAnsi="SimSun" w:cs="SimSun"/>
                <w:color w:val="000000"/>
                <w:spacing w:val="0"/>
                <w:w w:val="100"/>
                <w:position w:val="0"/>
                <w:sz w:val="18"/>
                <w:szCs w:val="18"/>
              </w:rPr>
              <w:t>万元。</w:t>
            </w:r>
            <w:r>
              <w:rPr>
                <w:color w:val="000000"/>
                <w:spacing w:val="0"/>
                <w:w w:val="100"/>
                <w:position w:val="0"/>
                <w:sz w:val="18"/>
                <w:szCs w:val="18"/>
              </w:rPr>
              <w:t>2019</w:t>
            </w:r>
            <w:r>
              <w:rPr>
                <w:rFonts w:ascii="SimSun" w:eastAsia="SimSun" w:hAnsi="SimSun" w:cs="SimSun"/>
                <w:color w:val="000000"/>
                <w:spacing w:val="0"/>
                <w:w w:val="100"/>
                <w:position w:val="0"/>
                <w:sz w:val="18"/>
                <w:szCs w:val="18"/>
              </w:rPr>
              <w:t>年</w:t>
            </w:r>
            <w:r>
              <w:rPr>
                <w:color w:val="000000"/>
                <w:spacing w:val="0"/>
                <w:w w:val="100"/>
                <w:position w:val="0"/>
                <w:sz w:val="18"/>
                <w:szCs w:val="18"/>
              </w:rPr>
              <w:t>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公司子公司与青岛苏宁商业签订《补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采取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充协议》，</w:t>
            </w:r>
            <w:r>
              <w:rPr>
                <w:color w:val="000000"/>
                <w:spacing w:val="0"/>
                <w:w w:val="100"/>
                <w:position w:val="0"/>
                <w:sz w:val="18"/>
                <w:szCs w:val="18"/>
              </w:rPr>
              <w:t>2019</w:t>
            </w:r>
            <w:r>
              <w:rPr>
                <w:rFonts w:ascii="SimSun" w:eastAsia="SimSun" w:hAnsi="SimSun" w:cs="SimSun"/>
                <w:color w:val="000000"/>
                <w:spacing w:val="0"/>
                <w:w w:val="100"/>
                <w:position w:val="0"/>
                <w:sz w:val="18"/>
                <w:szCs w:val="18"/>
              </w:rPr>
              <w:t>年</w:t>
            </w:r>
            <w:r>
              <w:rPr>
                <w:color w:val="000000"/>
                <w:spacing w:val="0"/>
                <w:w w:val="100"/>
                <w:position w:val="0"/>
                <w:sz w:val="18"/>
                <w:szCs w:val="18"/>
              </w:rPr>
              <w:t>10</w:t>
            </w:r>
            <w:r>
              <w:rPr>
                <w:rFonts w:ascii="SimSun" w:eastAsia="SimSun" w:hAnsi="SimSun" w:cs="SimSun"/>
                <w:color w:val="000000"/>
                <w:spacing w:val="0"/>
                <w:w w:val="100"/>
                <w:position w:val="0"/>
                <w:sz w:val="18"/>
                <w:szCs w:val="18"/>
              </w:rPr>
              <w:t>月</w:t>
            </w:r>
            <w:r>
              <w:rPr>
                <w:color w:val="000000"/>
                <w:spacing w:val="0"/>
                <w:w w:val="100"/>
                <w:position w:val="0"/>
                <w:sz w:val="18"/>
                <w:szCs w:val="18"/>
              </w:rPr>
              <w:t>1</w:t>
            </w:r>
            <w:r>
              <w:rPr>
                <w:rFonts w:ascii="SimSun" w:eastAsia="SimSun" w:hAnsi="SimSun" w:cs="SimSun"/>
                <w:color w:val="000000"/>
                <w:spacing w:val="0"/>
                <w:w w:val="100"/>
                <w:position w:val="0"/>
                <w:sz w:val="18"/>
                <w:szCs w:val="18"/>
              </w:rPr>
              <w:t>日</w:t>
            </w: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先租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r>
              <w:rPr>
                <w:rFonts w:ascii="SimSun" w:eastAsia="SimSun" w:hAnsi="SimSun" w:cs="SimSun"/>
                <w:color w:val="000000"/>
                <w:spacing w:val="0"/>
                <w:w w:val="100"/>
                <w:position w:val="0"/>
                <w:sz w:val="18"/>
                <w:szCs w:val="18"/>
              </w:rPr>
              <w:t>月</w:t>
            </w:r>
            <w:r>
              <w:rPr>
                <w:color w:val="000000"/>
                <w:spacing w:val="0"/>
                <w:w w:val="100"/>
                <w:position w:val="0"/>
                <w:sz w:val="18"/>
                <w:szCs w:val="18"/>
              </w:rPr>
              <w:t>30</w:t>
            </w:r>
            <w:r>
              <w:rPr>
                <w:rFonts w:ascii="SimSun" w:eastAsia="SimSun" w:hAnsi="SimSun" w:cs="SimSun"/>
                <w:color w:val="000000"/>
                <w:spacing w:val="0"/>
                <w:w w:val="100"/>
                <w:position w:val="0"/>
                <w:sz w:val="18"/>
                <w:szCs w:val="18"/>
              </w:rPr>
              <w:t>日租赁费用变更为</w:t>
            </w:r>
            <w:r>
              <w:rPr>
                <w:color w:val="000000"/>
                <w:spacing w:val="0"/>
                <w:w w:val="100"/>
                <w:position w:val="0"/>
                <w:sz w:val="18"/>
                <w:szCs w:val="18"/>
              </w:rPr>
              <w:t>981.47</w:t>
            </w:r>
            <w:r>
              <w:rPr>
                <w:rFonts w:ascii="SimSun" w:eastAsia="SimSun" w:hAnsi="SimSun" w:cs="SimSun"/>
                <w:color w:val="000000"/>
                <w:spacing w:val="0"/>
                <w:w w:val="100"/>
                <w:position w:val="0"/>
                <w:sz w:val="18"/>
                <w:szCs w:val="18"/>
              </w:rPr>
              <w:t>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后付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每年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度结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束后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5"/>
        <w:gridCol w:w="994"/>
        <w:gridCol w:w="850"/>
        <w:gridCol w:w="3120"/>
        <w:gridCol w:w="1142"/>
        <w:gridCol w:w="1555"/>
        <w:gridCol w:w="845"/>
        <w:gridCol w:w="706"/>
        <w:gridCol w:w="922"/>
        <w:gridCol w:w="629"/>
        <w:gridCol w:w="576"/>
        <w:gridCol w:w="734"/>
        <w:gridCol w:w="398"/>
        <w:gridCol w:w="754"/>
      </w:tblGrid>
      <w:tr>
        <w:trPr>
          <w:trHeight w:val="21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 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关联交易定 价原则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rPr>
                <w:sz w:val="18"/>
                <w:szCs w:val="18"/>
              </w:rPr>
            </w:pPr>
            <w:r>
              <w:rPr>
                <w:rFonts w:ascii="SimSun" w:eastAsia="SimSun" w:hAnsi="SimSun" w:cs="SimSun"/>
                <w:color w:val="000000"/>
                <w:spacing w:val="0"/>
                <w:w w:val="100"/>
                <w:position w:val="0"/>
                <w:sz w:val="18"/>
                <w:szCs w:val="18"/>
              </w:rPr>
              <w:t>占同 类交 易金 额的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获批的</w:t>
            </w:r>
          </w:p>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交易额</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是否 超过 获批 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披 露 日 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披露</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索引</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苏宁置业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为公司关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租赁位于南京市淮海路</w:t>
            </w:r>
            <w:r>
              <w:rPr>
                <w:color w:val="000000"/>
                <w:spacing w:val="0"/>
                <w:w w:val="100"/>
                <w:position w:val="0"/>
                <w:sz w:val="18"/>
                <w:szCs w:val="18"/>
              </w:rPr>
              <w:t>68</w:t>
            </w:r>
            <w:r>
              <w:rPr>
                <w:rFonts w:ascii="SimSun" w:eastAsia="SimSun" w:hAnsi="SimSun" w:cs="SimSun"/>
                <w:color w:val="000000"/>
                <w:spacing w:val="0"/>
                <w:w w:val="100"/>
                <w:position w:val="0"/>
                <w:sz w:val="18"/>
                <w:szCs w:val="18"/>
              </w:rPr>
              <w:t>号苏宁广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首个租赁年度</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2,114.97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39,671.5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集团有限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联股东之</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场</w:t>
            </w:r>
            <w:r>
              <w:rPr>
                <w:color w:val="000000"/>
                <w:spacing w:val="0"/>
                <w:w w:val="100"/>
                <w:position w:val="0"/>
                <w:sz w:val="18"/>
                <w:szCs w:val="18"/>
              </w:rPr>
              <w:t>1-6</w:t>
            </w:r>
            <w:r>
              <w:rPr>
                <w:rFonts w:ascii="SimSun" w:eastAsia="SimSun" w:hAnsi="SimSun" w:cs="SimSun"/>
                <w:color w:val="000000"/>
                <w:spacing w:val="0"/>
                <w:w w:val="100"/>
                <w:position w:val="0"/>
                <w:sz w:val="18"/>
                <w:szCs w:val="18"/>
              </w:rPr>
              <w:t>层部分物业，用于店面经营，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平方米</w:t>
            </w:r>
            <w:r>
              <w:rPr>
                <w:color w:val="000000"/>
                <w:spacing w:val="0"/>
                <w:w w:val="100"/>
                <w:position w:val="0"/>
                <w:sz w:val="18"/>
                <w:szCs w:val="18"/>
              </w:rPr>
              <w:t>/</w:t>
            </w:r>
            <w:r>
              <w:rPr>
                <w:rFonts w:ascii="SimSun" w:eastAsia="SimSun" w:hAnsi="SimSun" w:cs="SimSun"/>
                <w:color w:val="000000"/>
                <w:spacing w:val="0"/>
                <w:w w:val="100"/>
                <w:position w:val="0"/>
                <w:sz w:val="18"/>
                <w:szCs w:val="18"/>
              </w:rPr>
              <w:t>日，自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度提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控股子公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租赁物业建筑面积合计为</w:t>
            </w:r>
            <w:r>
              <w:rPr>
                <w:color w:val="000000"/>
                <w:spacing w:val="0"/>
                <w:w w:val="100"/>
                <w:position w:val="0"/>
                <w:sz w:val="18"/>
                <w:szCs w:val="18"/>
              </w:rPr>
              <w:t>18,611</w:t>
            </w:r>
            <w:r>
              <w:rPr>
                <w:rFonts w:ascii="SimSun" w:eastAsia="SimSun" w:hAnsi="SimSun" w:cs="SimSun"/>
                <w:color w:val="000000"/>
                <w:spacing w:val="0"/>
                <w:w w:val="100"/>
                <w:position w:val="0"/>
                <w:sz w:val="18"/>
                <w:szCs w:val="18"/>
              </w:rPr>
              <w:t>平方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第三年起每两个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前支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米，租赁期限 </w:t>
            </w:r>
            <w:r>
              <w:rPr>
                <w:color w:val="000000"/>
                <w:spacing w:val="0"/>
                <w:w w:val="100"/>
                <w:position w:val="0"/>
                <w:sz w:val="18"/>
                <w:szCs w:val="18"/>
              </w:rPr>
              <w:t>2012/12/28-2022/12/27</w:t>
            </w:r>
            <w:r>
              <w:rPr>
                <w:rFonts w:ascii="SimSun" w:eastAsia="SimSun" w:hAnsi="SimSun" w:cs="SimSu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租赁年度在上一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2012-0</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2014/12/28</w:t>
            </w:r>
            <w:r>
              <w:rPr>
                <w:rFonts w:ascii="SimSun" w:eastAsia="SimSun" w:hAnsi="SimSun" w:cs="SimSun"/>
                <w:color w:val="000000"/>
                <w:spacing w:val="0"/>
                <w:w w:val="100"/>
                <w:position w:val="0"/>
                <w:sz w:val="18"/>
                <w:szCs w:val="18"/>
              </w:rPr>
              <w:t>起该店面扩租</w:t>
            </w:r>
            <w:r>
              <w:rPr>
                <w:color w:val="000000"/>
                <w:spacing w:val="0"/>
                <w:w w:val="100"/>
                <w:position w:val="0"/>
                <w:sz w:val="18"/>
                <w:szCs w:val="18"/>
              </w:rPr>
              <w:t>5,023.01</w:t>
            </w:r>
            <w:r>
              <w:rPr>
                <w:rFonts w:ascii="SimSun" w:eastAsia="SimSun" w:hAnsi="SimSun" w:cs="SimSun"/>
                <w:color w:val="000000"/>
                <w:spacing w:val="0"/>
                <w:w w:val="100"/>
                <w:position w:val="0"/>
                <w:sz w:val="18"/>
                <w:szCs w:val="18"/>
              </w:rPr>
              <w:t>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年的基础上递增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w:t>
            </w:r>
            <w:r>
              <w:rPr>
                <w:rFonts w:ascii="SimSun" w:eastAsia="SimSun" w:hAnsi="SimSun" w:cs="SimSun"/>
                <w:color w:val="000000"/>
                <w:spacing w:val="0"/>
                <w:w w:val="100"/>
                <w:position w:val="0"/>
                <w:sz w:val="18"/>
                <w:szCs w:val="18"/>
              </w:rPr>
              <w:t>《关</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方米，</w:t>
            </w:r>
            <w:r>
              <w:rPr>
                <w:color w:val="000000"/>
                <w:spacing w:val="0"/>
                <w:w w:val="100"/>
                <w:position w:val="0"/>
                <w:sz w:val="18"/>
                <w:szCs w:val="18"/>
              </w:rPr>
              <w:t>2016/4/1</w:t>
            </w:r>
            <w:r>
              <w:rPr>
                <w:rFonts w:ascii="SimSun" w:eastAsia="SimSun" w:hAnsi="SimSun" w:cs="SimSun"/>
                <w:color w:val="000000"/>
                <w:spacing w:val="0"/>
                <w:w w:val="100"/>
                <w:position w:val="0"/>
                <w:sz w:val="18"/>
                <w:szCs w:val="18"/>
              </w:rPr>
              <w:t>日起店面租赁面积调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于向</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整为 </w:t>
            </w:r>
            <w:r>
              <w:rPr>
                <w:color w:val="000000"/>
                <w:spacing w:val="0"/>
                <w:w w:val="100"/>
                <w:position w:val="0"/>
                <w:sz w:val="18"/>
                <w:szCs w:val="18"/>
              </w:rPr>
              <w:t xml:space="preserve">17,405.09 </w:t>
            </w:r>
            <w:r>
              <w:rPr>
                <w:rFonts w:ascii="SimSun" w:eastAsia="SimSun" w:hAnsi="SimSun" w:cs="SimSun"/>
                <w:color w:val="000000"/>
                <w:spacing w:val="0"/>
                <w:w w:val="100"/>
                <w:position w:val="0"/>
                <w:sz w:val="18"/>
                <w:szCs w:val="18"/>
              </w:rPr>
              <w:t>平米，</w:t>
            </w:r>
            <w:r>
              <w:rPr>
                <w:color w:val="000000"/>
                <w:spacing w:val="0"/>
                <w:w w:val="100"/>
                <w:position w:val="0"/>
                <w:sz w:val="18"/>
                <w:szCs w:val="18"/>
              </w:rPr>
              <w:t xml:space="preserve">2016/12/28 </w:t>
            </w:r>
            <w:r>
              <w:rPr>
                <w:rFonts w:ascii="SimSun" w:eastAsia="SimSun" w:hAnsi="SimSun" w:cs="SimSun"/>
                <w:color w:val="000000"/>
                <w:spacing w:val="0"/>
                <w:w w:val="100"/>
                <w:position w:val="0"/>
                <w:sz w:val="18"/>
                <w:szCs w:val="18"/>
              </w:rPr>
              <w:t>起店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面租赁面积</w:t>
            </w:r>
            <w:r>
              <w:rPr>
                <w:color w:val="000000"/>
                <w:spacing w:val="0"/>
                <w:w w:val="100"/>
                <w:position w:val="0"/>
                <w:sz w:val="18"/>
                <w:szCs w:val="18"/>
              </w:rPr>
              <w:t>15,885.09</w:t>
            </w:r>
            <w:r>
              <w:rPr>
                <w:rFonts w:ascii="SimSun" w:eastAsia="SimSun" w:hAnsi="SimSun" w:cs="SimSun"/>
                <w:color w:val="000000"/>
                <w:spacing w:val="0"/>
                <w:w w:val="100"/>
                <w:position w:val="0"/>
                <w:sz w:val="18"/>
                <w:szCs w:val="18"/>
              </w:rPr>
              <w:t>平方米。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方租</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赁物</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业的</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公告》</w:t>
            </w:r>
          </w:p>
        </w:tc>
      </w:tr>
    </w:tbl>
    <w:p>
      <w:pPr>
        <w:spacing w:lineRule="exact" w:line="1"/>
        <w:rPr>
          <w:sz w:val="2"/>
          <w:szCs w:val="2"/>
        </w:rPr>
      </w:pPr>
      <w:r>
        <w:br w:type="page"/>
      </w:r>
    </w:p>
    <w:tbl>
      <w:tblPr>
        <w:tblOverlap w:val="never"/>
        <w:jc w:val="center"/>
        <w:tblLayout w:type="fixed"/>
      </w:tblPr>
      <w:tblGrid>
        <w:gridCol w:w="965"/>
        <w:gridCol w:w="994"/>
        <w:gridCol w:w="850"/>
        <w:gridCol w:w="3120"/>
        <w:gridCol w:w="1142"/>
        <w:gridCol w:w="1555"/>
        <w:gridCol w:w="845"/>
        <w:gridCol w:w="706"/>
        <w:gridCol w:w="922"/>
        <w:gridCol w:w="629"/>
        <w:gridCol w:w="576"/>
        <w:gridCol w:w="734"/>
        <w:gridCol w:w="398"/>
        <w:gridCol w:w="754"/>
      </w:tblGrid>
      <w:tr>
        <w:trPr>
          <w:trHeight w:val="21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 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关联交易定 价原则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rPr>
                <w:sz w:val="18"/>
                <w:szCs w:val="18"/>
              </w:rPr>
            </w:pPr>
            <w:r>
              <w:rPr>
                <w:rFonts w:ascii="SimSun" w:eastAsia="SimSun" w:hAnsi="SimSun" w:cs="SimSun"/>
                <w:color w:val="000000"/>
                <w:spacing w:val="0"/>
                <w:w w:val="100"/>
                <w:position w:val="0"/>
                <w:sz w:val="18"/>
                <w:szCs w:val="18"/>
              </w:rPr>
              <w:t>占同 类交 易金 额的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获批的</w:t>
            </w:r>
          </w:p>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交易额</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是否 超过 获批 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披 露 日 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披露</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索引</w:t>
            </w:r>
          </w:p>
        </w:tc>
      </w:tr>
      <w:tr>
        <w:trPr>
          <w:trHeight w:val="421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无锡苏宁</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商业管理</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苏宁电器</w:t>
            </w:r>
          </w:p>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集团之子</w:t>
            </w:r>
          </w:p>
          <w:p>
            <w:pPr>
              <w:pStyle w:val="Style29"/>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物业租</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赁及物</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业服务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租赁其位于无锡市人民中路</w:t>
            </w:r>
            <w:r>
              <w:rPr>
                <w:color w:val="000000"/>
                <w:spacing w:val="0"/>
                <w:w w:val="100"/>
                <w:position w:val="0"/>
                <w:sz w:val="18"/>
                <w:szCs w:val="18"/>
              </w:rPr>
              <w:t>111</w:t>
            </w:r>
            <w:r>
              <w:rPr>
                <w:rFonts w:ascii="SimSun" w:eastAsia="SimSun" w:hAnsi="SimSun" w:cs="SimSun"/>
                <w:color w:val="000000"/>
                <w:spacing w:val="0"/>
                <w:w w:val="100"/>
                <w:position w:val="0"/>
                <w:sz w:val="18"/>
                <w:szCs w:val="18"/>
              </w:rPr>
              <w:t>号无 锡苏宁广场大厦</w:t>
            </w:r>
            <w:r>
              <w:rPr>
                <w:color w:val="000000"/>
                <w:spacing w:val="0"/>
                <w:w w:val="100"/>
                <w:position w:val="0"/>
                <w:sz w:val="18"/>
                <w:szCs w:val="18"/>
              </w:rPr>
              <w:t>1-5</w:t>
            </w:r>
            <w:r>
              <w:rPr>
                <w:rFonts w:ascii="SimSun" w:eastAsia="SimSun" w:hAnsi="SimSun" w:cs="SimSun"/>
                <w:color w:val="000000"/>
                <w:spacing w:val="0"/>
                <w:w w:val="100"/>
                <w:position w:val="0"/>
                <w:sz w:val="18"/>
                <w:szCs w:val="18"/>
              </w:rPr>
              <w:t>层用于店面经营， 租赁面积</w:t>
            </w:r>
            <w:r>
              <w:rPr>
                <w:color w:val="000000"/>
                <w:spacing w:val="0"/>
                <w:w w:val="100"/>
                <w:position w:val="0"/>
                <w:sz w:val="18"/>
                <w:szCs w:val="18"/>
              </w:rPr>
              <w:t>19,217.40</w:t>
            </w:r>
            <w:r>
              <w:rPr>
                <w:rFonts w:ascii="SimSun" w:eastAsia="SimSun" w:hAnsi="SimSun" w:cs="SimSun"/>
                <w:color w:val="000000"/>
                <w:spacing w:val="0"/>
                <w:w w:val="100"/>
                <w:position w:val="0"/>
                <w:sz w:val="18"/>
                <w:szCs w:val="18"/>
              </w:rPr>
              <w:t xml:space="preserve">平方米，租赁期限 </w:t>
            </w:r>
            <w:r>
              <w:rPr>
                <w:color w:val="000000"/>
                <w:spacing w:val="0"/>
                <w:w w:val="100"/>
                <w:position w:val="0"/>
                <w:sz w:val="18"/>
                <w:szCs w:val="18"/>
              </w:rPr>
              <w:t>2013/9/30-2028/9/29</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2014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8 </w:t>
            </w:r>
            <w:r>
              <w:rPr>
                <w:rFonts w:ascii="SimSun" w:eastAsia="SimSun" w:hAnsi="SimSun" w:cs="SimSun"/>
                <w:color w:val="000000"/>
                <w:spacing w:val="0"/>
                <w:w w:val="100"/>
                <w:position w:val="0"/>
                <w:sz w:val="18"/>
                <w:szCs w:val="18"/>
              </w:rPr>
              <w:t>月， 公司子公司与无锡苏宁商管签订补充 协议，退租部分租赁区域，自</w:t>
            </w:r>
            <w:r>
              <w:rPr>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r>
              <w:rPr>
                <w:color w:val="000000"/>
                <w:spacing w:val="0"/>
                <w:w w:val="100"/>
                <w:position w:val="0"/>
                <w:sz w:val="18"/>
                <w:szCs w:val="18"/>
              </w:rPr>
              <w:t>6</w:t>
            </w:r>
            <w:r>
              <w:rPr>
                <w:rFonts w:ascii="SimSun" w:eastAsia="SimSun" w:hAnsi="SimSun" w:cs="SimSun"/>
                <w:color w:val="000000"/>
                <w:spacing w:val="0"/>
                <w:w w:val="100"/>
                <w:position w:val="0"/>
                <w:sz w:val="18"/>
                <w:szCs w:val="18"/>
              </w:rPr>
              <w:t>月</w:t>
            </w:r>
            <w:r>
              <w:rPr>
                <w:color w:val="000000"/>
                <w:spacing w:val="0"/>
                <w:w w:val="100"/>
                <w:position w:val="0"/>
                <w:sz w:val="18"/>
                <w:szCs w:val="18"/>
              </w:rPr>
              <w:t>30</w:t>
            </w:r>
            <w:r>
              <w:rPr>
                <w:rFonts w:ascii="SimSun" w:eastAsia="SimSun" w:hAnsi="SimSun" w:cs="SimSun"/>
                <w:color w:val="000000"/>
                <w:spacing w:val="0"/>
                <w:w w:val="100"/>
                <w:position w:val="0"/>
                <w:sz w:val="18"/>
                <w:szCs w:val="18"/>
              </w:rPr>
              <w:t xml:space="preserve">日起公司实际承租面积为 </w:t>
            </w:r>
            <w:r>
              <w:rPr>
                <w:color w:val="000000"/>
                <w:spacing w:val="0"/>
                <w:w w:val="100"/>
                <w:position w:val="0"/>
                <w:sz w:val="18"/>
                <w:szCs w:val="18"/>
              </w:rPr>
              <w:t>18,945.49</w:t>
            </w:r>
            <w:r>
              <w:rPr>
                <w:rFonts w:ascii="SimSun" w:eastAsia="SimSun" w:hAnsi="SimSun" w:cs="SimSun"/>
                <w:color w:val="000000"/>
                <w:spacing w:val="0"/>
                <w:w w:val="100"/>
                <w:position w:val="0"/>
                <w:sz w:val="18"/>
                <w:szCs w:val="18"/>
              </w:rPr>
              <w:t>平方米。</w:t>
            </w:r>
            <w:r>
              <w:rPr>
                <w:color w:val="000000"/>
                <w:spacing w:val="0"/>
                <w:w w:val="100"/>
                <w:position w:val="0"/>
                <w:sz w:val="18"/>
                <w:szCs w:val="18"/>
              </w:rPr>
              <w:t>2015</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月，公司 子公司与无锡商管签订补充协议，自 </w:t>
            </w:r>
            <w:r>
              <w:rPr>
                <w:color w:val="000000"/>
                <w:spacing w:val="0"/>
                <w:w w:val="100"/>
                <w:position w:val="0"/>
                <w:sz w:val="18"/>
                <w:szCs w:val="18"/>
              </w:rPr>
              <w:t>2015</w:t>
            </w:r>
            <w:r>
              <w:rPr>
                <w:rFonts w:ascii="SimSun" w:eastAsia="SimSun" w:hAnsi="SimSun" w:cs="SimSun"/>
                <w:color w:val="000000"/>
                <w:spacing w:val="0"/>
                <w:w w:val="100"/>
                <w:position w:val="0"/>
                <w:sz w:val="18"/>
                <w:szCs w:val="18"/>
              </w:rPr>
              <w:t>年</w:t>
            </w:r>
            <w:r>
              <w:rPr>
                <w:color w:val="000000"/>
                <w:spacing w:val="0"/>
                <w:w w:val="100"/>
                <w:position w:val="0"/>
                <w:sz w:val="18"/>
                <w:szCs w:val="18"/>
              </w:rPr>
              <w:t>8</w:t>
            </w:r>
            <w:r>
              <w:rPr>
                <w:rFonts w:ascii="SimSun" w:eastAsia="SimSun" w:hAnsi="SimSun" w:cs="SimSun"/>
                <w:color w:val="000000"/>
                <w:spacing w:val="0"/>
                <w:w w:val="100"/>
                <w:position w:val="0"/>
                <w:sz w:val="18"/>
                <w:szCs w:val="18"/>
              </w:rPr>
              <w:t>月</w:t>
            </w:r>
            <w:r>
              <w:rPr>
                <w:color w:val="000000"/>
                <w:spacing w:val="0"/>
                <w:w w:val="100"/>
                <w:position w:val="0"/>
                <w:sz w:val="18"/>
                <w:szCs w:val="18"/>
              </w:rPr>
              <w:t>30</w:t>
            </w:r>
            <w:r>
              <w:rPr>
                <w:rFonts w:ascii="SimSun" w:eastAsia="SimSun" w:hAnsi="SimSun" w:cs="SimSun"/>
                <w:color w:val="000000"/>
                <w:spacing w:val="0"/>
                <w:w w:val="100"/>
                <w:position w:val="0"/>
                <w:sz w:val="18"/>
                <w:szCs w:val="18"/>
              </w:rPr>
              <w:t xml:space="preserve">日起无锡苏宁退租部 分租赁区域，退租后的租赁面积为 </w:t>
            </w:r>
            <w:r>
              <w:rPr>
                <w:color w:val="000000"/>
                <w:spacing w:val="0"/>
                <w:w w:val="100"/>
                <w:position w:val="0"/>
                <w:sz w:val="18"/>
                <w:szCs w:val="18"/>
              </w:rPr>
              <w:t xml:space="preserve">18,704.93 </w:t>
            </w:r>
            <w:r>
              <w:rPr>
                <w:rFonts w:ascii="SimSun" w:eastAsia="SimSun" w:hAnsi="SimSun" w:cs="SimSun"/>
                <w:color w:val="000000"/>
                <w:spacing w:val="0"/>
                <w:w w:val="100"/>
                <w:position w:val="0"/>
                <w:sz w:val="18"/>
                <w:szCs w:val="18"/>
              </w:rPr>
              <w:t>平方米。</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 xml:space="preserve">租赁费用按照 </w:t>
            </w:r>
            <w:r>
              <w:rPr>
                <w:color w:val="000000"/>
                <w:spacing w:val="0"/>
                <w:w w:val="100"/>
                <w:position w:val="0"/>
                <w:sz w:val="18"/>
                <w:szCs w:val="18"/>
              </w:rPr>
              <w:t>3.50</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平米</w:t>
            </w:r>
            <w:r>
              <w:rPr>
                <w:color w:val="000000"/>
                <w:spacing w:val="0"/>
                <w:w w:val="100"/>
                <w:position w:val="0"/>
                <w:sz w:val="18"/>
                <w:szCs w:val="18"/>
              </w:rPr>
              <w:t>/</w:t>
            </w:r>
            <w:r>
              <w:rPr>
                <w:rFonts w:ascii="SimSun" w:eastAsia="SimSun" w:hAnsi="SimSun" w:cs="SimSun"/>
                <w:color w:val="000000"/>
                <w:spacing w:val="0"/>
                <w:w w:val="100"/>
                <w:position w:val="0"/>
                <w:sz w:val="18"/>
                <w:szCs w:val="18"/>
              </w:rPr>
              <w:t>天计 算，自第三年起 每三年递增</w:t>
            </w:r>
            <w:r>
              <w:rPr>
                <w:color w:val="000000"/>
                <w:spacing w:val="0"/>
                <w:w w:val="100"/>
                <w:position w:val="0"/>
                <w:sz w:val="18"/>
                <w:szCs w:val="18"/>
              </w:rPr>
              <w:t>3%</w:t>
            </w:r>
            <w:r>
              <w:rPr>
                <w:rFonts w:ascii="SimSun" w:eastAsia="SimSun" w:hAnsi="SimSun" w:cs="SimSun"/>
                <w:color w:val="000000"/>
                <w:spacing w:val="0"/>
                <w:w w:val="100"/>
                <w:position w:val="0"/>
                <w:sz w:val="18"/>
                <w:szCs w:val="18"/>
              </w:rPr>
              <w:t>； 物业服务费</w:t>
            </w:r>
            <w:r>
              <w:rPr>
                <w:color w:val="000000"/>
                <w:spacing w:val="0"/>
                <w:w w:val="100"/>
                <w:position w:val="0"/>
                <w:sz w:val="18"/>
                <w:szCs w:val="18"/>
              </w:rPr>
              <w:t>15</w:t>
            </w:r>
            <w:r>
              <w:rPr>
                <w:rFonts w:ascii="SimSun" w:eastAsia="SimSun" w:hAnsi="SimSun" w:cs="SimSun"/>
                <w:color w:val="000000"/>
                <w:spacing w:val="0"/>
                <w:w w:val="100"/>
                <w:position w:val="0"/>
                <w:sz w:val="18"/>
                <w:szCs w:val="18"/>
              </w:rPr>
              <w:t xml:space="preserve">元 </w:t>
            </w:r>
            <w:r>
              <w:rPr>
                <w:color w:val="000000"/>
                <w:spacing w:val="0"/>
                <w:w w:val="100"/>
                <w:position w:val="0"/>
                <w:sz w:val="18"/>
                <w:szCs w:val="18"/>
              </w:rPr>
              <w:t>/</w:t>
            </w:r>
            <w:r>
              <w:rPr>
                <w:rFonts w:ascii="SimSun" w:eastAsia="SimSun" w:hAnsi="SimSun" w:cs="SimSun"/>
                <w:color w:val="000000"/>
                <w:spacing w:val="0"/>
                <w:w w:val="100"/>
                <w:position w:val="0"/>
                <w:sz w:val="18"/>
                <w:szCs w:val="18"/>
              </w:rPr>
              <w:t>月</w:t>
            </w:r>
            <w:r>
              <w:rPr>
                <w:color w:val="000000"/>
                <w:spacing w:val="0"/>
                <w:w w:val="100"/>
                <w:position w:val="0"/>
                <w:sz w:val="18"/>
                <w:szCs w:val="18"/>
              </w:rPr>
              <w:t>/</w:t>
            </w:r>
            <w:r>
              <w:rPr>
                <w:rFonts w:ascii="SimSun" w:eastAsia="SimSun" w:hAnsi="SimSun" w:cs="SimSun"/>
                <w:color w:val="000000"/>
                <w:spacing w:val="0"/>
                <w:w w:val="100"/>
                <w:position w:val="0"/>
                <w:sz w:val="18"/>
                <w:szCs w:val="18"/>
              </w:rPr>
              <w:t>平米。</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1,043.03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45,831.1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按季</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度支</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付</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60" w:lineRule="auto"/>
              <w:ind w:left="0" w:right="0" w:firstLine="0"/>
              <w:jc w:val="left"/>
              <w:rPr>
                <w:sz w:val="18"/>
                <w:szCs w:val="18"/>
              </w:rPr>
            </w:pPr>
            <w:r>
              <w:rPr>
                <w:color w:val="000000"/>
                <w:spacing w:val="0"/>
                <w:w w:val="100"/>
                <w:position w:val="0"/>
                <w:sz w:val="18"/>
                <w:szCs w:val="18"/>
              </w:rPr>
              <w:t>20</w:t>
            </w:r>
          </w:p>
          <w:p>
            <w:pPr>
              <w:pStyle w:val="Style29"/>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 xml:space="preserve">13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9 </w:t>
            </w:r>
            <w:r>
              <w:rPr>
                <w:rFonts w:ascii="SimSun" w:eastAsia="SimSun" w:hAnsi="SimSun" w:cs="SimSun"/>
                <w:color w:val="000000"/>
                <w:spacing w:val="0"/>
                <w:w w:val="100"/>
                <w:position w:val="0"/>
                <w:sz w:val="18"/>
                <w:szCs w:val="18"/>
              </w:rPr>
              <w:t>月</w:t>
            </w:r>
          </w:p>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 xml:space="preserve">28 </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巨潮 资讯 网</w:t>
            </w:r>
          </w:p>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2013-0 43</w:t>
            </w:r>
            <w:r>
              <w:rPr>
                <w:rFonts w:ascii="SimSun" w:eastAsia="SimSun" w:hAnsi="SimSun" w:cs="SimSun"/>
                <w:color w:val="000000"/>
                <w:spacing w:val="0"/>
                <w:w w:val="100"/>
                <w:position w:val="0"/>
                <w:sz w:val="18"/>
                <w:szCs w:val="18"/>
              </w:rPr>
              <w:t>《关 于向 关联 方租 赁物 业的 关联 交易 公告》</w:t>
            </w:r>
          </w:p>
        </w:tc>
      </w:tr>
    </w:tbl>
    <w:p>
      <w:pPr>
        <w:spacing w:lineRule="exact" w:line="1"/>
        <w:rPr>
          <w:sz w:val="2"/>
          <w:szCs w:val="2"/>
        </w:rPr>
      </w:pPr>
      <w:r>
        <w:br w:type="page"/>
      </w:r>
    </w:p>
    <w:tbl>
      <w:tblPr>
        <w:tblOverlap w:val="never"/>
        <w:jc w:val="center"/>
        <w:tblLayout w:type="fixed"/>
      </w:tblPr>
      <w:tblGrid>
        <w:gridCol w:w="965"/>
        <w:gridCol w:w="994"/>
        <w:gridCol w:w="850"/>
        <w:gridCol w:w="3120"/>
        <w:gridCol w:w="1142"/>
        <w:gridCol w:w="1555"/>
        <w:gridCol w:w="845"/>
        <w:gridCol w:w="706"/>
        <w:gridCol w:w="922"/>
        <w:gridCol w:w="629"/>
        <w:gridCol w:w="576"/>
        <w:gridCol w:w="734"/>
        <w:gridCol w:w="398"/>
        <w:gridCol w:w="754"/>
      </w:tblGrid>
      <w:tr>
        <w:trPr>
          <w:trHeight w:val="21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 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关联交易定 价原则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rPr>
                <w:sz w:val="18"/>
                <w:szCs w:val="18"/>
              </w:rPr>
            </w:pPr>
            <w:r>
              <w:rPr>
                <w:rFonts w:ascii="SimSun" w:eastAsia="SimSun" w:hAnsi="SimSun" w:cs="SimSun"/>
                <w:color w:val="000000"/>
                <w:spacing w:val="0"/>
                <w:w w:val="100"/>
                <w:position w:val="0"/>
                <w:sz w:val="18"/>
                <w:szCs w:val="18"/>
              </w:rPr>
              <w:t>占同 类交 易金 额的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获批的</w:t>
            </w:r>
          </w:p>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交易额</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是否 超过 获批 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披 露 日 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披露</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索引</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宿迁苏宁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苏宁置业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租赁其位于宿迁市幸福路宿迁苏宁广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首个租赁年度起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480.47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10,733.6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置业有限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集团子公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场</w:t>
            </w:r>
            <w:r>
              <w:rPr>
                <w:color w:val="000000"/>
                <w:spacing w:val="0"/>
                <w:w w:val="100"/>
                <w:position w:val="0"/>
                <w:sz w:val="18"/>
                <w:szCs w:val="18"/>
              </w:rPr>
              <w:t>1-4</w:t>
            </w:r>
            <w:r>
              <w:rPr>
                <w:rFonts w:ascii="SimSun" w:eastAsia="SimSun" w:hAnsi="SimSun" w:cs="SimSun"/>
                <w:color w:val="000000"/>
                <w:spacing w:val="0"/>
                <w:w w:val="100"/>
                <w:position w:val="0"/>
                <w:sz w:val="18"/>
                <w:szCs w:val="18"/>
              </w:rPr>
              <w:t>层用于店面经营，租赁面积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前两年每平米租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度支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公司苏宁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司的分支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10,020</w:t>
            </w:r>
            <w:r>
              <w:rPr>
                <w:rFonts w:ascii="SimSun" w:eastAsia="SimSun" w:hAnsi="SimSun" w:cs="SimSun"/>
                <w:color w:val="000000"/>
                <w:spacing w:val="0"/>
                <w:w w:val="100"/>
                <w:position w:val="0"/>
                <w:sz w:val="18"/>
                <w:szCs w:val="18"/>
              </w:rPr>
              <w:t>平方米，租赁期限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金单价为</w:t>
            </w:r>
            <w:r>
              <w:rPr>
                <w:color w:val="000000"/>
                <w:spacing w:val="0"/>
                <w:w w:val="100"/>
                <w:position w:val="0"/>
                <w:sz w:val="18"/>
                <w:szCs w:val="18"/>
              </w:rPr>
              <w:t>1.80</w:t>
            </w:r>
            <w:r>
              <w:rPr>
                <w:rFonts w:ascii="SimSun" w:eastAsia="SimSun" w:hAnsi="SimSun" w:cs="SimSun"/>
                <w:color w:val="000000"/>
                <w:spacing w:val="0"/>
                <w:w w:val="100"/>
                <w:position w:val="0"/>
                <w:sz w:val="18"/>
                <w:szCs w:val="18"/>
              </w:rPr>
              <w:t>元</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广场分公</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机构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2013/12/28-2028/12/27</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天，以后每两年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2014-0</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宿迁苏宁与宿迁苏宁置业签订《补充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递增</w:t>
            </w:r>
            <w:r>
              <w:rPr>
                <w:color w:val="000000"/>
                <w:spacing w:val="0"/>
                <w:w w:val="100"/>
                <w:position w:val="0"/>
                <w:sz w:val="18"/>
                <w:szCs w:val="18"/>
              </w:rPr>
              <w:t>3%</w:t>
            </w:r>
            <w:r>
              <w:rPr>
                <w:rFonts w:ascii="SimSun" w:eastAsia="SimSun" w:hAnsi="SimSun" w:cs="SimSu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月</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w:t>
            </w:r>
            <w:r>
              <w:rPr>
                <w:rFonts w:ascii="SimSun" w:eastAsia="SimSun" w:hAnsi="SimSun" w:cs="SimSun"/>
                <w:color w:val="000000"/>
                <w:spacing w:val="0"/>
                <w:w w:val="100"/>
                <w:position w:val="0"/>
                <w:sz w:val="18"/>
                <w:szCs w:val="18"/>
              </w:rPr>
              <w:t>《关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协议》，因经营需要公司调整门店部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于向</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分租赁面积，调整后租赁面积为</w:t>
            </w:r>
            <w:r>
              <w:rPr>
                <w:color w:val="000000"/>
                <w:spacing w:val="0"/>
                <w:w w:val="100"/>
                <w:position w:val="0"/>
                <w:sz w:val="18"/>
                <w:szCs w:val="18"/>
              </w:rPr>
              <w:t>6,826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平方米，计租日期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方租</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2016/12/28-2028/12/27</w:t>
            </w:r>
            <w:r>
              <w:rPr>
                <w:rFonts w:ascii="SimSun" w:eastAsia="SimSun" w:hAnsi="SimSun" w:cs="SimSun"/>
                <w:color w:val="000000"/>
                <w:spacing w:val="0"/>
                <w:w w:val="100"/>
                <w:position w:val="0"/>
                <w:sz w:val="18"/>
                <w:szCs w:val="18"/>
              </w:rPr>
              <w:t>,调整后的租金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赁物</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总额为</w:t>
            </w:r>
            <w:r>
              <w:rPr>
                <w:color w:val="000000"/>
                <w:spacing w:val="0"/>
                <w:w w:val="100"/>
                <w:position w:val="0"/>
                <w:sz w:val="18"/>
                <w:szCs w:val="18"/>
              </w:rPr>
              <w:t>6198.66</w:t>
            </w:r>
            <w:r>
              <w:rPr>
                <w:rFonts w:ascii="SimSun" w:eastAsia="SimSun" w:hAnsi="SimSun" w:cs="SimSun"/>
                <w:color w:val="000000"/>
                <w:spacing w:val="0"/>
                <w:w w:val="100"/>
                <w:position w:val="0"/>
                <w:sz w:val="18"/>
                <w:szCs w:val="18"/>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公告》</w:t>
            </w:r>
          </w:p>
        </w:tc>
      </w:tr>
    </w:tbl>
    <w:p>
      <w:pPr>
        <w:spacing w:lineRule="exact" w:line="1"/>
        <w:rPr>
          <w:sz w:val="2"/>
          <w:szCs w:val="2"/>
        </w:rPr>
      </w:pPr>
      <w:r>
        <w:br w:type="page"/>
      </w:r>
    </w:p>
    <w:tbl>
      <w:tblPr>
        <w:tblOverlap w:val="never"/>
        <w:jc w:val="center"/>
        <w:tblLayout w:type="fixed"/>
      </w:tblPr>
      <w:tblGrid>
        <w:gridCol w:w="965"/>
        <w:gridCol w:w="994"/>
        <w:gridCol w:w="850"/>
        <w:gridCol w:w="3120"/>
        <w:gridCol w:w="1142"/>
        <w:gridCol w:w="1555"/>
        <w:gridCol w:w="845"/>
        <w:gridCol w:w="706"/>
        <w:gridCol w:w="922"/>
        <w:gridCol w:w="629"/>
        <w:gridCol w:w="576"/>
        <w:gridCol w:w="734"/>
        <w:gridCol w:w="398"/>
        <w:gridCol w:w="754"/>
      </w:tblGrid>
      <w:tr>
        <w:trPr>
          <w:trHeight w:val="21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 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关联交易定 价原则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rPr>
                <w:sz w:val="18"/>
                <w:szCs w:val="18"/>
              </w:rPr>
            </w:pPr>
            <w:r>
              <w:rPr>
                <w:rFonts w:ascii="SimSun" w:eastAsia="SimSun" w:hAnsi="SimSun" w:cs="SimSun"/>
                <w:color w:val="000000"/>
                <w:spacing w:val="0"/>
                <w:w w:val="100"/>
                <w:position w:val="0"/>
                <w:sz w:val="18"/>
                <w:szCs w:val="18"/>
              </w:rPr>
              <w:t>占同 类交 易金 额的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获批的</w:t>
            </w:r>
          </w:p>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交易额</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是否 超过 获批 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180" w:right="0" w:firstLine="0"/>
              <w:jc w:val="both"/>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披 露 日 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披露</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索引</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淮安苏宁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苏宁置业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租赁其位于淮安市淮海东路</w:t>
            </w:r>
            <w:r>
              <w:rPr>
                <w:color w:val="000000"/>
                <w:spacing w:val="0"/>
                <w:w w:val="100"/>
                <w:position w:val="0"/>
                <w:sz w:val="18"/>
                <w:szCs w:val="18"/>
              </w:rPr>
              <w:t>158</w:t>
            </w:r>
            <w:r>
              <w:rPr>
                <w:rFonts w:ascii="SimSun" w:eastAsia="SimSun" w:hAnsi="SimSun" w:cs="SimSun"/>
                <w:color w:val="000000"/>
                <w:spacing w:val="0"/>
                <w:w w:val="100"/>
                <w:position w:val="0"/>
                <w:sz w:val="18"/>
                <w:szCs w:val="18"/>
              </w:rPr>
              <w:t>号苏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自首个租赁年度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622.88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9,944.40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置业有限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集团之子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宁生活广场</w:t>
            </w:r>
            <w:r>
              <w:rPr>
                <w:color w:val="000000"/>
                <w:spacing w:val="0"/>
                <w:w w:val="100"/>
                <w:position w:val="0"/>
                <w:sz w:val="18"/>
                <w:szCs w:val="18"/>
              </w:rPr>
              <w:t>1-5</w:t>
            </w:r>
            <w:r>
              <w:rPr>
                <w:rFonts w:ascii="SimSun" w:eastAsia="SimSun" w:hAnsi="SimSun" w:cs="SimSun"/>
                <w:color w:val="000000"/>
                <w:spacing w:val="0"/>
                <w:w w:val="100"/>
                <w:position w:val="0"/>
                <w:sz w:val="18"/>
                <w:szCs w:val="18"/>
              </w:rPr>
              <w:t>层用于店面经营，租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起前两年每平米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度支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资讯</w:t>
            </w:r>
          </w:p>
        </w:tc>
      </w:tr>
      <w:tr>
        <w:trPr>
          <w:trHeight w:val="31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赁面积</w:t>
            </w:r>
            <w:r>
              <w:rPr>
                <w:color w:val="000000"/>
                <w:spacing w:val="0"/>
                <w:w w:val="100"/>
                <w:position w:val="0"/>
                <w:sz w:val="18"/>
                <w:szCs w:val="18"/>
              </w:rPr>
              <w:t>12,391.9</w:t>
            </w:r>
            <w:r>
              <w:rPr>
                <w:rFonts w:ascii="SimSun" w:eastAsia="SimSun" w:hAnsi="SimSun" w:cs="SimSun"/>
                <w:color w:val="000000"/>
                <w:spacing w:val="0"/>
                <w:w w:val="100"/>
                <w:position w:val="0"/>
                <w:sz w:val="18"/>
                <w:szCs w:val="18"/>
              </w:rPr>
              <w:t>平方米，租赁期限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租金单价为</w:t>
            </w:r>
            <w:r>
              <w:rPr>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2014/4/26-2024/4/25</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2018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7 </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元</w:t>
            </w:r>
            <w:r>
              <w:rPr>
                <w:color w:val="000000"/>
                <w:spacing w:val="0"/>
                <w:w w:val="100"/>
                <w:position w:val="0"/>
                <w:sz w:val="18"/>
                <w:szCs w:val="18"/>
              </w:rPr>
              <w:t>/</w:t>
            </w:r>
            <w:r>
              <w:rPr>
                <w:rFonts w:ascii="SimSun" w:eastAsia="SimSun" w:hAnsi="SimSun" w:cs="SimSun"/>
                <w:color w:val="000000"/>
                <w:spacing w:val="0"/>
                <w:w w:val="100"/>
                <w:position w:val="0"/>
                <w:sz w:val="18"/>
                <w:szCs w:val="18"/>
              </w:rPr>
              <w:t>天，从第三年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2014-0</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公司子公司与淮安苏宁置业签订《补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起每年递增</w:t>
            </w:r>
            <w:r>
              <w:rPr>
                <w:color w:val="000000"/>
                <w:spacing w:val="0"/>
                <w:w w:val="100"/>
                <w:position w:val="0"/>
                <w:sz w:val="18"/>
                <w:szCs w:val="18"/>
              </w:rPr>
              <w:t>3%</w:t>
            </w:r>
            <w:r>
              <w:rPr>
                <w:rFonts w:ascii="SimSun" w:eastAsia="SimSun" w:hAnsi="SimSun" w:cs="SimSu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月</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w:t>
            </w:r>
            <w:r>
              <w:rPr>
                <w:rFonts w:ascii="SimSun" w:eastAsia="SimSun" w:hAnsi="SimSun" w:cs="SimSun"/>
                <w:color w:val="000000"/>
                <w:spacing w:val="0"/>
                <w:w w:val="100"/>
                <w:position w:val="0"/>
                <w:sz w:val="18"/>
                <w:szCs w:val="18"/>
              </w:rPr>
              <w:t>《关</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充协议》，自</w:t>
            </w:r>
            <w:r>
              <w:rPr>
                <w:color w:val="000000"/>
                <w:spacing w:val="0"/>
                <w:w w:val="100"/>
                <w:position w:val="0"/>
                <w:sz w:val="18"/>
                <w:szCs w:val="18"/>
              </w:rPr>
              <w:t>2018</w:t>
            </w:r>
            <w:r>
              <w:rPr>
                <w:rFonts w:ascii="SimSun" w:eastAsia="SimSun" w:hAnsi="SimSun" w:cs="SimSun"/>
                <w:color w:val="000000"/>
                <w:spacing w:val="0"/>
                <w:w w:val="100"/>
                <w:position w:val="0"/>
                <w:sz w:val="18"/>
                <w:szCs w:val="18"/>
              </w:rPr>
              <w:t>年</w:t>
            </w:r>
            <w:r>
              <w:rPr>
                <w:color w:val="000000"/>
                <w:spacing w:val="0"/>
                <w:w w:val="100"/>
                <w:position w:val="0"/>
                <w:sz w:val="18"/>
                <w:szCs w:val="18"/>
              </w:rPr>
              <w:t>7</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日起公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2019/7/26-2020/7/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于向</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司退租部分租赁区域，调整后租赁面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r>
              <w:rPr>
                <w:rFonts w:ascii="SimSun" w:eastAsia="SimSun" w:hAnsi="SimSun" w:cs="SimSun"/>
                <w:color w:val="000000"/>
                <w:spacing w:val="0"/>
                <w:w w:val="100"/>
                <w:position w:val="0"/>
                <w:sz w:val="18"/>
                <w:szCs w:val="18"/>
              </w:rPr>
              <w:t>租赁费用降低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积为</w:t>
            </w:r>
            <w:r>
              <w:rPr>
                <w:color w:val="000000"/>
                <w:spacing w:val="0"/>
                <w:w w:val="100"/>
                <w:position w:val="0"/>
                <w:sz w:val="18"/>
                <w:szCs w:val="18"/>
              </w:rPr>
              <w:t>8,152.20</w:t>
            </w:r>
            <w:r>
              <w:rPr>
                <w:rFonts w:ascii="SimSun" w:eastAsia="SimSun" w:hAnsi="SimSun" w:cs="SimSun"/>
                <w:color w:val="000000"/>
                <w:spacing w:val="0"/>
                <w:w w:val="100"/>
                <w:position w:val="0"/>
                <w:sz w:val="18"/>
                <w:szCs w:val="18"/>
              </w:rPr>
              <w:t>平方米。</w:t>
            </w:r>
            <w:r>
              <w:rPr>
                <w:color w:val="000000"/>
                <w:spacing w:val="0"/>
                <w:w w:val="100"/>
                <w:position w:val="0"/>
                <w:sz w:val="18"/>
                <w:szCs w:val="18"/>
              </w:rPr>
              <w:t>2019</w:t>
            </w:r>
            <w:r>
              <w:rPr>
                <w:rFonts w:ascii="SimSun" w:eastAsia="SimSun" w:hAnsi="SimSun" w:cs="SimSun"/>
                <w:color w:val="000000"/>
                <w:spacing w:val="0"/>
                <w:w w:val="100"/>
                <w:position w:val="0"/>
                <w:sz w:val="18"/>
                <w:szCs w:val="18"/>
              </w:rPr>
              <w:t>年</w:t>
            </w:r>
            <w:r>
              <w:rPr>
                <w:color w:val="000000"/>
                <w:spacing w:val="0"/>
                <w:w w:val="100"/>
                <w:position w:val="0"/>
                <w:sz w:val="18"/>
                <w:szCs w:val="18"/>
              </w:rPr>
              <w:t>10</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为</w:t>
            </w:r>
            <w:r>
              <w:rPr>
                <w:color w:val="000000"/>
                <w:spacing w:val="0"/>
                <w:w w:val="100"/>
                <w:position w:val="0"/>
                <w:sz w:val="18"/>
                <w:szCs w:val="18"/>
              </w:rPr>
              <w:t>561.33</w:t>
            </w:r>
            <w:r>
              <w:rPr>
                <w:rFonts w:ascii="SimSun" w:eastAsia="SimSun" w:hAnsi="SimSun" w:cs="SimSun"/>
                <w:color w:val="000000"/>
                <w:spacing w:val="0"/>
                <w:w w:val="100"/>
                <w:position w:val="0"/>
                <w:sz w:val="18"/>
                <w:szCs w:val="18"/>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方租</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公司子公司与淮安苏宁置业签订《补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赁物</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充协议》，</w:t>
            </w:r>
            <w:r>
              <w:rPr>
                <w:color w:val="000000"/>
                <w:spacing w:val="0"/>
                <w:w w:val="100"/>
                <w:position w:val="0"/>
                <w:sz w:val="18"/>
                <w:szCs w:val="18"/>
              </w:rPr>
              <w:t xml:space="preserve">2019/7/26-2020/7/25 </w:t>
            </w:r>
            <w:r>
              <w:rPr>
                <w:rFonts w:ascii="SimSun" w:eastAsia="SimSun" w:hAnsi="SimSun" w:cs="SimSun"/>
                <w:color w:val="000000"/>
                <w:spacing w:val="0"/>
                <w:w w:val="100"/>
                <w:position w:val="0"/>
                <w:sz w:val="18"/>
                <w:szCs w:val="18"/>
              </w:rPr>
              <w:t>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业的</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费用降低为</w:t>
            </w:r>
            <w:r>
              <w:rPr>
                <w:color w:val="000000"/>
                <w:spacing w:val="0"/>
                <w:w w:val="100"/>
                <w:position w:val="0"/>
                <w:sz w:val="18"/>
                <w:szCs w:val="18"/>
              </w:rPr>
              <w:t>561.33</w:t>
            </w:r>
            <w:r>
              <w:rPr>
                <w:rFonts w:ascii="SimSun" w:eastAsia="SimSun" w:hAnsi="SimSun" w:cs="SimSun"/>
                <w:color w:val="000000"/>
                <w:spacing w:val="0"/>
                <w:w w:val="100"/>
                <w:position w:val="0"/>
                <w:sz w:val="18"/>
                <w:szCs w:val="18"/>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公告》</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苏宁电器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苏宁电器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r>
              <w:rPr>
                <w:color w:val="000000"/>
                <w:spacing w:val="0"/>
                <w:w w:val="100"/>
                <w:position w:val="0"/>
                <w:sz w:val="18"/>
                <w:szCs w:val="18"/>
              </w:rPr>
              <w:t>14</w:t>
            </w:r>
            <w:r>
              <w:rPr>
                <w:rFonts w:ascii="SimSun" w:eastAsia="SimSun" w:hAnsi="SimSun" w:cs="SimSun"/>
                <w:color w:val="000000"/>
                <w:spacing w:val="0"/>
                <w:w w:val="100"/>
                <w:position w:val="0"/>
                <w:sz w:val="18"/>
                <w:szCs w:val="18"/>
              </w:rPr>
              <w:t>家销售子公司自</w:t>
            </w:r>
            <w:r>
              <w:rPr>
                <w:color w:val="000000"/>
                <w:spacing w:val="0"/>
                <w:w w:val="100"/>
                <w:position w:val="0"/>
                <w:sz w:val="18"/>
                <w:szCs w:val="18"/>
              </w:rPr>
              <w:t>2018</w:t>
            </w:r>
            <w:r>
              <w:rPr>
                <w:rFonts w:ascii="SimSun" w:eastAsia="SimSun" w:hAnsi="SimSun" w:cs="SimSun"/>
                <w:color w:val="000000"/>
                <w:spacing w:val="0"/>
                <w:w w:val="100"/>
                <w:position w:val="0"/>
                <w:sz w:val="18"/>
                <w:szCs w:val="18"/>
              </w:rPr>
              <w:t>年</w:t>
            </w:r>
            <w:r>
              <w:rPr>
                <w:color w:val="000000"/>
                <w:spacing w:val="0"/>
                <w:w w:val="100"/>
                <w:position w:val="0"/>
                <w:sz w:val="18"/>
                <w:szCs w:val="18"/>
              </w:rPr>
              <w:t>6</w:t>
            </w: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首年租赁费用按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25,955.9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集团下属</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集团之子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w:t>
            </w:r>
            <w:r>
              <w:rPr>
                <w:rFonts w:ascii="SimSun" w:eastAsia="SimSun" w:hAnsi="SimSun" w:cs="SimSun"/>
                <w:color w:val="000000"/>
                <w:spacing w:val="0"/>
                <w:w w:val="100"/>
                <w:position w:val="0"/>
                <w:sz w:val="18"/>
                <w:szCs w:val="18"/>
              </w:rPr>
              <w:t>日起按照租赁合同、物业服务合同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照市场化租金水</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度支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w:t>
            </w:r>
            <w:r>
              <w:rPr>
                <w:color w:val="000000"/>
                <w:spacing w:val="0"/>
                <w:w w:val="100"/>
                <w:position w:val="0"/>
                <w:sz w:val="18"/>
                <w:szCs w:val="18"/>
              </w:rPr>
              <w:t>14</w:t>
            </w:r>
            <w:r>
              <w:rPr>
                <w:rFonts w:ascii="SimSun" w:eastAsia="SimSun" w:hAnsi="SimSun" w:cs="SimSun"/>
                <w:color w:val="000000"/>
                <w:spacing w:val="0"/>
                <w:w w:val="100"/>
                <w:position w:val="0"/>
                <w:sz w:val="18"/>
                <w:szCs w:val="18"/>
              </w:rPr>
              <w:t>家</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约定，剩余租赁期限内，向苏宁电器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平确定，第二年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w:t>
            </w:r>
            <w:r>
              <w:rPr>
                <w:color w:val="000000"/>
                <w:spacing w:val="0"/>
                <w:w w:val="100"/>
                <w:position w:val="0"/>
                <w:sz w:val="18"/>
                <w:szCs w:val="18"/>
              </w:rPr>
              <w:t>14</w:t>
            </w:r>
            <w:r>
              <w:rPr>
                <w:rFonts w:ascii="SimSun" w:eastAsia="SimSun" w:hAnsi="SimSun" w:cs="SimSun"/>
                <w:color w:val="000000"/>
                <w:spacing w:val="0"/>
                <w:w w:val="100"/>
                <w:position w:val="0"/>
                <w:sz w:val="18"/>
                <w:szCs w:val="18"/>
              </w:rPr>
              <w:t>家子公司合计支付租赁费预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至第六年，每个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2018-0</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计为</w:t>
            </w:r>
            <w:r>
              <w:rPr>
                <w:color w:val="000000"/>
                <w:spacing w:val="0"/>
                <w:w w:val="100"/>
                <w:position w:val="0"/>
                <w:sz w:val="18"/>
                <w:szCs w:val="18"/>
              </w:rPr>
              <w:t>166,579.00</w:t>
            </w:r>
            <w:r>
              <w:rPr>
                <w:rFonts w:ascii="SimSun" w:eastAsia="SimSun" w:hAnsi="SimSun" w:cs="SimSun"/>
                <w:color w:val="000000"/>
                <w:spacing w:val="0"/>
                <w:w w:val="100"/>
                <w:position w:val="0"/>
                <w:sz w:val="18"/>
                <w:szCs w:val="18"/>
              </w:rPr>
              <w:t>万元、物业服务费用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租赁年度的租金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w:t>
            </w:r>
            <w:r>
              <w:rPr>
                <w:rFonts w:ascii="SimSun" w:eastAsia="SimSun" w:hAnsi="SimSun" w:cs="SimSun"/>
                <w:color w:val="000000"/>
                <w:spacing w:val="0"/>
                <w:w w:val="100"/>
                <w:position w:val="0"/>
                <w:sz w:val="18"/>
                <w:szCs w:val="18"/>
              </w:rPr>
              <w:t>《关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预计为</w:t>
            </w:r>
            <w:r>
              <w:rPr>
                <w:color w:val="000000"/>
                <w:spacing w:val="0"/>
                <w:w w:val="100"/>
                <w:position w:val="0"/>
                <w:sz w:val="18"/>
                <w:szCs w:val="18"/>
              </w:rPr>
              <w:t>43,321.54</w:t>
            </w:r>
            <w:r>
              <w:rPr>
                <w:rFonts w:ascii="SimSun" w:eastAsia="SimSun" w:hAnsi="SimSun" w:cs="SimSun"/>
                <w:color w:val="000000"/>
                <w:spacing w:val="0"/>
                <w:w w:val="100"/>
                <w:position w:val="0"/>
                <w:sz w:val="18"/>
                <w:szCs w:val="18"/>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费用在前一年的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于向</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基础上增长</w:t>
            </w:r>
            <w:r>
              <w:rPr>
                <w:color w:val="000000"/>
                <w:spacing w:val="0"/>
                <w:w w:val="100"/>
                <w:position w:val="0"/>
                <w:sz w:val="18"/>
                <w:szCs w:val="18"/>
              </w:rPr>
              <w:t>3%</w:t>
            </w:r>
            <w:r>
              <w:rPr>
                <w:rFonts w:ascii="SimSun" w:eastAsia="SimSun" w:hAnsi="SimSun" w:cs="SimSu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从第七年开始，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方租</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按照届时的市场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赁物</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化租金水平重新</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业的</w:t>
            </w:r>
          </w:p>
        </w:tc>
      </w:tr>
    </w:tbl>
    <w:p>
      <w:pPr>
        <w:spacing w:lineRule="exact" w:line="1"/>
        <w:rPr>
          <w:sz w:val="2"/>
          <w:szCs w:val="2"/>
        </w:rPr>
      </w:pPr>
      <w:r>
        <w:br w:type="page"/>
      </w:r>
    </w:p>
    <w:tbl>
      <w:tblPr>
        <w:tblOverlap w:val="never"/>
        <w:jc w:val="center"/>
        <w:tblLayout w:type="fixed"/>
      </w:tblPr>
      <w:tblGrid>
        <w:gridCol w:w="965"/>
        <w:gridCol w:w="994"/>
        <w:gridCol w:w="850"/>
        <w:gridCol w:w="3120"/>
        <w:gridCol w:w="1142"/>
        <w:gridCol w:w="1555"/>
        <w:gridCol w:w="845"/>
        <w:gridCol w:w="706"/>
        <w:gridCol w:w="922"/>
        <w:gridCol w:w="629"/>
        <w:gridCol w:w="576"/>
        <w:gridCol w:w="734"/>
        <w:gridCol w:w="398"/>
        <w:gridCol w:w="754"/>
      </w:tblGrid>
      <w:tr>
        <w:trPr>
          <w:trHeight w:val="21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 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关联交易定 价原则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160" w:right="0" w:firstLine="0"/>
              <w:jc w:val="left"/>
              <w:rPr>
                <w:sz w:val="18"/>
                <w:szCs w:val="18"/>
              </w:rPr>
            </w:pPr>
            <w:r>
              <w:rPr>
                <w:rFonts w:ascii="SimSun" w:eastAsia="SimSun" w:hAnsi="SimSun" w:cs="SimSun"/>
                <w:color w:val="000000"/>
                <w:spacing w:val="0"/>
                <w:w w:val="100"/>
                <w:position w:val="0"/>
                <w:sz w:val="18"/>
                <w:szCs w:val="18"/>
              </w:rPr>
              <w:t>占同 类交 易金 额的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获批的</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交易额</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是否 超过 获批 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结算</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披 露 日 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披露</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索引</w:t>
            </w:r>
          </w:p>
        </w:tc>
      </w:tr>
      <w:tr>
        <w:trPr>
          <w:trHeight w:val="563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确认租金，但第 七年的租金水平 不低于首年。首 年物业服务费用 按照市场化物业 费水平确定，第 二年至第六年， 每个租赁年度的 物业服务费用在 前一年的基础上 增长</w:t>
            </w:r>
            <w:r>
              <w:rPr>
                <w:color w:val="000000"/>
                <w:spacing w:val="0"/>
                <w:w w:val="100"/>
                <w:position w:val="0"/>
                <w:sz w:val="18"/>
                <w:szCs w:val="18"/>
              </w:rPr>
              <w:t>3%</w:t>
            </w:r>
            <w:r>
              <w:rPr>
                <w:rFonts w:ascii="SimSun" w:eastAsia="SimSun" w:hAnsi="SimSun" w:cs="SimSun"/>
                <w:color w:val="000000"/>
                <w:spacing w:val="0"/>
                <w:w w:val="100"/>
                <w:position w:val="0"/>
                <w:sz w:val="18"/>
                <w:szCs w:val="18"/>
              </w:rPr>
              <w:t>。从第七 年开始，按照届 时的市场化物业 费水平重新确认 物业服务费，但 第七年的物业服 务费水平不低于 首年。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color w:val="000000"/>
                <w:spacing w:val="0"/>
                <w:w w:val="100"/>
                <w:position w:val="0"/>
                <w:sz w:val="18"/>
                <w:szCs w:val="18"/>
              </w:rPr>
              <w:t>公告》</w:t>
            </w:r>
          </w:p>
        </w:tc>
      </w:tr>
    </w:tbl>
    <w:p>
      <w:pPr>
        <w:spacing w:lineRule="exact" w:line="1"/>
        <w:rPr>
          <w:sz w:val="2"/>
          <w:szCs w:val="2"/>
        </w:rPr>
      </w:pPr>
      <w:r>
        <w:br w:type="page"/>
      </w:r>
    </w:p>
    <w:tbl>
      <w:tblPr>
        <w:tblOverlap w:val="never"/>
        <w:jc w:val="center"/>
        <w:tblLayout w:type="fixed"/>
      </w:tblPr>
      <w:tblGrid>
        <w:gridCol w:w="965"/>
        <w:gridCol w:w="994"/>
        <w:gridCol w:w="850"/>
        <w:gridCol w:w="3120"/>
        <w:gridCol w:w="1142"/>
        <w:gridCol w:w="1555"/>
        <w:gridCol w:w="845"/>
        <w:gridCol w:w="706"/>
        <w:gridCol w:w="922"/>
        <w:gridCol w:w="629"/>
        <w:gridCol w:w="576"/>
        <w:gridCol w:w="734"/>
        <w:gridCol w:w="398"/>
        <w:gridCol w:w="754"/>
      </w:tblGrid>
      <w:tr>
        <w:trPr>
          <w:trHeight w:val="115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w:t>
            </w:r>
          </w:p>
        </w:tc>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w:t>
            </w:r>
          </w:p>
        </w:tc>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关联交易定</w:t>
            </w:r>
          </w:p>
        </w:tc>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占同</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类交</w:t>
            </w:r>
          </w:p>
          <w:p>
            <w:pPr>
              <w:pStyle w:val="Style29"/>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易金</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获批的</w:t>
            </w:r>
          </w:p>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交易额</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是否</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超过</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tc>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可获</w:t>
            </w:r>
          </w:p>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得的</w:t>
            </w:r>
          </w:p>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同类</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披</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露</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披露</w:t>
            </w:r>
          </w:p>
        </w:tc>
      </w:tr>
      <w:tr>
        <w:trPr>
          <w:trHeight w:val="158" w:hRule="exact"/>
        </w:trPr>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方</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易类型</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价原则</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易金额</w:t>
            </w:r>
          </w:p>
        </w:tc>
        <w:tc>
          <w:tcPr>
            <w:vMerge w:val="restart"/>
            <w:tcBorders>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额的</w:t>
            </w:r>
          </w:p>
        </w:tc>
        <w:tc>
          <w:tcPr>
            <w:vMerge w:val="restart"/>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度</w:t>
            </w: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获批</w:t>
            </w: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日 期</w:t>
            </w:r>
          </w:p>
        </w:tc>
        <w:tc>
          <w:tcPr>
            <w:vMerge w:val="restart"/>
            <w:tcBorders>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索引</w:t>
            </w:r>
          </w:p>
        </w:tc>
      </w:tr>
      <w:tr>
        <w:trPr>
          <w:trHeight w:val="154" w:hRule="exact"/>
        </w:trPr>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交易</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120" w:after="0" w:line="240" w:lineRule="auto"/>
              <w:ind w:left="0" w:right="0" w:firstLine="160"/>
              <w:jc w:val="left"/>
              <w:rPr>
                <w:sz w:val="18"/>
                <w:szCs w:val="18"/>
              </w:rPr>
            </w:pPr>
            <w:r>
              <w:rPr>
                <w:rFonts w:ascii="SimSun" w:eastAsia="SimSun" w:hAnsi="SimSun" w:cs="SimSun"/>
                <w:color w:val="000000"/>
                <w:spacing w:val="0"/>
                <w:w w:val="100"/>
                <w:position w:val="0"/>
                <w:sz w:val="18"/>
                <w:szCs w:val="18"/>
              </w:rPr>
              <w:t>比例</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额度</w:t>
            </w:r>
          </w:p>
        </w:tc>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widowControl w:val="0"/>
              <w:rPr>
                <w:sz w:val="10"/>
                <w:szCs w:val="10"/>
              </w:rPr>
            </w:pPr>
          </w:p>
        </w:tc>
      </w:tr>
      <w:tr>
        <w:trPr>
          <w:trHeight w:val="52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市价</w:t>
            </w: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苏宁电器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苏宁电器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根据《租赁合同》及《租赁合同补充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租期期限自</w:t>
            </w:r>
            <w:r>
              <w:rPr>
                <w:color w:val="000000"/>
                <w:spacing w:val="0"/>
                <w:w w:val="100"/>
                <w:position w:val="0"/>
                <w:sz w:val="18"/>
                <w:szCs w:val="18"/>
              </w:rPr>
              <w:t>2014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30,214.7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302,80.4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56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集团下属</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集团之子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协议》、《物业服务合同》的约定，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1</w:t>
            </w:r>
            <w:r>
              <w:rPr>
                <w:rFonts w:ascii="SimSun" w:eastAsia="SimSun" w:hAnsi="SimSun" w:cs="SimSun"/>
                <w:color w:val="000000"/>
                <w:spacing w:val="0"/>
                <w:w w:val="100"/>
                <w:position w:val="0"/>
                <w:sz w:val="18"/>
                <w:szCs w:val="18"/>
              </w:rPr>
              <w:t>日至</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度支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资讯</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w:t>
            </w:r>
            <w:r>
              <w:rPr>
                <w:color w:val="000000"/>
                <w:spacing w:val="0"/>
                <w:w w:val="100"/>
                <w:position w:val="0"/>
                <w:sz w:val="18"/>
                <w:szCs w:val="18"/>
              </w:rPr>
              <w:t>11</w:t>
            </w:r>
            <w:r>
              <w:rPr>
                <w:rFonts w:ascii="SimSun" w:eastAsia="SimSun" w:hAnsi="SimSun" w:cs="SimSun"/>
                <w:color w:val="000000"/>
                <w:spacing w:val="0"/>
                <w:w w:val="100"/>
                <w:position w:val="0"/>
                <w:sz w:val="18"/>
                <w:szCs w:val="18"/>
              </w:rPr>
              <w:t>家</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自</w:t>
            </w:r>
            <w:r>
              <w:rPr>
                <w:color w:val="000000"/>
                <w:spacing w:val="0"/>
                <w:w w:val="100"/>
                <w:position w:val="0"/>
                <w:sz w:val="18"/>
                <w:szCs w:val="18"/>
              </w:rPr>
              <w:t>2018</w:t>
            </w:r>
            <w:r>
              <w:rPr>
                <w:rFonts w:ascii="SimSun" w:eastAsia="SimSun" w:hAnsi="SimSun" w:cs="SimSun"/>
                <w:color w:val="000000"/>
                <w:spacing w:val="0"/>
                <w:w w:val="100"/>
                <w:position w:val="0"/>
                <w:sz w:val="18"/>
                <w:szCs w:val="18"/>
              </w:rPr>
              <w:t>年</w:t>
            </w:r>
            <w:r>
              <w:rPr>
                <w:color w:val="000000"/>
                <w:spacing w:val="0"/>
                <w:w w:val="100"/>
                <w:position w:val="0"/>
                <w:sz w:val="18"/>
                <w:szCs w:val="18"/>
              </w:rPr>
              <w:t>11</w:t>
            </w:r>
            <w:r>
              <w:rPr>
                <w:rFonts w:ascii="SimSun" w:eastAsia="SimSun" w:hAnsi="SimSun" w:cs="SimSun"/>
                <w:color w:val="000000"/>
                <w:spacing w:val="0"/>
                <w:w w:val="100"/>
                <w:position w:val="0"/>
                <w:sz w:val="18"/>
                <w:szCs w:val="18"/>
              </w:rPr>
              <w:t>月</w:t>
            </w:r>
            <w:r>
              <w:rPr>
                <w:color w:val="000000"/>
                <w:spacing w:val="0"/>
                <w:w w:val="100"/>
                <w:position w:val="0"/>
                <w:sz w:val="18"/>
                <w:szCs w:val="18"/>
              </w:rPr>
              <w:t>21</w:t>
            </w:r>
            <w:r>
              <w:rPr>
                <w:rFonts w:ascii="SimSun" w:eastAsia="SimSun" w:hAnsi="SimSun" w:cs="SimSun"/>
                <w:color w:val="000000"/>
                <w:spacing w:val="0"/>
                <w:w w:val="100"/>
                <w:position w:val="0"/>
                <w:sz w:val="18"/>
                <w:szCs w:val="18"/>
              </w:rPr>
              <w:t>日起剩余租赁期限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2026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网</w:t>
            </w: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内，公司销售子公司向项目公司支付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日，首年租赁费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2018-1</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租赁费预计总额为</w:t>
            </w:r>
            <w:r>
              <w:rPr>
                <w:color w:val="000000"/>
                <w:spacing w:val="0"/>
                <w:w w:val="100"/>
                <w:position w:val="0"/>
                <w:sz w:val="18"/>
                <w:szCs w:val="18"/>
              </w:rPr>
              <w:t>238,930.75</w:t>
            </w:r>
            <w:r>
              <w:rPr>
                <w:rFonts w:ascii="SimSun" w:eastAsia="SimSun" w:hAnsi="SimSun" w:cs="SimSun"/>
                <w:color w:val="000000"/>
                <w:spacing w:val="0"/>
                <w:w w:val="100"/>
                <w:position w:val="0"/>
                <w:sz w:val="18"/>
                <w:szCs w:val="18"/>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用按照市场化租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r>
              <w:rPr>
                <w:rFonts w:ascii="SimSun" w:eastAsia="SimSun" w:hAnsi="SimSun" w:cs="SimSun"/>
                <w:color w:val="000000"/>
                <w:spacing w:val="0"/>
                <w:w w:val="100"/>
                <w:position w:val="0"/>
                <w:sz w:val="18"/>
                <w:szCs w:val="18"/>
              </w:rPr>
              <w:t>《关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物业服务费用预计总额为</w:t>
            </w:r>
            <w:r>
              <w:rPr>
                <w:color w:val="000000"/>
                <w:spacing w:val="0"/>
                <w:w w:val="100"/>
                <w:position w:val="0"/>
                <w:sz w:val="18"/>
                <w:szCs w:val="18"/>
              </w:rPr>
              <w:t>63,872.67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金水平确定，第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于确</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二年至第六年，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认公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每个租赁年度的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司向</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租金费用在前一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年的基础上增长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方租</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。从第七年开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赁物</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始，按照届时的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业的</w:t>
            </w:r>
          </w:p>
        </w:tc>
      </w:tr>
      <w:tr>
        <w:trPr>
          <w:trHeight w:val="344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市场化租金水平 重新确认租金， 但第七年的租金 水平不低于首 年。物业服务期 限自</w:t>
            </w:r>
            <w:r>
              <w:rPr>
                <w:color w:val="000000"/>
                <w:spacing w:val="0"/>
                <w:w w:val="100"/>
                <w:position w:val="0"/>
                <w:sz w:val="18"/>
                <w:szCs w:val="18"/>
              </w:rPr>
              <w:t>2014</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12 </w:t>
            </w:r>
            <w:r>
              <w:rPr>
                <w:rFonts w:ascii="SimSun" w:eastAsia="SimSun" w:hAnsi="SimSun" w:cs="SimSun"/>
                <w:color w:val="000000"/>
                <w:spacing w:val="0"/>
                <w:w w:val="100"/>
                <w:position w:val="0"/>
                <w:sz w:val="18"/>
                <w:szCs w:val="18"/>
              </w:rPr>
              <w:t>月</w:t>
            </w:r>
            <w:r>
              <w:rPr>
                <w:color w:val="000000"/>
                <w:spacing w:val="0"/>
                <w:w w:val="100"/>
                <w:position w:val="0"/>
                <w:sz w:val="18"/>
                <w:szCs w:val="18"/>
              </w:rPr>
              <w:t>1</w:t>
            </w:r>
            <w:r>
              <w:rPr>
                <w:rFonts w:ascii="SimSun" w:eastAsia="SimSun" w:hAnsi="SimSun" w:cs="SimSun"/>
                <w:color w:val="000000"/>
                <w:spacing w:val="0"/>
                <w:w w:val="100"/>
                <w:position w:val="0"/>
                <w:sz w:val="18"/>
                <w:szCs w:val="18"/>
              </w:rPr>
              <w:t>日至</w:t>
            </w:r>
            <w:r>
              <w:rPr>
                <w:color w:val="000000"/>
                <w:spacing w:val="0"/>
                <w:w w:val="100"/>
                <w:position w:val="0"/>
                <w:sz w:val="18"/>
                <w:szCs w:val="18"/>
              </w:rPr>
              <w:t>2026</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11</w:t>
            </w:r>
            <w:r>
              <w:rPr>
                <w:rFonts w:ascii="SimSun" w:eastAsia="SimSun" w:hAnsi="SimSun" w:cs="SimSun"/>
                <w:color w:val="000000"/>
                <w:spacing w:val="0"/>
                <w:w w:val="100"/>
                <w:position w:val="0"/>
                <w:sz w:val="18"/>
                <w:szCs w:val="18"/>
              </w:rPr>
              <w:t>月</w:t>
            </w:r>
            <w:r>
              <w:rPr>
                <w:color w:val="000000"/>
                <w:spacing w:val="0"/>
                <w:w w:val="100"/>
                <w:position w:val="0"/>
                <w:sz w:val="18"/>
                <w:szCs w:val="18"/>
              </w:rPr>
              <w:t>30</w:t>
            </w:r>
            <w:r>
              <w:rPr>
                <w:rFonts w:ascii="SimSun" w:eastAsia="SimSun" w:hAnsi="SimSun" w:cs="SimSun"/>
                <w:color w:val="000000"/>
                <w:spacing w:val="0"/>
                <w:w w:val="100"/>
                <w:position w:val="0"/>
                <w:sz w:val="18"/>
                <w:szCs w:val="18"/>
              </w:rPr>
              <w:t>日，首年 物业服务费用按 照市场化物业费 水平确定，第二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公告》</w:t>
            </w:r>
          </w:p>
        </w:tc>
      </w:tr>
    </w:tbl>
    <w:p>
      <w:pPr>
        <w:spacing w:lineRule="exact" w:line="1"/>
        <w:rPr>
          <w:sz w:val="2"/>
          <w:szCs w:val="2"/>
        </w:rPr>
      </w:pPr>
      <w:r>
        <w:br w:type="page"/>
      </w:r>
    </w:p>
    <w:tbl>
      <w:tblPr>
        <w:tblOverlap w:val="never"/>
        <w:jc w:val="center"/>
        <w:tblLayout w:type="fixed"/>
      </w:tblPr>
      <w:tblGrid>
        <w:gridCol w:w="965"/>
        <w:gridCol w:w="994"/>
        <w:gridCol w:w="850"/>
        <w:gridCol w:w="3120"/>
        <w:gridCol w:w="1142"/>
        <w:gridCol w:w="1555"/>
        <w:gridCol w:w="845"/>
        <w:gridCol w:w="706"/>
        <w:gridCol w:w="922"/>
        <w:gridCol w:w="629"/>
        <w:gridCol w:w="576"/>
        <w:gridCol w:w="734"/>
        <w:gridCol w:w="398"/>
        <w:gridCol w:w="754"/>
      </w:tblGrid>
      <w:tr>
        <w:trPr>
          <w:trHeight w:val="21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 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关联交易定 价原则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关联交易价格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易金额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160" w:right="0" w:firstLine="0"/>
              <w:jc w:val="left"/>
              <w:rPr>
                <w:sz w:val="18"/>
                <w:szCs w:val="18"/>
              </w:rPr>
            </w:pPr>
            <w:r>
              <w:rPr>
                <w:rFonts w:ascii="SimSun" w:eastAsia="SimSun" w:hAnsi="SimSun" w:cs="SimSun"/>
                <w:color w:val="000000"/>
                <w:spacing w:val="0"/>
                <w:w w:val="100"/>
                <w:position w:val="0"/>
                <w:sz w:val="18"/>
                <w:szCs w:val="18"/>
              </w:rPr>
              <w:t>占同 类交 易金 额的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获批的</w:t>
            </w:r>
          </w:p>
          <w:p>
            <w:pPr>
              <w:pStyle w:val="Style29"/>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交易额</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是否 超过 获批 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关联</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交易</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结算</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披 露 日 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披露</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索引</w:t>
            </w:r>
          </w:p>
        </w:tc>
      </w:tr>
      <w:tr>
        <w:trPr>
          <w:trHeight w:val="37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年至第六年，每 个租赁年度的物 业服务费用在前 一年的基础上增 长</w:t>
            </w:r>
            <w:r>
              <w:rPr>
                <w:color w:val="000000"/>
                <w:spacing w:val="0"/>
                <w:w w:val="100"/>
                <w:position w:val="0"/>
                <w:sz w:val="18"/>
                <w:szCs w:val="18"/>
              </w:rPr>
              <w:t>3%</w:t>
            </w:r>
            <w:r>
              <w:rPr>
                <w:rFonts w:ascii="SimSun" w:eastAsia="SimSun" w:hAnsi="SimSun" w:cs="SimSun"/>
                <w:color w:val="000000"/>
                <w:spacing w:val="0"/>
                <w:w w:val="100"/>
                <w:position w:val="0"/>
                <w:sz w:val="18"/>
                <w:szCs w:val="18"/>
              </w:rPr>
              <w:t>。从第七年 开始，按照届时 的市场化物业费 水平重新确认物 业服务费，但第 七年的物业服务 费水平不低于首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63,279.8</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322"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大额销货退回的详细情况</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r>
        <w:trPr>
          <w:trHeight w:val="634"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按类别对本期将发生的日常关联交易进行总金额预计的，在报告期内的实 际履行情况（如有）</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r>
        <w:trPr>
          <w:trHeight w:val="331" w:hRule="exact"/>
        </w:trPr>
        <w:tc>
          <w:tcPr>
            <w:gridSpan w:val="4"/>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交易价格与市场参考价格差异较大的原因（如适用）</w:t>
            </w:r>
          </w:p>
        </w:tc>
        <w:tc>
          <w:tcPr>
            <w:gridSpan w:val="10"/>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bl>
    <w:p>
      <w:pPr>
        <w:sectPr>
          <w:footnotePr>
            <w:pos w:val="pageBottom"/>
            <w:numFmt w:val="decimal"/>
            <w:numStart w:val="1"/>
            <w:numRestart w:val="continuous"/>
            <w15:footnoteColumns w:val="1"/>
          </w:footnotePr>
          <w:pgSz w:w="16840" w:h="11900" w:orient="landscape"/>
          <w:pgMar w:top="874" w:right="1326" w:bottom="1245" w:left="1326" w:header="0" w:footer="3" w:gutter="0"/>
          <w:cols w:space="720"/>
          <w:noEndnote/>
          <w:rtlGutter w:val="0"/>
          <w:docGrid w:linePitch="360"/>
        </w:sectPr>
      </w:pPr>
    </w:p>
    <w:p>
      <w:pPr>
        <w:pStyle w:val="Style35"/>
        <w:keepNext/>
        <w:keepLines/>
        <w:widowControl w:val="0"/>
        <w:shd w:val="clear" w:color="auto" w:fill="auto"/>
        <w:bidi w:val="0"/>
        <w:spacing w:before="460" w:after="40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sz w:val="22"/>
          <w:szCs w:val="22"/>
        </w:rPr>
        <w:t>2</w:t>
      </w:r>
      <w:bookmarkEnd w:id="528"/>
      <w:r>
        <w:rPr>
          <w:color w:val="000000"/>
          <w:spacing w:val="0"/>
          <w:w w:val="100"/>
          <w:position w:val="0"/>
        </w:rPr>
        <w:t>、资产或股权收购、出售发生的关联交易</w:t>
      </w:r>
      <w:bookmarkEnd w:id="526"/>
      <w:bookmarkEnd w:id="527"/>
      <w:bookmarkEnd w:id="529"/>
    </w:p>
    <w:tbl>
      <w:tblPr>
        <w:tblOverlap w:val="never"/>
        <w:jc w:val="center"/>
        <w:tblLayout w:type="fixed"/>
      </w:tblPr>
      <w:tblGrid>
        <w:gridCol w:w="710"/>
        <w:gridCol w:w="706"/>
        <w:gridCol w:w="701"/>
        <w:gridCol w:w="1114"/>
        <w:gridCol w:w="624"/>
        <w:gridCol w:w="922"/>
        <w:gridCol w:w="898"/>
        <w:gridCol w:w="898"/>
        <w:gridCol w:w="624"/>
        <w:gridCol w:w="898"/>
        <w:gridCol w:w="749"/>
        <w:gridCol w:w="874"/>
      </w:tblGrid>
      <w:tr>
        <w:trPr>
          <w:trHeight w:val="1262"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关联方</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关联关 系</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关联交</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易类型</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关联交易内 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关联</w:t>
            </w:r>
          </w:p>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交易 定价 原则</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0" w:lineRule="exact"/>
              <w:ind w:left="0" w:right="0" w:firstLine="0"/>
              <w:jc w:val="both"/>
              <w:rPr>
                <w:sz w:val="20"/>
                <w:szCs w:val="20"/>
              </w:rPr>
            </w:pPr>
            <w:r>
              <w:rPr>
                <w:rFonts w:ascii="SimSun" w:eastAsia="SimSun" w:hAnsi="SimSun" w:cs="SimSun"/>
                <w:color w:val="000000"/>
                <w:spacing w:val="0"/>
                <w:w w:val="100"/>
                <w:position w:val="0"/>
                <w:sz w:val="20"/>
                <w:szCs w:val="20"/>
              </w:rPr>
              <w:t>转让资产 的账面价 值（万元）</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0" w:lineRule="exact"/>
              <w:ind w:left="0" w:right="0" w:firstLine="0"/>
              <w:jc w:val="both"/>
              <w:rPr>
                <w:sz w:val="20"/>
                <w:szCs w:val="20"/>
              </w:rPr>
            </w:pPr>
            <w:r>
              <w:rPr>
                <w:rFonts w:ascii="SimSun" w:eastAsia="SimSun" w:hAnsi="SimSun" w:cs="SimSun"/>
                <w:color w:val="000000"/>
                <w:spacing w:val="0"/>
                <w:w w:val="100"/>
                <w:position w:val="0"/>
                <w:sz w:val="20"/>
                <w:szCs w:val="20"/>
              </w:rPr>
              <w:t>转让资产 的评估价 值（万元）</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转让价格</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（万元）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关联</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交易</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结算</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方式</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交易损益</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（万元）</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披露日 期</w:t>
            </w:r>
          </w:p>
        </w:tc>
        <w:tc>
          <w:tcPr>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披露索 引</w:t>
            </w:r>
          </w:p>
        </w:tc>
      </w:tr>
      <w:tr>
        <w:trPr>
          <w:trHeight w:val="25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苏宁置 业集团 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为公司 关联股 东之控 股子公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股权出</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公司子公司 将其持有的 安庆苏宁悦 城置业有限 公司</w:t>
            </w:r>
            <w:r>
              <w:rPr>
                <w:color w:val="000000"/>
                <w:spacing w:val="0"/>
                <w:w w:val="100"/>
                <w:position w:val="0"/>
                <w:sz w:val="20"/>
                <w:szCs w:val="20"/>
              </w:rPr>
              <w:t xml:space="preserve">100% </w:t>
            </w:r>
            <w:r>
              <w:rPr>
                <w:rFonts w:ascii="SimSun" w:eastAsia="SimSun" w:hAnsi="SimSun" w:cs="SimSun"/>
                <w:color w:val="000000"/>
                <w:spacing w:val="0"/>
                <w:w w:val="100"/>
                <w:position w:val="0"/>
                <w:sz w:val="20"/>
                <w:szCs w:val="20"/>
              </w:rPr>
              <w:t>股权转让苏 宁置业集团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按照 市场 价格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48,114.99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62,849.96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62,849.96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15,954.20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 xml:space="preserve">08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29</w:t>
            </w:r>
          </w:p>
          <w:p>
            <w:pPr>
              <w:pStyle w:val="Style29"/>
              <w:keepNext w:val="0"/>
              <w:keepLines w:val="0"/>
              <w:widowControl w:val="0"/>
              <w:shd w:val="clear" w:color="auto" w:fill="auto"/>
              <w:bidi w:val="0"/>
              <w:spacing w:before="0" w:after="80" w:line="240" w:lineRule="auto"/>
              <w:ind w:left="0" w:right="0" w:firstLine="0"/>
              <w:jc w:val="righ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right"/>
              <w:rPr>
                <w:sz w:val="20"/>
                <w:szCs w:val="20"/>
              </w:rPr>
            </w:pPr>
            <w:r>
              <w:rPr>
                <w:rFonts w:ascii="SimSun" w:eastAsia="SimSun" w:hAnsi="SimSun" w:cs="SimSun"/>
                <w:color w:val="000000"/>
                <w:spacing w:val="0"/>
                <w:w w:val="100"/>
                <w:position w:val="0"/>
                <w:sz w:val="20"/>
                <w:szCs w:val="20"/>
              </w:rPr>
              <w:t xml:space="preserve">巨潮资 讯网 </w:t>
            </w:r>
            <w:r>
              <w:rPr>
                <w:color w:val="000000"/>
                <w:spacing w:val="0"/>
                <w:w w:val="100"/>
                <w:position w:val="0"/>
                <w:sz w:val="20"/>
                <w:szCs w:val="20"/>
              </w:rPr>
              <w:t xml:space="preserve">2020-088 </w:t>
            </w:r>
            <w:r>
              <w:rPr>
                <w:rFonts w:ascii="SimSun" w:eastAsia="SimSun" w:hAnsi="SimSun" w:cs="SimSun"/>
                <w:color w:val="000000"/>
                <w:spacing w:val="0"/>
                <w:w w:val="100"/>
                <w:position w:val="0"/>
                <w:sz w:val="20"/>
                <w:szCs w:val="20"/>
              </w:rPr>
              <w:t>号公告</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转让价， 异较大</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陷与账面价值或评估价值差 的原因（如有）</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r>
      <w:tr>
        <w:trPr>
          <w:trHeight w:val="634"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对公司经营成果与财务状况的影响 情况</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处置产生的投资收益</w:t>
            </w:r>
            <w:r>
              <w:rPr>
                <w:color w:val="000000"/>
                <w:spacing w:val="0"/>
                <w:w w:val="100"/>
                <w:position w:val="0"/>
                <w:sz w:val="20"/>
                <w:szCs w:val="20"/>
              </w:rPr>
              <w:t>15,954.20</w:t>
            </w:r>
            <w:r>
              <w:rPr>
                <w:rFonts w:ascii="SimSun" w:eastAsia="SimSun" w:hAnsi="SimSun" w:cs="SimSun"/>
                <w:color w:val="000000"/>
                <w:spacing w:val="0"/>
                <w:w w:val="100"/>
                <w:position w:val="0"/>
                <w:sz w:val="20"/>
                <w:szCs w:val="20"/>
              </w:rPr>
              <w:t>万元</w:t>
            </w:r>
          </w:p>
        </w:tc>
      </w:tr>
      <w:tr>
        <w:trPr>
          <w:trHeight w:val="643" w:hRule="exact"/>
        </w:trPr>
        <w:tc>
          <w:tcPr>
            <w:gridSpan w:val="4"/>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如相关交易涉及业绩约定的，报告 期内的业绩实现情况</w:t>
            </w:r>
          </w:p>
        </w:tc>
        <w:tc>
          <w:tcPr>
            <w:gridSpan w:val="8"/>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r>
    </w:tbl>
    <w:p>
      <w:pPr>
        <w:widowControl w:val="0"/>
        <w:spacing w:after="399" w:line="1" w:lineRule="exact"/>
      </w:pPr>
    </w:p>
    <w:p>
      <w:pPr>
        <w:pStyle w:val="Style35"/>
        <w:keepNext/>
        <w:keepLines/>
        <w:widowControl w:val="0"/>
        <w:shd w:val="clear" w:color="auto" w:fill="auto"/>
        <w:tabs>
          <w:tab w:pos="387" w:val="left"/>
        </w:tabs>
        <w:bidi w:val="0"/>
        <w:spacing w:before="0" w:after="50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sz w:val="22"/>
          <w:szCs w:val="22"/>
        </w:rPr>
        <w:t>3</w:t>
      </w:r>
      <w:bookmarkEnd w:id="532"/>
      <w:r>
        <w:rPr>
          <w:color w:val="000000"/>
          <w:spacing w:val="0"/>
          <w:w w:val="100"/>
          <w:position w:val="0"/>
        </w:rPr>
        <w:t>、</w:t>
        <w:tab/>
        <w:t>共同对外投资的关联交易</w:t>
      </w:r>
      <w:bookmarkEnd w:id="530"/>
      <w:bookmarkEnd w:id="531"/>
      <w:bookmarkEnd w:id="533"/>
    </w:p>
    <w:p>
      <w:pPr>
        <w:pStyle w:val="Style17"/>
        <w:keepNext w:val="0"/>
        <w:keepLines w:val="0"/>
        <w:widowControl w:val="0"/>
        <w:shd w:val="clear" w:color="auto" w:fill="auto"/>
        <w:bidi w:val="0"/>
        <w:spacing w:before="0" w:after="220" w:line="240" w:lineRule="auto"/>
        <w:ind w:left="0" w:right="0" w:firstLine="48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500" w:line="240" w:lineRule="auto"/>
        <w:ind w:left="0" w:right="0" w:firstLine="480"/>
        <w:jc w:val="both"/>
      </w:pPr>
      <w:r>
        <w:rPr>
          <w:color w:val="000000"/>
          <w:spacing w:val="0"/>
          <w:w w:val="100"/>
          <w:position w:val="0"/>
        </w:rPr>
        <w:t>公司报告期未发生共同对外投资的关联交易。</w:t>
      </w:r>
    </w:p>
    <w:p>
      <w:pPr>
        <w:pStyle w:val="Style35"/>
        <w:keepNext/>
        <w:keepLines/>
        <w:widowControl w:val="0"/>
        <w:shd w:val="clear" w:color="auto" w:fill="auto"/>
        <w:tabs>
          <w:tab w:pos="387" w:val="left"/>
        </w:tabs>
        <w:bidi w:val="0"/>
        <w:spacing w:before="0" w:after="50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sz w:val="22"/>
          <w:szCs w:val="22"/>
        </w:rPr>
        <w:t>4</w:t>
      </w:r>
      <w:bookmarkEnd w:id="536"/>
      <w:r>
        <w:rPr>
          <w:color w:val="000000"/>
          <w:spacing w:val="0"/>
          <w:w w:val="100"/>
          <w:position w:val="0"/>
        </w:rPr>
        <w:t>、</w:t>
        <w:tab/>
        <w:t>关联债权债务往来</w:t>
      </w:r>
      <w:bookmarkEnd w:id="534"/>
      <w:bookmarkEnd w:id="535"/>
      <w:bookmarkEnd w:id="537"/>
    </w:p>
    <w:p>
      <w:pPr>
        <w:pStyle w:val="Style17"/>
        <w:keepNext w:val="0"/>
        <w:keepLines w:val="0"/>
        <w:widowControl w:val="0"/>
        <w:shd w:val="clear" w:color="auto" w:fill="auto"/>
        <w:bidi w:val="0"/>
        <w:spacing w:before="0" w:after="220" w:line="240" w:lineRule="auto"/>
        <w:ind w:left="0" w:right="0" w:firstLine="480"/>
        <w:jc w:val="left"/>
      </w:pPr>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17"/>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是否存在非经营性关联债权债务往来</w:t>
      </w:r>
    </w:p>
    <w:p>
      <w:pPr>
        <w:pStyle w:val="Style17"/>
        <w:keepNext w:val="0"/>
        <w:keepLines w:val="0"/>
        <w:widowControl w:val="0"/>
        <w:shd w:val="clear" w:color="auto" w:fill="auto"/>
        <w:bidi w:val="0"/>
        <w:spacing w:before="0" w:after="220" w:line="240" w:lineRule="auto"/>
        <w:ind w:left="0" w:right="0" w:firstLine="48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17"/>
        <w:keepNext w:val="0"/>
        <w:keepLines w:val="0"/>
        <w:widowControl w:val="0"/>
        <w:shd w:val="clear" w:color="auto" w:fill="auto"/>
        <w:bidi w:val="0"/>
        <w:spacing w:before="0" w:after="500" w:line="240" w:lineRule="auto"/>
        <w:ind w:left="0" w:right="0" w:firstLine="480"/>
        <w:jc w:val="both"/>
      </w:pPr>
      <w:r>
        <w:rPr>
          <w:color w:val="000000"/>
          <w:spacing w:val="0"/>
          <w:w w:val="100"/>
          <w:position w:val="0"/>
        </w:rPr>
        <w:t>公司报告期不存在非经营性关联债权债务往来。</w:t>
      </w:r>
    </w:p>
    <w:p>
      <w:pPr>
        <w:pStyle w:val="Style35"/>
        <w:keepNext/>
        <w:keepLines/>
        <w:widowControl w:val="0"/>
        <w:shd w:val="clear" w:color="auto" w:fill="auto"/>
        <w:tabs>
          <w:tab w:pos="387" w:val="left"/>
        </w:tabs>
        <w:bidi w:val="0"/>
        <w:spacing w:before="0" w:after="50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sz w:val="22"/>
          <w:szCs w:val="22"/>
        </w:rPr>
        <w:t>5</w:t>
      </w:r>
      <w:bookmarkEnd w:id="540"/>
      <w:r>
        <w:rPr>
          <w:color w:val="000000"/>
          <w:spacing w:val="0"/>
          <w:w w:val="100"/>
          <w:position w:val="0"/>
        </w:rPr>
        <w:t>、</w:t>
        <w:tab/>
        <w:t>与存在关联关系的财务公司的往来情况</w:t>
      </w:r>
      <w:bookmarkEnd w:id="538"/>
      <w:bookmarkEnd w:id="539"/>
      <w:bookmarkEnd w:id="541"/>
    </w:p>
    <w:p>
      <w:pPr>
        <w:pStyle w:val="Style17"/>
        <w:keepNext w:val="0"/>
        <w:keepLines w:val="0"/>
        <w:widowControl w:val="0"/>
        <w:shd w:val="clear" w:color="auto" w:fill="auto"/>
        <w:bidi w:val="0"/>
        <w:spacing w:before="0" w:after="220" w:line="240" w:lineRule="auto"/>
        <w:ind w:left="0" w:right="0" w:firstLine="480"/>
        <w:jc w:val="both"/>
      </w:pPr>
      <w:r>
        <w:rPr>
          <w:color w:val="000000"/>
          <w:spacing w:val="0"/>
          <w:w w:val="100"/>
          <w:position w:val="0"/>
          <w:sz w:val="22"/>
          <w:szCs w:val="22"/>
        </w:rPr>
        <w:t>口</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400" w:line="240" w:lineRule="auto"/>
        <w:ind w:left="0" w:right="0" w:firstLine="480"/>
        <w:jc w:val="both"/>
      </w:pPr>
      <w:r>
        <w:rPr>
          <w:color w:val="000000"/>
          <w:spacing w:val="0"/>
          <w:w w:val="100"/>
          <w:position w:val="0"/>
        </w:rPr>
        <w:t>公司与存在关联关系的财务公司与关联方之间不存在存款、贷款、授信或其他金融业务。</w:t>
      </w:r>
    </w:p>
    <w:p>
      <w:pPr>
        <w:pStyle w:val="Style35"/>
        <w:keepNext/>
        <w:keepLines/>
        <w:widowControl w:val="0"/>
        <w:shd w:val="clear" w:color="auto" w:fill="auto"/>
        <w:bidi w:val="0"/>
        <w:spacing w:before="0" w:after="28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sz w:val="22"/>
          <w:szCs w:val="22"/>
        </w:rPr>
        <w:t>6</w:t>
      </w:r>
      <w:bookmarkEnd w:id="544"/>
      <w:r>
        <w:rPr>
          <w:color w:val="000000"/>
          <w:spacing w:val="0"/>
          <w:w w:val="100"/>
          <w:position w:val="0"/>
        </w:rPr>
        <w:t>、公司控股的财务公司与关联方的往来情况</w:t>
      </w:r>
      <w:bookmarkEnd w:id="542"/>
      <w:bookmarkEnd w:id="543"/>
      <w:bookmarkEnd w:id="545"/>
    </w:p>
    <w:p>
      <w:pPr>
        <w:pStyle w:val="Style17"/>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2"/>
          <w:szCs w:val="22"/>
        </w:rPr>
        <w:t>口</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280" w:line="470" w:lineRule="exact"/>
        <w:ind w:left="0" w:right="0" w:firstLine="480"/>
        <w:jc w:val="both"/>
      </w:pPr>
      <w:r>
        <w:rPr>
          <w:color w:val="000000"/>
          <w:spacing w:val="0"/>
          <w:w w:val="100"/>
          <w:position w:val="0"/>
        </w:rPr>
        <w:t>公司控股的财务公司与关联方之间不存在存款、贷款、授信或其他金融业务。</w:t>
      </w:r>
    </w:p>
    <w:p>
      <w:pPr>
        <w:pStyle w:val="Style35"/>
        <w:keepNext/>
        <w:keepLines/>
        <w:widowControl w:val="0"/>
        <w:shd w:val="clear" w:color="auto" w:fill="auto"/>
        <w:bidi w:val="0"/>
        <w:spacing w:before="0" w:after="280" w:line="470" w:lineRule="exact"/>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sz w:val="22"/>
          <w:szCs w:val="22"/>
        </w:rPr>
        <w:t>7</w:t>
      </w:r>
      <w:bookmarkEnd w:id="548"/>
      <w:r>
        <w:rPr>
          <w:color w:val="000000"/>
          <w:spacing w:val="0"/>
          <w:w w:val="100"/>
          <w:position w:val="0"/>
        </w:rPr>
        <w:t>、其他重大关联交易</w:t>
      </w:r>
      <w:bookmarkEnd w:id="546"/>
      <w:bookmarkEnd w:id="547"/>
      <w:bookmarkEnd w:id="549"/>
    </w:p>
    <w:p>
      <w:pPr>
        <w:pStyle w:val="Style17"/>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日，公司</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rPr>
        <w:t>年年度股东大会审议通过了《关于商标使用许可的议案》，同意许 可公司第二大发起人股东苏宁电器集团及其全资、控股子公司和具有实际控制权的公司使用公司已注 册的部分炳零'系列注册商标以及部分</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及</w:t>
      </w:r>
      <w:r>
        <w:rPr>
          <w:rFonts w:ascii="Times New Roman" w:eastAsia="Times New Roman" w:hAnsi="Times New Roman" w:cs="Times New Roman"/>
          <w:color w:val="000000"/>
          <w:spacing w:val="0"/>
          <w:w w:val="100"/>
          <w:position w:val="0"/>
          <w:sz w:val="22"/>
          <w:szCs w:val="22"/>
        </w:rPr>
        <w:t xml:space="preserve">“NS </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组合的系列注册商标。若在后期的经营活动中， 苏宁电器集团及其全资、控股子公司和具有实际控制权的公司需要使用许可使用商标的延申商标，公 司可代为申请注册，并许可其使用。</w:t>
      </w:r>
    </w:p>
    <w:p>
      <w:pPr>
        <w:pStyle w:val="Style17"/>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2"/>
          <w:szCs w:val="22"/>
        </w:rPr>
        <w:t>2009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年年度股东大会审议通过了《关于商标使用许可的议案》，许可苏 宁电器集团及其直接或间接持有</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以上（含</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）股份的公司（以下简称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）使用公司已注 册的部分</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以及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的汉语拼音</w:t>
      </w:r>
      <w:r>
        <w:rPr>
          <w:rFonts w:ascii="Times New Roman" w:eastAsia="Times New Roman" w:hAnsi="Times New Roman" w:cs="Times New Roman"/>
          <w:color w:val="000000"/>
          <w:spacing w:val="0"/>
          <w:w w:val="100"/>
          <w:position w:val="0"/>
          <w:sz w:val="22"/>
          <w:szCs w:val="22"/>
        </w:rPr>
        <w:t xml:space="preserve">"SUNING </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系列商标。若在后期的经营活动中，苏宁电器集团 及其子公司需要使用许可使用商标的延申商标，公司可代为申请注册，并许可其使用。</w:t>
      </w:r>
    </w:p>
    <w:p>
      <w:pPr>
        <w:pStyle w:val="Style17"/>
        <w:keepNext w:val="0"/>
        <w:keepLines w:val="0"/>
        <w:widowControl w:val="0"/>
        <w:shd w:val="clear" w:color="auto" w:fill="auto"/>
        <w:bidi w:val="0"/>
        <w:spacing w:before="0" w:after="220" w:line="470" w:lineRule="exact"/>
        <w:ind w:left="0" w:right="0" w:firstLine="480"/>
        <w:jc w:val="both"/>
      </w:pP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日，公司</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年年度股东大会审议通过了《关于部分商标转让及使用许可的关联 交易的议案》，在全球范围内，公司同意苏宁控股集团及其子公司在公司非主营业务范围内使用（包 括许可使用和再许可）带有</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字样的商标，即带</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字样（简体、繁体、拼音和英文字母形式） 的非主营业务范围的商标，包括但不限于下述商标单独、组合或者设计形式：苏宁、</w:t>
      </w:r>
      <w:r>
        <w:rPr>
          <w:rFonts w:ascii="Times New Roman" w:eastAsia="Times New Roman" w:hAnsi="Times New Roman" w:cs="Times New Roman"/>
          <w:color w:val="000000"/>
          <w:spacing w:val="0"/>
          <w:w w:val="100"/>
          <w:position w:val="0"/>
          <w:sz w:val="22"/>
          <w:szCs w:val="22"/>
        </w:rPr>
        <w:t>s</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S+</w:t>
      </w:r>
      <w:r>
        <w:rPr>
          <w:color w:val="000000"/>
          <w:spacing w:val="0"/>
          <w:w w:val="100"/>
          <w:position w:val="0"/>
        </w:rPr>
        <w:t xml:space="preserve">苏宁、 </w:t>
      </w:r>
      <w:r>
        <w:rPr>
          <w:rFonts w:ascii="Times New Roman" w:eastAsia="Times New Roman" w:hAnsi="Times New Roman" w:cs="Times New Roman"/>
          <w:color w:val="000000"/>
          <w:spacing w:val="0"/>
          <w:w w:val="100"/>
          <w:position w:val="0"/>
          <w:sz w:val="22"/>
          <w:szCs w:val="22"/>
        </w:rPr>
        <w:t>S+Suning</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S+</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+Suning</w:t>
      </w:r>
      <w:r>
        <w:rPr>
          <w:color w:val="000000"/>
          <w:spacing w:val="0"/>
          <w:w w:val="100"/>
          <w:position w:val="0"/>
        </w:rPr>
        <w:t>、</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+S+SUNING</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SUNING</w:t>
      </w:r>
      <w:r>
        <w:rPr>
          <w:color w:val="000000"/>
          <w:spacing w:val="0"/>
          <w:w w:val="100"/>
          <w:position w:val="0"/>
        </w:rPr>
        <w:t>苏宁、苏宁（繁体）等，并且个别商标的注 册和</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或使用国家除了中国还包括美国、香港、澳门、日本、朝鲜、文莱、澳大利亚、欧盟等国家与地 区。苏宁控股集团及下属公司在经营活动中需使用的商标如</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苏宁控股</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苏宁影业</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苏宁投资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等 公司尚未进行注册申请，由于该类商标的使用领域均不属于公司主营业务范围，公司同意由苏宁控股 集团进行注册并使用。</w:t>
      </w:r>
    </w:p>
    <w:p>
      <w:pPr>
        <w:pStyle w:val="Style17"/>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报告期内苏宁电器集团、苏宁控股集团未支付</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年商标使用许可费。</w:t>
      </w:r>
    </w:p>
    <w:p>
      <w:pPr>
        <w:pStyle w:val="Style17"/>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其他重大关联交易临时报告披露网站相关查询</w:t>
      </w:r>
    </w:p>
    <w:tbl>
      <w:tblPr>
        <w:tblOverlap w:val="never"/>
        <w:jc w:val="center"/>
        <w:tblLayout w:type="fixed"/>
      </w:tblPr>
      <w:tblGrid>
        <w:gridCol w:w="4608"/>
        <w:gridCol w:w="2443"/>
        <w:gridCol w:w="2664"/>
      </w:tblGrid>
      <w:tr>
        <w:trPr>
          <w:trHeight w:val="32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临时公告名称</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临时公告披露日期</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临时公告披露网站名称</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关于商标使用许可的关联交易公告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2008</w:t>
            </w:r>
            <w:r>
              <w:rPr>
                <w:rFonts w:ascii="SimSun" w:eastAsia="SimSun" w:hAnsi="SimSun" w:cs="SimSun"/>
                <w:color w:val="000000"/>
                <w:spacing w:val="0"/>
                <w:w w:val="100"/>
                <w:position w:val="0"/>
                <w:sz w:val="20"/>
                <w:szCs w:val="20"/>
              </w:rPr>
              <w:t>年</w:t>
            </w:r>
            <w:r>
              <w:rPr>
                <w:color w:val="000000"/>
                <w:spacing w:val="0"/>
                <w:w w:val="100"/>
                <w:position w:val="0"/>
                <w:sz w:val="22"/>
                <w:szCs w:val="22"/>
              </w:rPr>
              <w:t>2</w:t>
            </w:r>
            <w:r>
              <w:rPr>
                <w:rFonts w:ascii="SimSun" w:eastAsia="SimSun" w:hAnsi="SimSun" w:cs="SimSun"/>
                <w:color w:val="000000"/>
                <w:spacing w:val="0"/>
                <w:w w:val="100"/>
                <w:position w:val="0"/>
                <w:sz w:val="20"/>
                <w:szCs w:val="20"/>
              </w:rPr>
              <w:t>月</w:t>
            </w:r>
            <w:r>
              <w:rPr>
                <w:color w:val="000000"/>
                <w:spacing w:val="0"/>
                <w:w w:val="100"/>
                <w:position w:val="0"/>
                <w:sz w:val="22"/>
                <w:szCs w:val="22"/>
              </w:rPr>
              <w:t>29</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巨潮资讯网</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2007</w:t>
            </w:r>
            <w:r>
              <w:rPr>
                <w:rFonts w:ascii="SimSun" w:eastAsia="SimSun" w:hAnsi="SimSun" w:cs="SimSun"/>
                <w:color w:val="000000"/>
                <w:spacing w:val="0"/>
                <w:w w:val="100"/>
                <w:position w:val="0"/>
                <w:sz w:val="20"/>
                <w:szCs w:val="20"/>
              </w:rPr>
              <w:t>年年度股东大会决议公告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2008</w:t>
            </w:r>
            <w:r>
              <w:rPr>
                <w:rFonts w:ascii="SimSun" w:eastAsia="SimSun" w:hAnsi="SimSun" w:cs="SimSun"/>
                <w:color w:val="000000"/>
                <w:spacing w:val="0"/>
                <w:w w:val="100"/>
                <w:position w:val="0"/>
                <w:sz w:val="20"/>
                <w:szCs w:val="20"/>
              </w:rPr>
              <w:t>年</w:t>
            </w:r>
            <w:r>
              <w:rPr>
                <w:color w:val="000000"/>
                <w:spacing w:val="0"/>
                <w:w w:val="100"/>
                <w:position w:val="0"/>
                <w:sz w:val="22"/>
                <w:szCs w:val="22"/>
              </w:rPr>
              <w:t>3</w:t>
            </w:r>
            <w:r>
              <w:rPr>
                <w:rFonts w:ascii="SimSun" w:eastAsia="SimSun" w:hAnsi="SimSun" w:cs="SimSun"/>
                <w:color w:val="000000"/>
                <w:spacing w:val="0"/>
                <w:w w:val="100"/>
                <w:position w:val="0"/>
                <w:sz w:val="20"/>
                <w:szCs w:val="20"/>
              </w:rPr>
              <w:t>月</w:t>
            </w:r>
            <w:r>
              <w:rPr>
                <w:color w:val="000000"/>
                <w:spacing w:val="0"/>
                <w:w w:val="100"/>
                <w:position w:val="0"/>
                <w:sz w:val="22"/>
                <w:szCs w:val="22"/>
              </w:rPr>
              <w:t>21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巨潮资讯网</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关于商标使用许可的关联交易公告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2009</w:t>
            </w:r>
            <w:r>
              <w:rPr>
                <w:rFonts w:ascii="SimSun" w:eastAsia="SimSun" w:hAnsi="SimSun" w:cs="SimSun"/>
                <w:color w:val="000000"/>
                <w:spacing w:val="0"/>
                <w:w w:val="100"/>
                <w:position w:val="0"/>
                <w:sz w:val="20"/>
                <w:szCs w:val="20"/>
              </w:rPr>
              <w:t>年</w:t>
            </w:r>
            <w:r>
              <w:rPr>
                <w:color w:val="000000"/>
                <w:spacing w:val="0"/>
                <w:w w:val="100"/>
                <w:position w:val="0"/>
                <w:sz w:val="22"/>
                <w:szCs w:val="22"/>
              </w:rPr>
              <w:t>2</w:t>
            </w:r>
            <w:r>
              <w:rPr>
                <w:rFonts w:ascii="SimSun" w:eastAsia="SimSun" w:hAnsi="SimSun" w:cs="SimSun"/>
                <w:color w:val="000000"/>
                <w:spacing w:val="0"/>
                <w:w w:val="100"/>
                <w:position w:val="0"/>
                <w:sz w:val="20"/>
                <w:szCs w:val="20"/>
              </w:rPr>
              <w:t>月</w:t>
            </w:r>
            <w:r>
              <w:rPr>
                <w:color w:val="000000"/>
                <w:spacing w:val="0"/>
                <w:w w:val="100"/>
                <w:position w:val="0"/>
                <w:sz w:val="22"/>
                <w:szCs w:val="22"/>
              </w:rPr>
              <w:t>28</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巨潮资讯网</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2008</w:t>
            </w:r>
            <w:r>
              <w:rPr>
                <w:rFonts w:ascii="SimSun" w:eastAsia="SimSun" w:hAnsi="SimSun" w:cs="SimSun"/>
                <w:color w:val="000000"/>
                <w:spacing w:val="0"/>
                <w:w w:val="100"/>
                <w:position w:val="0"/>
                <w:sz w:val="20"/>
                <w:szCs w:val="20"/>
              </w:rPr>
              <w:t>年年度股东大会决议公告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2009</w:t>
            </w:r>
            <w:r>
              <w:rPr>
                <w:rFonts w:ascii="SimSun" w:eastAsia="SimSun" w:hAnsi="SimSun" w:cs="SimSun"/>
                <w:color w:val="000000"/>
                <w:spacing w:val="0"/>
                <w:w w:val="100"/>
                <w:position w:val="0"/>
                <w:sz w:val="20"/>
                <w:szCs w:val="20"/>
              </w:rPr>
              <w:t>年</w:t>
            </w:r>
            <w:r>
              <w:rPr>
                <w:color w:val="000000"/>
                <w:spacing w:val="0"/>
                <w:w w:val="100"/>
                <w:position w:val="0"/>
                <w:sz w:val="22"/>
                <w:szCs w:val="22"/>
              </w:rPr>
              <w:t>4</w:t>
            </w:r>
            <w:r>
              <w:rPr>
                <w:rFonts w:ascii="SimSun" w:eastAsia="SimSun" w:hAnsi="SimSun" w:cs="SimSun"/>
                <w:color w:val="000000"/>
                <w:spacing w:val="0"/>
                <w:w w:val="100"/>
                <w:position w:val="0"/>
                <w:sz w:val="20"/>
                <w:szCs w:val="20"/>
              </w:rPr>
              <w:t>月</w:t>
            </w:r>
            <w:r>
              <w:rPr>
                <w:color w:val="000000"/>
                <w:spacing w:val="0"/>
                <w:w w:val="100"/>
                <w:position w:val="0"/>
                <w:sz w:val="22"/>
                <w:szCs w:val="22"/>
              </w:rPr>
              <w:t>1</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巨潮资讯网</w:t>
            </w:r>
          </w:p>
        </w:tc>
      </w:tr>
    </w:tbl>
    <w:p>
      <w:pPr>
        <w:pStyle w:val="Style32"/>
        <w:keepNext/>
        <w:keepLines/>
        <w:widowControl w:val="0"/>
        <w:shd w:val="clear" w:color="auto" w:fill="auto"/>
        <w:bidi w:val="0"/>
        <w:spacing w:before="0" w:after="300" w:line="470" w:lineRule="exact"/>
        <w:ind w:left="0" w:right="0" w:firstLine="0"/>
        <w:jc w:val="left"/>
      </w:pPr>
      <w:bookmarkStart w:id="550" w:name="bookmark550"/>
      <w:bookmarkStart w:id="551" w:name="bookmark551"/>
      <w:bookmarkStart w:id="552" w:name="bookmark552"/>
      <w:r>
        <w:rPr>
          <w:color w:val="000000"/>
          <w:spacing w:val="0"/>
          <w:w w:val="100"/>
          <w:position w:val="0"/>
          <w:sz w:val="24"/>
          <w:szCs w:val="24"/>
        </w:rPr>
        <w:t>十五、重大合同及其履行情况</w:t>
      </w:r>
      <w:bookmarkEnd w:id="550"/>
      <w:bookmarkEnd w:id="551"/>
      <w:bookmarkEnd w:id="552"/>
    </w:p>
    <w:p>
      <w:pPr>
        <w:pStyle w:val="Style35"/>
        <w:keepNext/>
        <w:keepLines/>
        <w:widowControl w:val="0"/>
        <w:shd w:val="clear" w:color="auto" w:fill="auto"/>
        <w:bidi w:val="0"/>
        <w:spacing w:before="0" w:after="440" w:line="470" w:lineRule="exact"/>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sz w:val="22"/>
          <w:szCs w:val="22"/>
        </w:rPr>
        <w:t>1</w:t>
      </w:r>
      <w:bookmarkEnd w:id="555"/>
      <w:r>
        <w:rPr>
          <w:color w:val="000000"/>
          <w:spacing w:val="0"/>
          <w:w w:val="100"/>
          <w:position w:val="0"/>
        </w:rPr>
        <w:t>、托管、承包、租赁事项情况</w:t>
      </w:r>
      <w:bookmarkEnd w:id="553"/>
      <w:bookmarkEnd w:id="554"/>
      <w:bookmarkEnd w:id="556"/>
    </w:p>
    <w:p>
      <w:pPr>
        <w:pStyle w:val="Style43"/>
        <w:keepNext/>
        <w:keepLines/>
        <w:widowControl w:val="0"/>
        <w:shd w:val="clear" w:color="auto" w:fill="auto"/>
        <w:tabs>
          <w:tab w:pos="493" w:val="left"/>
        </w:tabs>
        <w:bidi w:val="0"/>
        <w:spacing w:before="0" w:after="44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57"/>
      <w:bookmarkEnd w:id="558"/>
      <w:bookmarkEnd w:id="560"/>
    </w:p>
    <w:p>
      <w:pPr>
        <w:pStyle w:val="Style17"/>
        <w:keepNext w:val="0"/>
        <w:keepLines w:val="0"/>
        <w:widowControl w:val="0"/>
        <w:shd w:val="clear" w:color="auto" w:fill="auto"/>
        <w:bidi w:val="0"/>
        <w:spacing w:before="0" w:after="0" w:line="446"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440" w:line="470" w:lineRule="exact"/>
        <w:ind w:left="0" w:right="0" w:firstLine="460"/>
        <w:jc w:val="both"/>
      </w:pPr>
      <w:r>
        <w:rPr>
          <w:color w:val="000000"/>
          <w:spacing w:val="0"/>
          <w:w w:val="100"/>
          <w:position w:val="0"/>
        </w:rPr>
        <w:t>公司报告期不存在托管情况。</w:t>
      </w:r>
    </w:p>
    <w:p>
      <w:pPr>
        <w:pStyle w:val="Style43"/>
        <w:keepNext/>
        <w:keepLines/>
        <w:widowControl w:val="0"/>
        <w:shd w:val="clear" w:color="auto" w:fill="auto"/>
        <w:tabs>
          <w:tab w:pos="493" w:val="left"/>
        </w:tabs>
        <w:bidi w:val="0"/>
        <w:spacing w:before="0" w:after="44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61"/>
      <w:bookmarkEnd w:id="562"/>
      <w:bookmarkEnd w:id="564"/>
    </w:p>
    <w:p>
      <w:pPr>
        <w:pStyle w:val="Style17"/>
        <w:keepNext w:val="0"/>
        <w:keepLines w:val="0"/>
        <w:widowControl w:val="0"/>
        <w:shd w:val="clear" w:color="auto" w:fill="auto"/>
        <w:bidi w:val="0"/>
        <w:spacing w:before="0" w:after="0" w:line="446"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440" w:line="470" w:lineRule="exact"/>
        <w:ind w:left="0" w:right="0" w:firstLine="460"/>
        <w:jc w:val="both"/>
      </w:pPr>
      <w:r>
        <w:rPr>
          <w:color w:val="000000"/>
          <w:spacing w:val="0"/>
          <w:w w:val="100"/>
          <w:position w:val="0"/>
        </w:rPr>
        <w:t>公司报告期不存在承包情况。</w:t>
      </w:r>
    </w:p>
    <w:p>
      <w:pPr>
        <w:pStyle w:val="Style43"/>
        <w:keepNext/>
        <w:keepLines/>
        <w:widowControl w:val="0"/>
        <w:shd w:val="clear" w:color="auto" w:fill="auto"/>
        <w:tabs>
          <w:tab w:pos="493" w:val="left"/>
        </w:tabs>
        <w:bidi w:val="0"/>
        <w:spacing w:before="0" w:after="22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w:t>
      </w:r>
      <w:bookmarkEnd w:id="56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65"/>
      <w:bookmarkEnd w:id="566"/>
      <w:bookmarkEnd w:id="568"/>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1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租赁情况说明</w:t>
      </w:r>
    </w:p>
    <w:p>
      <w:pPr>
        <w:pStyle w:val="Style17"/>
        <w:keepNext w:val="0"/>
        <w:keepLines w:val="0"/>
        <w:widowControl w:val="0"/>
        <w:shd w:val="clear" w:color="auto" w:fill="auto"/>
        <w:bidi w:val="0"/>
        <w:spacing w:before="0" w:after="440" w:line="470" w:lineRule="exact"/>
        <w:ind w:left="0" w:right="0" w:firstLine="460"/>
        <w:jc w:val="left"/>
      </w:pPr>
      <w:r>
        <w:rPr>
          <w:color w:val="000000"/>
          <w:spacing w:val="0"/>
          <w:w w:val="100"/>
          <w:position w:val="0"/>
        </w:rPr>
        <w:t>报告期内，公司除正常租赁房屋用于开设店面、办公、物流仓储运营，以及提供物业用于对外经 营外，未发生也未有以前期间发生但延续到报告期内的重大资产租赁事项。</w:t>
      </w:r>
    </w:p>
    <w:p>
      <w:pPr>
        <w:pStyle w:val="Style17"/>
        <w:keepNext w:val="0"/>
        <w:keepLines w:val="0"/>
        <w:widowControl w:val="0"/>
        <w:shd w:val="clear" w:color="auto" w:fill="auto"/>
        <w:bidi w:val="0"/>
        <w:spacing w:before="0" w:after="220" w:line="470" w:lineRule="exact"/>
        <w:ind w:left="0" w:right="0" w:firstLine="46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以上的项目</w:t>
      </w:r>
    </w:p>
    <w:p>
      <w:pPr>
        <w:pStyle w:val="Style17"/>
        <w:keepNext w:val="0"/>
        <w:keepLines w:val="0"/>
        <w:widowControl w:val="0"/>
        <w:shd w:val="clear" w:color="auto" w:fill="auto"/>
        <w:bidi w:val="0"/>
        <w:spacing w:before="0" w:after="0" w:line="446"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440" w:line="470" w:lineRule="exact"/>
        <w:ind w:left="0" w:right="0" w:firstLine="460"/>
        <w:jc w:val="left"/>
        <w:sectPr>
          <w:footnotePr>
            <w:pos w:val="pageBottom"/>
            <w:numFmt w:val="decimal"/>
            <w:numStart w:val="1"/>
            <w:numRestart w:val="continuous"/>
            <w15:footnoteColumns w:val="1"/>
          </w:footnotePr>
          <w:pgSz w:w="11900" w:h="16840"/>
          <w:pgMar w:top="1409" w:right="1033" w:bottom="1575" w:left="1060" w:header="0" w:footer="3" w:gutter="0"/>
          <w:cols w:space="720"/>
          <w:noEndnote/>
          <w:rtlGutter w:val="0"/>
          <w:docGrid w:linePitch="360"/>
        </w:sectPr>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以上的租赁项目。</w:t>
      </w:r>
    </w:p>
    <w:p>
      <w:pPr>
        <w:pStyle w:val="Style35"/>
        <w:keepNext/>
        <w:keepLines/>
        <w:widowControl w:val="0"/>
        <w:shd w:val="clear" w:color="auto" w:fill="auto"/>
        <w:bidi w:val="0"/>
        <w:spacing w:before="480" w:after="50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sz w:val="22"/>
          <w:szCs w:val="22"/>
        </w:rPr>
        <w:t>2</w:t>
      </w:r>
      <w:bookmarkEnd w:id="571"/>
      <w:r>
        <w:rPr>
          <w:color w:val="000000"/>
          <w:spacing w:val="0"/>
          <w:w w:val="100"/>
          <w:position w:val="0"/>
        </w:rPr>
        <w:t>、重大担保</w:t>
      </w:r>
      <w:bookmarkEnd w:id="569"/>
      <w:bookmarkEnd w:id="570"/>
      <w:bookmarkEnd w:id="572"/>
    </w:p>
    <w:p>
      <w:pPr>
        <w:pStyle w:val="Style26"/>
        <w:keepNext w:val="0"/>
        <w:keepLines w:val="0"/>
        <w:widowControl w:val="0"/>
        <w:shd w:val="clear" w:color="auto" w:fill="auto"/>
        <w:bidi w:val="0"/>
        <w:spacing w:before="0" w:after="0" w:line="240" w:lineRule="auto"/>
        <w:ind w:left="12960" w:right="0" w:firstLine="0"/>
        <w:jc w:val="left"/>
      </w:pPr>
      <w:r>
        <w:rPr>
          <w:color w:val="000000"/>
          <w:spacing w:val="0"/>
          <w:w w:val="100"/>
          <w:position w:val="0"/>
        </w:rPr>
        <w:t>单位：万元</w:t>
      </w:r>
    </w:p>
    <w:tbl>
      <w:tblPr>
        <w:tblOverlap w:val="never"/>
        <w:jc w:val="center"/>
        <w:tblLayout w:type="fixed"/>
      </w:tblPr>
      <w:tblGrid>
        <w:gridCol w:w="1795"/>
        <w:gridCol w:w="1234"/>
        <w:gridCol w:w="1296"/>
        <w:gridCol w:w="1152"/>
        <w:gridCol w:w="1301"/>
        <w:gridCol w:w="1008"/>
        <w:gridCol w:w="1008"/>
        <w:gridCol w:w="1795"/>
        <w:gridCol w:w="1378"/>
        <w:gridCol w:w="1008"/>
        <w:gridCol w:w="1224"/>
      </w:tblGrid>
      <w:tr>
        <w:trPr>
          <w:trHeight w:val="341"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公司及其子公司对外担保情况（不包括对子公司的担保）</w:t>
            </w:r>
          </w:p>
        </w:tc>
      </w:tr>
      <w:tr>
        <w:trPr>
          <w:trHeight w:val="9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担保对象名称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担保额度</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相关公告</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担保额度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实际发生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实际担保金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担保类 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担保物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反担保情况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是否履</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行完毕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是否为关</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联方担保</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上海星图金融服</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务集团有限公司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2019/9/28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114,692.93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40"/>
              <w:jc w:val="left"/>
              <w:rPr>
                <w:sz w:val="20"/>
                <w:szCs w:val="20"/>
              </w:rPr>
            </w:pPr>
            <w:r>
              <w:rPr>
                <w:color w:val="000000"/>
                <w:spacing w:val="0"/>
                <w:w w:val="100"/>
                <w:position w:val="0"/>
                <w:sz w:val="20"/>
                <w:szCs w:val="20"/>
              </w:rPr>
              <w:t>114,692.93</w:t>
            </w:r>
          </w:p>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（注</w:t>
            </w:r>
            <w:r>
              <w:rPr>
                <w:color w:val="000000"/>
                <w:spacing w:val="0"/>
                <w:w w:val="100"/>
                <w:position w:val="0"/>
                <w:sz w:val="20"/>
                <w:szCs w:val="20"/>
              </w:rPr>
              <w:t>1</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苏宁金融服务（上 海）有限公司（现 名称更名为“上海 星图金融服务集 团有限公司”）承 诺对于公司为金 服公司的担保事 项提供反担保，并 就公司为其担保 所可能受到的损 失承担连带赔偿 责任。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20"/>
              <w:jc w:val="left"/>
              <w:rPr>
                <w:sz w:val="20"/>
                <w:szCs w:val="20"/>
              </w:rPr>
            </w:pPr>
            <w:r>
              <w:rPr>
                <w:rFonts w:ascii="SimSun" w:eastAsia="SimSun" w:hAnsi="SimSun" w:cs="SimSun"/>
                <w:color w:val="000000"/>
                <w:spacing w:val="0"/>
                <w:w w:val="100"/>
                <w:position w:val="0"/>
                <w:sz w:val="20"/>
                <w:szCs w:val="20"/>
              </w:rPr>
              <w:t>与贷款期限</w:t>
            </w:r>
          </w:p>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保持一致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上海星图金融服</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务集团有限公司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2019/9/28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15,975.09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340"/>
              <w:jc w:val="left"/>
              <w:rPr>
                <w:sz w:val="20"/>
                <w:szCs w:val="20"/>
              </w:rPr>
            </w:pPr>
            <w:r>
              <w:rPr>
                <w:color w:val="000000"/>
                <w:spacing w:val="0"/>
                <w:w w:val="100"/>
                <w:position w:val="0"/>
                <w:sz w:val="20"/>
                <w:szCs w:val="20"/>
              </w:rPr>
              <w:t>15,975.09</w:t>
            </w:r>
          </w:p>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（注</w:t>
            </w:r>
            <w:r>
              <w:rPr>
                <w:color w:val="000000"/>
                <w:spacing w:val="0"/>
                <w:w w:val="100"/>
                <w:position w:val="0"/>
                <w:sz w:val="20"/>
                <w:szCs w:val="20"/>
              </w:rPr>
              <w:t>1</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20"/>
              <w:jc w:val="left"/>
              <w:rPr>
                <w:sz w:val="20"/>
                <w:szCs w:val="20"/>
              </w:rPr>
            </w:pPr>
            <w:r>
              <w:rPr>
                <w:rFonts w:ascii="SimSun" w:eastAsia="SimSun" w:hAnsi="SimSun" w:cs="SimSun"/>
                <w:color w:val="000000"/>
                <w:spacing w:val="0"/>
                <w:w w:val="100"/>
                <w:position w:val="0"/>
                <w:sz w:val="20"/>
                <w:szCs w:val="20"/>
              </w:rPr>
              <w:t>与贷款期限</w:t>
            </w:r>
          </w:p>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保持一致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上海星图金融服</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务集团有限公司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2019/9/28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18,432.79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340"/>
              <w:jc w:val="left"/>
              <w:rPr>
                <w:sz w:val="20"/>
                <w:szCs w:val="20"/>
              </w:rPr>
            </w:pPr>
            <w:r>
              <w:rPr>
                <w:color w:val="000000"/>
                <w:spacing w:val="0"/>
                <w:w w:val="100"/>
                <w:position w:val="0"/>
                <w:sz w:val="20"/>
                <w:szCs w:val="20"/>
              </w:rPr>
              <w:t>18,432.79</w:t>
            </w:r>
          </w:p>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（注</w:t>
            </w:r>
            <w:r>
              <w:rPr>
                <w:color w:val="000000"/>
                <w:spacing w:val="0"/>
                <w:w w:val="100"/>
                <w:position w:val="0"/>
                <w:sz w:val="20"/>
                <w:szCs w:val="20"/>
              </w:rPr>
              <w:t>1</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20"/>
              <w:jc w:val="left"/>
              <w:rPr>
                <w:sz w:val="20"/>
                <w:szCs w:val="20"/>
              </w:rPr>
            </w:pPr>
            <w:r>
              <w:rPr>
                <w:rFonts w:ascii="SimSun" w:eastAsia="SimSun" w:hAnsi="SimSun" w:cs="SimSun"/>
                <w:color w:val="000000"/>
                <w:spacing w:val="0"/>
                <w:w w:val="100"/>
                <w:position w:val="0"/>
                <w:sz w:val="20"/>
                <w:szCs w:val="20"/>
              </w:rPr>
              <w:t>与贷款期限</w:t>
            </w:r>
          </w:p>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保持一致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r>
        <w:trPr>
          <w:trHeight w:val="18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上海星图金融服</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务集团有限公司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2019/9/28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2019/6/28-20</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r>
        <w:trPr>
          <w:trHeight w:val="643"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报告期内审批的对外担保额度 合计</w:t>
            </w:r>
            <w:r>
              <w:rPr>
                <w:rFonts w:ascii="SimSun" w:eastAsia="SimSun" w:hAnsi="SimSun" w:cs="SimSun"/>
                <w:color w:val="000000"/>
                <w:spacing w:val="0"/>
                <w:w w:val="100"/>
                <w:position w:val="0"/>
                <w:sz w:val="20"/>
                <w:szCs w:val="20"/>
              </w:rPr>
              <w:t>（</w:t>
            </w:r>
            <w:r>
              <w:rPr>
                <w:color w:val="000000"/>
                <w:spacing w:val="0"/>
                <w:w w:val="100"/>
                <w:position w:val="0"/>
                <w:sz w:val="20"/>
                <w:szCs w:val="20"/>
              </w:rPr>
              <w:t>A1</w:t>
            </w:r>
            <w:r>
              <w:rPr>
                <w:rFonts w:ascii="SimSun" w:eastAsia="SimSun" w:hAnsi="SimSun" w:cs="SimSun"/>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报告期内对外 计（</w:t>
            </w:r>
            <w:r>
              <w:rPr>
                <w:color w:val="000000"/>
                <w:spacing w:val="0"/>
                <w:w w:val="100"/>
                <w:position w:val="0"/>
                <w:sz w:val="20"/>
                <w:szCs w:val="20"/>
              </w:rPr>
              <w:t>A2</w:t>
            </w:r>
            <w:r>
              <w:rPr>
                <w:rFonts w:ascii="SimSun" w:eastAsia="SimSun" w:hAnsi="SimSun" w:cs="SimSun"/>
                <w:color w:val="000000"/>
                <w:spacing w:val="0"/>
                <w:w w:val="100"/>
                <w:position w:val="0"/>
                <w:sz w:val="20"/>
                <w:szCs w:val="20"/>
              </w:rPr>
              <w:t>）</w:t>
            </w:r>
          </w:p>
        </w:tc>
        <w:tc>
          <w:tcPr>
            <w:gridSpan w:val="2"/>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卜担保实际发生额合</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204,100.81</w:t>
            </w:r>
          </w:p>
        </w:tc>
      </w:tr>
      <w:tr>
        <w:trPr>
          <w:trHeight w:val="643"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报告期末已审批的对外担保额 度合计</w:t>
            </w:r>
            <w:r>
              <w:rPr>
                <w:rFonts w:ascii="SimSun" w:eastAsia="SimSun" w:hAnsi="SimSun" w:cs="SimSun"/>
                <w:color w:val="000000"/>
                <w:spacing w:val="0"/>
                <w:w w:val="100"/>
                <w:position w:val="0"/>
                <w:sz w:val="20"/>
                <w:szCs w:val="20"/>
              </w:rPr>
              <w:t>（</w:t>
            </w:r>
            <w:r>
              <w:rPr>
                <w:color w:val="000000"/>
                <w:spacing w:val="0"/>
                <w:w w:val="100"/>
                <w:position w:val="0"/>
                <w:sz w:val="20"/>
                <w:szCs w:val="20"/>
              </w:rPr>
              <w:t>A3</w:t>
            </w:r>
            <w:r>
              <w:rPr>
                <w:rFonts w:ascii="SimSun" w:eastAsia="SimSun" w:hAnsi="SimSun" w:cs="SimSun"/>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249,100.81</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报告期末实际对外担保余额合计</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A4</w:t>
            </w:r>
            <w:r>
              <w:rPr>
                <w:rFonts w:ascii="SimSun" w:eastAsia="SimSun" w:hAnsi="SimSun" w:cs="SimSun"/>
                <w:color w:val="000000"/>
                <w:spacing w:val="0"/>
                <w:w w:val="100"/>
                <w:position w:val="0"/>
                <w:sz w:val="20"/>
                <w:szCs w:val="20"/>
              </w:rPr>
              <w:t>）</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149,100.81</w:t>
            </w:r>
          </w:p>
        </w:tc>
      </w:tr>
      <w:tr>
        <w:trPr>
          <w:trHeight w:val="336"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公司对子公司的担保情况</w:t>
            </w:r>
          </w:p>
        </w:tc>
      </w:tr>
      <w:tr>
        <w:trPr>
          <w:trHeight w:val="9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担保对象名称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担保额度</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相关公告</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担保额度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实际发生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实际担保金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担保类 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担保物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反担保情况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260"/>
              <w:jc w:val="left"/>
              <w:rPr>
                <w:sz w:val="20"/>
                <w:szCs w:val="20"/>
              </w:rPr>
            </w:pPr>
            <w:r>
              <w:rPr>
                <w:rFonts w:ascii="SimSun" w:eastAsia="SimSun" w:hAnsi="SimSun" w:cs="SimSun"/>
                <w:color w:val="000000"/>
                <w:spacing w:val="0"/>
                <w:w w:val="100"/>
                <w:position w:val="0"/>
                <w:sz w:val="20"/>
                <w:szCs w:val="20"/>
              </w:rPr>
              <w:t>是否履</w:t>
            </w:r>
          </w:p>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行完毕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260"/>
              <w:jc w:val="left"/>
              <w:rPr>
                <w:sz w:val="20"/>
                <w:szCs w:val="20"/>
              </w:rPr>
            </w:pPr>
            <w:r>
              <w:rPr>
                <w:rFonts w:ascii="SimSun" w:eastAsia="SimSun" w:hAnsi="SimSun" w:cs="SimSun"/>
                <w:color w:val="000000"/>
                <w:spacing w:val="0"/>
                <w:w w:val="100"/>
                <w:position w:val="0"/>
                <w:sz w:val="20"/>
                <w:szCs w:val="20"/>
              </w:rPr>
              <w:t>是否为关</w:t>
            </w:r>
          </w:p>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联方担保</w:t>
            </w:r>
          </w:p>
        </w:tc>
      </w:tr>
      <w:tr>
        <w:trPr>
          <w:trHeight w:val="3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重庆猫宁电子商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2018/7/7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2018/8/28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15,300.00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2018/8/28-20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795"/>
        <w:gridCol w:w="1234"/>
        <w:gridCol w:w="1296"/>
        <w:gridCol w:w="1152"/>
        <w:gridCol w:w="1301"/>
        <w:gridCol w:w="1008"/>
        <w:gridCol w:w="1008"/>
        <w:gridCol w:w="1728"/>
        <w:gridCol w:w="1445"/>
        <w:gridCol w:w="1008"/>
        <w:gridCol w:w="1224"/>
      </w:tblGrid>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重庆猫宁电子商</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2018/7/7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2018/10/1</w:t>
            </w:r>
          </w:p>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4,590.00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2018/10/18-2</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019/4/18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重庆猫宁电子商</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2018/7/7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2018/10/2</w:t>
            </w:r>
          </w:p>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4,590.00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2018/10/26-2</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019/4/26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重庆猫宁电子商</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2018/7/7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2019/5/24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6,120.00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2019/5/24-20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19/6/24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重庆猫宁电子商</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2018/7/7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2019/6/27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8,981.10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2019/6/27-20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19/7/27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重庆猫宁电子商</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2018/7/7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2019/6/27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2019/6/27-20</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19/12/27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重庆猫宁电子商</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2018/7/7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2019/8/2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8,965.80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2019/8/2-201</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苏宁国际集团股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2018/12/13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2018/12/1</w:t>
            </w:r>
          </w:p>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51,934.75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2018/12/14-2</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019/3/14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苏宁国际集团股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2019/8/16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127,514.00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2019/9/20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89,259.80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2019/9/20-20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22/9/26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苏宁国际集团股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2019/8/16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127,514.00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180"/>
              <w:jc w:val="left"/>
              <w:rPr>
                <w:sz w:val="20"/>
                <w:szCs w:val="20"/>
              </w:rPr>
            </w:pPr>
            <w:r>
              <w:rPr>
                <w:color w:val="000000"/>
                <w:spacing w:val="0"/>
                <w:w w:val="100"/>
                <w:position w:val="0"/>
                <w:sz w:val="20"/>
                <w:szCs w:val="20"/>
              </w:rPr>
              <w:t>2019/10/2</w:t>
            </w:r>
          </w:p>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25,502.80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2019/10/21-2</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022/9/26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苏宁国际集团股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2019/8/16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127,514.00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2019/10/2</w:t>
            </w:r>
          </w:p>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12,751.40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2019/10/28-2</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022/9/26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南京苏宁百货有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2019/8/31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121,500.00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2019/9/27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61,500.00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2019/9/27-20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24/9/26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南京苏宁百货有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2019/8/31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121,500.00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180"/>
              <w:jc w:val="left"/>
              <w:rPr>
                <w:sz w:val="20"/>
                <w:szCs w:val="20"/>
              </w:rPr>
            </w:pPr>
            <w:r>
              <w:rPr>
                <w:color w:val="000000"/>
                <w:spacing w:val="0"/>
                <w:w w:val="100"/>
                <w:position w:val="0"/>
                <w:sz w:val="20"/>
                <w:szCs w:val="20"/>
              </w:rPr>
              <w:t>2019/10/2</w:t>
            </w:r>
          </w:p>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60,000.00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2019/10/21-2</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024/9/26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香港苏宁易购、 香港苏宁采购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2019/9/26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10,378.41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2019/9/26-20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20/9/30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5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香港苏宁易购、 香港苏宁采购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2019/9/23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55,000.00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2020/2/18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6,966.55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2020/2/18-20</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20/11/27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795"/>
        <w:gridCol w:w="1234"/>
        <w:gridCol w:w="1296"/>
        <w:gridCol w:w="1152"/>
        <w:gridCol w:w="1301"/>
        <w:gridCol w:w="1008"/>
        <w:gridCol w:w="1008"/>
        <w:gridCol w:w="1728"/>
        <w:gridCol w:w="1445"/>
        <w:gridCol w:w="1008"/>
        <w:gridCol w:w="1224"/>
      </w:tblGrid>
      <w:tr>
        <w:trPr>
          <w:trHeight w:val="65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香港苏宁易购、 香港苏宁采购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2020/3/6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1,427.44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2020/3/6-202</w:t>
            </w:r>
          </w:p>
          <w:p>
            <w:pPr>
              <w:pStyle w:val="Style2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香港苏宁易购、 香港苏宁采购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9,153.76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2020/3/12-20</w:t>
            </w:r>
          </w:p>
          <w:p>
            <w:pPr>
              <w:pStyle w:val="Style2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21/4/7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香港苏宁易购、 香港苏宁采购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2019/9/23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2020/9/30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9,547.42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2020/9/30-20</w:t>
            </w:r>
          </w:p>
          <w:p>
            <w:pPr>
              <w:pStyle w:val="Style2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21/9/7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苏宁国际集团股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2019/9/27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2019/9/26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2019/9/26-20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22/9/25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青岛家乐福商业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2020/4/9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653.6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2020/4/9-202</w:t>
            </w:r>
          </w:p>
          <w:p>
            <w:pPr>
              <w:pStyle w:val="Style2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青岛家乐福商业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798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2020/4/27-20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20/12/9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青岛家乐福商业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2020/5/26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585.2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2020/5/26-20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20/12/9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青岛家乐福商业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608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2020/7/21-20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20/12/9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青岛家乐福商业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2020/8/25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1,155.20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2020/8/25-20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20/12/9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重庆家乐福商业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2020/4/15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2,600.00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2020/4/15-20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21/4/13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重庆家乐福商业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2020/6/10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936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2020/6/10-20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21/4/13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重庆家乐福商业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2020/6/24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468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2020/6/24-20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21/4/13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重庆家乐福商业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2020/7/23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676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2020/7/23-20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21/4/13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重庆家乐福商业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2020/9/25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2020/9/25-20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21/4/13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海口家乐福商业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2020/2/22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2020/4/9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1,064.00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2020/4/9-202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795"/>
        <w:gridCol w:w="1234"/>
        <w:gridCol w:w="1296"/>
        <w:gridCol w:w="1152"/>
        <w:gridCol w:w="1301"/>
        <w:gridCol w:w="1008"/>
        <w:gridCol w:w="1008"/>
        <w:gridCol w:w="1728"/>
        <w:gridCol w:w="1445"/>
        <w:gridCol w:w="1008"/>
        <w:gridCol w:w="1224"/>
      </w:tblGrid>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0/12/21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海口家乐福商业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2020/4/27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1,416.00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2020/4/27-20</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20/12/21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海口家乐福商业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2020/7/20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1,520.00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2020/7/20-20</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20/12/21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香港苏宁采购有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重庆苏宁易购销 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2020/12/5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64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青岛家乐福商业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海口家乐福商业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2021/9/29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2021/9/29-20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22/9/29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海口家乐福商业</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2021/10/2</w:t>
            </w:r>
          </w:p>
          <w:p>
            <w:pPr>
              <w:pStyle w:val="Style29"/>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2021/10/29-2</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022/10/29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广州家广超市有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新疆家乐福超市</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陕西苏宁易购销 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2021/9/17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64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云南苏宁易购销 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2021/9/17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12,800.00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天津天宁苏宁易</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购商贸有限公司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2021/9/17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2021/10/1</w:t>
            </w:r>
          </w:p>
          <w:p>
            <w:pPr>
              <w:pStyle w:val="Style29"/>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1,999.80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2021/10/12-2</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022/4/12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甘肃苏宁易购商 贸有限公司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2021/9/17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65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广东苏宁易购销</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售有限公司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2021/11/6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95,000.00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80"/>
              <w:jc w:val="both"/>
              <w:rPr>
                <w:sz w:val="20"/>
                <w:szCs w:val="20"/>
              </w:rPr>
            </w:pPr>
            <w:r>
              <w:rPr>
                <w:color w:val="000000"/>
                <w:spacing w:val="0"/>
                <w:w w:val="100"/>
                <w:position w:val="0"/>
                <w:sz w:val="20"/>
                <w:szCs w:val="20"/>
              </w:rPr>
              <w:t>2021/11/1</w:t>
            </w:r>
          </w:p>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47,362.27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2021/11/19-2</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022/5/18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795"/>
        <w:gridCol w:w="1234"/>
        <w:gridCol w:w="1296"/>
        <w:gridCol w:w="1152"/>
        <w:gridCol w:w="1301"/>
        <w:gridCol w:w="1008"/>
        <w:gridCol w:w="1008"/>
        <w:gridCol w:w="1728"/>
        <w:gridCol w:w="1445"/>
        <w:gridCol w:w="1008"/>
        <w:gridCol w:w="1224"/>
      </w:tblGrid>
      <w:tr>
        <w:trPr>
          <w:trHeight w:val="65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广东苏宁易购销</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95,000.00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2021/11/1</w:t>
            </w:r>
          </w:p>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47,637.73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2021/11/17-2</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022/5/16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报告期内审批对子公司担保额 度合计</w:t>
            </w:r>
            <w:r>
              <w:rPr>
                <w:rFonts w:ascii="SimSun" w:eastAsia="SimSun" w:hAnsi="SimSun" w:cs="SimSun"/>
                <w:color w:val="000000"/>
                <w:spacing w:val="0"/>
                <w:w w:val="100"/>
                <w:position w:val="0"/>
                <w:sz w:val="20"/>
                <w:szCs w:val="20"/>
              </w:rPr>
              <w:t>（</w:t>
            </w:r>
            <w:r>
              <w:rPr>
                <w:color w:val="000000"/>
                <w:spacing w:val="0"/>
                <w:w w:val="100"/>
                <w:position w:val="0"/>
                <w:sz w:val="20"/>
                <w:szCs w:val="20"/>
              </w:rPr>
              <w:t>B1</w:t>
            </w:r>
            <w:r>
              <w:rPr>
                <w:rFonts w:ascii="SimSun" w:eastAsia="SimSun" w:hAnsi="SimSun" w:cs="SimSun"/>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179,800.00</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报告期内对子公司实际担保发生 额合计</w:t>
            </w:r>
            <w:r>
              <w:rPr>
                <w:rFonts w:ascii="SimSun" w:eastAsia="SimSun" w:hAnsi="SimSun" w:cs="SimSun"/>
                <w:color w:val="000000"/>
                <w:spacing w:val="0"/>
                <w:w w:val="100"/>
                <w:position w:val="0"/>
                <w:sz w:val="20"/>
                <w:szCs w:val="20"/>
              </w:rPr>
              <w:t>（</w:t>
            </w:r>
            <w:r>
              <w:rPr>
                <w:color w:val="000000"/>
                <w:spacing w:val="0"/>
                <w:w w:val="100"/>
                <w:position w:val="0"/>
                <w:sz w:val="20"/>
                <w:szCs w:val="20"/>
              </w:rPr>
              <w:t>B2</w:t>
            </w:r>
            <w:r>
              <w:rPr>
                <w:rFonts w:ascii="SimSun" w:eastAsia="SimSun" w:hAnsi="SimSun" w:cs="SimSun"/>
                <w:color w:val="000000"/>
                <w:spacing w:val="0"/>
                <w:w w:val="100"/>
                <w:position w:val="0"/>
                <w:sz w:val="20"/>
                <w:szCs w:val="20"/>
              </w:rPr>
              <w:t>）</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496,142.42</w:t>
            </w:r>
          </w:p>
        </w:tc>
      </w:tr>
      <w:tr>
        <w:trPr>
          <w:trHeight w:val="643"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报告期末已审批的对子公司担 保额度合计</w:t>
            </w:r>
            <w:r>
              <w:rPr>
                <w:rFonts w:ascii="SimSun" w:eastAsia="SimSun" w:hAnsi="SimSun" w:cs="SimSun"/>
                <w:color w:val="000000"/>
                <w:spacing w:val="0"/>
                <w:w w:val="100"/>
                <w:position w:val="0"/>
                <w:sz w:val="20"/>
                <w:szCs w:val="20"/>
              </w:rPr>
              <w:t>（</w:t>
            </w:r>
            <w:r>
              <w:rPr>
                <w:color w:val="000000"/>
                <w:spacing w:val="0"/>
                <w:w w:val="100"/>
                <w:position w:val="0"/>
                <w:sz w:val="20"/>
                <w:szCs w:val="20"/>
              </w:rPr>
              <w:t>B3</w:t>
            </w:r>
            <w:r>
              <w:rPr>
                <w:rFonts w:ascii="SimSun" w:eastAsia="SimSun" w:hAnsi="SimSun" w:cs="SimSun"/>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908,814.00</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报告期末对子公司实际担保余额 合计</w:t>
            </w:r>
            <w:r>
              <w:rPr>
                <w:rFonts w:ascii="SimSun" w:eastAsia="SimSun" w:hAnsi="SimSun" w:cs="SimSun"/>
                <w:color w:val="000000"/>
                <w:spacing w:val="0"/>
                <w:w w:val="100"/>
                <w:position w:val="0"/>
                <w:sz w:val="20"/>
                <w:szCs w:val="20"/>
              </w:rPr>
              <w:t>（</w:t>
            </w:r>
            <w:r>
              <w:rPr>
                <w:color w:val="000000"/>
                <w:spacing w:val="0"/>
                <w:w w:val="100"/>
                <w:position w:val="0"/>
                <w:sz w:val="20"/>
                <w:szCs w:val="20"/>
              </w:rPr>
              <w:t>B4</w:t>
            </w:r>
            <w:r>
              <w:rPr>
                <w:rFonts w:ascii="SimSun" w:eastAsia="SimSun" w:hAnsi="SimSun" w:cs="SimSun"/>
                <w:color w:val="000000"/>
                <w:spacing w:val="0"/>
                <w:w w:val="100"/>
                <w:position w:val="0"/>
                <w:sz w:val="20"/>
                <w:szCs w:val="20"/>
              </w:rPr>
              <w:t>）</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470,813.80</w:t>
            </w:r>
          </w:p>
        </w:tc>
      </w:tr>
      <w:tr>
        <w:trPr>
          <w:trHeight w:val="336" w:hRule="exact"/>
        </w:trPr>
        <w:tc>
          <w:tcPr>
            <w:gridSpan w:val="6"/>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5820" w:right="0" w:firstLine="0"/>
              <w:jc w:val="left"/>
              <w:rPr>
                <w:sz w:val="20"/>
                <w:szCs w:val="20"/>
              </w:rPr>
            </w:pPr>
            <w:r>
              <w:rPr>
                <w:rFonts w:ascii="SimSun" w:eastAsia="SimSun" w:hAnsi="SimSun" w:cs="SimSun"/>
                <w:color w:val="000000"/>
                <w:spacing w:val="0"/>
                <w:w w:val="100"/>
                <w:position w:val="0"/>
                <w:sz w:val="20"/>
                <w:szCs w:val="20"/>
              </w:rPr>
              <w:t>子公司对子公司的担</w:t>
            </w:r>
            <w:r>
              <w:rPr>
                <w:color w:val="000000"/>
                <w:spacing w:val="0"/>
                <w:w w:val="100"/>
                <w:position w:val="0"/>
                <w:sz w:val="20"/>
                <w:szCs w:val="20"/>
              </w:rPr>
              <w:t>4</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呆情况</w:t>
            </w:r>
          </w:p>
        </w:tc>
      </w:tr>
      <w:tr>
        <w:trPr>
          <w:trHeight w:val="9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担保对象名称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担保额度</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相关公告</w:t>
            </w:r>
          </w:p>
          <w:p>
            <w:pPr>
              <w:pStyle w:val="Style2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担保额度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实际发生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实际担保金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担保类 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担保物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反担保情况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right"/>
              <w:rPr>
                <w:sz w:val="20"/>
                <w:szCs w:val="20"/>
              </w:rPr>
            </w:pPr>
            <w:r>
              <w:rPr>
                <w:rFonts w:ascii="SimSun" w:eastAsia="SimSun" w:hAnsi="SimSun" w:cs="SimSun"/>
                <w:color w:val="000000"/>
                <w:spacing w:val="0"/>
                <w:w w:val="100"/>
                <w:position w:val="0"/>
                <w:sz w:val="20"/>
                <w:szCs w:val="20"/>
              </w:rPr>
              <w:t>是否履</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行完毕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right"/>
              <w:rPr>
                <w:sz w:val="20"/>
                <w:szCs w:val="20"/>
              </w:rPr>
            </w:pPr>
            <w:r>
              <w:rPr>
                <w:rFonts w:ascii="SimSun" w:eastAsia="SimSun" w:hAnsi="SimSun" w:cs="SimSun"/>
                <w:color w:val="000000"/>
                <w:spacing w:val="0"/>
                <w:w w:val="100"/>
                <w:position w:val="0"/>
                <w:sz w:val="20"/>
                <w:szCs w:val="20"/>
              </w:rPr>
              <w:t>是否为关</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联方担保</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江苏苏宁易购电</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子商务有限公司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2021/5/26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50,977.10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2021/5/6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50,977.10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抵押担 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不动产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2021/5/6-202</w:t>
            </w:r>
          </w:p>
          <w:p>
            <w:pPr>
              <w:pStyle w:val="Style2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9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家乐福（上海） 供应链管理有限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2021/5/26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抵押担 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不动产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2021/5/19-20</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21/9/22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江苏苏宁大药房</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2021/6/10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连带责</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2021/1/1-202</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1/12/31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青岛胶宁苏宁易</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购商贸有限公司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700.00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2021/6/3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抵押担 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不动产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2021/6/3-202</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重庆猫宁电子商</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4,170.00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4,170.00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抵押担 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不动产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2018/1/1-202</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3/12/31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重庆猫宁电子商</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4,170.00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4,170.00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抵押担 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不动产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2019/1/1-202</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3/12/31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苏宁智能终端有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2021/7/24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2,483.00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2,483.00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抵押担 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不动产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2019/1/1-202</w:t>
            </w:r>
          </w:p>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3/12/31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72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苏宁智能终端有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2021/12/31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2,620.51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2021/12/2</w:t>
            </w:r>
          </w:p>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2,620.51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抵押担 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不动产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2021/12/6-20</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22/12/31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r>
        <w:trPr>
          <w:trHeight w:val="65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苏宁智能终端有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2021/12/31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5,659.41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2021/12/1</w:t>
            </w:r>
          </w:p>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5,659.41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抵押担 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不动产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both"/>
              <w:rPr>
                <w:sz w:val="20"/>
                <w:szCs w:val="20"/>
              </w:rPr>
            </w:pPr>
            <w:r>
              <w:rPr>
                <w:color w:val="000000"/>
                <w:spacing w:val="0"/>
                <w:w w:val="100"/>
                <w:position w:val="0"/>
                <w:sz w:val="20"/>
                <w:szCs w:val="20"/>
              </w:rPr>
              <w:t>2021/12/6-20</w:t>
            </w:r>
          </w:p>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22/12/31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3029"/>
        <w:gridCol w:w="2448"/>
        <w:gridCol w:w="3317"/>
        <w:gridCol w:w="5405"/>
      </w:tblGrid>
      <w:tr>
        <w:trPr>
          <w:trHeight w:val="65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left"/>
              <w:rPr>
                <w:sz w:val="20"/>
                <w:szCs w:val="20"/>
              </w:rPr>
            </w:pPr>
            <w:r>
              <w:rPr>
                <w:rFonts w:ascii="SimSun" w:eastAsia="SimSun" w:hAnsi="SimSun" w:cs="SimSun"/>
                <w:color w:val="000000"/>
                <w:spacing w:val="0"/>
                <w:w w:val="100"/>
                <w:position w:val="0"/>
                <w:sz w:val="20"/>
                <w:szCs w:val="20"/>
              </w:rPr>
              <w:t>苏宁智能终端有</w:t>
            </w:r>
            <w:r>
              <w:rPr>
                <w:color w:val="000000"/>
                <w:spacing w:val="0"/>
                <w:w w:val="100"/>
                <w:position w:val="0"/>
                <w:sz w:val="20"/>
                <w:szCs w:val="20"/>
              </w:rPr>
              <w:t xml:space="preserve">2021/12/31 </w:t>
            </w:r>
            <w:r>
              <w:rPr>
                <w:rFonts w:ascii="SimSun" w:eastAsia="SimSun" w:hAnsi="SimSun" w:cs="SimSun"/>
                <w:color w:val="000000"/>
                <w:spacing w:val="0"/>
                <w:w w:val="100"/>
                <w:position w:val="0"/>
                <w:sz w:val="20"/>
                <w:szCs w:val="20"/>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2021/12/2</w:t>
            </w:r>
          </w:p>
          <w:p>
            <w:pPr>
              <w:pStyle w:val="Style29"/>
              <w:keepNext w:val="0"/>
              <w:keepLines w:val="0"/>
              <w:widowControl w:val="0"/>
              <w:shd w:val="clear" w:color="auto" w:fill="auto"/>
              <w:tabs>
                <w:tab w:pos="1776" w:val="left"/>
              </w:tabs>
              <w:bidi w:val="0"/>
              <w:spacing w:before="0" w:after="0" w:line="180" w:lineRule="auto"/>
              <w:ind w:left="0" w:right="0" w:firstLine="0"/>
              <w:jc w:val="right"/>
              <w:rPr>
                <w:sz w:val="20"/>
                <w:szCs w:val="20"/>
              </w:rPr>
            </w:pPr>
            <w:r>
              <w:rPr>
                <w:color w:val="000000"/>
                <w:spacing w:val="0"/>
                <w:w w:val="100"/>
                <w:position w:val="0"/>
                <w:sz w:val="20"/>
                <w:szCs w:val="20"/>
              </w:rPr>
              <w:t>9,092.49</w:t>
              <w:tab/>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pos="2406" w:val="left"/>
              </w:tabs>
              <w:bidi w:val="0"/>
              <w:spacing w:before="0" w:after="0" w:line="240" w:lineRule="auto"/>
              <w:ind w:left="0" w:right="0" w:firstLine="500"/>
              <w:jc w:val="left"/>
              <w:rPr>
                <w:sz w:val="20"/>
                <w:szCs w:val="20"/>
              </w:rPr>
            </w:pPr>
            <w:r>
              <w:rPr>
                <w:color w:val="000000"/>
                <w:spacing w:val="0"/>
                <w:w w:val="100"/>
                <w:position w:val="0"/>
                <w:sz w:val="20"/>
                <w:szCs w:val="20"/>
              </w:rPr>
              <w:t>9092.49</w:t>
            </w:r>
            <w:r>
              <w:rPr>
                <w:rFonts w:ascii="SimSun" w:eastAsia="SimSun" w:hAnsi="SimSun" w:cs="SimSun"/>
                <w:color w:val="000000"/>
                <w:spacing w:val="0"/>
                <w:w w:val="100"/>
                <w:position w:val="0"/>
                <w:sz w:val="20"/>
                <w:szCs w:val="20"/>
              </w:rPr>
              <w:t>抵押担</w:t>
              <w:tab/>
              <w:t>不动产</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1795" w:val="left"/>
                <w:tab w:pos="3739" w:val="left"/>
                <w:tab w:pos="4949"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十</w:t>
              <w:tab/>
            </w:r>
            <w:r>
              <w:rPr>
                <w:color w:val="000000"/>
                <w:spacing w:val="0"/>
                <w:w w:val="100"/>
                <w:position w:val="0"/>
                <w:sz w:val="20"/>
                <w:szCs w:val="20"/>
              </w:rPr>
              <w:t>2021/12/6-20</w:t>
              <w:tab/>
            </w:r>
            <w:r>
              <w:rPr>
                <w:rFonts w:ascii="SimSun" w:eastAsia="SimSun" w:hAnsi="SimSun" w:cs="SimSun"/>
                <w:color w:val="000000"/>
                <w:spacing w:val="0"/>
                <w:w w:val="100"/>
                <w:position w:val="0"/>
                <w:sz w:val="20"/>
                <w:szCs w:val="20"/>
              </w:rPr>
              <w:t>亍</w:t>
              <w:tab/>
              <w:t>亍</w:t>
            </w:r>
          </w:p>
          <w:p>
            <w:pPr>
              <w:pStyle w:val="Style29"/>
              <w:keepNext w:val="0"/>
              <w:keepLines w:val="0"/>
              <w:widowControl w:val="0"/>
              <w:shd w:val="clear" w:color="auto" w:fill="auto"/>
              <w:tabs>
                <w:tab w:pos="3754" w:val="left"/>
                <w:tab w:pos="4963"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tab/>
              <w:t>否</w:t>
              <w:tab/>
              <w:t>否</w:t>
            </w:r>
          </w:p>
          <w:p>
            <w:pPr>
              <w:pStyle w:val="Style29"/>
              <w:keepNext w:val="0"/>
              <w:keepLines w:val="0"/>
              <w:widowControl w:val="0"/>
              <w:shd w:val="clear" w:color="auto" w:fill="auto"/>
              <w:bidi w:val="0"/>
              <w:spacing w:before="0" w:after="0" w:line="180" w:lineRule="auto"/>
              <w:ind w:left="0" w:right="0" w:firstLine="0"/>
              <w:jc w:val="center"/>
              <w:rPr>
                <w:sz w:val="20"/>
                <w:szCs w:val="20"/>
              </w:rPr>
            </w:pPr>
            <w:r>
              <w:rPr>
                <w:color w:val="000000"/>
                <w:spacing w:val="0"/>
                <w:w w:val="100"/>
                <w:position w:val="0"/>
                <w:sz w:val="20"/>
                <w:szCs w:val="20"/>
              </w:rPr>
              <w:t>22/12/31</w:t>
            </w:r>
          </w:p>
        </w:tc>
      </w:tr>
      <w:tr>
        <w:trPr>
          <w:trHeight w:val="64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报告期内审批对子公司担保额 度合计</w:t>
            </w:r>
            <w:r>
              <w:rPr>
                <w:rFonts w:ascii="SimSun" w:eastAsia="SimSun" w:hAnsi="SimSun" w:cs="SimSun"/>
                <w:color w:val="000000"/>
                <w:spacing w:val="0"/>
                <w:w w:val="100"/>
                <w:position w:val="0"/>
                <w:sz w:val="20"/>
                <w:szCs w:val="20"/>
              </w:rPr>
              <w:t>（</w:t>
            </w:r>
            <w:r>
              <w:rPr>
                <w:color w:val="000000"/>
                <w:spacing w:val="0"/>
                <w:w w:val="100"/>
                <w:position w:val="0"/>
                <w:sz w:val="20"/>
                <w:szCs w:val="20"/>
              </w:rPr>
              <w:t>C1</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110,872.51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报告期内对子公司担保实际发生 额合计</w:t>
            </w:r>
            <w:r>
              <w:rPr>
                <w:rFonts w:ascii="SimSun" w:eastAsia="SimSun" w:hAnsi="SimSun" w:cs="SimSun"/>
                <w:color w:val="000000"/>
                <w:spacing w:val="0"/>
                <w:w w:val="100"/>
                <w:position w:val="0"/>
                <w:sz w:val="20"/>
                <w:szCs w:val="20"/>
              </w:rPr>
              <w:t>（</w:t>
            </w:r>
            <w:r>
              <w:rPr>
                <w:color w:val="000000"/>
                <w:spacing w:val="0"/>
                <w:w w:val="100"/>
                <w:position w:val="0"/>
                <w:sz w:val="20"/>
                <w:szCs w:val="20"/>
              </w:rPr>
              <w:t>C2</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20" w:right="0" w:firstLine="0"/>
              <w:jc w:val="left"/>
              <w:rPr>
                <w:sz w:val="20"/>
                <w:szCs w:val="20"/>
              </w:rPr>
            </w:pPr>
            <w:r>
              <w:rPr>
                <w:color w:val="000000"/>
                <w:spacing w:val="0"/>
                <w:w w:val="100"/>
                <w:position w:val="0"/>
                <w:sz w:val="20"/>
                <w:szCs w:val="20"/>
              </w:rPr>
              <w:t>110,872.51</w:t>
            </w:r>
          </w:p>
        </w:tc>
      </w:tr>
      <w:tr>
        <w:trPr>
          <w:trHeight w:val="64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报告期末已审批的对子公司担 保额度合计</w:t>
            </w:r>
            <w:r>
              <w:rPr>
                <w:rFonts w:ascii="SimSun" w:eastAsia="SimSun" w:hAnsi="SimSun" w:cs="SimSun"/>
                <w:color w:val="000000"/>
                <w:spacing w:val="0"/>
                <w:w w:val="100"/>
                <w:position w:val="0"/>
                <w:sz w:val="20"/>
                <w:szCs w:val="20"/>
              </w:rPr>
              <w:t>（</w:t>
            </w:r>
            <w:r>
              <w:rPr>
                <w:color w:val="000000"/>
                <w:spacing w:val="0"/>
                <w:w w:val="100"/>
                <w:position w:val="0"/>
                <w:sz w:val="20"/>
                <w:szCs w:val="20"/>
              </w:rPr>
              <w:t>C3</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110,872.51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报告期末对子公司实际担保余额 合计（</w:t>
            </w:r>
            <w:r>
              <w:rPr>
                <w:color w:val="000000"/>
                <w:spacing w:val="0"/>
                <w:w w:val="100"/>
                <w:position w:val="0"/>
                <w:sz w:val="20"/>
                <w:szCs w:val="20"/>
              </w:rPr>
              <w:t>C4</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28,895.41</w:t>
            </w:r>
          </w:p>
        </w:tc>
      </w:tr>
      <w:tr>
        <w:trPr>
          <w:trHeight w:val="336" w:hRule="exact"/>
        </w:trPr>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公司担保总额（即前三大项的合计）</w:t>
            </w:r>
          </w:p>
        </w:tc>
      </w:tr>
      <w:tr>
        <w:trPr>
          <w:trHeight w:val="64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报告期内审批担保额度合计</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A1+B1+C1</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290,672.51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报告期内担保实际发生额合计</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A2+B2+C2</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20" w:right="0" w:firstLine="0"/>
              <w:jc w:val="left"/>
              <w:rPr>
                <w:sz w:val="20"/>
                <w:szCs w:val="20"/>
              </w:rPr>
            </w:pPr>
            <w:r>
              <w:rPr>
                <w:color w:val="000000"/>
                <w:spacing w:val="0"/>
                <w:w w:val="100"/>
                <w:position w:val="0"/>
                <w:sz w:val="20"/>
                <w:szCs w:val="20"/>
              </w:rPr>
              <w:t>811,115.74</w:t>
            </w:r>
          </w:p>
        </w:tc>
      </w:tr>
      <w:tr>
        <w:trPr>
          <w:trHeight w:val="64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报告期末已审批的担保额度合 计（</w:t>
            </w:r>
            <w:r>
              <w:rPr>
                <w:color w:val="000000"/>
                <w:spacing w:val="0"/>
                <w:w w:val="100"/>
                <w:position w:val="0"/>
                <w:sz w:val="20"/>
                <w:szCs w:val="20"/>
              </w:rPr>
              <w:t>A3+B3+C3</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1,268,787.32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报告期末实际担保余额合计</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A4+B4+C4</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20" w:right="0" w:firstLine="0"/>
              <w:jc w:val="left"/>
              <w:rPr>
                <w:sz w:val="20"/>
                <w:szCs w:val="20"/>
              </w:rPr>
            </w:pPr>
            <w:r>
              <w:rPr>
                <w:color w:val="000000"/>
                <w:spacing w:val="0"/>
                <w:w w:val="100"/>
                <w:position w:val="0"/>
                <w:sz w:val="20"/>
                <w:szCs w:val="20"/>
              </w:rPr>
              <w:t>648,810.02</w:t>
            </w:r>
          </w:p>
        </w:tc>
      </w:tr>
      <w:tr>
        <w:trPr>
          <w:trHeight w:val="331"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实际担保总额（即</w:t>
            </w:r>
            <w:r>
              <w:rPr>
                <w:color w:val="000000"/>
                <w:spacing w:val="0"/>
                <w:w w:val="100"/>
                <w:position w:val="0"/>
                <w:sz w:val="20"/>
                <w:szCs w:val="20"/>
              </w:rPr>
              <w:t>A4+B4+C4</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占公司净资产的比例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20.21%</w:t>
            </w:r>
          </w:p>
        </w:tc>
      </w:tr>
      <w:tr>
        <w:trPr>
          <w:trHeight w:val="331" w:hRule="exact"/>
        </w:trPr>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w:t>
            </w:r>
          </w:p>
        </w:tc>
      </w:tr>
      <w:tr>
        <w:trPr>
          <w:trHeight w:val="331"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为股东、实际控制人及其关联方提供担保的余额</w:t>
            </w:r>
            <w:r>
              <w:rPr>
                <w:rFonts w:ascii="SimSun" w:eastAsia="SimSun" w:hAnsi="SimSun" w:cs="SimSun"/>
                <w:color w:val="000000"/>
                <w:spacing w:val="0"/>
                <w:w w:val="100"/>
                <w:position w:val="0"/>
                <w:sz w:val="20"/>
                <w:szCs w:val="20"/>
              </w:rPr>
              <w:t>（</w:t>
            </w:r>
            <w:r>
              <w:rPr>
                <w:color w:val="000000"/>
                <w:spacing w:val="0"/>
                <w:w w:val="100"/>
                <w:position w:val="0"/>
                <w:sz w:val="20"/>
                <w:szCs w:val="20"/>
              </w:rPr>
              <w:t>D</w:t>
            </w:r>
            <w:r>
              <w:rPr>
                <w:rFonts w:ascii="SimSun" w:eastAsia="SimSun" w:hAnsi="SimSun" w:cs="SimSun"/>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149,100.81</w:t>
            </w:r>
          </w:p>
        </w:tc>
      </w:tr>
      <w:tr>
        <w:trPr>
          <w:trHeight w:val="648"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直接或间接为资产负债率超过</w:t>
            </w:r>
            <w:r>
              <w:rPr>
                <w:color w:val="000000"/>
                <w:spacing w:val="0"/>
                <w:w w:val="100"/>
                <w:position w:val="0"/>
                <w:sz w:val="20"/>
                <w:szCs w:val="20"/>
              </w:rPr>
              <w:t>70%</w:t>
            </w:r>
            <w:r>
              <w:rPr>
                <w:rFonts w:ascii="SimSun" w:eastAsia="SimSun" w:hAnsi="SimSun" w:cs="SimSun"/>
                <w:color w:val="000000"/>
                <w:spacing w:val="0"/>
                <w:w w:val="100"/>
                <w:position w:val="0"/>
                <w:sz w:val="20"/>
                <w:szCs w:val="20"/>
              </w:rPr>
              <w:t>的被担保对象提供的债 务担保余额</w:t>
            </w:r>
            <w:r>
              <w:rPr>
                <w:rFonts w:ascii="SimSun" w:eastAsia="SimSun" w:hAnsi="SimSun" w:cs="SimSun"/>
                <w:color w:val="000000"/>
                <w:spacing w:val="0"/>
                <w:w w:val="100"/>
                <w:position w:val="0"/>
                <w:sz w:val="20"/>
                <w:szCs w:val="20"/>
              </w:rPr>
              <w:t>（</w:t>
            </w:r>
            <w:r>
              <w:rPr>
                <w:color w:val="000000"/>
                <w:spacing w:val="0"/>
                <w:w w:val="100"/>
                <w:position w:val="0"/>
                <w:sz w:val="20"/>
                <w:szCs w:val="20"/>
              </w:rPr>
              <w:t>E</w:t>
            </w:r>
            <w:r>
              <w:rPr>
                <w:rFonts w:ascii="SimSun" w:eastAsia="SimSun" w:hAnsi="SimSun" w:cs="SimSun"/>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31"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担保总额超过净资产</w:t>
            </w:r>
            <w:r>
              <w:rPr>
                <w:color w:val="000000"/>
                <w:spacing w:val="0"/>
                <w:w w:val="100"/>
                <w:position w:val="0"/>
                <w:sz w:val="20"/>
                <w:szCs w:val="20"/>
              </w:rPr>
              <w:t>50%</w:t>
            </w:r>
            <w:r>
              <w:rPr>
                <w:rFonts w:ascii="SimSun" w:eastAsia="SimSun" w:hAnsi="SimSun" w:cs="SimSun"/>
                <w:color w:val="000000"/>
                <w:spacing w:val="0"/>
                <w:w w:val="100"/>
                <w:position w:val="0"/>
                <w:sz w:val="20"/>
                <w:szCs w:val="20"/>
              </w:rPr>
              <w:t>部分的金额</w:t>
            </w:r>
            <w:r>
              <w:rPr>
                <w:rFonts w:ascii="SimSun" w:eastAsia="SimSun" w:hAnsi="SimSun" w:cs="SimSun"/>
                <w:color w:val="000000"/>
                <w:spacing w:val="0"/>
                <w:w w:val="100"/>
                <w:position w:val="0"/>
                <w:sz w:val="20"/>
                <w:szCs w:val="20"/>
              </w:rPr>
              <w:t>（</w:t>
            </w:r>
            <w:r>
              <w:rPr>
                <w:color w:val="000000"/>
                <w:spacing w:val="0"/>
                <w:w w:val="100"/>
                <w:position w:val="0"/>
                <w:sz w:val="20"/>
                <w:szCs w:val="20"/>
              </w:rPr>
              <w:t>F</w:t>
            </w:r>
            <w:r>
              <w:rPr>
                <w:rFonts w:ascii="SimSun" w:eastAsia="SimSun" w:hAnsi="SimSun" w:cs="SimSun"/>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36"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上述三项担保金额合计</w:t>
            </w:r>
            <w:r>
              <w:rPr>
                <w:rFonts w:ascii="SimSun" w:eastAsia="SimSun" w:hAnsi="SimSun" w:cs="SimSun"/>
                <w:color w:val="000000"/>
                <w:spacing w:val="0"/>
                <w:w w:val="100"/>
                <w:position w:val="0"/>
                <w:sz w:val="20"/>
                <w:szCs w:val="20"/>
              </w:rPr>
              <w:t>（</w:t>
            </w:r>
            <w:r>
              <w:rPr>
                <w:color w:val="000000"/>
                <w:spacing w:val="0"/>
                <w:w w:val="100"/>
                <w:position w:val="0"/>
                <w:sz w:val="20"/>
                <w:szCs w:val="20"/>
              </w:rPr>
              <w:t>D+E+F</w:t>
            </w:r>
            <w:r>
              <w:rPr>
                <w:rFonts w:ascii="SimSun" w:eastAsia="SimSun" w:hAnsi="SimSun" w:cs="SimSun"/>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149,100.81</w:t>
            </w:r>
          </w:p>
        </w:tc>
      </w:tr>
      <w:tr>
        <w:trPr>
          <w:trHeight w:val="643"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对未到期担保合同，报告期内已发生担保责任或有证据表 明有可能承担连带清偿责任的情况说明（如有）</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详见注</w:t>
            </w:r>
            <w:r>
              <w:rPr>
                <w:color w:val="000000"/>
                <w:spacing w:val="0"/>
                <w:w w:val="100"/>
                <w:position w:val="0"/>
                <w:sz w:val="20"/>
                <w:szCs w:val="20"/>
              </w:rPr>
              <w:t>2</w:t>
            </w:r>
          </w:p>
        </w:tc>
      </w:tr>
      <w:tr>
        <w:trPr>
          <w:trHeight w:val="350"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无</w:t>
            </w:r>
          </w:p>
        </w:tc>
      </w:tr>
    </w:tbl>
    <w:p>
      <w:pPr>
        <w:pStyle w:val="Style26"/>
        <w:keepNext w:val="0"/>
        <w:keepLines w:val="0"/>
        <w:widowControl w:val="0"/>
        <w:shd w:val="clear" w:color="auto" w:fill="auto"/>
        <w:bidi w:val="0"/>
        <w:spacing w:before="0" w:after="0" w:line="240" w:lineRule="auto"/>
        <w:ind w:left="542" w:right="0" w:firstLine="0"/>
        <w:jc w:val="left"/>
        <w:sectPr>
          <w:footnotePr>
            <w:pos w:val="pageBottom"/>
            <w:numFmt w:val="decimal"/>
            <w:numStart w:val="1"/>
            <w:numRestart w:val="continuous"/>
            <w15:footnoteColumns w:val="1"/>
          </w:footnotePr>
          <w:pgSz w:w="16840" w:h="11900" w:orient="landscape"/>
          <w:pgMar w:top="1030" w:right="1321" w:bottom="1237" w:left="1321"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：担保金额初始本金为港币，按照</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日港币兑人民币汇率计算。</w:t>
      </w:r>
    </w:p>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 xml:space="preserve">：对未到期担保合同，报告期内已发生担保责任或有证据表明有可能承担连带清偿责任的情 </w:t>
      </w:r>
      <w:r>
        <w:rPr>
          <w:color w:val="000000"/>
          <w:spacing w:val="0"/>
          <w:w w:val="100"/>
          <w:position w:val="0"/>
        </w:rPr>
        <w:t>况说明</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公司对上海星图金融服务集团有限公司（以下简称“金服公司”）提供的担保，已经公司第六届 董事会第十一次会议审议通过《关于公司及控股子公司提供担保的议案》，第六届董事会第二十九次 会议审议通过《关于为控股子公司提供担保的议案》，第三十八次会议审议通过、</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年年度股东大 会决议通过《关于为控股子公司提供担保的议案》。</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月金服公司增资扩股不再纳入公司合并 报表范围，已经公司第六届董事会第五十次审议、</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年第三次临时股东大会决议通过《关于确认公 司为苏宁金服及其下属子公司提供担保的议案》，公司确认继续按</w:t>
      </w:r>
      <w:r>
        <w:rPr>
          <w:rFonts w:ascii="Times New Roman" w:eastAsia="Times New Roman" w:hAnsi="Times New Roman" w:cs="Times New Roman"/>
          <w:color w:val="000000"/>
          <w:spacing w:val="0"/>
          <w:w w:val="100"/>
          <w:position w:val="0"/>
          <w:sz w:val="22"/>
          <w:szCs w:val="22"/>
        </w:rPr>
        <w:t>50.1%</w:t>
      </w:r>
      <w:r>
        <w:rPr>
          <w:color w:val="000000"/>
          <w:spacing w:val="0"/>
          <w:w w:val="100"/>
          <w:position w:val="0"/>
        </w:rPr>
        <w:t>的比例为金服公司提供担保， 金服公司向公司出具《反担保保证书》。</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日金服公司于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日与工银国际金融有限公司、中信银行（国际）有限 公司作为牵头簿记行及中信银行（国际）有限公司作为代理行签署的《关于</w:t>
      </w:r>
      <w:r>
        <w:rPr>
          <w:rFonts w:ascii="Times New Roman" w:eastAsia="Times New Roman" w:hAnsi="Times New Roman" w:cs="Times New Roman"/>
          <w:color w:val="000000"/>
          <w:spacing w:val="0"/>
          <w:w w:val="100"/>
          <w:position w:val="0"/>
          <w:sz w:val="22"/>
          <w:szCs w:val="22"/>
        </w:rPr>
        <w:t>38</w:t>
      </w:r>
      <w:r>
        <w:rPr>
          <w:color w:val="000000"/>
          <w:spacing w:val="0"/>
          <w:w w:val="100"/>
          <w:position w:val="0"/>
        </w:rPr>
        <w:t>亿港元的定期信贷安 排之贷款协议》，</w:t>
      </w:r>
      <w:r>
        <w:rPr>
          <w:rFonts w:ascii="Times New Roman" w:eastAsia="Times New Roman" w:hAnsi="Times New Roman" w:cs="Times New Roman"/>
          <w:color w:val="000000"/>
          <w:spacing w:val="0"/>
          <w:w w:val="100"/>
          <w:position w:val="0"/>
          <w:sz w:val="22"/>
          <w:szCs w:val="22"/>
        </w:rPr>
        <w:t>38</w:t>
      </w:r>
      <w:r>
        <w:rPr>
          <w:color w:val="000000"/>
          <w:spacing w:val="0"/>
          <w:w w:val="100"/>
          <w:position w:val="0"/>
        </w:rPr>
        <w:t>亿港币借款本金尚有</w:t>
      </w:r>
      <w:r>
        <w:rPr>
          <w:rFonts w:ascii="Times New Roman" w:eastAsia="Times New Roman" w:hAnsi="Times New Roman" w:cs="Times New Roman"/>
          <w:color w:val="000000"/>
          <w:spacing w:val="0"/>
          <w:w w:val="100"/>
          <w:position w:val="0"/>
          <w:sz w:val="22"/>
          <w:szCs w:val="22"/>
        </w:rPr>
        <w:t>29.375</w:t>
      </w:r>
      <w:r>
        <w:rPr>
          <w:color w:val="000000"/>
          <w:spacing w:val="0"/>
          <w:w w:val="100"/>
          <w:position w:val="0"/>
        </w:rPr>
        <w:t>亿港元未付。金服公司于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日与工银国 际金融有限公司、中国光大银行股份有限公司香港分行作为牵头簿记行及中国光大银行股份有限公司 香港分行作为代理行签署的《关于</w:t>
      </w:r>
      <w:r>
        <w:rPr>
          <w:rFonts w:ascii="Times New Roman" w:eastAsia="Times New Roman" w:hAnsi="Times New Roman" w:cs="Times New Roman"/>
          <w:color w:val="000000"/>
          <w:spacing w:val="0"/>
          <w:w w:val="100"/>
          <w:position w:val="0"/>
          <w:sz w:val="22"/>
          <w:szCs w:val="22"/>
        </w:rPr>
        <w:t>16.3</w:t>
      </w:r>
      <w:r>
        <w:rPr>
          <w:color w:val="000000"/>
          <w:spacing w:val="0"/>
          <w:w w:val="100"/>
          <w:position w:val="0"/>
        </w:rPr>
        <w:t>亿港元的定期初始信贷安排，不多于</w:t>
      </w:r>
      <w:r>
        <w:rPr>
          <w:rFonts w:ascii="Times New Roman" w:eastAsia="Times New Roman" w:hAnsi="Times New Roman" w:cs="Times New Roman"/>
          <w:color w:val="000000"/>
          <w:spacing w:val="0"/>
          <w:w w:val="100"/>
          <w:position w:val="0"/>
          <w:sz w:val="22"/>
          <w:szCs w:val="22"/>
        </w:rPr>
        <w:t>7.84</w:t>
      </w:r>
      <w:r>
        <w:rPr>
          <w:color w:val="000000"/>
          <w:spacing w:val="0"/>
          <w:w w:val="100"/>
          <w:position w:val="0"/>
        </w:rPr>
        <w:t>亿港元的定期初始 信贷安排之贷款协议》，</w:t>
      </w:r>
      <w:r>
        <w:rPr>
          <w:rFonts w:ascii="Times New Roman" w:eastAsia="Times New Roman" w:hAnsi="Times New Roman" w:cs="Times New Roman"/>
          <w:color w:val="000000"/>
          <w:spacing w:val="0"/>
          <w:w w:val="100"/>
          <w:position w:val="0"/>
          <w:sz w:val="22"/>
          <w:szCs w:val="22"/>
        </w:rPr>
        <w:t>16.3</w:t>
      </w:r>
      <w:r>
        <w:rPr>
          <w:color w:val="000000"/>
          <w:spacing w:val="0"/>
          <w:w w:val="100"/>
          <w:position w:val="0"/>
        </w:rPr>
        <w:t>亿港币借款本金尚有</w:t>
      </w:r>
      <w:r>
        <w:rPr>
          <w:rFonts w:ascii="Times New Roman" w:eastAsia="Times New Roman" w:hAnsi="Times New Roman" w:cs="Times New Roman"/>
          <w:color w:val="000000"/>
          <w:spacing w:val="0"/>
          <w:w w:val="100"/>
          <w:position w:val="0"/>
          <w:sz w:val="22"/>
          <w:szCs w:val="22"/>
        </w:rPr>
        <w:t>3.475</w:t>
      </w:r>
      <w:r>
        <w:rPr>
          <w:color w:val="000000"/>
          <w:spacing w:val="0"/>
          <w:w w:val="100"/>
          <w:position w:val="0"/>
        </w:rPr>
        <w:t>亿港元未付。</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截至本报告披露日，前述贷款均已到期，金服公司正在积极与参代行沟通借款偿还安排，并提出 借款展期申请。公司将密切关注上述担保事项的进展情况，切实维护上市公司利益。</w:t>
      </w:r>
    </w:p>
    <w:p>
      <w:pPr>
        <w:pStyle w:val="Style17"/>
        <w:keepNext w:val="0"/>
        <w:keepLines w:val="0"/>
        <w:widowControl w:val="0"/>
        <w:shd w:val="clear" w:color="auto" w:fill="auto"/>
        <w:bidi w:val="0"/>
        <w:spacing w:before="0" w:after="480" w:line="46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：公司审议通过子公司对公司与金融机构申请综合授信、融资业务以及合同履约等提供最高 额为人民币</w:t>
      </w:r>
      <w:r>
        <w:rPr>
          <w:rFonts w:ascii="Times New Roman" w:eastAsia="Times New Roman" w:hAnsi="Times New Roman" w:cs="Times New Roman"/>
          <w:color w:val="000000"/>
          <w:spacing w:val="0"/>
          <w:w w:val="100"/>
          <w:position w:val="0"/>
          <w:sz w:val="22"/>
          <w:szCs w:val="22"/>
        </w:rPr>
        <w:t>150</w:t>
      </w:r>
      <w:r>
        <w:rPr>
          <w:color w:val="000000"/>
          <w:spacing w:val="0"/>
          <w:w w:val="100"/>
          <w:position w:val="0"/>
        </w:rPr>
        <w:t>亿元的担保额度，截至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日下属子公司对公司提供的担保余额为人民 币</w:t>
      </w:r>
      <w:r>
        <w:rPr>
          <w:rFonts w:ascii="Times New Roman" w:eastAsia="Times New Roman" w:hAnsi="Times New Roman" w:cs="Times New Roman"/>
          <w:color w:val="000000"/>
          <w:spacing w:val="0"/>
          <w:w w:val="100"/>
          <w:position w:val="0"/>
          <w:sz w:val="22"/>
          <w:szCs w:val="22"/>
        </w:rPr>
        <w:t>143.70</w:t>
      </w:r>
      <w:r>
        <w:rPr>
          <w:color w:val="000000"/>
          <w:spacing w:val="0"/>
          <w:w w:val="100"/>
          <w:position w:val="0"/>
        </w:rPr>
        <w:t>亿元，主要为日照苏宁易购销售有限公司、威海苏宁易购销售有限公司、济宁苏宁易购商贸 有限公司、湖州苕溪苏宁易购商贸有限公司、岳阳九龙苏宁易购销售有限公司、泰安苏宁易购商贸有 限公司、临沂苏宁易购商贸有限公司等子公司为公司的商品采购业务提供履约担保合计</w:t>
      </w:r>
      <w:r>
        <w:rPr>
          <w:rFonts w:ascii="Times New Roman" w:eastAsia="Times New Roman" w:hAnsi="Times New Roman" w:cs="Times New Roman"/>
          <w:color w:val="000000"/>
          <w:spacing w:val="0"/>
          <w:w w:val="100"/>
          <w:position w:val="0"/>
          <w:sz w:val="22"/>
          <w:szCs w:val="22"/>
        </w:rPr>
        <w:t>95.41</w:t>
      </w:r>
      <w:r>
        <w:rPr>
          <w:color w:val="000000"/>
          <w:spacing w:val="0"/>
          <w:w w:val="100"/>
          <w:position w:val="0"/>
        </w:rPr>
        <w:t>亿元； 外保内贷业务涉及的境外子公司对公司担保余额</w:t>
      </w:r>
      <w:r>
        <w:rPr>
          <w:rFonts w:ascii="Times New Roman" w:eastAsia="Times New Roman" w:hAnsi="Times New Roman" w:cs="Times New Roman"/>
          <w:color w:val="000000"/>
          <w:spacing w:val="0"/>
          <w:w w:val="100"/>
          <w:position w:val="0"/>
          <w:sz w:val="22"/>
          <w:szCs w:val="22"/>
        </w:rPr>
        <w:t>19.63</w:t>
      </w:r>
      <w:r>
        <w:rPr>
          <w:color w:val="000000"/>
          <w:spacing w:val="0"/>
          <w:w w:val="100"/>
          <w:position w:val="0"/>
        </w:rPr>
        <w:t>亿元，以及部分子公司为公司银行融资业务提 供担保余额</w:t>
      </w:r>
      <w:r>
        <w:rPr>
          <w:rFonts w:ascii="Times New Roman" w:eastAsia="Times New Roman" w:hAnsi="Times New Roman" w:cs="Times New Roman"/>
          <w:color w:val="000000"/>
          <w:spacing w:val="0"/>
          <w:w w:val="100"/>
          <w:position w:val="0"/>
          <w:sz w:val="22"/>
          <w:szCs w:val="22"/>
        </w:rPr>
        <w:t>28.66</w:t>
      </w:r>
      <w:r>
        <w:rPr>
          <w:color w:val="000000"/>
          <w:spacing w:val="0"/>
          <w:w w:val="100"/>
          <w:position w:val="0"/>
        </w:rPr>
        <w:t>亿元。</w:t>
      </w:r>
    </w:p>
    <w:p>
      <w:pPr>
        <w:pStyle w:val="Style1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采用复合方式担保的具体情况说明</w:t>
      </w:r>
    </w:p>
    <w:p>
      <w:pPr>
        <w:pStyle w:val="Style17"/>
        <w:keepNext w:val="0"/>
        <w:keepLines w:val="0"/>
        <w:widowControl w:val="0"/>
        <w:shd w:val="clear" w:color="auto" w:fill="auto"/>
        <w:bidi w:val="0"/>
        <w:spacing w:before="0" w:after="240" w:line="468" w:lineRule="exact"/>
        <w:ind w:left="0" w:right="0" w:firstLine="460"/>
        <w:jc w:val="both"/>
      </w:pPr>
      <w:r>
        <w:rPr>
          <w:color w:val="000000"/>
          <w:spacing w:val="0"/>
          <w:w w:val="100"/>
          <w:position w:val="0"/>
        </w:rPr>
        <w:t>无</w:t>
      </w:r>
    </w:p>
    <w:p>
      <w:pPr>
        <w:pStyle w:val="Style35"/>
        <w:keepNext/>
        <w:keepLines/>
        <w:widowControl w:val="0"/>
        <w:shd w:val="clear" w:color="auto" w:fill="auto"/>
        <w:bidi w:val="0"/>
        <w:spacing w:before="0" w:after="440" w:line="240" w:lineRule="auto"/>
        <w:ind w:left="0" w:right="0" w:firstLine="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sz w:val="22"/>
          <w:szCs w:val="22"/>
        </w:rPr>
        <w:t>3</w:t>
      </w:r>
      <w:bookmarkEnd w:id="575"/>
      <w:r>
        <w:rPr>
          <w:color w:val="000000"/>
          <w:spacing w:val="0"/>
          <w:w w:val="100"/>
          <w:position w:val="0"/>
        </w:rPr>
        <w:t>、委托他人进行现金资产管理情况</w:t>
      </w:r>
      <w:bookmarkEnd w:id="573"/>
      <w:bookmarkEnd w:id="574"/>
      <w:bookmarkEnd w:id="576"/>
    </w:p>
    <w:p>
      <w:pPr>
        <w:pStyle w:val="Style43"/>
        <w:keepNext/>
        <w:keepLines/>
        <w:widowControl w:val="0"/>
        <w:shd w:val="clear" w:color="auto" w:fill="auto"/>
        <w:bidi w:val="0"/>
        <w:spacing w:before="0" w:after="440" w:line="240" w:lineRule="auto"/>
        <w:ind w:left="0" w:right="0" w:firstLine="0"/>
        <w:jc w:val="both"/>
      </w:pPr>
      <w:bookmarkStart w:id="577" w:name="bookmark577"/>
      <w:bookmarkStart w:id="578" w:name="bookmark578"/>
      <w:bookmarkStart w:id="579" w:name="bookmark5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77"/>
      <w:bookmarkEnd w:id="578"/>
      <w:bookmarkEnd w:id="579"/>
    </w:p>
    <w:p>
      <w:pPr>
        <w:pStyle w:val="Style17"/>
        <w:keepNext w:val="0"/>
        <w:keepLines w:val="0"/>
        <w:widowControl w:val="0"/>
        <w:shd w:val="clear" w:color="auto" w:fill="auto"/>
        <w:bidi w:val="0"/>
        <w:spacing w:before="0" w:after="240" w:line="240" w:lineRule="auto"/>
        <w:ind w:left="0" w:right="0" w:firstLine="560"/>
        <w:jc w:val="both"/>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19"/>
        <w:gridCol w:w="1987"/>
        <w:gridCol w:w="1416"/>
        <w:gridCol w:w="1699"/>
        <w:gridCol w:w="1286"/>
        <w:gridCol w:w="1670"/>
      </w:tblGrid>
      <w:tr>
        <w:trPr>
          <w:trHeight w:val="112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具体类型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委托理财的资金来 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委托理财发 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未到期余额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逾期未收 回的金额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逾期未收回理</w:t>
            </w:r>
          </w:p>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财已计提减值</w:t>
            </w:r>
          </w:p>
          <w:p>
            <w:pPr>
              <w:pStyle w:val="Style2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r>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银行理财等产品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自有资金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440,378.93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272,816.0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50"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440,378.93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272,816.0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、按照类型披露的委托理财发生额，指在报告期内该类委托理财单日最高余额，即在报告</w:t>
      </w:r>
    </w:p>
    <w:p>
      <w:pPr>
        <w:pStyle w:val="Style17"/>
        <w:keepNext w:val="0"/>
        <w:keepLines w:val="0"/>
        <w:widowControl w:val="0"/>
        <w:shd w:val="clear" w:color="auto" w:fill="auto"/>
        <w:bidi w:val="0"/>
        <w:spacing w:before="0" w:after="0" w:line="475" w:lineRule="exact"/>
        <w:ind w:left="0" w:right="0" w:firstLine="0"/>
        <w:jc w:val="left"/>
      </w:pPr>
      <w:r>
        <w:rPr>
          <w:color w:val="000000"/>
          <w:spacing w:val="0"/>
          <w:w w:val="100"/>
          <w:position w:val="0"/>
        </w:rPr>
        <w:t>期内单日该类委托理财未到期余额合计数的最大值。</w:t>
      </w:r>
    </w:p>
    <w:p>
      <w:pPr>
        <w:pStyle w:val="Style17"/>
        <w:keepNext w:val="0"/>
        <w:keepLines w:val="0"/>
        <w:widowControl w:val="0"/>
        <w:shd w:val="clear" w:color="auto" w:fill="auto"/>
        <w:bidi w:val="0"/>
        <w:spacing w:before="0" w:after="0" w:line="475" w:lineRule="exact"/>
        <w:ind w:left="0" w:right="0" w:firstLine="560"/>
        <w:jc w:val="left"/>
      </w:pP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、未到期余额是指报告期末该类委托理财未到期余额合计数。</w:t>
      </w:r>
    </w:p>
    <w:p>
      <w:pPr>
        <w:pStyle w:val="Style17"/>
        <w:keepNext w:val="0"/>
        <w:keepLines w:val="0"/>
        <w:widowControl w:val="0"/>
        <w:shd w:val="clear" w:color="auto" w:fill="auto"/>
        <w:bidi w:val="0"/>
        <w:spacing w:before="0" w:after="0" w:line="475" w:lineRule="exact"/>
        <w:ind w:left="0" w:right="0" w:firstLine="560"/>
        <w:jc w:val="left"/>
      </w:pPr>
      <w:r>
        <w:rPr>
          <w:color w:val="000000"/>
          <w:spacing w:val="0"/>
          <w:w w:val="100"/>
          <w:position w:val="0"/>
        </w:rPr>
        <w:t>单项金额重大或安全性较低、流动性较差的高风险委托理财具体情况</w:t>
      </w:r>
    </w:p>
    <w:p>
      <w:pPr>
        <w:pStyle w:val="Style17"/>
        <w:keepNext w:val="0"/>
        <w:keepLines w:val="0"/>
        <w:widowControl w:val="0"/>
        <w:shd w:val="clear" w:color="auto" w:fill="auto"/>
        <w:bidi w:val="0"/>
        <w:spacing w:before="0" w:after="0" w:line="475" w:lineRule="exact"/>
        <w:ind w:left="0" w:right="0" w:firstLine="560"/>
        <w:jc w:val="left"/>
      </w:pPr>
      <w:r>
        <w:rPr>
          <w:color w:val="000000"/>
          <w:spacing w:val="0"/>
          <w:w w:val="100"/>
          <w:position w:val="0"/>
          <w:sz w:val="22"/>
          <w:szCs w:val="22"/>
        </w:rPr>
        <w:t>口</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240" w:line="475" w:lineRule="exact"/>
        <w:ind w:left="0" w:right="0" w:firstLine="560"/>
        <w:jc w:val="left"/>
      </w:pPr>
      <w:r>
        <w:rPr>
          <w:color w:val="000000"/>
          <w:spacing w:val="0"/>
          <w:w w:val="100"/>
          <w:position w:val="0"/>
        </w:rPr>
        <w:t>委托理财出现预期无法收回本金或存在其他可能导致减值的情形</w:t>
      </w:r>
    </w:p>
    <w:p>
      <w:pPr>
        <w:pStyle w:val="Style17"/>
        <w:keepNext w:val="0"/>
        <w:keepLines w:val="0"/>
        <w:widowControl w:val="0"/>
        <w:shd w:val="clear" w:color="auto" w:fill="auto"/>
        <w:bidi w:val="0"/>
        <w:spacing w:before="0" w:after="0" w:line="451" w:lineRule="auto"/>
        <w:ind w:left="0" w:right="0" w:firstLine="5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43"/>
        <w:keepNext/>
        <w:keepLines/>
        <w:widowControl w:val="0"/>
        <w:shd w:val="clear" w:color="auto" w:fill="auto"/>
        <w:bidi w:val="0"/>
        <w:spacing w:before="0" w:after="440" w:line="475" w:lineRule="exact"/>
        <w:ind w:left="0" w:right="0" w:firstLine="0"/>
        <w:jc w:val="both"/>
      </w:pPr>
      <w:bookmarkStart w:id="580" w:name="bookmark580"/>
      <w:bookmarkStart w:id="581" w:name="bookmark581"/>
      <w:bookmarkStart w:id="582" w:name="bookmark5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80"/>
      <w:bookmarkEnd w:id="581"/>
      <w:bookmarkEnd w:id="582"/>
    </w:p>
    <w:p>
      <w:pPr>
        <w:pStyle w:val="Style17"/>
        <w:keepNext w:val="0"/>
        <w:keepLines w:val="0"/>
        <w:widowControl w:val="0"/>
        <w:shd w:val="clear" w:color="auto" w:fill="auto"/>
        <w:bidi w:val="0"/>
        <w:spacing w:before="0" w:after="0" w:line="451" w:lineRule="auto"/>
        <w:ind w:left="0" w:right="0" w:firstLine="5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500" w:line="475" w:lineRule="exact"/>
        <w:ind w:left="0" w:right="0" w:firstLine="560"/>
        <w:jc w:val="left"/>
      </w:pPr>
      <w:r>
        <w:rPr>
          <w:color w:val="000000"/>
          <w:spacing w:val="0"/>
          <w:w w:val="100"/>
          <w:position w:val="0"/>
        </w:rPr>
        <w:t>公司报告期不存在委托贷款。</w:t>
      </w:r>
    </w:p>
    <w:p>
      <w:pPr>
        <w:pStyle w:val="Style35"/>
        <w:keepNext/>
        <w:keepLines/>
        <w:widowControl w:val="0"/>
        <w:shd w:val="clear" w:color="auto" w:fill="auto"/>
        <w:bidi w:val="0"/>
        <w:spacing w:before="0" w:after="280" w:line="451" w:lineRule="auto"/>
        <w:ind w:left="0" w:right="0" w:firstLine="0"/>
        <w:jc w:val="both"/>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sz w:val="22"/>
          <w:szCs w:val="22"/>
        </w:rPr>
        <w:t>4</w:t>
      </w:r>
      <w:bookmarkEnd w:id="585"/>
      <w:r>
        <w:rPr>
          <w:color w:val="000000"/>
          <w:spacing w:val="0"/>
          <w:w w:val="100"/>
          <w:position w:val="0"/>
        </w:rPr>
        <w:t>、其他重大合同</w:t>
      </w:r>
      <w:bookmarkEnd w:id="583"/>
      <w:bookmarkEnd w:id="584"/>
      <w:bookmarkEnd w:id="586"/>
    </w:p>
    <w:p>
      <w:pPr>
        <w:pStyle w:val="Style17"/>
        <w:keepNext w:val="0"/>
        <w:keepLines w:val="0"/>
        <w:widowControl w:val="0"/>
        <w:shd w:val="clear" w:color="auto" w:fill="auto"/>
        <w:bidi w:val="0"/>
        <w:spacing w:before="0" w:after="0" w:line="451" w:lineRule="auto"/>
        <w:ind w:left="0" w:right="0" w:firstLine="56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280" w:line="475" w:lineRule="exact"/>
        <w:ind w:left="0" w:right="0" w:firstLine="560"/>
        <w:jc w:val="left"/>
      </w:pPr>
      <w:r>
        <w:rPr>
          <w:color w:val="000000"/>
          <w:spacing w:val="0"/>
          <w:w w:val="100"/>
          <w:position w:val="0"/>
        </w:rPr>
        <w:t>公司报告期不存在其他重大合同。</w:t>
      </w:r>
    </w:p>
    <w:p>
      <w:pPr>
        <w:pStyle w:val="Style32"/>
        <w:keepNext/>
        <w:keepLines/>
        <w:widowControl w:val="0"/>
        <w:shd w:val="clear" w:color="auto" w:fill="auto"/>
        <w:bidi w:val="0"/>
        <w:spacing w:before="0" w:after="240" w:line="475" w:lineRule="exact"/>
        <w:ind w:left="0" w:right="0" w:firstLine="0"/>
        <w:jc w:val="both"/>
      </w:pPr>
      <w:bookmarkStart w:id="587" w:name="bookmark587"/>
      <w:bookmarkStart w:id="588" w:name="bookmark588"/>
      <w:bookmarkStart w:id="589" w:name="bookmark589"/>
      <w:r>
        <w:rPr>
          <w:color w:val="000000"/>
          <w:spacing w:val="0"/>
          <w:w w:val="100"/>
          <w:position w:val="0"/>
          <w:sz w:val="24"/>
          <w:szCs w:val="24"/>
        </w:rPr>
        <w:t>十六、其他重大事项的说明</w:t>
      </w:r>
      <w:bookmarkEnd w:id="587"/>
      <w:bookmarkEnd w:id="588"/>
      <w:bookmarkEnd w:id="589"/>
    </w:p>
    <w:p>
      <w:pPr>
        <w:pStyle w:val="Style17"/>
        <w:keepNext w:val="0"/>
        <w:keepLines w:val="0"/>
        <w:widowControl w:val="0"/>
        <w:shd w:val="clear" w:color="auto" w:fill="auto"/>
        <w:bidi w:val="0"/>
        <w:spacing w:before="0" w:after="0" w:line="475" w:lineRule="exact"/>
        <w:ind w:left="0" w:right="0" w:firstLine="560"/>
        <w:jc w:val="both"/>
      </w:pPr>
      <w:r>
        <w:rPr>
          <w:color w:val="000000"/>
          <w:spacing w:val="0"/>
          <w:w w:val="100"/>
          <w:position w:val="0"/>
        </w:rPr>
        <w:t>依据《深圳证券交易所股票上市规则》（</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年修订）规定，公司对于截至</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日未 能清偿到期商业票据的情况进行了统计，相关情况如下：</w:t>
      </w:r>
    </w:p>
    <w:p>
      <w:pPr>
        <w:pStyle w:val="Style17"/>
        <w:keepNext w:val="0"/>
        <w:keepLines w:val="0"/>
        <w:widowControl w:val="0"/>
        <w:shd w:val="clear" w:color="auto" w:fill="auto"/>
        <w:bidi w:val="0"/>
        <w:spacing w:before="0" w:after="280" w:line="475" w:lineRule="exact"/>
        <w:ind w:left="0" w:right="0" w:firstLine="5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日公司及下属子公司累计到期未能偿还的商业票据</w:t>
      </w:r>
      <w:r>
        <w:rPr>
          <w:rFonts w:ascii="Times New Roman" w:eastAsia="Times New Roman" w:hAnsi="Times New Roman" w:cs="Times New Roman"/>
          <w:color w:val="000000"/>
          <w:spacing w:val="0"/>
          <w:w w:val="100"/>
          <w:position w:val="0"/>
          <w:sz w:val="22"/>
          <w:szCs w:val="22"/>
        </w:rPr>
        <w:t>58.56</w:t>
      </w:r>
      <w:r>
        <w:rPr>
          <w:color w:val="000000"/>
          <w:spacing w:val="0"/>
          <w:w w:val="100"/>
          <w:position w:val="0"/>
        </w:rPr>
        <w:t>亿元，占公司</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年度经审计归属于母公司股东净资产比例为</w:t>
      </w:r>
      <w:r>
        <w:rPr>
          <w:rFonts w:ascii="Times New Roman" w:eastAsia="Times New Roman" w:hAnsi="Times New Roman" w:cs="Times New Roman"/>
          <w:color w:val="000000"/>
          <w:spacing w:val="0"/>
          <w:w w:val="100"/>
          <w:position w:val="0"/>
          <w:sz w:val="22"/>
          <w:szCs w:val="22"/>
        </w:rPr>
        <w:t>18.24%</w:t>
      </w:r>
      <w:r>
        <w:rPr>
          <w:color w:val="000000"/>
          <w:spacing w:val="0"/>
          <w:w w:val="100"/>
          <w:position w:val="0"/>
        </w:rPr>
        <w:t>。由于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年公司流动性出现阶段性紧张，以及 由于经营利润大幅下降、资产计提减值准备、确认投资损失、递延所得税资产转回等原因，</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年公 司业绩出现巨额亏损，导致公司未能清偿到期商业票据的情况。目前公司正在积极采取各种自救措施 来推进生产经营工作的恢复，在引入新的战略投资人后，公司在新董事会的带领下生产经营有所恢复， 季度经营业绩正在环比改善。为化解公司债务风险，公司正全力协调各方积极筹措资金，商讨多种方 式解决相关问题。公司将持续关注上述事项的进展情况，及时履行信息披露。</w:t>
      </w:r>
    </w:p>
    <w:p>
      <w:pPr>
        <w:pStyle w:val="Style32"/>
        <w:keepNext/>
        <w:keepLines/>
        <w:widowControl w:val="0"/>
        <w:shd w:val="clear" w:color="auto" w:fill="auto"/>
        <w:bidi w:val="0"/>
        <w:spacing w:before="0" w:after="280" w:line="472" w:lineRule="exact"/>
        <w:ind w:left="0" w:right="0" w:firstLine="0"/>
        <w:jc w:val="left"/>
      </w:pPr>
      <w:bookmarkStart w:id="590" w:name="bookmark590"/>
      <w:bookmarkStart w:id="591" w:name="bookmark591"/>
      <w:bookmarkStart w:id="592" w:name="bookmark592"/>
      <w:r>
        <w:rPr>
          <w:color w:val="000000"/>
          <w:spacing w:val="0"/>
          <w:w w:val="100"/>
          <w:position w:val="0"/>
          <w:sz w:val="24"/>
          <w:szCs w:val="24"/>
        </w:rPr>
        <w:t>十七、公司子公司重大事项</w:t>
      </w:r>
      <w:bookmarkEnd w:id="590"/>
      <w:bookmarkEnd w:id="591"/>
      <w:bookmarkEnd w:id="592"/>
    </w:p>
    <w:p>
      <w:pPr>
        <w:pStyle w:val="Style65"/>
        <w:keepNext w:val="0"/>
        <w:keepLines w:val="0"/>
        <w:widowControl w:val="0"/>
        <w:shd w:val="clear" w:color="auto" w:fill="auto"/>
        <w:tabs>
          <w:tab w:pos="6878" w:val="left"/>
        </w:tabs>
        <w:bidi w:val="0"/>
        <w:spacing w:before="0" w:after="0" w:line="472" w:lineRule="exact"/>
        <w:ind w:left="0" w:right="0"/>
        <w:jc w:val="both"/>
      </w:pPr>
      <w:r>
        <w:rPr>
          <w:color w:val="000000"/>
          <w:spacing w:val="0"/>
          <w:w w:val="100"/>
          <w:position w:val="0"/>
        </w:rPr>
        <w:t xml:space="preserve">2019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6 </w:t>
      </w:r>
      <w:r>
        <w:rPr>
          <w:rFonts w:ascii="SimSun" w:eastAsia="SimSun" w:hAnsi="SimSun" w:cs="SimSun"/>
          <w:color w:val="000000"/>
          <w:spacing w:val="0"/>
          <w:w w:val="100"/>
          <w:position w:val="0"/>
          <w:sz w:val="20"/>
          <w:szCs w:val="20"/>
        </w:rPr>
        <w:t xml:space="preserve">月 </w:t>
      </w:r>
      <w:r>
        <w:rPr>
          <w:color w:val="000000"/>
          <w:spacing w:val="0"/>
          <w:w w:val="100"/>
          <w:position w:val="0"/>
        </w:rPr>
        <w:t xml:space="preserve">22 </w:t>
      </w:r>
      <w:r>
        <w:rPr>
          <w:rFonts w:ascii="SimSun" w:eastAsia="SimSun" w:hAnsi="SimSun" w:cs="SimSun"/>
          <w:color w:val="000000"/>
          <w:spacing w:val="0"/>
          <w:w w:val="100"/>
          <w:position w:val="0"/>
          <w:sz w:val="20"/>
          <w:szCs w:val="20"/>
        </w:rPr>
        <w:t xml:space="preserve">日，子公司 </w:t>
      </w:r>
      <w:r>
        <w:rPr>
          <w:color w:val="000000"/>
          <w:spacing w:val="0"/>
          <w:w w:val="100"/>
          <w:position w:val="0"/>
        </w:rPr>
        <w:t>Suning International Group Co., Limited</w:t>
        <w:tab/>
      </w:r>
      <w:r>
        <w:rPr>
          <w:rFonts w:ascii="SimSun" w:eastAsia="SimSun" w:hAnsi="SimSun" w:cs="SimSun"/>
          <w:color w:val="000000"/>
          <w:spacing w:val="0"/>
          <w:w w:val="100"/>
          <w:position w:val="0"/>
          <w:sz w:val="20"/>
          <w:szCs w:val="20"/>
        </w:rPr>
        <w:t xml:space="preserve">(“苏宁国际")与 </w:t>
      </w:r>
      <w:r>
        <w:rPr>
          <w:color w:val="000000"/>
          <w:spacing w:val="0"/>
          <w:w w:val="100"/>
          <w:position w:val="0"/>
        </w:rPr>
        <w:t>Carrefour</w:t>
      </w:r>
    </w:p>
    <w:p>
      <w:pPr>
        <w:pStyle w:val="Style17"/>
        <w:keepNext w:val="0"/>
        <w:keepLines w:val="0"/>
        <w:widowControl w:val="0"/>
        <w:shd w:val="clear" w:color="auto" w:fill="auto"/>
        <w:bidi w:val="0"/>
        <w:spacing w:before="0" w:after="0" w:line="472" w:lineRule="exact"/>
        <w:ind w:left="0" w:right="0" w:firstLine="0"/>
        <w:jc w:val="left"/>
      </w:pPr>
      <w:r>
        <w:rPr>
          <w:rFonts w:ascii="Times New Roman" w:eastAsia="Times New Roman" w:hAnsi="Times New Roman" w:cs="Times New Roman"/>
          <w:color w:val="000000"/>
          <w:spacing w:val="0"/>
          <w:w w:val="100"/>
          <w:position w:val="0"/>
          <w:sz w:val="22"/>
          <w:szCs w:val="22"/>
        </w:rPr>
        <w:t xml:space="preserve">Nederand B.V. ( </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Carrefour Nederand</w:t>
      </w:r>
      <w:r>
        <w:rPr>
          <w:color w:val="000000"/>
          <w:spacing w:val="0"/>
          <w:w w:val="100"/>
          <w:position w:val="0"/>
        </w:rPr>
        <w:t>”</w:t>
      </w:r>
      <w:r>
        <w:rPr>
          <w:color w:val="000000"/>
          <w:spacing w:val="0"/>
          <w:w w:val="100"/>
          <w:position w:val="0"/>
          <w:sz w:val="22"/>
          <w:szCs w:val="22"/>
        </w:rPr>
        <w:t>)</w:t>
      </w:r>
      <w:r>
        <w:rPr>
          <w:color w:val="000000"/>
          <w:spacing w:val="0"/>
          <w:w w:val="100"/>
          <w:position w:val="0"/>
        </w:rPr>
        <w:t>签订股权购买协议以人民币</w:t>
      </w:r>
      <w:r>
        <w:rPr>
          <w:rFonts w:ascii="Times New Roman" w:eastAsia="Times New Roman" w:hAnsi="Times New Roman" w:cs="Times New Roman"/>
          <w:color w:val="000000"/>
          <w:spacing w:val="0"/>
          <w:w w:val="100"/>
          <w:position w:val="0"/>
          <w:sz w:val="22"/>
          <w:szCs w:val="22"/>
        </w:rPr>
        <w:t>48</w:t>
      </w:r>
      <w:r>
        <w:rPr>
          <w:color w:val="000000"/>
          <w:spacing w:val="0"/>
          <w:w w:val="100"/>
          <w:position w:val="0"/>
        </w:rPr>
        <w:t>亿元的对价购买</w:t>
      </w:r>
      <w:r>
        <w:rPr>
          <w:rFonts w:ascii="Times New Roman" w:eastAsia="Times New Roman" w:hAnsi="Times New Roman" w:cs="Times New Roman"/>
          <w:color w:val="000000"/>
          <w:spacing w:val="0"/>
          <w:w w:val="100"/>
          <w:position w:val="0"/>
          <w:sz w:val="22"/>
          <w:szCs w:val="22"/>
        </w:rPr>
        <w:t>Carrefour Nederand B.V.</w:t>
      </w:r>
      <w:r>
        <w:rPr>
          <w:color w:val="000000"/>
          <w:spacing w:val="0"/>
          <w:w w:val="100"/>
          <w:position w:val="0"/>
        </w:rPr>
        <w:t>持有的家乐福中国</w:t>
      </w:r>
      <w:r>
        <w:rPr>
          <w:rFonts w:ascii="Times New Roman" w:eastAsia="Times New Roman" w:hAnsi="Times New Roman" w:cs="Times New Roman"/>
          <w:color w:val="000000"/>
          <w:spacing w:val="0"/>
          <w:w w:val="100"/>
          <w:position w:val="0"/>
          <w:sz w:val="22"/>
          <w:szCs w:val="22"/>
        </w:rPr>
        <w:t>80%</w:t>
      </w:r>
      <w:r>
        <w:rPr>
          <w:color w:val="000000"/>
          <w:spacing w:val="0"/>
          <w:w w:val="100"/>
          <w:position w:val="0"/>
        </w:rPr>
        <w:t>的股权。根据协议约定，若</w:t>
      </w:r>
      <w:r>
        <w:rPr>
          <w:rFonts w:ascii="Times New Roman" w:eastAsia="Times New Roman" w:hAnsi="Times New Roman" w:cs="Times New Roman"/>
          <w:color w:val="000000"/>
          <w:spacing w:val="0"/>
          <w:w w:val="100"/>
          <w:position w:val="0"/>
          <w:sz w:val="22"/>
          <w:szCs w:val="22"/>
        </w:rPr>
        <w:t>Carrefour Nederand</w:t>
      </w:r>
      <w:r>
        <w:rPr>
          <w:color w:val="000000"/>
          <w:spacing w:val="0"/>
          <w:w w:val="100"/>
          <w:position w:val="0"/>
        </w:rPr>
        <w:t>选择于收购日后 两年末的九十天内将所持有的剩余</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家乐福中国股权按照协议约定的固定价格转让给苏宁国际，苏 宁国际需无条件购买，在</w:t>
      </w:r>
      <w:r>
        <w:rPr>
          <w:rFonts w:ascii="Times New Roman" w:eastAsia="Times New Roman" w:hAnsi="Times New Roman" w:cs="Times New Roman"/>
          <w:color w:val="000000"/>
          <w:spacing w:val="0"/>
          <w:w w:val="100"/>
          <w:position w:val="0"/>
          <w:sz w:val="22"/>
          <w:szCs w:val="22"/>
        </w:rPr>
        <w:t>Carrefour Nederand</w:t>
      </w:r>
      <w:r>
        <w:rPr>
          <w:color w:val="000000"/>
          <w:spacing w:val="0"/>
          <w:w w:val="100"/>
          <w:position w:val="0"/>
        </w:rPr>
        <w:t>卖出期权到期后九十天内，苏宁国际若选择按照协议约 定的固定价格收购家乐福中国剩余</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股权，</w:t>
      </w:r>
      <w:r>
        <w:rPr>
          <w:rFonts w:ascii="Times New Roman" w:eastAsia="Times New Roman" w:hAnsi="Times New Roman" w:cs="Times New Roman"/>
          <w:color w:val="000000"/>
          <w:spacing w:val="0"/>
          <w:w w:val="100"/>
          <w:position w:val="0"/>
          <w:sz w:val="22"/>
          <w:szCs w:val="22"/>
        </w:rPr>
        <w:t>Carrefour Nederand</w:t>
      </w:r>
      <w:r>
        <w:rPr>
          <w:color w:val="000000"/>
          <w:spacing w:val="0"/>
          <w:w w:val="100"/>
          <w:position w:val="0"/>
        </w:rPr>
        <w:t>需要无条件出售。于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 xml:space="preserve">26 </w:t>
      </w:r>
      <w:r>
        <w:rPr>
          <w:color w:val="000000"/>
          <w:spacing w:val="0"/>
          <w:w w:val="100"/>
          <w:position w:val="0"/>
        </w:rPr>
        <w:t>日苏宁国际完成对家乐福</w:t>
      </w:r>
      <w:r>
        <w:rPr>
          <w:rFonts w:ascii="Times New Roman" w:eastAsia="Times New Roman" w:hAnsi="Times New Roman" w:cs="Times New Roman"/>
          <w:color w:val="000000"/>
          <w:spacing w:val="0"/>
          <w:w w:val="100"/>
          <w:position w:val="0"/>
          <w:sz w:val="22"/>
          <w:szCs w:val="22"/>
        </w:rPr>
        <w:t>80%</w:t>
      </w:r>
      <w:r>
        <w:rPr>
          <w:color w:val="000000"/>
          <w:spacing w:val="0"/>
          <w:w w:val="100"/>
          <w:position w:val="0"/>
        </w:rPr>
        <w:t>股权的收购。</w:t>
      </w:r>
    </w:p>
    <w:p>
      <w:pPr>
        <w:pStyle w:val="Style17"/>
        <w:keepNext w:val="0"/>
        <w:keepLines w:val="0"/>
        <w:widowControl w:val="0"/>
        <w:shd w:val="clear" w:color="auto" w:fill="auto"/>
        <w:bidi w:val="0"/>
        <w:spacing w:before="0" w:after="280" w:line="472" w:lineRule="exact"/>
        <w:ind w:left="0" w:right="0" w:firstLine="460"/>
        <w:jc w:val="both"/>
        <w:sectPr>
          <w:footnotePr>
            <w:pos w:val="pageBottom"/>
            <w:numFmt w:val="decimal"/>
            <w:numStart w:val="1"/>
            <w:numRestart w:val="continuous"/>
            <w15:footnoteColumns w:val="1"/>
          </w:footnotePr>
          <w:pgSz w:w="11900" w:h="16840"/>
          <w:pgMar w:top="1473" w:right="996" w:bottom="1468" w:left="102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27</w:t>
      </w:r>
      <w:r>
        <w:rPr>
          <w:color w:val="000000"/>
          <w:spacing w:val="0"/>
          <w:w w:val="100"/>
          <w:position w:val="0"/>
        </w:rPr>
        <w:t>日，</w:t>
      </w:r>
      <w:r>
        <w:rPr>
          <w:rFonts w:ascii="Times New Roman" w:eastAsia="Times New Roman" w:hAnsi="Times New Roman" w:cs="Times New Roman"/>
          <w:color w:val="000000"/>
          <w:spacing w:val="0"/>
          <w:w w:val="100"/>
          <w:position w:val="0"/>
          <w:sz w:val="22"/>
          <w:szCs w:val="22"/>
        </w:rPr>
        <w:t>Carrefour Nederand B.V.</w:t>
      </w:r>
      <w:r>
        <w:rPr>
          <w:color w:val="000000"/>
          <w:spacing w:val="0"/>
          <w:w w:val="100"/>
          <w:position w:val="0"/>
        </w:rPr>
        <w:t>向苏宁国际发出售股权通知，要求苏宁国际于不迟于 售股权通知交付后的</w:t>
      </w:r>
      <w:r>
        <w:rPr>
          <w:rFonts w:ascii="Times New Roman" w:eastAsia="Times New Roman" w:hAnsi="Times New Roman" w:cs="Times New Roman"/>
          <w:color w:val="000000"/>
          <w:spacing w:val="0"/>
          <w:w w:val="100"/>
          <w:position w:val="0"/>
          <w:sz w:val="22"/>
          <w:szCs w:val="22"/>
        </w:rPr>
        <w:t>90</w:t>
      </w:r>
      <w:r>
        <w:rPr>
          <w:color w:val="000000"/>
          <w:spacing w:val="0"/>
          <w:w w:val="100"/>
          <w:position w:val="0"/>
        </w:rPr>
        <w:t>个工作日内按照人民币</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亿元的价格收购其所持有的剩余</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家乐福中国股 权。</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日，苏宁国际已经与</w:t>
      </w:r>
      <w:r>
        <w:rPr>
          <w:rFonts w:ascii="Times New Roman" w:eastAsia="Times New Roman" w:hAnsi="Times New Roman" w:cs="Times New Roman"/>
          <w:color w:val="000000"/>
          <w:spacing w:val="0"/>
          <w:w w:val="100"/>
          <w:position w:val="0"/>
          <w:sz w:val="22"/>
          <w:szCs w:val="22"/>
        </w:rPr>
        <w:t>Carrefour Nederand B.V.</w:t>
      </w:r>
      <w:r>
        <w:rPr>
          <w:color w:val="000000"/>
          <w:spacing w:val="0"/>
          <w:w w:val="100"/>
          <w:position w:val="0"/>
        </w:rPr>
        <w:t>就剩余</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的家乐福中国股权的分期 购买安排协商取得一致。</w:t>
      </w:r>
    </w:p>
    <w:p>
      <w:pPr>
        <w:pStyle w:val="Style15"/>
        <w:keepNext/>
        <w:keepLines/>
        <w:widowControl w:val="0"/>
        <w:shd w:val="clear" w:color="auto" w:fill="auto"/>
        <w:bidi w:val="0"/>
        <w:spacing w:before="0" w:after="240" w:line="240" w:lineRule="auto"/>
        <w:ind w:left="0" w:right="0" w:firstLine="0"/>
        <w:jc w:val="center"/>
      </w:pPr>
      <w:bookmarkStart w:id="593" w:name="bookmark593"/>
      <w:bookmarkStart w:id="594" w:name="bookmark594"/>
      <w:bookmarkStart w:id="595" w:name="bookmark595"/>
      <w:r>
        <w:rPr>
          <w:color w:val="000000"/>
          <w:spacing w:val="0"/>
          <w:w w:val="100"/>
          <w:position w:val="0"/>
        </w:rPr>
        <w:t>第八节股份变动及股东情况</w:t>
      </w:r>
      <w:bookmarkEnd w:id="593"/>
      <w:bookmarkEnd w:id="594"/>
      <w:bookmarkEnd w:id="595"/>
    </w:p>
    <w:p>
      <w:pPr>
        <w:pStyle w:val="Style32"/>
        <w:keepNext/>
        <w:keepLines/>
        <w:widowControl w:val="0"/>
        <w:shd w:val="clear" w:color="auto" w:fill="auto"/>
        <w:bidi w:val="0"/>
        <w:spacing w:before="0" w:after="480" w:line="240" w:lineRule="auto"/>
        <w:ind w:left="0" w:right="0" w:firstLine="0"/>
        <w:jc w:val="left"/>
      </w:pPr>
      <w:bookmarkStart w:id="596" w:name="bookmark596"/>
      <w:bookmarkStart w:id="597" w:name="bookmark597"/>
      <w:bookmarkStart w:id="598" w:name="bookmark598"/>
      <w:bookmarkStart w:id="599" w:name="bookmark599"/>
      <w:bookmarkStart w:id="600" w:name="bookmark600"/>
      <w:r>
        <w:rPr>
          <w:color w:val="000000"/>
          <w:spacing w:val="0"/>
          <w:w w:val="100"/>
          <w:position w:val="0"/>
          <w:sz w:val="24"/>
          <w:szCs w:val="24"/>
        </w:rPr>
        <w:t>一</w:t>
      </w:r>
      <w:bookmarkEnd w:id="599"/>
      <w:r>
        <w:rPr>
          <w:color w:val="000000"/>
          <w:spacing w:val="0"/>
          <w:w w:val="100"/>
          <w:position w:val="0"/>
          <w:sz w:val="24"/>
          <w:szCs w:val="24"/>
        </w:rPr>
        <w:t>、股份变动情况</w:t>
      </w:r>
      <w:bookmarkEnd w:id="597"/>
      <w:bookmarkEnd w:id="598"/>
      <w:bookmarkEnd w:id="600"/>
      <w:bookmarkEnd w:id="596"/>
    </w:p>
    <w:p>
      <w:pPr>
        <w:pStyle w:val="Style35"/>
        <w:keepNext/>
        <w:keepLines/>
        <w:widowControl w:val="0"/>
        <w:shd w:val="clear" w:color="auto" w:fill="auto"/>
        <w:bidi w:val="0"/>
        <w:spacing w:before="0" w:after="44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sz w:val="22"/>
          <w:szCs w:val="22"/>
        </w:rPr>
        <w:t>1</w:t>
      </w:r>
      <w:bookmarkEnd w:id="603"/>
      <w:r>
        <w:rPr>
          <w:color w:val="000000"/>
          <w:spacing w:val="0"/>
          <w:w w:val="100"/>
          <w:position w:val="0"/>
        </w:rPr>
        <w:t>、股份变动情况</w:t>
      </w:r>
      <w:bookmarkEnd w:id="601"/>
      <w:bookmarkEnd w:id="602"/>
      <w:bookmarkEnd w:id="604"/>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w:t>
      </w:r>
    </w:p>
    <w:tbl>
      <w:tblPr>
        <w:tblOverlap w:val="never"/>
        <w:jc w:val="center"/>
        <w:tblLayout w:type="fixed"/>
      </w:tblPr>
      <w:tblGrid>
        <w:gridCol w:w="3269"/>
        <w:gridCol w:w="1416"/>
        <w:gridCol w:w="1138"/>
        <w:gridCol w:w="1133"/>
        <w:gridCol w:w="1133"/>
        <w:gridCol w:w="1142"/>
        <w:gridCol w:w="1267"/>
        <w:gridCol w:w="1277"/>
        <w:gridCol w:w="1416"/>
        <w:gridCol w:w="864"/>
      </w:tblGrid>
      <w:tr>
        <w:trPr>
          <w:trHeight w:val="29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本次变动前</w:t>
            </w:r>
          </w:p>
        </w:tc>
        <w:tc>
          <w:tcPr>
            <w:gridSpan w:val="3"/>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本次变动增减（-</w:t>
            </w:r>
          </w:p>
        </w:tc>
        <w:tc>
          <w:tcPr>
            <w:gridSpan w:val="2"/>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卜，一）</w:t>
            </w:r>
          </w:p>
        </w:tc>
        <w:tc>
          <w:tcPr>
            <w:gridSpan w:val="2"/>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本次变动后</w:t>
            </w:r>
          </w:p>
        </w:tc>
      </w:tr>
      <w:tr>
        <w:trPr>
          <w:trHeight w:val="49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发行新股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送股</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exact"/>
              <w:ind w:left="0" w:right="0" w:firstLine="0"/>
              <w:jc w:val="center"/>
              <w:rPr>
                <w:sz w:val="20"/>
                <w:szCs w:val="20"/>
              </w:rPr>
            </w:pPr>
            <w:r>
              <w:rPr>
                <w:rFonts w:ascii="SimSun" w:eastAsia="SimSun" w:hAnsi="SimSun" w:cs="SimSun"/>
                <w:color w:val="000000"/>
                <w:spacing w:val="0"/>
                <w:w w:val="100"/>
                <w:position w:val="0"/>
                <w:sz w:val="20"/>
                <w:szCs w:val="20"/>
              </w:rPr>
              <w:t>公积金转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比例</w:t>
            </w:r>
          </w:p>
        </w:tc>
      </w:tr>
      <w:tr>
        <w:trPr>
          <w:trHeight w:val="29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一、有限售条件股份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1,535,868,058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178,529,522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178,529,522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1,714,397,580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w:t>
            </w:r>
          </w:p>
        </w:tc>
      </w:tr>
      <w:tr>
        <w:trPr>
          <w:trHeight w:val="298"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1</w:t>
            </w:r>
            <w:r>
              <w:rPr>
                <w:rFonts w:ascii="SimSun" w:eastAsia="SimSun" w:hAnsi="SimSun" w:cs="SimSun"/>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2</w:t>
            </w:r>
            <w:r>
              <w:rPr>
                <w:rFonts w:ascii="SimSun" w:eastAsia="SimSun" w:hAnsi="SimSun" w:cs="SimSun"/>
                <w:color w:val="000000"/>
                <w:spacing w:val="0"/>
                <w:w w:val="100"/>
                <w:position w:val="0"/>
                <w:sz w:val="20"/>
                <w:szCs w:val="2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3</w:t>
            </w:r>
            <w:r>
              <w:rPr>
                <w:rFonts w:ascii="SimSun" w:eastAsia="SimSun" w:hAnsi="SimSun" w:cs="SimSun"/>
                <w:color w:val="000000"/>
                <w:spacing w:val="0"/>
                <w:w w:val="100"/>
                <w:position w:val="0"/>
                <w:sz w:val="20"/>
                <w:szCs w:val="20"/>
              </w:rPr>
              <w:t>、其他内资持股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1,535,868,058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178,529,522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178,529,522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1,714,397,580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w:t>
            </w:r>
          </w:p>
        </w:tc>
      </w:tr>
      <w:tr>
        <w:trPr>
          <w:trHeight w:val="29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其中：境内法人持股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61,056,374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61,056,374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r>
      <w:tr>
        <w:trPr>
          <w:trHeight w:val="2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920"/>
              <w:jc w:val="left"/>
              <w:rPr>
                <w:sz w:val="20"/>
                <w:szCs w:val="20"/>
              </w:rPr>
            </w:pPr>
            <w:r>
              <w:rPr>
                <w:rFonts w:ascii="SimSun" w:eastAsia="SimSun" w:hAnsi="SimSun" w:cs="SimSun"/>
                <w:color w:val="000000"/>
                <w:spacing w:val="0"/>
                <w:w w:val="100"/>
                <w:position w:val="0"/>
                <w:sz w:val="20"/>
                <w:szCs w:val="20"/>
              </w:rPr>
              <w:t>境内自然人持股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1,474,811,684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178,529,522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178,529,522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1,653,341,206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w:t>
            </w:r>
          </w:p>
        </w:tc>
      </w:tr>
      <w:tr>
        <w:trPr>
          <w:trHeight w:val="293"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4</w:t>
            </w:r>
            <w:r>
              <w:rPr>
                <w:rFonts w:ascii="SimSun" w:eastAsia="SimSun" w:hAnsi="SimSun" w:cs="SimSun"/>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920"/>
              <w:jc w:val="left"/>
              <w:rPr>
                <w:sz w:val="20"/>
                <w:szCs w:val="20"/>
              </w:rPr>
            </w:pPr>
            <w:r>
              <w:rPr>
                <w:rFonts w:ascii="SimSun" w:eastAsia="SimSun" w:hAnsi="SimSun" w:cs="SimSun"/>
                <w:color w:val="000000"/>
                <w:spacing w:val="0"/>
                <w:w w:val="100"/>
                <w:position w:val="0"/>
                <w:sz w:val="20"/>
                <w:szCs w:val="2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二、有限售条件股份</w:t>
            </w:r>
            <w:r>
              <w:rPr>
                <w:color w:val="000000"/>
                <w:spacing w:val="0"/>
                <w:w w:val="100"/>
                <w:position w:val="0"/>
                <w:sz w:val="22"/>
                <w:szCs w:val="22"/>
              </w:rPr>
              <w:t>-</w:t>
            </w:r>
            <w:r>
              <w:rPr>
                <w:rFonts w:ascii="SimSun" w:eastAsia="SimSun" w:hAnsi="SimSun" w:cs="SimSun"/>
                <w:color w:val="000000"/>
                <w:spacing w:val="0"/>
                <w:w w:val="100"/>
                <w:position w:val="0"/>
                <w:sz w:val="20"/>
                <w:szCs w:val="20"/>
              </w:rPr>
              <w:t>回购股份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185,488,452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185,488,452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w:t>
            </w:r>
          </w:p>
        </w:tc>
      </w:tr>
      <w:tr>
        <w:trPr>
          <w:trHeight w:val="29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三、无限售条件股份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7,588,683,145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81.51%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-178,529,522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-178,529,522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7,410,153,623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79.60%</w:t>
            </w:r>
          </w:p>
        </w:tc>
      </w:tr>
      <w:tr>
        <w:trPr>
          <w:trHeight w:val="29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1</w:t>
            </w:r>
            <w:r>
              <w:rPr>
                <w:rFonts w:ascii="SimSun" w:eastAsia="SimSun" w:hAnsi="SimSun" w:cs="SimSun"/>
                <w:color w:val="000000"/>
                <w:spacing w:val="0"/>
                <w:w w:val="100"/>
                <w:position w:val="0"/>
                <w:sz w:val="20"/>
                <w:szCs w:val="20"/>
              </w:rPr>
              <w:t>、人民币普通股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7,588,683,145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81.51%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-178,529,522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-178,529,522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7,410,153,623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79.60%</w:t>
            </w:r>
          </w:p>
        </w:tc>
      </w:tr>
      <w:tr>
        <w:trPr>
          <w:trHeight w:val="293"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2</w:t>
            </w:r>
            <w:r>
              <w:rPr>
                <w:rFonts w:ascii="SimSun" w:eastAsia="SimSun" w:hAnsi="SimSun" w:cs="SimSun"/>
                <w:color w:val="000000"/>
                <w:spacing w:val="0"/>
                <w:w w:val="100"/>
                <w:position w:val="0"/>
                <w:sz w:val="20"/>
                <w:szCs w:val="2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3</w:t>
            </w:r>
            <w:r>
              <w:rPr>
                <w:rFonts w:ascii="SimSun" w:eastAsia="SimSun" w:hAnsi="SimSun" w:cs="SimSun"/>
                <w:color w:val="000000"/>
                <w:spacing w:val="0"/>
                <w:w w:val="100"/>
                <w:position w:val="0"/>
                <w:sz w:val="20"/>
                <w:szCs w:val="2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2"/>
                <w:szCs w:val="22"/>
              </w:rPr>
              <w:t>4</w:t>
            </w: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9,310,039,655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9,310,039,655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sectPr>
          <w:footnotePr>
            <w:pos w:val="pageBottom"/>
            <w:numFmt w:val="decimal"/>
            <w:numStart w:val="1"/>
            <w:numRestart w:val="continuous"/>
            <w15:footnoteColumns w:val="1"/>
          </w:footnotePr>
          <w:pgSz w:w="16840" w:h="11900" w:orient="landscape"/>
          <w:pgMar w:top="1151" w:right="1354" w:bottom="1151" w:left="1431" w:header="0" w:footer="3" w:gutter="0"/>
          <w:cols w:space="720"/>
          <w:noEndnote/>
          <w:rtlGutter w:val="0"/>
          <w:docGrid w:linePitch="360"/>
        </w:sectPr>
      </w:pPr>
    </w:p>
    <w:p>
      <w:pPr>
        <w:pStyle w:val="Style17"/>
        <w:keepNext w:val="0"/>
        <w:keepLines w:val="0"/>
        <w:widowControl w:val="0"/>
        <w:shd w:val="clear" w:color="auto" w:fill="auto"/>
        <w:bidi w:val="0"/>
        <w:spacing w:before="0" w:after="0" w:line="429" w:lineRule="exact"/>
        <w:ind w:left="0" w:right="0" w:firstLine="540"/>
        <w:jc w:val="left"/>
      </w:pPr>
      <w:r>
        <w:rPr>
          <w:color w:val="000000"/>
          <w:spacing w:val="0"/>
          <w:w w:val="100"/>
          <w:position w:val="0"/>
        </w:rPr>
        <w:t>股份变动的原因</w:t>
      </w:r>
    </w:p>
    <w:p>
      <w:pPr>
        <w:pStyle w:val="Style17"/>
        <w:keepNext w:val="0"/>
        <w:keepLines w:val="0"/>
        <w:widowControl w:val="0"/>
        <w:shd w:val="clear" w:color="auto" w:fill="auto"/>
        <w:bidi w:val="0"/>
        <w:spacing w:before="0" w:after="0" w:line="429" w:lineRule="exact"/>
        <w:ind w:left="0" w:right="0" w:firstLine="540"/>
        <w:jc w:val="left"/>
      </w:pPr>
      <w:r>
        <w:rPr>
          <w:color w:val="000000"/>
          <w:spacing w:val="0"/>
          <w:w w:val="100"/>
          <w:position w:val="0"/>
        </w:rPr>
        <w:t>根据深交所有关规定，公司原董事张近东先生、孙为民先生、孟祥胜先生于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日在 任期届满前离职，孟祥胜先生于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日辞去公司高级副总裁职务，离职后半年内，不得转 让其所持本公司股份，报告期内有限售条件股份增加</w:t>
      </w:r>
      <w:r>
        <w:rPr>
          <w:rFonts w:ascii="Times New Roman" w:eastAsia="Times New Roman" w:hAnsi="Times New Roman" w:cs="Times New Roman"/>
          <w:color w:val="000000"/>
          <w:spacing w:val="0"/>
          <w:w w:val="100"/>
          <w:position w:val="0"/>
          <w:sz w:val="22"/>
          <w:szCs w:val="22"/>
        </w:rPr>
        <w:t>178,529,522</w:t>
      </w:r>
      <w:r>
        <w:rPr>
          <w:color w:val="000000"/>
          <w:spacing w:val="0"/>
          <w:w w:val="100"/>
          <w:position w:val="0"/>
        </w:rPr>
        <w:t>股。</w:t>
      </w:r>
    </w:p>
    <w:p>
      <w:pPr>
        <w:pStyle w:val="Style17"/>
        <w:keepNext w:val="0"/>
        <w:keepLines w:val="0"/>
        <w:widowControl w:val="0"/>
        <w:shd w:val="clear" w:color="auto" w:fill="auto"/>
        <w:bidi w:val="0"/>
        <w:spacing w:before="0" w:after="160" w:line="429" w:lineRule="exact"/>
        <w:ind w:left="0" w:right="0" w:firstLine="540"/>
        <w:jc w:val="left"/>
      </w:pPr>
      <w:r>
        <w:rPr>
          <w:color w:val="000000"/>
          <w:spacing w:val="0"/>
          <w:w w:val="100"/>
          <w:position w:val="0"/>
        </w:rPr>
        <w:t>股份变动的批准情况</w:t>
      </w:r>
    </w:p>
    <w:p>
      <w:pPr>
        <w:pStyle w:val="Style17"/>
        <w:keepNext w:val="0"/>
        <w:keepLines w:val="0"/>
        <w:widowControl w:val="0"/>
        <w:shd w:val="clear" w:color="auto" w:fill="auto"/>
        <w:bidi w:val="0"/>
        <w:spacing w:before="0" w:after="0" w:line="408"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160" w:line="429" w:lineRule="exact"/>
        <w:ind w:left="0" w:right="0" w:firstLine="540"/>
        <w:jc w:val="left"/>
      </w:pPr>
      <w:r>
        <w:rPr>
          <w:color w:val="000000"/>
          <w:spacing w:val="0"/>
          <w:w w:val="100"/>
          <w:position w:val="0"/>
        </w:rPr>
        <w:t>股份变动的过户情况</w:t>
      </w:r>
    </w:p>
    <w:p>
      <w:pPr>
        <w:pStyle w:val="Style17"/>
        <w:keepNext w:val="0"/>
        <w:keepLines w:val="0"/>
        <w:widowControl w:val="0"/>
        <w:shd w:val="clear" w:color="auto" w:fill="auto"/>
        <w:bidi w:val="0"/>
        <w:spacing w:before="0" w:after="0" w:line="408"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160" w:line="429" w:lineRule="exact"/>
        <w:ind w:left="0" w:right="0" w:firstLine="540"/>
        <w:jc w:val="left"/>
      </w:pPr>
      <w:r>
        <w:rPr>
          <w:color w:val="000000"/>
          <w:spacing w:val="0"/>
          <w:w w:val="100"/>
          <w:position w:val="0"/>
        </w:rPr>
        <w:t>股份变动对最近一年和最近一期基本每股收益和稀释每股收益、归属于公司普通股股东的每股净 资产等财务指标的影响</w:t>
      </w:r>
    </w:p>
    <w:p>
      <w:pPr>
        <w:pStyle w:val="Style17"/>
        <w:keepNext w:val="0"/>
        <w:keepLines w:val="0"/>
        <w:widowControl w:val="0"/>
        <w:shd w:val="clear" w:color="auto" w:fill="auto"/>
        <w:bidi w:val="0"/>
        <w:spacing w:before="0" w:after="0" w:line="408"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160" w:line="429" w:lineRule="exact"/>
        <w:ind w:left="0" w:right="0" w:firstLine="540"/>
        <w:jc w:val="left"/>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280" w:line="408"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5"/>
        <w:keepNext/>
        <w:keepLines/>
        <w:widowControl w:val="0"/>
        <w:shd w:val="clear" w:color="auto" w:fill="auto"/>
        <w:bidi w:val="0"/>
        <w:spacing w:before="0" w:after="160" w:line="408"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sz w:val="22"/>
          <w:szCs w:val="22"/>
        </w:rPr>
        <w:t>2</w:t>
      </w:r>
      <w:bookmarkEnd w:id="607"/>
      <w:r>
        <w:rPr>
          <w:color w:val="000000"/>
          <w:spacing w:val="0"/>
          <w:w w:val="100"/>
          <w:position w:val="0"/>
        </w:rPr>
        <w:t>、限售股份变动情况</w:t>
      </w:r>
      <w:bookmarkEnd w:id="605"/>
      <w:bookmarkEnd w:id="606"/>
      <w:bookmarkEnd w:id="6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02"/>
        <w:gridCol w:w="1368"/>
        <w:gridCol w:w="1368"/>
        <w:gridCol w:w="1301"/>
        <w:gridCol w:w="1416"/>
        <w:gridCol w:w="1382"/>
        <w:gridCol w:w="1459"/>
      </w:tblGrid>
      <w:tr>
        <w:trPr>
          <w:trHeight w:val="58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股东名称</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88" w:lineRule="exact"/>
              <w:ind w:left="0" w:right="0" w:firstLine="0"/>
              <w:jc w:val="center"/>
              <w:rPr>
                <w:sz w:val="20"/>
                <w:szCs w:val="20"/>
              </w:rPr>
            </w:pPr>
            <w:r>
              <w:rPr>
                <w:rFonts w:ascii="SimSun" w:eastAsia="SimSun" w:hAnsi="SimSun" w:cs="SimSun"/>
                <w:color w:val="000000"/>
                <w:spacing w:val="0"/>
                <w:w w:val="100"/>
                <w:position w:val="0"/>
                <w:sz w:val="20"/>
                <w:szCs w:val="20"/>
              </w:rPr>
              <w:t>期初限售股 数</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88" w:lineRule="exact"/>
              <w:ind w:left="0" w:right="0" w:firstLine="0"/>
              <w:jc w:val="center"/>
              <w:rPr>
                <w:sz w:val="20"/>
                <w:szCs w:val="20"/>
              </w:rPr>
            </w:pPr>
            <w:r>
              <w:rPr>
                <w:rFonts w:ascii="SimSun" w:eastAsia="SimSun" w:hAnsi="SimSun" w:cs="SimSun"/>
                <w:color w:val="000000"/>
                <w:spacing w:val="0"/>
                <w:w w:val="100"/>
                <w:position w:val="0"/>
                <w:sz w:val="20"/>
                <w:szCs w:val="20"/>
              </w:rPr>
              <w:t>本期增加限 售股数</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本期解除限 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期末限售股数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限售原因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解除限售日期</w:t>
            </w:r>
          </w:p>
        </w:tc>
      </w:tr>
      <w:tr>
        <w:trPr>
          <w:trHeight w:val="172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苏宁控股集团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61,056,374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61,056,374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7" w:lineRule="exact"/>
              <w:ind w:left="0" w:right="0" w:firstLine="0"/>
              <w:jc w:val="both"/>
              <w:rPr>
                <w:sz w:val="20"/>
                <w:szCs w:val="20"/>
              </w:rPr>
            </w:pPr>
            <w:r>
              <w:rPr>
                <w:rFonts w:ascii="SimSun" w:eastAsia="SimSun" w:hAnsi="SimSun" w:cs="SimSun"/>
                <w:color w:val="000000"/>
                <w:spacing w:val="0"/>
                <w:w w:val="100"/>
                <w:position w:val="0"/>
                <w:sz w:val="20"/>
                <w:szCs w:val="20"/>
              </w:rPr>
              <w:t>苏宁控股集团 承诺自</w:t>
            </w:r>
            <w:r>
              <w:rPr>
                <w:color w:val="000000"/>
                <w:spacing w:val="0"/>
                <w:w w:val="100"/>
                <w:position w:val="0"/>
                <w:sz w:val="22"/>
                <w:szCs w:val="22"/>
              </w:rPr>
              <w:t xml:space="preserve">2019 </w:t>
            </w:r>
            <w:r>
              <w:rPr>
                <w:rFonts w:ascii="SimSun" w:eastAsia="SimSun" w:hAnsi="SimSun" w:cs="SimSun"/>
                <w:color w:val="000000"/>
                <w:spacing w:val="0"/>
                <w:w w:val="100"/>
                <w:position w:val="0"/>
                <w:sz w:val="20"/>
                <w:szCs w:val="20"/>
              </w:rPr>
              <w:t>年</w:t>
            </w:r>
            <w:r>
              <w:rPr>
                <w:color w:val="000000"/>
                <w:spacing w:val="0"/>
                <w:w w:val="100"/>
                <w:position w:val="0"/>
                <w:sz w:val="22"/>
                <w:szCs w:val="22"/>
              </w:rPr>
              <w:t>1</w:t>
            </w:r>
            <w:r>
              <w:rPr>
                <w:rFonts w:ascii="SimSun" w:eastAsia="SimSun" w:hAnsi="SimSun" w:cs="SimSun"/>
                <w:color w:val="000000"/>
                <w:spacing w:val="0"/>
                <w:w w:val="100"/>
                <w:position w:val="0"/>
                <w:sz w:val="20"/>
                <w:szCs w:val="20"/>
              </w:rPr>
              <w:t>月</w:t>
            </w:r>
            <w:r>
              <w:rPr>
                <w:color w:val="000000"/>
                <w:spacing w:val="0"/>
                <w:w w:val="100"/>
                <w:position w:val="0"/>
                <w:sz w:val="22"/>
                <w:szCs w:val="22"/>
              </w:rPr>
              <w:t>18</w:t>
            </w:r>
            <w:r>
              <w:rPr>
                <w:rFonts w:ascii="SimSun" w:eastAsia="SimSun" w:hAnsi="SimSun" w:cs="SimSun"/>
                <w:color w:val="000000"/>
                <w:spacing w:val="0"/>
                <w:w w:val="100"/>
                <w:position w:val="0"/>
                <w:sz w:val="20"/>
                <w:szCs w:val="20"/>
              </w:rPr>
              <w:t>日起 三十六个月内 不减持本次增 持股份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sz w:val="20"/>
                <w:szCs w:val="20"/>
              </w:rPr>
              <w:t xml:space="preserve">年 </w:t>
            </w:r>
            <w:r>
              <w:rPr>
                <w:color w:val="000000"/>
                <w:spacing w:val="0"/>
                <w:w w:val="100"/>
                <w:position w:val="0"/>
              </w:rPr>
              <w:t xml:space="preserve">1 </w:t>
            </w:r>
            <w:r>
              <w:rPr>
                <w:rFonts w:ascii="SimSun" w:eastAsia="SimSun" w:hAnsi="SimSun" w:cs="SimSun"/>
                <w:color w:val="000000"/>
                <w:spacing w:val="0"/>
                <w:w w:val="100"/>
                <w:position w:val="0"/>
                <w:sz w:val="20"/>
                <w:szCs w:val="20"/>
              </w:rPr>
              <w:t xml:space="preserve">月 </w:t>
            </w:r>
            <w:r>
              <w:rPr>
                <w:color w:val="000000"/>
                <w:spacing w:val="0"/>
                <w:w w:val="100"/>
                <w:position w:val="0"/>
              </w:rPr>
              <w:t>18</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日</w:t>
            </w:r>
          </w:p>
        </w:tc>
      </w:tr>
      <w:tr>
        <w:trPr>
          <w:trHeight w:val="5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张近东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1,463,858,572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176,322,859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1,640,181,431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离职董事锁定 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sz w:val="20"/>
                <w:szCs w:val="20"/>
              </w:rPr>
              <w:t>年</w:t>
            </w:r>
            <w:r>
              <w:rPr>
                <w:color w:val="000000"/>
                <w:spacing w:val="0"/>
                <w:w w:val="100"/>
                <w:position w:val="0"/>
              </w:rPr>
              <w:t>9</w:t>
            </w:r>
            <w:r>
              <w:rPr>
                <w:rFonts w:ascii="SimSun" w:eastAsia="SimSun" w:hAnsi="SimSun" w:cs="SimSun"/>
                <w:color w:val="000000"/>
                <w:spacing w:val="0"/>
                <w:w w:val="100"/>
                <w:position w:val="0"/>
                <w:sz w:val="20"/>
                <w:szCs w:val="20"/>
              </w:rPr>
              <w:t>月</w:t>
            </w:r>
            <w:r>
              <w:rPr>
                <w:color w:val="000000"/>
                <w:spacing w:val="0"/>
                <w:w w:val="100"/>
                <w:position w:val="0"/>
              </w:rPr>
              <w:t>8</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日</w:t>
            </w:r>
          </w:p>
        </w:tc>
      </w:tr>
      <w:tr>
        <w:trPr>
          <w:trHeight w:val="5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孙为民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3,452,252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1,150,751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4,603,003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离职董事锁定 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sz w:val="20"/>
                <w:szCs w:val="20"/>
              </w:rPr>
              <w:t>年</w:t>
            </w:r>
            <w:r>
              <w:rPr>
                <w:color w:val="000000"/>
                <w:spacing w:val="0"/>
                <w:w w:val="100"/>
                <w:position w:val="0"/>
              </w:rPr>
              <w:t>9</w:t>
            </w:r>
            <w:r>
              <w:rPr>
                <w:rFonts w:ascii="SimSun" w:eastAsia="SimSun" w:hAnsi="SimSun" w:cs="SimSun"/>
                <w:color w:val="000000"/>
                <w:spacing w:val="0"/>
                <w:w w:val="100"/>
                <w:position w:val="0"/>
                <w:sz w:val="20"/>
                <w:szCs w:val="20"/>
              </w:rPr>
              <w:t>月</w:t>
            </w:r>
            <w:r>
              <w:rPr>
                <w:color w:val="000000"/>
                <w:spacing w:val="0"/>
                <w:w w:val="100"/>
                <w:position w:val="0"/>
              </w:rPr>
              <w:t>8</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日</w:t>
            </w:r>
          </w:p>
        </w:tc>
      </w:tr>
      <w:tr>
        <w:trPr>
          <w:trHeight w:val="5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孟祥胜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3,167,737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1,055,912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4,223,649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离职董事、高 管锁定股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sz w:val="20"/>
                <w:szCs w:val="20"/>
              </w:rPr>
              <w:t>年</w:t>
            </w:r>
            <w:r>
              <w:rPr>
                <w:color w:val="000000"/>
                <w:spacing w:val="0"/>
                <w:w w:val="100"/>
                <w:position w:val="0"/>
              </w:rPr>
              <w:t>9</w:t>
            </w:r>
            <w:r>
              <w:rPr>
                <w:rFonts w:ascii="SimSun" w:eastAsia="SimSun" w:hAnsi="SimSun" w:cs="SimSun"/>
                <w:color w:val="000000"/>
                <w:spacing w:val="0"/>
                <w:w w:val="100"/>
                <w:position w:val="0"/>
                <w:sz w:val="20"/>
                <w:szCs w:val="20"/>
              </w:rPr>
              <w:t>月</w:t>
            </w:r>
            <w:r>
              <w:rPr>
                <w:color w:val="000000"/>
                <w:spacing w:val="0"/>
                <w:w w:val="100"/>
                <w:position w:val="0"/>
              </w:rPr>
              <w:t>8</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日</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3,605,398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3,605,398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侯恩龙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157,950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157,950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姚凯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131,700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131,700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顾伟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131,550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131,550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龚震宇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131,475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131,475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田睿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131,100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黄巍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30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1,535,868,058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178,529,522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1,714,397,580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一</w:t>
            </w:r>
          </w:p>
        </w:tc>
      </w:tr>
    </w:tbl>
    <w:p>
      <w:pPr>
        <w:pStyle w:val="Style32"/>
        <w:keepNext/>
        <w:keepLines/>
        <w:widowControl w:val="0"/>
        <w:shd w:val="clear" w:color="auto" w:fill="auto"/>
        <w:bidi w:val="0"/>
        <w:spacing w:before="0" w:after="48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二</w:t>
      </w:r>
      <w:bookmarkEnd w:id="611"/>
      <w:r>
        <w:rPr>
          <w:color w:val="000000"/>
          <w:spacing w:val="0"/>
          <w:w w:val="100"/>
          <w:position w:val="0"/>
          <w:sz w:val="24"/>
          <w:szCs w:val="24"/>
        </w:rPr>
        <w:t>、证券发行与上市情况</w:t>
      </w:r>
      <w:bookmarkEnd w:id="609"/>
      <w:bookmarkEnd w:id="610"/>
      <w:bookmarkEnd w:id="612"/>
    </w:p>
    <w:p>
      <w:pPr>
        <w:pStyle w:val="Style35"/>
        <w:keepNext/>
        <w:keepLines/>
        <w:widowControl w:val="0"/>
        <w:shd w:val="clear" w:color="auto" w:fill="auto"/>
        <w:tabs>
          <w:tab w:pos="378" w:val="left"/>
        </w:tabs>
        <w:bidi w:val="0"/>
        <w:spacing w:before="0" w:after="32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sz w:val="22"/>
          <w:szCs w:val="22"/>
        </w:rPr>
        <w:t>1</w:t>
      </w:r>
      <w:bookmarkEnd w:id="615"/>
      <w:r>
        <w:rPr>
          <w:color w:val="000000"/>
          <w:spacing w:val="0"/>
          <w:w w:val="100"/>
          <w:position w:val="0"/>
        </w:rPr>
        <w:t>、</w:t>
        <w:tab/>
        <w:t>报告期内证券发行（不含优先股）情况</w:t>
      </w:r>
      <w:bookmarkEnd w:id="613"/>
      <w:bookmarkEnd w:id="614"/>
      <w:bookmarkEnd w:id="616"/>
    </w:p>
    <w:p>
      <w:pPr>
        <w:pStyle w:val="Style17"/>
        <w:keepNext w:val="0"/>
        <w:keepLines w:val="0"/>
        <w:widowControl w:val="0"/>
        <w:shd w:val="clear" w:color="auto" w:fill="auto"/>
        <w:bidi w:val="0"/>
        <w:spacing w:before="0" w:after="480" w:line="240"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5"/>
        <w:keepNext/>
        <w:keepLines/>
        <w:widowControl w:val="0"/>
        <w:shd w:val="clear" w:color="auto" w:fill="auto"/>
        <w:tabs>
          <w:tab w:pos="387" w:val="left"/>
        </w:tabs>
        <w:bidi w:val="0"/>
        <w:spacing w:before="0" w:after="32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sz w:val="22"/>
          <w:szCs w:val="22"/>
        </w:rPr>
        <w:t>2</w:t>
      </w:r>
      <w:bookmarkEnd w:id="619"/>
      <w:r>
        <w:rPr>
          <w:color w:val="000000"/>
          <w:spacing w:val="0"/>
          <w:w w:val="100"/>
          <w:position w:val="0"/>
        </w:rPr>
        <w:t>、</w:t>
        <w:tab/>
        <w:t>公司股份总数及股东结构的变动、公司资产和负债结构的变动情况说明</w:t>
      </w:r>
      <w:bookmarkEnd w:id="617"/>
      <w:bookmarkEnd w:id="618"/>
      <w:bookmarkEnd w:id="620"/>
    </w:p>
    <w:p>
      <w:pPr>
        <w:pStyle w:val="Style17"/>
        <w:keepNext w:val="0"/>
        <w:keepLines w:val="0"/>
        <w:widowControl w:val="0"/>
        <w:shd w:val="clear" w:color="auto" w:fill="auto"/>
        <w:bidi w:val="0"/>
        <w:spacing w:before="0" w:after="480" w:line="240"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5"/>
        <w:keepNext/>
        <w:keepLines/>
        <w:widowControl w:val="0"/>
        <w:shd w:val="clear" w:color="auto" w:fill="auto"/>
        <w:tabs>
          <w:tab w:pos="387" w:val="left"/>
        </w:tabs>
        <w:bidi w:val="0"/>
        <w:spacing w:before="0" w:after="32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sz w:val="22"/>
          <w:szCs w:val="22"/>
        </w:rPr>
        <w:t>3</w:t>
      </w:r>
      <w:bookmarkEnd w:id="623"/>
      <w:r>
        <w:rPr>
          <w:color w:val="000000"/>
          <w:spacing w:val="0"/>
          <w:w w:val="100"/>
          <w:position w:val="0"/>
        </w:rPr>
        <w:t>、</w:t>
        <w:tab/>
        <w:t>现存的内部职工股情况</w:t>
      </w:r>
      <w:bookmarkEnd w:id="621"/>
      <w:bookmarkEnd w:id="622"/>
      <w:bookmarkEnd w:id="624"/>
    </w:p>
    <w:p>
      <w:pPr>
        <w:pStyle w:val="Style17"/>
        <w:keepNext w:val="0"/>
        <w:keepLines w:val="0"/>
        <w:widowControl w:val="0"/>
        <w:shd w:val="clear" w:color="auto" w:fill="auto"/>
        <w:bidi w:val="0"/>
        <w:spacing w:before="0" w:after="540" w:line="240"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2"/>
        <w:keepNext/>
        <w:keepLines/>
        <w:widowControl w:val="0"/>
        <w:shd w:val="clear" w:color="auto" w:fill="auto"/>
        <w:bidi w:val="0"/>
        <w:spacing w:before="0" w:after="48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三</w:t>
      </w:r>
      <w:bookmarkEnd w:id="627"/>
      <w:r>
        <w:rPr>
          <w:color w:val="000000"/>
          <w:spacing w:val="0"/>
          <w:w w:val="100"/>
          <w:position w:val="0"/>
          <w:sz w:val="24"/>
          <w:szCs w:val="24"/>
        </w:rPr>
        <w:t>、股东和实际控制人情况</w:t>
      </w:r>
      <w:bookmarkEnd w:id="625"/>
      <w:bookmarkEnd w:id="626"/>
      <w:bookmarkEnd w:id="628"/>
    </w:p>
    <w:p>
      <w:pPr>
        <w:pStyle w:val="Style35"/>
        <w:keepNext/>
        <w:keepLines/>
        <w:widowControl w:val="0"/>
        <w:shd w:val="clear" w:color="auto" w:fill="auto"/>
        <w:bidi w:val="0"/>
        <w:spacing w:before="0" w:after="320" w:line="240" w:lineRule="auto"/>
        <w:ind w:left="0" w:right="0" w:firstLine="0"/>
        <w:jc w:val="left"/>
      </w:pPr>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sz w:val="22"/>
          <w:szCs w:val="22"/>
        </w:rPr>
        <w:t>1</w:t>
      </w:r>
      <w:r>
        <w:rPr>
          <w:color w:val="000000"/>
          <w:spacing w:val="0"/>
          <w:w w:val="100"/>
          <w:position w:val="0"/>
        </w:rPr>
        <w:t>、公司股东数量及持股情况</w:t>
      </w:r>
      <w:bookmarkEnd w:id="629"/>
      <w:bookmarkEnd w:id="630"/>
      <w:bookmarkEnd w:id="6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79"/>
        <w:gridCol w:w="1085"/>
        <w:gridCol w:w="610"/>
        <w:gridCol w:w="845"/>
        <w:gridCol w:w="422"/>
        <w:gridCol w:w="538"/>
        <w:gridCol w:w="883"/>
        <w:gridCol w:w="672"/>
        <w:gridCol w:w="605"/>
        <w:gridCol w:w="278"/>
        <w:gridCol w:w="854"/>
        <w:gridCol w:w="696"/>
        <w:gridCol w:w="1406"/>
      </w:tblGrid>
      <w:tr>
        <w:trPr>
          <w:trHeight w:val="137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64" w:lineRule="exact"/>
              <w:ind w:left="0" w:right="0" w:firstLine="0"/>
              <w:jc w:val="left"/>
              <w:rPr>
                <w:sz w:val="20"/>
                <w:szCs w:val="20"/>
              </w:rPr>
            </w:pPr>
            <w:r>
              <w:rPr>
                <w:rFonts w:ascii="SimSun" w:eastAsia="SimSun" w:hAnsi="SimSun" w:cs="SimSun"/>
                <w:color w:val="000000"/>
                <w:spacing w:val="0"/>
                <w:w w:val="100"/>
                <w:position w:val="0"/>
                <w:sz w:val="20"/>
                <w:szCs w:val="20"/>
              </w:rPr>
              <w:t>报告期末普通 股股东总数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292,685</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0" w:lineRule="exact"/>
              <w:ind w:left="0" w:right="0" w:firstLine="0"/>
              <w:jc w:val="left"/>
              <w:rPr>
                <w:sz w:val="20"/>
                <w:szCs w:val="20"/>
              </w:rPr>
            </w:pPr>
            <w:r>
              <w:rPr>
                <w:rFonts w:ascii="SimSun" w:eastAsia="SimSun" w:hAnsi="SimSun" w:cs="SimSun"/>
                <w:color w:val="000000"/>
                <w:spacing w:val="0"/>
                <w:w w:val="100"/>
                <w:position w:val="0"/>
                <w:sz w:val="20"/>
                <w:szCs w:val="20"/>
              </w:rPr>
              <w:t>年度报告披 露日前上一 月末普通股 股东总数</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284,632</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报告期末表决 权恢复的优先 股股东总数</w:t>
            </w:r>
          </w:p>
          <w:p>
            <w:pPr>
              <w:pStyle w:val="Style29"/>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（如有）</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71" w:lineRule="exact"/>
              <w:ind w:left="0" w:right="0" w:firstLine="0"/>
              <w:jc w:val="left"/>
              <w:rPr>
                <w:sz w:val="20"/>
                <w:szCs w:val="20"/>
              </w:rPr>
            </w:pPr>
            <w:r>
              <w:rPr>
                <w:rFonts w:ascii="SimSun" w:eastAsia="SimSun" w:hAnsi="SimSun" w:cs="SimSun"/>
                <w:color w:val="000000"/>
                <w:spacing w:val="0"/>
                <w:w w:val="100"/>
                <w:position w:val="0"/>
                <w:sz w:val="20"/>
                <w:szCs w:val="20"/>
              </w:rPr>
              <w:t>年度报告披露 日前上一月末 表决权恢复的 优先股股东总 数（如有）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w:t>
            </w:r>
          </w:p>
        </w:tc>
      </w:tr>
      <w:tr>
        <w:trPr>
          <w:trHeight w:val="283" w:hRule="exact"/>
        </w:trPr>
        <w:tc>
          <w:tcPr>
            <w:gridSpan w:val="3"/>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持股</w:t>
            </w:r>
            <w:r>
              <w:rPr>
                <w:color w:val="000000"/>
                <w:spacing w:val="0"/>
                <w:w w:val="100"/>
                <w:position w:val="0"/>
                <w:sz w:val="20"/>
                <w:szCs w:val="20"/>
              </w:rPr>
              <w:t>5%</w:t>
            </w:r>
            <w:r>
              <w:rPr>
                <w:rFonts w:ascii="SimSun" w:eastAsia="SimSun" w:hAnsi="SimSun" w:cs="SimSun"/>
                <w:color w:val="000000"/>
                <w:spacing w:val="0"/>
                <w:w w:val="100"/>
                <w:position w:val="0"/>
                <w:sz w:val="20"/>
                <w:szCs w:val="20"/>
              </w:rPr>
              <w:t>以上的股东或前</w:t>
            </w:r>
            <w:r>
              <w:rPr>
                <w:color w:val="000000"/>
                <w:spacing w:val="0"/>
                <w:w w:val="100"/>
                <w:position w:val="0"/>
                <w:sz w:val="20"/>
                <w:szCs w:val="20"/>
              </w:rPr>
              <w:t>10</w:t>
            </w:r>
            <w:r>
              <w:rPr>
                <w:rFonts w:ascii="SimSun" w:eastAsia="SimSun" w:hAnsi="SimSun" w:cs="SimSun"/>
                <w:color w:val="000000"/>
                <w:spacing w:val="0"/>
                <w:w w:val="100"/>
                <w:position w:val="0"/>
                <w:sz w:val="20"/>
                <w:szCs w:val="20"/>
              </w:rPr>
              <w:t>名股东持</w:t>
            </w:r>
          </w:p>
        </w:tc>
        <w:tc>
          <w:tcPr>
            <w:gridSpan w:val="5"/>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股情况</w:t>
            </w:r>
          </w:p>
        </w:tc>
      </w:tr>
      <w:tr>
        <w:trPr>
          <w:trHeight w:val="552"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股东名称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股东性质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2" w:lineRule="exact"/>
              <w:ind w:left="0" w:right="0" w:firstLine="0"/>
              <w:jc w:val="center"/>
              <w:rPr>
                <w:sz w:val="20"/>
                <w:szCs w:val="20"/>
              </w:rPr>
            </w:pPr>
            <w:r>
              <w:rPr>
                <w:rFonts w:ascii="SimSun" w:eastAsia="SimSun" w:hAnsi="SimSun" w:cs="SimSun"/>
                <w:color w:val="000000"/>
                <w:spacing w:val="0"/>
                <w:w w:val="100"/>
                <w:position w:val="0"/>
                <w:sz w:val="20"/>
                <w:szCs w:val="20"/>
              </w:rPr>
              <w:t>持 股 比 例</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报告期末持 股数量</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40" w:line="240" w:lineRule="auto"/>
              <w:ind w:left="0" w:right="0" w:firstLine="180"/>
              <w:jc w:val="left"/>
              <w:rPr>
                <w:sz w:val="20"/>
                <w:szCs w:val="20"/>
              </w:rPr>
            </w:pPr>
            <w:r>
              <w:rPr>
                <w:rFonts w:ascii="SimSun" w:eastAsia="SimSun" w:hAnsi="SimSun" w:cs="SimSun"/>
                <w:color w:val="000000"/>
                <w:spacing w:val="0"/>
                <w:w w:val="100"/>
                <w:position w:val="0"/>
                <w:sz w:val="20"/>
                <w:szCs w:val="20"/>
              </w:rPr>
              <w:t>报告期内增</w:t>
            </w:r>
          </w:p>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减变动情况</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40" w:line="240" w:lineRule="auto"/>
              <w:ind w:left="0" w:right="0" w:firstLine="0"/>
              <w:jc w:val="right"/>
              <w:rPr>
                <w:sz w:val="20"/>
                <w:szCs w:val="20"/>
              </w:rPr>
            </w:pPr>
            <w:r>
              <w:rPr>
                <w:rFonts w:ascii="SimSun" w:eastAsia="SimSun" w:hAnsi="SimSun" w:cs="SimSun"/>
                <w:color w:val="000000"/>
                <w:spacing w:val="0"/>
                <w:w w:val="100"/>
                <w:position w:val="0"/>
                <w:sz w:val="20"/>
                <w:szCs w:val="20"/>
              </w:rPr>
              <w:t>持有有限售</w:t>
            </w:r>
          </w:p>
          <w:p>
            <w:pPr>
              <w:pStyle w:val="Style29"/>
              <w:keepNext w:val="0"/>
              <w:keepLines w:val="0"/>
              <w:widowControl w:val="0"/>
              <w:shd w:val="clear" w:color="auto" w:fill="auto"/>
              <w:bidi w:val="0"/>
              <w:spacing w:before="0" w:after="40" w:line="240" w:lineRule="auto"/>
              <w:ind w:left="0" w:right="0" w:firstLine="0"/>
              <w:jc w:val="right"/>
              <w:rPr>
                <w:sz w:val="20"/>
                <w:szCs w:val="20"/>
              </w:rPr>
            </w:pPr>
            <w:r>
              <w:rPr>
                <w:rFonts w:ascii="SimSun" w:eastAsia="SimSun" w:hAnsi="SimSun" w:cs="SimSun"/>
                <w:color w:val="000000"/>
                <w:spacing w:val="0"/>
                <w:w w:val="100"/>
                <w:position w:val="0"/>
                <w:sz w:val="20"/>
                <w:szCs w:val="20"/>
              </w:rPr>
              <w:t>条件的股份</w:t>
            </w:r>
          </w:p>
          <w:p>
            <w:pPr>
              <w:pStyle w:val="Style29"/>
              <w:keepNext w:val="0"/>
              <w:keepLines w:val="0"/>
              <w:widowControl w:val="0"/>
              <w:shd w:val="clear" w:color="auto" w:fill="auto"/>
              <w:bidi w:val="0"/>
              <w:spacing w:before="0" w:after="4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rFonts w:ascii="SimSun" w:eastAsia="SimSun" w:hAnsi="SimSun" w:cs="SimSun"/>
                <w:color w:val="000000"/>
                <w:spacing w:val="0"/>
                <w:w w:val="100"/>
                <w:position w:val="0"/>
                <w:sz w:val="20"/>
                <w:szCs w:val="20"/>
              </w:rPr>
              <w:t>持有无限 售条件的 股份数量</w:t>
            </w:r>
          </w:p>
        </w:tc>
        <w:tc>
          <w:tcPr>
            <w:gridSpan w:val="2"/>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color w:val="000000"/>
                <w:spacing w:val="0"/>
                <w:w w:val="100"/>
                <w:position w:val="0"/>
                <w:sz w:val="20"/>
                <w:szCs w:val="20"/>
              </w:rPr>
              <w:t>质押、标记或冻结情 况</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股份</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状态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500" w:firstLine="0"/>
              <w:jc w:val="right"/>
              <w:rPr>
                <w:sz w:val="20"/>
                <w:szCs w:val="20"/>
              </w:rPr>
            </w:pPr>
            <w:r>
              <w:rPr>
                <w:rFonts w:ascii="SimSun" w:eastAsia="SimSun" w:hAnsi="SimSun" w:cs="SimSun"/>
                <w:color w:val="000000"/>
                <w:spacing w:val="0"/>
                <w:w w:val="100"/>
                <w:position w:val="0"/>
                <w:sz w:val="20"/>
                <w:szCs w:val="20"/>
              </w:rPr>
              <w:t>数量</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淘宝（中国） 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境内非国</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19.9</w:t>
            </w:r>
          </w:p>
          <w:p>
            <w:pPr>
              <w:pStyle w:val="Style29"/>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9%</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1,861,076,9</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1,861,076,</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张近东</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境内自然 人</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17.6</w:t>
            </w:r>
          </w:p>
          <w:p>
            <w:pPr>
              <w:pStyle w:val="Style29"/>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2%</w:t>
            </w: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1,640,181,4</w:t>
            </w:r>
          </w:p>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31</w:t>
            </w: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-311,629,999</w:t>
            </w: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1,640,181,4</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w:t>
            </w: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冻结</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540,181,430</w:t>
            </w:r>
          </w:p>
        </w:tc>
      </w:tr>
      <w:tr>
        <w:trPr>
          <w:trHeight w:val="4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1,100,000,00</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江苏新新零售</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创新基金二期</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境内非国</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16.9</w:t>
            </w:r>
          </w:p>
          <w:p>
            <w:pPr>
              <w:pStyle w:val="Style29"/>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6%</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1,578,696,1</w:t>
            </w:r>
          </w:p>
          <w:p>
            <w:pPr>
              <w:pStyle w:val="Style29"/>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46</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1,578,696,14</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1,578,696,</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江苏新新零售 创新基金（有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境内非国</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5.59</w:t>
            </w:r>
          </w:p>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520,000,000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520,000,000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520,000,0</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李松强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境内自然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3.02</w:t>
            </w:r>
          </w:p>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281,526,374</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106,254,156</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281,526,3</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苏宁控股集团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境内非国</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2.73</w:t>
            </w:r>
          </w:p>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254,411,429</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-116,375,496</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61,056,374</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193,355,0</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254,411,429</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香港中央结算</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境外法人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2.11</w:t>
            </w:r>
          </w:p>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196,666,076</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39,037,870</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196,666,0</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565"/>
        <w:gridCol w:w="1099"/>
        <w:gridCol w:w="605"/>
        <w:gridCol w:w="1272"/>
        <w:gridCol w:w="1421"/>
        <w:gridCol w:w="715"/>
        <w:gridCol w:w="562"/>
        <w:gridCol w:w="1133"/>
        <w:gridCol w:w="254"/>
        <w:gridCol w:w="418"/>
        <w:gridCol w:w="1430"/>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苏宁电器集团 有限公司</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境内非国 有法人</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1.39</w:t>
            </w:r>
          </w:p>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129,448,134</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-1,730,376,35</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129,448,1</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冻结</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129,448,134</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质押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129,448,134</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境内自然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1.34</w:t>
            </w:r>
          </w:p>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125,001,165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125,001,1</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120,000,000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陈金凤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境内自然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0.78</w:t>
            </w:r>
          </w:p>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73,039,097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-77,069,162</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73,039,09</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65,649,996</w:t>
            </w:r>
          </w:p>
        </w:tc>
      </w:tr>
      <w:tr>
        <w:trPr>
          <w:trHeight w:val="826" w:hRule="exact"/>
        </w:trPr>
        <w:tc>
          <w:tcPr>
            <w:gridSpan w:val="2"/>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战略投资者或一般法人因 配售新股成为前</w:t>
            </w:r>
            <w:r>
              <w:rPr>
                <w:color w:val="000000"/>
                <w:spacing w:val="0"/>
                <w:w w:val="100"/>
                <w:position w:val="0"/>
                <w:sz w:val="20"/>
                <w:szCs w:val="20"/>
              </w:rPr>
              <w:t>10</w:t>
            </w:r>
            <w:r>
              <w:rPr>
                <w:rFonts w:ascii="SimSun" w:eastAsia="SimSun" w:hAnsi="SimSun" w:cs="SimSun"/>
                <w:color w:val="000000"/>
                <w:spacing w:val="0"/>
                <w:w w:val="100"/>
                <w:position w:val="0"/>
                <w:sz w:val="20"/>
                <w:szCs w:val="20"/>
              </w:rPr>
              <w:t>名股东 的情况（如有）</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r>
      <w:tr>
        <w:trPr>
          <w:trHeight w:val="1373"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上述股东关联关系或一致 行动的说明</w:t>
            </w:r>
          </w:p>
        </w:tc>
        <w:tc>
          <w:tcPr>
            <w:gridSpan w:val="9"/>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rFonts w:ascii="SimSun" w:eastAsia="SimSun" w:hAnsi="SimSun" w:cs="SimSun"/>
                <w:color w:val="000000"/>
                <w:spacing w:val="0"/>
                <w:w w:val="100"/>
                <w:position w:val="0"/>
                <w:sz w:val="20"/>
                <w:szCs w:val="20"/>
              </w:rPr>
              <w:t>张近东先生与苏宁控股集团有限公司构成一致行动人关系，张近东先生持有苏宁电 器集团有限公司</w:t>
            </w:r>
            <w:r>
              <w:rPr>
                <w:color w:val="000000"/>
                <w:spacing w:val="0"/>
                <w:w w:val="100"/>
                <w:position w:val="0"/>
                <w:sz w:val="20"/>
                <w:szCs w:val="20"/>
              </w:rPr>
              <w:t>50%</w:t>
            </w:r>
            <w:r>
              <w:rPr>
                <w:rFonts w:ascii="SimSun" w:eastAsia="SimSun" w:hAnsi="SimSun" w:cs="SimSun"/>
                <w:color w:val="000000"/>
                <w:spacing w:val="0"/>
                <w:w w:val="100"/>
                <w:position w:val="0"/>
                <w:sz w:val="20"/>
                <w:szCs w:val="20"/>
              </w:rPr>
              <w:t>股权。</w:t>
            </w:r>
          </w:p>
          <w:p>
            <w:pPr>
              <w:pStyle w:val="Style29"/>
              <w:keepNext w:val="0"/>
              <w:keepLines w:val="0"/>
              <w:widowControl w:val="0"/>
              <w:shd w:val="clear" w:color="auto" w:fill="auto"/>
              <w:bidi w:val="0"/>
              <w:spacing w:before="0" w:after="0" w:line="272" w:lineRule="exact"/>
              <w:ind w:left="0" w:right="0" w:firstLine="0"/>
              <w:jc w:val="both"/>
              <w:rPr>
                <w:sz w:val="20"/>
                <w:szCs w:val="20"/>
              </w:rPr>
            </w:pPr>
            <w:r>
              <w:rPr>
                <w:rFonts w:ascii="SimSun" w:eastAsia="SimSun" w:hAnsi="SimSun" w:cs="SimSun"/>
                <w:color w:val="000000"/>
                <w:spacing w:val="0"/>
                <w:w w:val="100"/>
                <w:position w:val="0"/>
                <w:sz w:val="20"/>
                <w:szCs w:val="20"/>
              </w:rPr>
              <w:t>除前述关联关系外，未知公司前十名主要股东、前十名无限售条件股东之间是否存 在其他关联关系，也未知是否存在《上市公司收购管理办法》中规定的一致行动人 的情况。</w:t>
            </w:r>
          </w:p>
        </w:tc>
      </w:tr>
      <w:tr>
        <w:trPr>
          <w:trHeight w:val="826" w:hRule="exact"/>
        </w:trPr>
        <w:tc>
          <w:tcPr>
            <w:gridSpan w:val="2"/>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76" w:lineRule="exact"/>
              <w:ind w:left="0" w:right="0" w:firstLine="0"/>
              <w:jc w:val="left"/>
              <w:rPr>
                <w:sz w:val="20"/>
                <w:szCs w:val="20"/>
              </w:rPr>
            </w:pPr>
            <w:r>
              <w:rPr>
                <w:rFonts w:ascii="SimSun" w:eastAsia="SimSun" w:hAnsi="SimSun" w:cs="SimSun"/>
                <w:color w:val="000000"/>
                <w:spacing w:val="0"/>
                <w:w w:val="100"/>
                <w:position w:val="0"/>
                <w:sz w:val="20"/>
                <w:szCs w:val="20"/>
              </w:rPr>
              <w:t>上述股东涉及委托</w:t>
            </w:r>
            <w:r>
              <w:rPr>
                <w:color w:val="000000"/>
                <w:spacing w:val="0"/>
                <w:w w:val="100"/>
                <w:position w:val="0"/>
                <w:sz w:val="20"/>
                <w:szCs w:val="20"/>
              </w:rPr>
              <w:t>/</w:t>
            </w:r>
            <w:r>
              <w:rPr>
                <w:rFonts w:ascii="SimSun" w:eastAsia="SimSun" w:hAnsi="SimSun" w:cs="SimSun"/>
                <w:color w:val="000000"/>
                <w:spacing w:val="0"/>
                <w:w w:val="100"/>
                <w:position w:val="0"/>
                <w:sz w:val="20"/>
                <w:szCs w:val="20"/>
              </w:rPr>
              <w:t>受托表 决权、放弃表决权情况的说 明</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无</w:t>
            </w:r>
          </w:p>
        </w:tc>
      </w:tr>
      <w:tr>
        <w:trPr>
          <w:trHeight w:val="552" w:hRule="exact"/>
        </w:trPr>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前</w:t>
            </w:r>
            <w:r>
              <w:rPr>
                <w:color w:val="000000"/>
                <w:spacing w:val="0"/>
                <w:w w:val="100"/>
                <w:position w:val="0"/>
                <w:sz w:val="20"/>
                <w:szCs w:val="20"/>
              </w:rPr>
              <w:t>10</w:t>
            </w:r>
            <w:r>
              <w:rPr>
                <w:rFonts w:ascii="SimSun" w:eastAsia="SimSun" w:hAnsi="SimSun" w:cs="SimSun"/>
                <w:color w:val="000000"/>
                <w:spacing w:val="0"/>
                <w:w w:val="100"/>
                <w:position w:val="0"/>
                <w:sz w:val="20"/>
                <w:szCs w:val="20"/>
              </w:rPr>
              <w:t>名股东中存在回购专 户的特别说明（如有）</w:t>
            </w:r>
          </w:p>
        </w:tc>
        <w:tc>
          <w:tcPr>
            <w:gridSpan w:val="9"/>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rFonts w:ascii="SimSun" w:eastAsia="SimSun" w:hAnsi="SimSun" w:cs="SimSun"/>
                <w:color w:val="000000"/>
                <w:spacing w:val="0"/>
                <w:w w:val="100"/>
                <w:position w:val="0"/>
                <w:sz w:val="20"/>
                <w:szCs w:val="20"/>
              </w:rPr>
              <w:t>上述股东持股情况未统计公司回购证券账户持股数量，截至</w:t>
            </w: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日公司 回购证券账户持有股份数量为</w:t>
            </w:r>
            <w:r>
              <w:rPr>
                <w:color w:val="000000"/>
                <w:spacing w:val="0"/>
                <w:w w:val="100"/>
                <w:position w:val="0"/>
                <w:sz w:val="20"/>
                <w:szCs w:val="20"/>
              </w:rPr>
              <w:t>185,488,452</w:t>
            </w:r>
            <w:r>
              <w:rPr>
                <w:rFonts w:ascii="SimSun" w:eastAsia="SimSun" w:hAnsi="SimSun" w:cs="SimSun"/>
                <w:color w:val="000000"/>
                <w:spacing w:val="0"/>
                <w:w w:val="100"/>
                <w:position w:val="0"/>
                <w:sz w:val="20"/>
                <w:szCs w:val="20"/>
              </w:rPr>
              <w:t>股。</w:t>
            </w:r>
          </w:p>
        </w:tc>
      </w:tr>
      <w:tr>
        <w:trPr>
          <w:trHeight w:val="283" w:hRule="exact"/>
        </w:trPr>
        <w:tc>
          <w:tcPr>
            <w:gridSpan w:val="11"/>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前</w:t>
            </w:r>
            <w:r>
              <w:rPr>
                <w:color w:val="000000"/>
                <w:spacing w:val="0"/>
                <w:w w:val="100"/>
                <w:position w:val="0"/>
                <w:sz w:val="20"/>
                <w:szCs w:val="20"/>
              </w:rPr>
              <w:t>10</w:t>
            </w:r>
            <w:r>
              <w:rPr>
                <w:rFonts w:ascii="SimSun" w:eastAsia="SimSun" w:hAnsi="SimSun" w:cs="SimSun"/>
                <w:color w:val="000000"/>
                <w:spacing w:val="0"/>
                <w:w w:val="100"/>
                <w:position w:val="0"/>
                <w:sz w:val="20"/>
                <w:szCs w:val="20"/>
              </w:rPr>
              <w:t>名无限售条件股东持股情况</w:t>
            </w:r>
          </w:p>
        </w:tc>
      </w:tr>
      <w:tr>
        <w:trPr>
          <w:trHeight w:val="283" w:hRule="exact"/>
        </w:trPr>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股东名称</w:t>
            </w:r>
          </w:p>
        </w:tc>
        <w:tc>
          <w:tcPr>
            <w:gridSpan w:val="4"/>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报告期末持有无限售条件股份数量</w:t>
            </w:r>
          </w:p>
        </w:tc>
        <w:tc>
          <w:tcPr>
            <w:gridSpan w:val="3"/>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股份</w:t>
            </w:r>
            <w:r>
              <w:rPr>
                <w:color w:val="000000"/>
                <w:spacing w:val="0"/>
                <w:w w:val="100"/>
                <w:position w:val="0"/>
                <w:sz w:val="20"/>
                <w:szCs w:val="20"/>
              </w:rPr>
              <w:t>5</w:t>
            </w:r>
          </w:p>
        </w:tc>
        <w:tc>
          <w:tcPr>
            <w:gridSpan w:val="2"/>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伸类</w:t>
            </w:r>
          </w:p>
        </w:tc>
      </w:tr>
      <w:tr>
        <w:trPr>
          <w:trHeight w:val="283"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3"/>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股份种类</w:t>
            </w:r>
          </w:p>
        </w:tc>
        <w:tc>
          <w:tcPr>
            <w:gridSpan w:val="2"/>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r>
      <w:tr>
        <w:trPr>
          <w:trHeight w:val="283"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淘宝（中国）软件有限公司</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1,861,076,927</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1,861,076,927</w:t>
            </w:r>
          </w:p>
        </w:tc>
      </w:tr>
      <w:tr>
        <w:trPr>
          <w:trHeight w:val="552"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江苏新新零售创新基金二 期（有限合伙）</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1,578,696,146</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1,578,696,146</w:t>
            </w:r>
          </w:p>
        </w:tc>
      </w:tr>
      <w:tr>
        <w:trPr>
          <w:trHeight w:val="557"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江苏新新零售创新基金（有 限合伙）</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520,000,000</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520,000,000</w:t>
            </w:r>
          </w:p>
        </w:tc>
      </w:tr>
      <w:tr>
        <w:trPr>
          <w:trHeight w:val="283"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李松强</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281,526,374</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281,526,374</w:t>
            </w:r>
          </w:p>
        </w:tc>
      </w:tr>
      <w:tr>
        <w:trPr>
          <w:trHeight w:val="278"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香港中央结算有限公司</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196,666,076</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196,666,076</w:t>
            </w:r>
          </w:p>
        </w:tc>
      </w:tr>
      <w:tr>
        <w:trPr>
          <w:trHeight w:val="283"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苏宁控股集团有限公司</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193,355,055</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193,355,055</w:t>
            </w:r>
          </w:p>
        </w:tc>
      </w:tr>
      <w:tr>
        <w:trPr>
          <w:trHeight w:val="283"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苏宁电器集团有限公司</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129,448,134</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129,448,134</w:t>
            </w:r>
          </w:p>
        </w:tc>
      </w:tr>
      <w:tr>
        <w:trPr>
          <w:trHeight w:val="283"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金明</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125,001,165</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125,001,165</w:t>
            </w:r>
          </w:p>
        </w:tc>
      </w:tr>
      <w:tr>
        <w:trPr>
          <w:trHeight w:val="283"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陈金凤</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73,039,097</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73,039,097</w:t>
            </w:r>
          </w:p>
        </w:tc>
      </w:tr>
      <w:tr>
        <w:trPr>
          <w:trHeight w:val="552"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中央汇金资产管理有限责 任公司</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71,693,223</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71,693,223</w:t>
            </w:r>
          </w:p>
        </w:tc>
      </w:tr>
      <w:tr>
        <w:trPr>
          <w:trHeight w:val="1373" w:hRule="exact"/>
        </w:trPr>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前</w:t>
            </w:r>
            <w:r>
              <w:rPr>
                <w:color w:val="000000"/>
                <w:spacing w:val="0"/>
                <w:w w:val="100"/>
                <w:position w:val="0"/>
                <w:sz w:val="20"/>
                <w:szCs w:val="20"/>
              </w:rPr>
              <w:t>10</w:t>
            </w:r>
            <w:r>
              <w:rPr>
                <w:rFonts w:ascii="SimSun" w:eastAsia="SimSun" w:hAnsi="SimSun" w:cs="SimSun"/>
                <w:color w:val="000000"/>
                <w:spacing w:val="0"/>
                <w:w w:val="100"/>
                <w:position w:val="0"/>
                <w:sz w:val="20"/>
                <w:szCs w:val="20"/>
              </w:rPr>
              <w:t>名无限售流通股股东 之间，以及前</w:t>
            </w:r>
            <w:r>
              <w:rPr>
                <w:color w:val="000000"/>
                <w:spacing w:val="0"/>
                <w:w w:val="100"/>
                <w:position w:val="0"/>
                <w:sz w:val="20"/>
                <w:szCs w:val="20"/>
              </w:rPr>
              <w:t>10</w:t>
            </w:r>
            <w:r>
              <w:rPr>
                <w:rFonts w:ascii="SimSun" w:eastAsia="SimSun" w:hAnsi="SimSun" w:cs="SimSun"/>
                <w:color w:val="000000"/>
                <w:spacing w:val="0"/>
                <w:w w:val="100"/>
                <w:position w:val="0"/>
                <w:sz w:val="20"/>
                <w:szCs w:val="20"/>
              </w:rPr>
              <w:t>名无限售 流通股股东和前</w:t>
            </w:r>
            <w:r>
              <w:rPr>
                <w:color w:val="000000"/>
                <w:spacing w:val="0"/>
                <w:w w:val="100"/>
                <w:position w:val="0"/>
                <w:sz w:val="20"/>
                <w:szCs w:val="20"/>
              </w:rPr>
              <w:t>10</w:t>
            </w:r>
            <w:r>
              <w:rPr>
                <w:rFonts w:ascii="SimSun" w:eastAsia="SimSun" w:hAnsi="SimSun" w:cs="SimSun"/>
                <w:color w:val="000000"/>
                <w:spacing w:val="0"/>
                <w:w w:val="100"/>
                <w:position w:val="0"/>
                <w:sz w:val="20"/>
                <w:szCs w:val="20"/>
              </w:rPr>
              <w:t>名股东 之间关联关系或一致行动 的说明</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详见</w:t>
            </w:r>
            <w:r>
              <w:rPr>
                <w:color w:val="000000"/>
                <w:spacing w:val="0"/>
                <w:w w:val="100"/>
                <w:position w:val="0"/>
                <w:sz w:val="20"/>
                <w:szCs w:val="20"/>
              </w:rPr>
              <w:t>“</w:t>
            </w:r>
            <w:r>
              <w:rPr>
                <w:rFonts w:ascii="SimSun" w:eastAsia="SimSun" w:hAnsi="SimSun" w:cs="SimSun"/>
                <w:color w:val="000000"/>
                <w:spacing w:val="0"/>
                <w:w w:val="100"/>
                <w:position w:val="0"/>
                <w:sz w:val="20"/>
                <w:szCs w:val="20"/>
              </w:rPr>
              <w:t>上述股东关联关系或一致行动的说明</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835" w:hRule="exact"/>
        </w:trPr>
        <w:tc>
          <w:tcPr>
            <w:gridSpan w:val="2"/>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0" w:after="0" w:line="271" w:lineRule="exact"/>
              <w:ind w:left="0" w:right="0" w:firstLine="0"/>
              <w:jc w:val="left"/>
              <w:rPr>
                <w:sz w:val="20"/>
                <w:szCs w:val="20"/>
              </w:rPr>
            </w:pPr>
            <w:r>
              <w:rPr>
                <w:rFonts w:ascii="SimSun" w:eastAsia="SimSun" w:hAnsi="SimSun" w:cs="SimSun"/>
                <w:color w:val="000000"/>
                <w:spacing w:val="0"/>
                <w:w w:val="100"/>
                <w:position w:val="0"/>
                <w:sz w:val="20"/>
                <w:szCs w:val="20"/>
              </w:rPr>
              <w:t>前</w:t>
            </w:r>
            <w:r>
              <w:rPr>
                <w:color w:val="000000"/>
                <w:spacing w:val="0"/>
                <w:w w:val="100"/>
                <w:position w:val="0"/>
                <w:sz w:val="20"/>
                <w:szCs w:val="20"/>
              </w:rPr>
              <w:t>10</w:t>
            </w:r>
            <w:r>
              <w:rPr>
                <w:rFonts w:ascii="SimSun" w:eastAsia="SimSun" w:hAnsi="SimSun" w:cs="SimSun"/>
                <w:color w:val="000000"/>
                <w:spacing w:val="0"/>
                <w:w w:val="100"/>
                <w:position w:val="0"/>
                <w:sz w:val="20"/>
                <w:szCs w:val="20"/>
              </w:rPr>
              <w:t>名普通股股东参与融 资融券业务情况说明（如 有）</w:t>
            </w:r>
          </w:p>
        </w:tc>
        <w:tc>
          <w:tcPr>
            <w:gridSpan w:val="9"/>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rPr>
                <w:sz w:val="20"/>
                <w:szCs w:val="20"/>
              </w:rPr>
            </w:pPr>
            <w:r>
              <w:rPr>
                <w:rFonts w:ascii="SimSun" w:eastAsia="SimSun" w:hAnsi="SimSun" w:cs="SimSun"/>
                <w:color w:val="000000"/>
                <w:spacing w:val="0"/>
                <w:w w:val="100"/>
                <w:position w:val="0"/>
                <w:sz w:val="20"/>
                <w:szCs w:val="20"/>
              </w:rPr>
              <w:t>股东李松强通过普通证券账户持有公司股份数量</w:t>
            </w:r>
            <w:r>
              <w:rPr>
                <w:color w:val="000000"/>
                <w:spacing w:val="0"/>
                <w:w w:val="100"/>
                <w:position w:val="0"/>
                <w:sz w:val="20"/>
                <w:szCs w:val="20"/>
              </w:rPr>
              <w:t>38,643,061</w:t>
            </w:r>
            <w:r>
              <w:rPr>
                <w:rFonts w:ascii="SimSun" w:eastAsia="SimSun" w:hAnsi="SimSun" w:cs="SimSun"/>
                <w:color w:val="000000"/>
                <w:spacing w:val="0"/>
                <w:w w:val="100"/>
                <w:position w:val="0"/>
                <w:sz w:val="20"/>
                <w:szCs w:val="20"/>
              </w:rPr>
              <w:t>股，通过信用证券账户 持有公司股份数量</w:t>
            </w:r>
            <w:r>
              <w:rPr>
                <w:color w:val="000000"/>
                <w:spacing w:val="0"/>
                <w:w w:val="100"/>
                <w:position w:val="0"/>
                <w:sz w:val="20"/>
                <w:szCs w:val="20"/>
              </w:rPr>
              <w:t>242,883,313</w:t>
            </w:r>
            <w:r>
              <w:rPr>
                <w:rFonts w:ascii="SimSun" w:eastAsia="SimSun" w:hAnsi="SimSun" w:cs="SimSun"/>
                <w:color w:val="000000"/>
                <w:spacing w:val="0"/>
                <w:w w:val="100"/>
                <w:position w:val="0"/>
                <w:sz w:val="20"/>
                <w:szCs w:val="20"/>
              </w:rPr>
              <w:t>股。</w:t>
            </w:r>
          </w:p>
        </w:tc>
      </w:tr>
    </w:tbl>
    <w:p>
      <w:pPr>
        <w:widowControl w:val="0"/>
        <w:spacing w:after="399" w:line="1" w:lineRule="exact"/>
      </w:pPr>
    </w:p>
    <w:p>
      <w:pPr>
        <w:pStyle w:val="Style17"/>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名无限售条件普通股股东在报告期内是否进行约定购回交易</w:t>
      </w:r>
    </w:p>
    <w:p>
      <w:pPr>
        <w:pStyle w:val="Style17"/>
        <w:keepNext w:val="0"/>
        <w:keepLines w:val="0"/>
        <w:widowControl w:val="0"/>
        <w:shd w:val="clear" w:color="auto" w:fill="auto"/>
        <w:bidi w:val="0"/>
        <w:spacing w:before="0" w:after="160" w:line="240" w:lineRule="auto"/>
        <w:ind w:left="0" w:right="0" w:firstLine="76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17"/>
        <w:keepNext w:val="0"/>
        <w:keepLines w:val="0"/>
        <w:widowControl w:val="0"/>
        <w:shd w:val="clear" w:color="auto" w:fill="auto"/>
        <w:bidi w:val="0"/>
        <w:spacing w:before="0" w:after="280" w:line="240" w:lineRule="auto"/>
        <w:ind w:left="0" w:right="0" w:firstLine="54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140" w:line="428" w:lineRule="exact"/>
        <w:ind w:left="0" w:right="0" w:firstLine="0"/>
        <w:jc w:val="left"/>
      </w:pPr>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sz w:val="22"/>
          <w:szCs w:val="22"/>
        </w:rPr>
        <w:t>2</w:t>
      </w:r>
      <w:r>
        <w:rPr>
          <w:color w:val="000000"/>
          <w:spacing w:val="0"/>
          <w:w w:val="100"/>
          <w:position w:val="0"/>
        </w:rPr>
        <w:t>、公司控股股东情况</w:t>
      </w:r>
      <w:bookmarkEnd w:id="632"/>
      <w:bookmarkEnd w:id="633"/>
      <w:bookmarkEnd w:id="634"/>
    </w:p>
    <w:p>
      <w:pPr>
        <w:pStyle w:val="Style17"/>
        <w:keepNext w:val="0"/>
        <w:keepLines w:val="0"/>
        <w:widowControl w:val="0"/>
        <w:shd w:val="clear" w:color="auto" w:fill="auto"/>
        <w:bidi w:val="0"/>
        <w:spacing w:before="0" w:after="0" w:line="428" w:lineRule="exact"/>
        <w:ind w:left="0" w:right="0" w:firstLine="540"/>
        <w:jc w:val="both"/>
      </w:pPr>
      <w:r>
        <w:rPr>
          <w:color w:val="000000"/>
          <w:spacing w:val="0"/>
          <w:w w:val="100"/>
          <w:position w:val="0"/>
        </w:rPr>
        <w:t>控股股东性质：无控股主体</w:t>
      </w:r>
    </w:p>
    <w:p>
      <w:pPr>
        <w:pStyle w:val="Style17"/>
        <w:keepNext w:val="0"/>
        <w:keepLines w:val="0"/>
        <w:widowControl w:val="0"/>
        <w:shd w:val="clear" w:color="auto" w:fill="auto"/>
        <w:bidi w:val="0"/>
        <w:spacing w:before="0" w:after="0" w:line="428" w:lineRule="exact"/>
        <w:ind w:left="0" w:right="0" w:firstLine="540"/>
        <w:jc w:val="both"/>
      </w:pPr>
      <w:r>
        <w:rPr>
          <w:color w:val="000000"/>
          <w:spacing w:val="0"/>
          <w:w w:val="100"/>
          <w:position w:val="0"/>
        </w:rPr>
        <w:t>控股股东类型：不存在</w:t>
      </w:r>
    </w:p>
    <w:p>
      <w:pPr>
        <w:pStyle w:val="Style17"/>
        <w:keepNext w:val="0"/>
        <w:keepLines w:val="0"/>
        <w:widowControl w:val="0"/>
        <w:shd w:val="clear" w:color="auto" w:fill="auto"/>
        <w:bidi w:val="0"/>
        <w:spacing w:before="0" w:after="0" w:line="428" w:lineRule="exact"/>
        <w:ind w:left="0" w:right="0" w:firstLine="540"/>
        <w:jc w:val="both"/>
      </w:pPr>
      <w:r>
        <w:rPr>
          <w:color w:val="000000"/>
          <w:spacing w:val="0"/>
          <w:w w:val="100"/>
          <w:position w:val="0"/>
        </w:rPr>
        <w:t>公司不存在控股股东情况的说明</w:t>
      </w:r>
    </w:p>
    <w:p>
      <w:pPr>
        <w:pStyle w:val="Style17"/>
        <w:keepNext w:val="0"/>
        <w:keepLines w:val="0"/>
        <w:widowControl w:val="0"/>
        <w:shd w:val="clear" w:color="auto" w:fill="auto"/>
        <w:bidi w:val="0"/>
        <w:spacing w:before="0" w:after="0" w:line="428" w:lineRule="exact"/>
        <w:ind w:left="0" w:right="0" w:firstLine="540"/>
        <w:jc w:val="both"/>
      </w:pPr>
      <w:r>
        <w:rPr>
          <w:color w:val="000000"/>
          <w:spacing w:val="0"/>
          <w:w w:val="100"/>
          <w:position w:val="0"/>
        </w:rPr>
        <w:t>苏宁易购集团股份有限公司（以下简称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上市公司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）持股</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以上股东张近东先生及其 一致行动人苏宁控股集团有限公司（以下简称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苏宁控股集团</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），公司持股</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以上股东苏宁电器集团 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苏宁电器集团</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），西藏信托有限公司（以下简称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西藏信托</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，代表西藏信托有限 公司一西藏信托一顺景</w:t>
      </w:r>
      <w:r>
        <w:rPr>
          <w:rFonts w:ascii="Times New Roman" w:eastAsia="Times New Roman" w:hAnsi="Times New Roman" w:cs="Times New Roman"/>
          <w:color w:val="000000"/>
          <w:spacing w:val="0"/>
          <w:w w:val="100"/>
          <w:position w:val="0"/>
          <w:sz w:val="22"/>
          <w:szCs w:val="22"/>
        </w:rPr>
        <w:t>34</w:t>
      </w:r>
      <w:r>
        <w:rPr>
          <w:color w:val="000000"/>
          <w:spacing w:val="0"/>
          <w:w w:val="100"/>
          <w:position w:val="0"/>
        </w:rPr>
        <w:t>号集合资金信托计划、西藏信托有限公司一西藏信托一顺景</w:t>
      </w:r>
      <w:r>
        <w:rPr>
          <w:rFonts w:ascii="Times New Roman" w:eastAsia="Times New Roman" w:hAnsi="Times New Roman" w:cs="Times New Roman"/>
          <w:color w:val="000000"/>
          <w:spacing w:val="0"/>
          <w:w w:val="100"/>
          <w:position w:val="0"/>
          <w:sz w:val="22"/>
          <w:szCs w:val="22"/>
        </w:rPr>
        <w:t>53</w:t>
      </w:r>
      <w:r>
        <w:rPr>
          <w:color w:val="000000"/>
          <w:spacing w:val="0"/>
          <w:w w:val="100"/>
          <w:position w:val="0"/>
        </w:rPr>
        <w:t>号集合资 金信托计划、西藏信托有限公司一西藏信托一莱沃</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号集合资金信托计划、西藏信托有限公司一西 藏信托一莱沃</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号集合资金信托计划，合称</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支信托计划</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，苏宁电器集团通过前述信托计划持有 公司股份）将所持公司合计数量占上市公司总股本</w:t>
      </w:r>
      <w:r>
        <w:rPr>
          <w:rFonts w:ascii="Times New Roman" w:eastAsia="Times New Roman" w:hAnsi="Times New Roman" w:cs="Times New Roman"/>
          <w:color w:val="000000"/>
          <w:spacing w:val="0"/>
          <w:w w:val="100"/>
          <w:position w:val="0"/>
          <w:sz w:val="22"/>
          <w:szCs w:val="22"/>
        </w:rPr>
        <w:t>16.96%</w:t>
      </w:r>
      <w:r>
        <w:rPr>
          <w:color w:val="000000"/>
          <w:spacing w:val="0"/>
          <w:w w:val="100"/>
          <w:position w:val="0"/>
        </w:rPr>
        <w:t>的股份转让给江苏新新零售创新基金二期 （有限合伙）（以下简称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新新零售基金二期</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本次股份转让</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本次交易</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22"/>
          <w:szCs w:val="22"/>
        </w:rPr>
        <w:t>2021-093</w:t>
      </w:r>
      <w:r>
        <w:rPr>
          <w:color w:val="000000"/>
          <w:spacing w:val="0"/>
          <w:w w:val="100"/>
          <w:position w:val="0"/>
        </w:rPr>
        <w:t>）。</w:t>
      </w:r>
    </w:p>
    <w:p>
      <w:pPr>
        <w:pStyle w:val="Style17"/>
        <w:keepNext w:val="0"/>
        <w:keepLines w:val="0"/>
        <w:widowControl w:val="0"/>
        <w:shd w:val="clear" w:color="auto" w:fill="auto"/>
        <w:bidi w:val="0"/>
        <w:spacing w:before="0" w:after="0" w:line="428" w:lineRule="exact"/>
        <w:ind w:left="0" w:right="0" w:firstLine="540"/>
        <w:jc w:val="both"/>
      </w:pPr>
      <w:r>
        <w:rPr>
          <w:color w:val="000000"/>
          <w:spacing w:val="0"/>
          <w:w w:val="100"/>
          <w:position w:val="0"/>
        </w:rPr>
        <w:t>本次股份转让前，张近东先生为公司实际控制人。张近东先生直接持有公司</w:t>
      </w:r>
      <w:r>
        <w:rPr>
          <w:rFonts w:ascii="Times New Roman" w:eastAsia="Times New Roman" w:hAnsi="Times New Roman" w:cs="Times New Roman"/>
          <w:color w:val="000000"/>
          <w:spacing w:val="0"/>
          <w:w w:val="100"/>
          <w:position w:val="0"/>
          <w:sz w:val="22"/>
          <w:szCs w:val="22"/>
        </w:rPr>
        <w:t>1,951,811,430</w:t>
      </w:r>
      <w:r>
        <w:rPr>
          <w:color w:val="000000"/>
          <w:spacing w:val="0"/>
          <w:w w:val="100"/>
          <w:position w:val="0"/>
        </w:rPr>
        <w:t>股股 份，占公司总股本的比例为</w:t>
      </w:r>
      <w:r>
        <w:rPr>
          <w:rFonts w:ascii="Times New Roman" w:eastAsia="Times New Roman" w:hAnsi="Times New Roman" w:cs="Times New Roman"/>
          <w:color w:val="000000"/>
          <w:spacing w:val="0"/>
          <w:w w:val="100"/>
          <w:position w:val="0"/>
          <w:sz w:val="22"/>
          <w:szCs w:val="22"/>
        </w:rPr>
        <w:t>20.96%</w:t>
      </w:r>
      <w:r>
        <w:rPr>
          <w:color w:val="000000"/>
          <w:spacing w:val="0"/>
          <w:w w:val="100"/>
          <w:position w:val="0"/>
        </w:rPr>
        <w:t>，一致行动人苏宁控股集团持有公司</w:t>
      </w:r>
      <w:r>
        <w:rPr>
          <w:rFonts w:ascii="Times New Roman" w:eastAsia="Times New Roman" w:hAnsi="Times New Roman" w:cs="Times New Roman"/>
          <w:color w:val="000000"/>
          <w:spacing w:val="0"/>
          <w:w w:val="100"/>
          <w:position w:val="0"/>
          <w:sz w:val="22"/>
          <w:szCs w:val="22"/>
        </w:rPr>
        <w:t>370,786,925</w:t>
      </w:r>
      <w:r>
        <w:rPr>
          <w:color w:val="000000"/>
          <w:spacing w:val="0"/>
          <w:w w:val="100"/>
          <w:position w:val="0"/>
        </w:rPr>
        <w:t>股股份，占公 司总股本的比例为</w:t>
      </w:r>
      <w:r>
        <w:rPr>
          <w:rFonts w:ascii="Times New Roman" w:eastAsia="Times New Roman" w:hAnsi="Times New Roman" w:cs="Times New Roman"/>
          <w:color w:val="000000"/>
          <w:spacing w:val="0"/>
          <w:w w:val="100"/>
          <w:position w:val="0"/>
          <w:sz w:val="22"/>
          <w:szCs w:val="22"/>
        </w:rPr>
        <w:t>3.98%</w:t>
      </w:r>
      <w:r>
        <w:rPr>
          <w:color w:val="000000"/>
          <w:spacing w:val="0"/>
          <w:w w:val="100"/>
          <w:position w:val="0"/>
        </w:rPr>
        <w:t>。</w:t>
      </w:r>
    </w:p>
    <w:p>
      <w:pPr>
        <w:pStyle w:val="Style17"/>
        <w:keepNext w:val="0"/>
        <w:keepLines w:val="0"/>
        <w:widowControl w:val="0"/>
        <w:shd w:val="clear" w:color="auto" w:fill="auto"/>
        <w:bidi w:val="0"/>
        <w:spacing w:before="0" w:after="0" w:line="428" w:lineRule="exact"/>
        <w:ind w:left="0" w:right="0" w:firstLine="540"/>
        <w:jc w:val="both"/>
      </w:pPr>
      <w:r>
        <w:rPr>
          <w:color w:val="000000"/>
          <w:spacing w:val="0"/>
          <w:w w:val="100"/>
          <w:position w:val="0"/>
        </w:rPr>
        <w:t>本次股份转让后，张近东先生直接持有公司</w:t>
      </w:r>
      <w:r>
        <w:rPr>
          <w:rFonts w:ascii="Times New Roman" w:eastAsia="Times New Roman" w:hAnsi="Times New Roman" w:cs="Times New Roman"/>
          <w:color w:val="000000"/>
          <w:spacing w:val="0"/>
          <w:w w:val="100"/>
          <w:position w:val="0"/>
          <w:sz w:val="22"/>
          <w:szCs w:val="22"/>
        </w:rPr>
        <w:t>1,640,181,431</w:t>
      </w:r>
      <w:r>
        <w:rPr>
          <w:color w:val="000000"/>
          <w:spacing w:val="0"/>
          <w:w w:val="100"/>
          <w:position w:val="0"/>
        </w:rPr>
        <w:t>股股份，占公司总股本的比例为</w:t>
      </w:r>
      <w:r>
        <w:rPr>
          <w:rFonts w:ascii="Times New Roman" w:eastAsia="Times New Roman" w:hAnsi="Times New Roman" w:cs="Times New Roman"/>
          <w:color w:val="000000"/>
          <w:spacing w:val="0"/>
          <w:w w:val="100"/>
          <w:position w:val="0"/>
          <w:sz w:val="22"/>
          <w:szCs w:val="22"/>
        </w:rPr>
        <w:t>17.62%</w:t>
      </w:r>
      <w:r>
        <w:rPr>
          <w:color w:val="000000"/>
          <w:spacing w:val="0"/>
          <w:w w:val="100"/>
          <w:position w:val="0"/>
        </w:rPr>
        <w:t>， 一致行动人苏宁控股集团持有公司</w:t>
      </w:r>
      <w:r>
        <w:rPr>
          <w:rFonts w:ascii="Times New Roman" w:eastAsia="Times New Roman" w:hAnsi="Times New Roman" w:cs="Times New Roman"/>
          <w:color w:val="000000"/>
          <w:spacing w:val="0"/>
          <w:w w:val="100"/>
          <w:position w:val="0"/>
          <w:sz w:val="22"/>
          <w:szCs w:val="22"/>
        </w:rPr>
        <w:t>254,411,429</w:t>
      </w:r>
      <w:r>
        <w:rPr>
          <w:color w:val="000000"/>
          <w:spacing w:val="0"/>
          <w:w w:val="100"/>
          <w:position w:val="0"/>
        </w:rPr>
        <w:t>股股份，占公司总股本的比例为</w:t>
      </w:r>
      <w:r>
        <w:rPr>
          <w:rFonts w:ascii="Times New Roman" w:eastAsia="Times New Roman" w:hAnsi="Times New Roman" w:cs="Times New Roman"/>
          <w:color w:val="000000"/>
          <w:spacing w:val="0"/>
          <w:w w:val="100"/>
          <w:position w:val="0"/>
          <w:sz w:val="22"/>
          <w:szCs w:val="22"/>
        </w:rPr>
        <w:t>2.73%</w:t>
      </w:r>
      <w:r>
        <w:rPr>
          <w:color w:val="000000"/>
          <w:spacing w:val="0"/>
          <w:w w:val="100"/>
          <w:position w:val="0"/>
        </w:rPr>
        <w:t xml:space="preserve">。受让人新新 零售基金二期持有公司 </w:t>
      </w:r>
      <w:r>
        <w:rPr>
          <w:rFonts w:ascii="Times New Roman" w:eastAsia="Times New Roman" w:hAnsi="Times New Roman" w:cs="Times New Roman"/>
          <w:color w:val="000000"/>
          <w:spacing w:val="0"/>
          <w:w w:val="100"/>
          <w:position w:val="0"/>
          <w:sz w:val="22"/>
          <w:szCs w:val="22"/>
        </w:rPr>
        <w:t xml:space="preserve">1,578,696,146 </w:t>
      </w:r>
      <w:r>
        <w:rPr>
          <w:color w:val="000000"/>
          <w:spacing w:val="0"/>
          <w:w w:val="100"/>
          <w:position w:val="0"/>
        </w:rPr>
        <w:t xml:space="preserve">股股份，占公司总股本比例为 </w:t>
      </w:r>
      <w:r>
        <w:rPr>
          <w:rFonts w:ascii="Times New Roman" w:eastAsia="Times New Roman" w:hAnsi="Times New Roman" w:cs="Times New Roman"/>
          <w:color w:val="000000"/>
          <w:spacing w:val="0"/>
          <w:w w:val="100"/>
          <w:position w:val="0"/>
          <w:sz w:val="22"/>
          <w:szCs w:val="22"/>
        </w:rPr>
        <w:t>16.96%</w:t>
      </w:r>
      <w:r>
        <w:rPr>
          <w:color w:val="000000"/>
          <w:spacing w:val="0"/>
          <w:w w:val="100"/>
          <w:position w:val="0"/>
        </w:rPr>
        <w:t>。</w:t>
      </w:r>
    </w:p>
    <w:p>
      <w:pPr>
        <w:pStyle w:val="Style17"/>
        <w:keepNext w:val="0"/>
        <w:keepLines w:val="0"/>
        <w:widowControl w:val="0"/>
        <w:shd w:val="clear" w:color="auto" w:fill="auto"/>
        <w:bidi w:val="0"/>
        <w:spacing w:before="0" w:after="0" w:line="428"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日在《中国证券报》、《上海证券报》、《证券日报》、《证券时报》及巨潮资 讯网</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http://www.cninfo.com.cn</w:t>
      </w:r>
      <w:r>
        <w:rPr>
          <w:color w:val="000000"/>
          <w:spacing w:val="0"/>
          <w:w w:val="100"/>
          <w:position w:val="0"/>
        </w:rPr>
        <w:t>）</w:t>
      </w:r>
      <w:r>
        <w:rPr>
          <w:color w:val="000000"/>
          <w:spacing w:val="0"/>
          <w:w w:val="100"/>
          <w:position w:val="0"/>
        </w:rPr>
        <w:t>上刊登《苏宁易购集团股份有限公司关于公司控股股东及股东签署</w:t>
      </w:r>
      <w:r>
        <w:rPr>
          <w:rFonts w:ascii="Times New Roman" w:eastAsia="Times New Roman" w:hAnsi="Times New Roman" w:cs="Times New Roman"/>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rPr>
        <w:t>股份转让协议</w:t>
      </w:r>
      <w:r>
        <w:rPr>
          <w:color w:val="000000"/>
          <w:spacing w:val="0"/>
          <w:w w:val="100"/>
          <w:position w:val="0"/>
          <w:sz w:val="22"/>
          <w:szCs w:val="22"/>
        </w:rPr>
        <w:t>〉</w:t>
      </w:r>
      <w:r>
        <w:rPr>
          <w:color w:val="000000"/>
          <w:spacing w:val="0"/>
          <w:w w:val="100"/>
          <w:position w:val="0"/>
        </w:rPr>
        <w:t>暨公司控制权拟发生变更的公告》（公告编号：</w:t>
      </w:r>
      <w:r>
        <w:rPr>
          <w:rFonts w:ascii="Times New Roman" w:eastAsia="Times New Roman" w:hAnsi="Times New Roman" w:cs="Times New Roman"/>
          <w:color w:val="000000"/>
          <w:spacing w:val="0"/>
          <w:w w:val="100"/>
          <w:position w:val="0"/>
          <w:sz w:val="22"/>
          <w:szCs w:val="22"/>
        </w:rPr>
        <w:t>2021-093</w:t>
      </w:r>
      <w:r>
        <w:rPr>
          <w:color w:val="000000"/>
          <w:spacing w:val="0"/>
          <w:w w:val="100"/>
          <w:position w:val="0"/>
        </w:rPr>
        <w:t>），</w:t>
      </w:r>
      <w:r>
        <w:rPr>
          <w:color w:val="000000"/>
          <w:spacing w:val="0"/>
          <w:w w:val="100"/>
          <w:position w:val="0"/>
        </w:rPr>
        <w:t>《苏宁易购集团股份有限公 司简式权益变动报告书》（信息披露义务人：苏宁电器集团），《苏宁易购集团股份有限公司简式权益 变动报告书》（信息披露义务人：新新零售基金二期）。</w:t>
      </w:r>
    </w:p>
    <w:p>
      <w:pPr>
        <w:pStyle w:val="Style17"/>
        <w:keepNext w:val="0"/>
        <w:keepLines w:val="0"/>
        <w:widowControl w:val="0"/>
        <w:shd w:val="clear" w:color="auto" w:fill="auto"/>
        <w:bidi w:val="0"/>
        <w:spacing w:before="0" w:after="0" w:line="430"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日在《中国证券报》、《上海证券报》、《证券日报》、《证券时报》及巨潮资 讯网</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http://www.cninfo.com.cn</w:t>
      </w:r>
      <w:r>
        <w:rPr>
          <w:color w:val="000000"/>
          <w:spacing w:val="0"/>
          <w:w w:val="100"/>
          <w:position w:val="0"/>
        </w:rPr>
        <w:t>）</w:t>
      </w:r>
      <w:r>
        <w:rPr>
          <w:color w:val="000000"/>
          <w:spacing w:val="0"/>
          <w:w w:val="100"/>
          <w:position w:val="0"/>
        </w:rPr>
        <w:t>上刊登《股东关于减持苏宁易购集团股份有限公司股份超过</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暨控</w:t>
      </w:r>
      <w:r>
        <w:rPr>
          <w:color w:val="000000"/>
          <w:spacing w:val="0"/>
          <w:w w:val="100"/>
          <w:position w:val="0"/>
        </w:rPr>
        <w:t xml:space="preserve"> 股股东及股东签署</w:t>
      </w:r>
      <w:r>
        <w:rPr>
          <w:color w:val="000000"/>
          <w:spacing w:val="0"/>
          <w:w w:val="100"/>
          <w:position w:val="0"/>
          <w:sz w:val="22"/>
          <w:szCs w:val="22"/>
        </w:rPr>
        <w:t>〈</w:t>
      </w:r>
      <w:r>
        <w:rPr>
          <w:color w:val="000000"/>
          <w:spacing w:val="0"/>
          <w:w w:val="100"/>
          <w:position w:val="0"/>
        </w:rPr>
        <w:t>股份转让协议</w:t>
      </w:r>
      <w:r>
        <w:rPr>
          <w:color w:val="000000"/>
          <w:spacing w:val="0"/>
          <w:w w:val="100"/>
          <w:position w:val="0"/>
          <w:sz w:val="22"/>
          <w:szCs w:val="22"/>
        </w:rPr>
        <w:t>〉</w:t>
      </w:r>
      <w:r>
        <w:rPr>
          <w:color w:val="000000"/>
          <w:spacing w:val="0"/>
          <w:w w:val="100"/>
          <w:position w:val="0"/>
        </w:rPr>
        <w:t>股份过户进展公告》（公告编号：</w:t>
      </w:r>
      <w:r>
        <w:rPr>
          <w:rFonts w:ascii="Times New Roman" w:eastAsia="Times New Roman" w:hAnsi="Times New Roman" w:cs="Times New Roman"/>
          <w:color w:val="000000"/>
          <w:spacing w:val="0"/>
          <w:w w:val="100"/>
          <w:position w:val="0"/>
          <w:sz w:val="22"/>
          <w:szCs w:val="22"/>
        </w:rPr>
        <w:t>2021-097</w:t>
      </w:r>
      <w:r>
        <w:rPr>
          <w:color w:val="000000"/>
          <w:spacing w:val="0"/>
          <w:w w:val="100"/>
          <w:position w:val="0"/>
        </w:rPr>
        <w:t>）。</w:t>
      </w:r>
    </w:p>
    <w:p>
      <w:pPr>
        <w:pStyle w:val="Style17"/>
        <w:keepNext w:val="0"/>
        <w:keepLines w:val="0"/>
        <w:widowControl w:val="0"/>
        <w:shd w:val="clear" w:color="auto" w:fill="auto"/>
        <w:bidi w:val="0"/>
        <w:spacing w:before="0" w:after="0" w:line="430"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日在《中国证券报》、《上海证券报》、《证券日报》、《证券时报》及巨潮资 讯网</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http://www.cninfo.com.cn</w:t>
      </w:r>
      <w:r>
        <w:rPr>
          <w:color w:val="000000"/>
          <w:spacing w:val="0"/>
          <w:w w:val="100"/>
          <w:position w:val="0"/>
        </w:rPr>
        <w:t>）</w:t>
      </w:r>
      <w:r>
        <w:rPr>
          <w:color w:val="000000"/>
          <w:spacing w:val="0"/>
          <w:w w:val="100"/>
          <w:position w:val="0"/>
        </w:rPr>
        <w:t>上刊登《股东关于减持苏宁易购集团股份有限公司股份超过</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的公</w:t>
      </w:r>
      <w:r>
        <w:rPr>
          <w:color w:val="000000"/>
          <w:spacing w:val="0"/>
          <w:w w:val="100"/>
          <w:position w:val="0"/>
        </w:rPr>
        <w:t xml:space="preserve"> 告》（公告编号：</w:t>
      </w:r>
      <w:r>
        <w:rPr>
          <w:rFonts w:ascii="Times New Roman" w:eastAsia="Times New Roman" w:hAnsi="Times New Roman" w:cs="Times New Roman"/>
          <w:color w:val="000000"/>
          <w:spacing w:val="0"/>
          <w:w w:val="100"/>
          <w:position w:val="0"/>
          <w:sz w:val="22"/>
          <w:szCs w:val="22"/>
        </w:rPr>
        <w:t>2021-098</w:t>
      </w:r>
      <w:r>
        <w:rPr>
          <w:color w:val="000000"/>
          <w:spacing w:val="0"/>
          <w:w w:val="100"/>
          <w:position w:val="0"/>
        </w:rPr>
        <w:t>）、《苏宁易购集团股份有限公司关于公司股东签署</w:t>
      </w:r>
      <w:r>
        <w:rPr>
          <w:color w:val="000000"/>
          <w:spacing w:val="0"/>
          <w:w w:val="100"/>
          <w:position w:val="0"/>
          <w:sz w:val="22"/>
          <w:szCs w:val="22"/>
        </w:rPr>
        <w:t>〈</w:t>
      </w:r>
      <w:r>
        <w:rPr>
          <w:color w:val="000000"/>
          <w:spacing w:val="0"/>
          <w:w w:val="100"/>
          <w:position w:val="0"/>
        </w:rPr>
        <w:t>股份转让协议</w:t>
      </w:r>
      <w:r>
        <w:rPr>
          <w:color w:val="000000"/>
          <w:spacing w:val="0"/>
          <w:w w:val="100"/>
          <w:position w:val="0"/>
          <w:sz w:val="22"/>
          <w:szCs w:val="22"/>
        </w:rPr>
        <w:t>〉</w:t>
      </w:r>
      <w:r>
        <w:rPr>
          <w:color w:val="000000"/>
          <w:spacing w:val="0"/>
          <w:w w:val="100"/>
          <w:position w:val="0"/>
        </w:rPr>
        <w:t>股份过 户完成的公告》（公告编号：</w:t>
      </w:r>
      <w:r>
        <w:rPr>
          <w:rFonts w:ascii="Times New Roman" w:eastAsia="Times New Roman" w:hAnsi="Times New Roman" w:cs="Times New Roman"/>
          <w:color w:val="000000"/>
          <w:spacing w:val="0"/>
          <w:w w:val="100"/>
          <w:position w:val="0"/>
          <w:sz w:val="22"/>
          <w:szCs w:val="22"/>
        </w:rPr>
        <w:t>2021-099</w:t>
      </w:r>
      <w:r>
        <w:rPr>
          <w:color w:val="000000"/>
          <w:spacing w:val="0"/>
          <w:w w:val="100"/>
          <w:position w:val="0"/>
        </w:rPr>
        <w:t>）。</w:t>
      </w:r>
    </w:p>
    <w:p>
      <w:pPr>
        <w:pStyle w:val="Style17"/>
        <w:keepNext w:val="0"/>
        <w:keepLines w:val="0"/>
        <w:widowControl w:val="0"/>
        <w:shd w:val="clear" w:color="auto" w:fill="auto"/>
        <w:bidi w:val="0"/>
        <w:spacing w:before="0" w:after="0" w:line="430"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13</w:t>
      </w:r>
      <w:r>
        <w:rPr>
          <w:color w:val="000000"/>
          <w:spacing w:val="0"/>
          <w:w w:val="100"/>
          <w:position w:val="0"/>
        </w:rPr>
        <w:t xml:space="preserve">日在《中国证券报》、《上海证券报》、《证券日报》、《证券时报》及巨潮资 </w:t>
      </w:r>
      <w:r>
        <w:rPr>
          <w:color w:val="000000"/>
          <w:spacing w:val="0"/>
          <w:w w:val="100"/>
          <w:position w:val="0"/>
        </w:rPr>
        <w:t>讯网（</w:t>
      </w:r>
      <w:r>
        <w:rPr>
          <w:rFonts w:ascii="Times New Roman" w:eastAsia="Times New Roman" w:hAnsi="Times New Roman" w:cs="Times New Roman"/>
          <w:color w:val="000000"/>
          <w:spacing w:val="0"/>
          <w:w w:val="100"/>
          <w:position w:val="0"/>
          <w:sz w:val="22"/>
          <w:szCs w:val="22"/>
        </w:rPr>
        <w:t>http://www.cninfo.com.cn</w:t>
      </w:r>
      <w:r>
        <w:rPr>
          <w:color w:val="000000"/>
          <w:spacing w:val="0"/>
          <w:w w:val="100"/>
          <w:position w:val="0"/>
        </w:rPr>
        <w:t>）上刊登《苏宁易购集团股份有限公司第七届董事会第十六次会议决</w:t>
      </w:r>
      <w:r>
        <w:rPr>
          <w:color w:val="000000"/>
          <w:spacing w:val="0"/>
          <w:w w:val="100"/>
          <w:position w:val="0"/>
        </w:rPr>
        <w:t xml:space="preserve"> 议公告》（公告编号：</w:t>
      </w:r>
      <w:r>
        <w:rPr>
          <w:rFonts w:ascii="Times New Roman" w:eastAsia="Times New Roman" w:hAnsi="Times New Roman" w:cs="Times New Roman"/>
          <w:color w:val="000000"/>
          <w:spacing w:val="0"/>
          <w:w w:val="100"/>
          <w:position w:val="0"/>
          <w:sz w:val="22"/>
          <w:szCs w:val="22"/>
        </w:rPr>
        <w:t>2021-101</w:t>
      </w:r>
      <w:r>
        <w:rPr>
          <w:color w:val="000000"/>
          <w:spacing w:val="0"/>
          <w:w w:val="100"/>
          <w:position w:val="0"/>
        </w:rPr>
        <w:t xml:space="preserve">）、《苏宁易购集团股份有限公司关于公司改选董事的公告》（公告编号： </w:t>
      </w:r>
      <w:r>
        <w:rPr>
          <w:rFonts w:ascii="Times New Roman" w:eastAsia="Times New Roman" w:hAnsi="Times New Roman" w:cs="Times New Roman"/>
          <w:color w:val="000000"/>
          <w:spacing w:val="0"/>
          <w:w w:val="100"/>
          <w:position w:val="0"/>
          <w:sz w:val="22"/>
          <w:szCs w:val="22"/>
        </w:rPr>
        <w:t>2021-102</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并在巨潮资讯网</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http://www.cninfo.com.cn</w:t>
      </w:r>
      <w:r>
        <w:rPr>
          <w:color w:val="000000"/>
          <w:spacing w:val="0"/>
          <w:w w:val="100"/>
          <w:position w:val="0"/>
        </w:rPr>
        <w:t>）</w:t>
      </w:r>
      <w:r>
        <w:rPr>
          <w:color w:val="000000"/>
          <w:spacing w:val="0"/>
          <w:w w:val="100"/>
          <w:position w:val="0"/>
        </w:rPr>
        <w:t>上刊登《独立董事关于公司改选董事的独立</w:t>
      </w:r>
      <w:r>
        <w:rPr>
          <w:color w:val="000000"/>
          <w:spacing w:val="0"/>
          <w:w w:val="100"/>
          <w:position w:val="0"/>
        </w:rPr>
        <w:t xml:space="preserve"> 意见》。</w:t>
      </w:r>
    </w:p>
    <w:p>
      <w:pPr>
        <w:pStyle w:val="Style17"/>
        <w:keepNext w:val="0"/>
        <w:keepLines w:val="0"/>
        <w:widowControl w:val="0"/>
        <w:shd w:val="clear" w:color="auto" w:fill="auto"/>
        <w:bidi w:val="0"/>
        <w:spacing w:before="0" w:after="0" w:line="429" w:lineRule="exact"/>
        <w:ind w:left="0" w:right="0" w:firstLine="54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日在《中国证券报》、《上海证券报》、《证券日报》、《证券时报》及巨潮资 讯网（</w:t>
      </w:r>
      <w:r>
        <w:rPr>
          <w:rFonts w:ascii="Times New Roman" w:eastAsia="Times New Roman" w:hAnsi="Times New Roman" w:cs="Times New Roman"/>
          <w:color w:val="000000"/>
          <w:spacing w:val="0"/>
          <w:w w:val="100"/>
          <w:position w:val="0"/>
          <w:sz w:val="22"/>
          <w:szCs w:val="22"/>
        </w:rPr>
        <w:t>http://www.cninfo.com.cn</w:t>
      </w:r>
      <w:r>
        <w:rPr>
          <w:color w:val="000000"/>
          <w:spacing w:val="0"/>
          <w:w w:val="100"/>
          <w:position w:val="0"/>
        </w:rPr>
        <w:t>）</w:t>
      </w:r>
      <w:r>
        <w:rPr>
          <w:color w:val="000000"/>
          <w:spacing w:val="0"/>
          <w:w w:val="100"/>
          <w:position w:val="0"/>
        </w:rPr>
        <w:t>上刊登《</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年第四次临时股东大会决议公告》（公告编号：</w:t>
      </w:r>
      <w:r>
        <w:rPr>
          <w:rFonts w:ascii="Times New Roman" w:eastAsia="Times New Roman" w:hAnsi="Times New Roman" w:cs="Times New Roman"/>
          <w:color w:val="000000"/>
          <w:spacing w:val="0"/>
          <w:w w:val="100"/>
          <w:position w:val="0"/>
          <w:sz w:val="22"/>
          <w:szCs w:val="22"/>
        </w:rPr>
        <w:t>2021-110</w:t>
      </w:r>
      <w:r>
        <w:rPr>
          <w:color w:val="000000"/>
          <w:spacing w:val="0"/>
          <w:w w:val="100"/>
          <w:position w:val="0"/>
        </w:rPr>
        <w:t>）。</w:t>
      </w:r>
    </w:p>
    <w:p>
      <w:pPr>
        <w:pStyle w:val="Style17"/>
        <w:keepNext w:val="0"/>
        <w:keepLines w:val="0"/>
        <w:widowControl w:val="0"/>
        <w:shd w:val="clear" w:color="auto" w:fill="auto"/>
        <w:bidi w:val="0"/>
        <w:spacing w:before="0" w:after="560" w:line="429" w:lineRule="exact"/>
        <w:ind w:left="0" w:right="0" w:firstLine="540"/>
        <w:jc w:val="left"/>
      </w:pPr>
      <w:r>
        <w:rPr>
          <w:color w:val="000000"/>
          <w:spacing w:val="0"/>
          <w:w w:val="100"/>
          <w:position w:val="0"/>
        </w:rPr>
        <w:t>根据上述交易安排，新新零售基金二期持有公司</w:t>
      </w:r>
      <w:r>
        <w:rPr>
          <w:rFonts w:ascii="Times New Roman" w:eastAsia="Times New Roman" w:hAnsi="Times New Roman" w:cs="Times New Roman"/>
          <w:color w:val="000000"/>
          <w:spacing w:val="0"/>
          <w:w w:val="100"/>
          <w:position w:val="0"/>
          <w:sz w:val="22"/>
          <w:szCs w:val="22"/>
        </w:rPr>
        <w:t>1,578,696,146</w:t>
      </w:r>
      <w:r>
        <w:rPr>
          <w:color w:val="000000"/>
          <w:spacing w:val="0"/>
          <w:w w:val="100"/>
          <w:position w:val="0"/>
        </w:rPr>
        <w:t xml:space="preserve">股股份，占公司总股本比例为 </w:t>
      </w:r>
      <w:r>
        <w:rPr>
          <w:rFonts w:ascii="Times New Roman" w:eastAsia="Times New Roman" w:hAnsi="Times New Roman" w:cs="Times New Roman"/>
          <w:color w:val="000000"/>
          <w:spacing w:val="0"/>
          <w:w w:val="100"/>
          <w:position w:val="0"/>
          <w:sz w:val="22"/>
          <w:szCs w:val="22"/>
        </w:rPr>
        <w:t>16.96%</w:t>
      </w:r>
      <w:r>
        <w:rPr>
          <w:color w:val="000000"/>
          <w:spacing w:val="0"/>
          <w:w w:val="100"/>
          <w:position w:val="0"/>
        </w:rPr>
        <w:t>，并已经按照协议约定向公司提名董事人选。公司变更为无控股股东、无实际控制人。</w:t>
      </w:r>
    </w:p>
    <w:p>
      <w:pPr>
        <w:pStyle w:val="Style26"/>
        <w:keepNext w:val="0"/>
        <w:keepLines w:val="0"/>
        <w:widowControl w:val="0"/>
        <w:shd w:val="clear" w:color="auto" w:fill="auto"/>
        <w:bidi w:val="0"/>
        <w:spacing w:before="0" w:after="0" w:line="240" w:lineRule="auto"/>
        <w:ind w:left="432" w:right="0" w:firstLine="0"/>
        <w:jc w:val="left"/>
      </w:pPr>
      <w:r>
        <w:rPr>
          <w:color w:val="000000"/>
          <w:spacing w:val="0"/>
          <w:w w:val="100"/>
          <w:position w:val="0"/>
        </w:rPr>
        <w:t>控股股东报告期内变更</w:t>
      </w:r>
    </w:p>
    <w:tbl>
      <w:tblPr>
        <w:tblOverlap w:val="never"/>
        <w:jc w:val="center"/>
        <w:tblLayout w:type="fixed"/>
      </w:tblPr>
      <w:tblGrid>
        <w:gridCol w:w="4858"/>
        <w:gridCol w:w="4853"/>
      </w:tblGrid>
      <w:tr>
        <w:trPr>
          <w:trHeight w:val="302"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新控股股东名称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无控股股东</w:t>
            </w:r>
          </w:p>
        </w:tc>
      </w:tr>
      <w:tr>
        <w:trPr>
          <w:trHeight w:val="293"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变更日期</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r>
              <w:rPr>
                <w:color w:val="000000"/>
                <w:spacing w:val="0"/>
                <w:w w:val="100"/>
                <w:position w:val="0"/>
                <w:sz w:val="22"/>
                <w:szCs w:val="22"/>
              </w:rPr>
              <w:t>30</w:t>
            </w:r>
            <w:r>
              <w:rPr>
                <w:rFonts w:ascii="SimSun" w:eastAsia="SimSun" w:hAnsi="SimSun" w:cs="SimSun"/>
                <w:color w:val="000000"/>
                <w:spacing w:val="0"/>
                <w:w w:val="100"/>
                <w:position w:val="0"/>
                <w:sz w:val="20"/>
                <w:szCs w:val="20"/>
              </w:rPr>
              <w:t>日</w:t>
            </w:r>
          </w:p>
        </w:tc>
      </w:tr>
      <w:tr>
        <w:trPr>
          <w:trHeight w:val="298"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指定网站查询索引</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2021-114</w:t>
            </w:r>
            <w:r>
              <w:rPr>
                <w:rFonts w:ascii="SimSun" w:eastAsia="SimSun" w:hAnsi="SimSun" w:cs="SimSun"/>
                <w:color w:val="000000"/>
                <w:spacing w:val="0"/>
                <w:w w:val="100"/>
                <w:position w:val="0"/>
                <w:sz w:val="20"/>
                <w:szCs w:val="20"/>
              </w:rPr>
              <w:t>号《关于公司控制权发生变更的公告》</w:t>
            </w:r>
          </w:p>
        </w:tc>
      </w:tr>
      <w:tr>
        <w:trPr>
          <w:trHeight w:val="302"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指定网站披露日期</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r>
              <w:rPr>
                <w:color w:val="000000"/>
                <w:spacing w:val="0"/>
                <w:w w:val="100"/>
                <w:position w:val="0"/>
                <w:sz w:val="22"/>
                <w:szCs w:val="22"/>
              </w:rPr>
              <w:t>30</w:t>
            </w:r>
            <w:r>
              <w:rPr>
                <w:rFonts w:ascii="SimSun" w:eastAsia="SimSun" w:hAnsi="SimSun" w:cs="SimSun"/>
                <w:color w:val="000000"/>
                <w:spacing w:val="0"/>
                <w:w w:val="100"/>
                <w:position w:val="0"/>
                <w:sz w:val="20"/>
                <w:szCs w:val="20"/>
              </w:rPr>
              <w:t>日</w:t>
            </w:r>
          </w:p>
        </w:tc>
      </w:tr>
    </w:tbl>
    <w:p>
      <w:pPr>
        <w:widowControl w:val="0"/>
        <w:spacing w:after="159" w:line="1" w:lineRule="exact"/>
      </w:pPr>
    </w:p>
    <w:p>
      <w:pPr>
        <w:pStyle w:val="Style35"/>
        <w:keepNext/>
        <w:keepLines/>
        <w:widowControl w:val="0"/>
        <w:shd w:val="clear" w:color="auto" w:fill="auto"/>
        <w:bidi w:val="0"/>
        <w:spacing w:before="0" w:after="160" w:line="427" w:lineRule="exact"/>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sz w:val="22"/>
          <w:szCs w:val="22"/>
        </w:rPr>
        <w:t>3</w:t>
      </w:r>
      <w:bookmarkEnd w:id="637"/>
      <w:r>
        <w:rPr>
          <w:color w:val="000000"/>
          <w:spacing w:val="0"/>
          <w:w w:val="100"/>
          <w:position w:val="0"/>
        </w:rPr>
        <w:t>、公司实际控制人及其一致行动人</w:t>
      </w:r>
      <w:bookmarkEnd w:id="635"/>
      <w:bookmarkEnd w:id="636"/>
      <w:bookmarkEnd w:id="638"/>
    </w:p>
    <w:p>
      <w:pPr>
        <w:pStyle w:val="Style17"/>
        <w:keepNext w:val="0"/>
        <w:keepLines w:val="0"/>
        <w:widowControl w:val="0"/>
        <w:shd w:val="clear" w:color="auto" w:fill="auto"/>
        <w:bidi w:val="0"/>
        <w:spacing w:before="0" w:after="0" w:line="427" w:lineRule="exact"/>
        <w:ind w:left="0" w:right="0" w:firstLine="540"/>
        <w:jc w:val="left"/>
      </w:pPr>
      <w:r>
        <w:rPr>
          <w:color w:val="000000"/>
          <w:spacing w:val="0"/>
          <w:w w:val="100"/>
          <w:position w:val="0"/>
        </w:rPr>
        <w:t>实际控制人性质：无实际控制人</w:t>
      </w:r>
    </w:p>
    <w:p>
      <w:pPr>
        <w:pStyle w:val="Style17"/>
        <w:keepNext w:val="0"/>
        <w:keepLines w:val="0"/>
        <w:widowControl w:val="0"/>
        <w:shd w:val="clear" w:color="auto" w:fill="auto"/>
        <w:bidi w:val="0"/>
        <w:spacing w:before="0" w:after="0" w:line="427" w:lineRule="exact"/>
        <w:ind w:left="0" w:right="0" w:firstLine="540"/>
        <w:jc w:val="left"/>
      </w:pPr>
      <w:r>
        <w:rPr>
          <w:color w:val="000000"/>
          <w:spacing w:val="0"/>
          <w:w w:val="100"/>
          <w:position w:val="0"/>
        </w:rPr>
        <w:t>实际控制人类型：不存在</w:t>
      </w:r>
    </w:p>
    <w:p>
      <w:pPr>
        <w:pStyle w:val="Style17"/>
        <w:keepNext w:val="0"/>
        <w:keepLines w:val="0"/>
        <w:widowControl w:val="0"/>
        <w:shd w:val="clear" w:color="auto" w:fill="auto"/>
        <w:bidi w:val="0"/>
        <w:spacing w:before="0" w:after="0" w:line="427" w:lineRule="exact"/>
        <w:ind w:left="0" w:right="0" w:firstLine="540"/>
        <w:jc w:val="left"/>
      </w:pPr>
      <w:r>
        <w:rPr>
          <w:color w:val="000000"/>
          <w:spacing w:val="0"/>
          <w:w w:val="100"/>
          <w:position w:val="0"/>
        </w:rPr>
        <w:t>公司不存在实际控制人情况的说明</w:t>
      </w:r>
    </w:p>
    <w:p>
      <w:pPr>
        <w:pStyle w:val="Style17"/>
        <w:keepNext w:val="0"/>
        <w:keepLines w:val="0"/>
        <w:widowControl w:val="0"/>
        <w:shd w:val="clear" w:color="auto" w:fill="auto"/>
        <w:bidi w:val="0"/>
        <w:spacing w:before="0" w:after="560" w:line="427" w:lineRule="exact"/>
        <w:ind w:left="0" w:right="0" w:firstLine="540"/>
        <w:jc w:val="left"/>
      </w:pPr>
      <w:r>
        <w:rPr>
          <w:color w:val="000000"/>
          <w:spacing w:val="0"/>
          <w:w w:val="100"/>
          <w:position w:val="0"/>
        </w:rPr>
        <w:t>参见</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公司不存在控股股东情况的说明</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日公司变更为无实际控制人，具体内 容详见公司</w:t>
      </w:r>
      <w:r>
        <w:rPr>
          <w:rFonts w:ascii="Times New Roman" w:eastAsia="Times New Roman" w:hAnsi="Times New Roman" w:cs="Times New Roman"/>
          <w:color w:val="000000"/>
          <w:spacing w:val="0"/>
          <w:w w:val="100"/>
          <w:position w:val="0"/>
          <w:sz w:val="22"/>
          <w:szCs w:val="22"/>
        </w:rPr>
        <w:t>2021-114</w:t>
      </w:r>
      <w:r>
        <w:rPr>
          <w:color w:val="000000"/>
          <w:spacing w:val="0"/>
          <w:w w:val="100"/>
          <w:position w:val="0"/>
        </w:rPr>
        <w:t>号《关于公司控制权发生变更的公告》。</w:t>
      </w:r>
    </w:p>
    <w:p>
      <w:pPr>
        <w:pStyle w:val="Style17"/>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以上的股东情况</w:t>
      </w:r>
    </w:p>
    <w:p>
      <w:pPr>
        <w:pStyle w:val="Style17"/>
        <w:keepNext w:val="0"/>
        <w:keepLines w:val="0"/>
        <w:widowControl w:val="0"/>
        <w:shd w:val="clear" w:color="auto" w:fill="auto"/>
        <w:bidi w:val="0"/>
        <w:spacing w:before="0" w:after="160" w:line="240" w:lineRule="auto"/>
        <w:ind w:left="0" w:right="0" w:firstLine="540"/>
        <w:jc w:val="left"/>
      </w:pPr>
      <w:r>
        <w:rPr>
          <w:color w:val="000000"/>
          <w:spacing w:val="0"/>
          <w:w w:val="100"/>
          <w:position w:val="0"/>
          <w:sz w:val="22"/>
          <w:szCs w:val="22"/>
        </w:rPr>
        <w:t>寸</w:t>
      </w:r>
      <w:r>
        <w:rPr>
          <w:color w:val="000000"/>
          <w:spacing w:val="0"/>
          <w:w w:val="100"/>
          <w:position w:val="0"/>
        </w:rPr>
        <w:t>是</w:t>
      </w:r>
      <w:r>
        <w:rPr>
          <w:color w:val="000000"/>
          <w:spacing w:val="0"/>
          <w:w w:val="100"/>
          <w:position w:val="0"/>
          <w:sz w:val="22"/>
          <w:szCs w:val="22"/>
        </w:rPr>
        <w:t>口</w:t>
      </w:r>
      <w:r>
        <w:rPr>
          <w:color w:val="000000"/>
          <w:spacing w:val="0"/>
          <w:w w:val="100"/>
          <w:position w:val="0"/>
        </w:rPr>
        <w:t>否</w:t>
      </w:r>
    </w:p>
    <w:p>
      <w:pPr>
        <w:pStyle w:val="Style17"/>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最终控制层面持股情况</w:t>
      </w:r>
    </w:p>
    <w:tbl>
      <w:tblPr>
        <w:tblOverlap w:val="never"/>
        <w:jc w:val="center"/>
        <w:tblLayout w:type="fixed"/>
      </w:tblPr>
      <w:tblGrid>
        <w:gridCol w:w="2299"/>
        <w:gridCol w:w="1642"/>
        <w:gridCol w:w="1882"/>
        <w:gridCol w:w="1613"/>
        <w:gridCol w:w="2275"/>
      </w:tblGrid>
      <w:tr>
        <w:trPr>
          <w:trHeight w:val="58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最终控制层面股东名称</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color w:val="000000"/>
                <w:spacing w:val="0"/>
                <w:w w:val="100"/>
                <w:position w:val="0"/>
                <w:sz w:val="20"/>
                <w:szCs w:val="20"/>
              </w:rPr>
              <w:t>法定代表人</w:t>
            </w:r>
            <w:r>
              <w:rPr>
                <w:color w:val="000000"/>
                <w:spacing w:val="0"/>
                <w:w w:val="100"/>
                <w:position w:val="0"/>
                <w:sz w:val="22"/>
                <w:szCs w:val="22"/>
              </w:rPr>
              <w:t>/</w:t>
            </w:r>
            <w:r>
              <w:rPr>
                <w:rFonts w:ascii="SimSun" w:eastAsia="SimSun" w:hAnsi="SimSun" w:cs="SimSun"/>
                <w:color w:val="000000"/>
                <w:spacing w:val="0"/>
                <w:w w:val="100"/>
                <w:position w:val="0"/>
                <w:sz w:val="20"/>
                <w:szCs w:val="20"/>
              </w:rPr>
              <w:t>执 行事务合伙人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组织机构代码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主要经营业务</w:t>
            </w:r>
          </w:p>
        </w:tc>
      </w:tr>
      <w:tr>
        <w:trPr>
          <w:trHeight w:val="315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淘宝（中国）软件有限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戴珊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2004</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07</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91330100768225</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4698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85" w:lineRule="exact"/>
              <w:ind w:left="0" w:right="0" w:firstLine="0"/>
              <w:jc w:val="both"/>
              <w:rPr>
                <w:sz w:val="20"/>
                <w:szCs w:val="20"/>
              </w:rPr>
            </w:pPr>
            <w:r>
              <w:rPr>
                <w:rFonts w:ascii="SimSun" w:eastAsia="SimSun" w:hAnsi="SimSun" w:cs="SimSun"/>
                <w:color w:val="000000"/>
                <w:spacing w:val="0"/>
                <w:w w:val="100"/>
                <w:position w:val="0"/>
                <w:sz w:val="20"/>
                <w:szCs w:val="20"/>
              </w:rPr>
              <w:t>研究、开发计算机软、 硬件，网络技术产品， 多媒体产品；系统集成 的设计、调试及维护； 销售自身开发的产品； 并提供计算机技术咨 询、服务，电子商务平 台支持；经济信息咨询 （含商品中介）（国家禁</w:t>
            </w:r>
          </w:p>
          <w:p>
            <w:pPr>
              <w:pStyle w:val="Style29"/>
              <w:keepNext w:val="0"/>
              <w:keepLines w:val="0"/>
              <w:widowControl w:val="0"/>
              <w:shd w:val="clear" w:color="auto" w:fill="auto"/>
              <w:bidi w:val="0"/>
              <w:spacing w:before="0" w:after="0" w:line="285" w:lineRule="exact"/>
              <w:ind w:left="0" w:right="0" w:firstLine="0"/>
              <w:jc w:val="both"/>
              <w:rPr>
                <w:sz w:val="20"/>
                <w:szCs w:val="20"/>
              </w:rPr>
            </w:pPr>
            <w:r>
              <w:rPr>
                <w:rFonts w:ascii="SimSun" w:eastAsia="SimSun" w:hAnsi="SimSun" w:cs="SimSun"/>
                <w:color w:val="000000"/>
                <w:spacing w:val="0"/>
                <w:w w:val="100"/>
                <w:position w:val="0"/>
                <w:sz w:val="20"/>
                <w:szCs w:val="20"/>
              </w:rPr>
              <w:t>止和限制的除外，凡涉 及许可证制度的凭证经</w:t>
            </w:r>
          </w:p>
        </w:tc>
      </w:tr>
    </w:tbl>
    <w:p>
      <w:pPr>
        <w:spacing w:lineRule="exact" w:line="1"/>
        <w:rPr>
          <w:sz w:val="2"/>
          <w:szCs w:val="2"/>
        </w:rPr>
      </w:pPr>
      <w:r>
        <w:br w:type="page"/>
      </w:r>
    </w:p>
    <w:tbl>
      <w:tblPr>
        <w:tblOverlap w:val="never"/>
        <w:jc w:val="center"/>
        <w:tblLayout w:type="fixed"/>
      </w:tblPr>
      <w:tblGrid>
        <w:gridCol w:w="2299"/>
        <w:gridCol w:w="1642"/>
        <w:gridCol w:w="1882"/>
        <w:gridCol w:w="1613"/>
        <w:gridCol w:w="2275"/>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w:t>
            </w:r>
          </w:p>
        </w:tc>
      </w:tr>
      <w:tr>
        <w:trPr>
          <w:trHeight w:val="11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江苏新新零售创新基金 二期（有限合伙）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海南吉力达投资 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6</w:t>
            </w:r>
            <w:r>
              <w:rPr>
                <w:rFonts w:ascii="SimSun" w:eastAsia="SimSun" w:hAnsi="SimSun" w:cs="SimSun"/>
                <w:color w:val="000000"/>
                <w:spacing w:val="0"/>
                <w:w w:val="100"/>
                <w:position w:val="0"/>
                <w:sz w:val="20"/>
                <w:szCs w:val="20"/>
              </w:rPr>
              <w:t>月</w:t>
            </w:r>
            <w:r>
              <w:rPr>
                <w:color w:val="000000"/>
                <w:spacing w:val="0"/>
                <w:w w:val="100"/>
                <w:position w:val="0"/>
                <w:sz w:val="22"/>
                <w:szCs w:val="22"/>
              </w:rPr>
              <w:t>23</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91320106MA26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C94CXM</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6" w:lineRule="exact"/>
              <w:ind w:left="0" w:right="0" w:firstLine="0"/>
              <w:jc w:val="left"/>
              <w:rPr>
                <w:sz w:val="20"/>
                <w:szCs w:val="20"/>
              </w:rPr>
            </w:pPr>
            <w:r>
              <w:rPr>
                <w:rFonts w:ascii="SimSun" w:eastAsia="SimSun" w:hAnsi="SimSun" w:cs="SimSun"/>
                <w:color w:val="000000"/>
                <w:spacing w:val="0"/>
                <w:w w:val="100"/>
                <w:position w:val="0"/>
                <w:sz w:val="20"/>
                <w:szCs w:val="20"/>
              </w:rPr>
              <w:t>一般项目：股权投资（除 依法须经批准的项目 外，凭营业执照依法自 主开展经营活动）</w:t>
            </w:r>
          </w:p>
        </w:tc>
      </w:tr>
      <w:tr>
        <w:trPr>
          <w:trHeight w:val="878"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0" w:after="0" w:line="286" w:lineRule="exact"/>
              <w:ind w:left="0" w:right="0" w:firstLine="0"/>
              <w:jc w:val="left"/>
              <w:rPr>
                <w:sz w:val="20"/>
                <w:szCs w:val="20"/>
              </w:rPr>
            </w:pPr>
            <w:r>
              <w:rPr>
                <w:rFonts w:ascii="SimSun" w:eastAsia="SimSun" w:hAnsi="SimSun" w:cs="SimSun"/>
                <w:color w:val="000000"/>
                <w:spacing w:val="0"/>
                <w:w w:val="100"/>
                <w:position w:val="0"/>
                <w:sz w:val="20"/>
                <w:szCs w:val="20"/>
              </w:rPr>
              <w:t>最终控制层面股东报告 期内控制的其他境内外 上市公司的股权情况</w:t>
            </w:r>
          </w:p>
        </w:tc>
        <w:tc>
          <w:tcPr>
            <w:gridSpan w:val="4"/>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r>
    </w:tbl>
    <w:p>
      <w:pPr>
        <w:widowControl w:val="0"/>
        <w:spacing w:after="379" w:line="1" w:lineRule="exact"/>
      </w:pPr>
    </w:p>
    <w:tbl>
      <w:tblPr>
        <w:tblOverlap w:val="never"/>
        <w:jc w:val="center"/>
        <w:tblLayout w:type="fixed"/>
      </w:tblPr>
      <w:tblGrid>
        <w:gridCol w:w="3379"/>
        <w:gridCol w:w="2136"/>
        <w:gridCol w:w="4195"/>
      </w:tblGrid>
      <w:tr>
        <w:trPr>
          <w:trHeight w:val="2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最终控制层面股东姓名</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国籍</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是否取得其他国家或地区居留权</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张近东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中国</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58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主要职业及职务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公司名誉董事长、第十 商业联合会副主席。</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-三届全国人民代表大会代表、中华全国工</w:t>
            </w:r>
          </w:p>
        </w:tc>
      </w:tr>
      <w:tr>
        <w:trPr>
          <w:trHeight w:val="590"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过去</w:t>
            </w:r>
            <w:r>
              <w:rPr>
                <w:color w:val="000000"/>
                <w:spacing w:val="0"/>
                <w:w w:val="100"/>
                <w:position w:val="0"/>
                <w:sz w:val="22"/>
                <w:szCs w:val="22"/>
              </w:rPr>
              <w:t>10</w:t>
            </w:r>
            <w:r>
              <w:rPr>
                <w:rFonts w:ascii="SimSun" w:eastAsia="SimSun" w:hAnsi="SimSun" w:cs="SimSun"/>
                <w:color w:val="000000"/>
                <w:spacing w:val="0"/>
                <w:w w:val="100"/>
                <w:position w:val="0"/>
                <w:sz w:val="20"/>
                <w:szCs w:val="20"/>
              </w:rPr>
              <w:t>年曾控股的境内外上市公 司情况</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bl>
    <w:p>
      <w:pPr>
        <w:widowControl w:val="0"/>
        <w:spacing w:after="379" w:line="1" w:lineRule="exact"/>
      </w:pPr>
    </w:p>
    <w:p>
      <w:pPr>
        <w:pStyle w:val="Style26"/>
        <w:keepNext w:val="0"/>
        <w:keepLines w:val="0"/>
        <w:widowControl w:val="0"/>
        <w:shd w:val="clear" w:color="auto" w:fill="auto"/>
        <w:bidi w:val="0"/>
        <w:spacing w:before="0" w:after="0" w:line="240" w:lineRule="auto"/>
        <w:ind w:left="437" w:right="0" w:firstLine="0"/>
        <w:jc w:val="left"/>
      </w:pPr>
      <w:r>
        <w:rPr>
          <w:color w:val="000000"/>
          <w:spacing w:val="0"/>
          <w:w w:val="100"/>
          <w:position w:val="0"/>
        </w:rPr>
        <w:t>实际控制人报告期内变更</w:t>
      </w:r>
    </w:p>
    <w:tbl>
      <w:tblPr>
        <w:tblOverlap w:val="never"/>
        <w:jc w:val="center"/>
        <w:tblLayout w:type="fixed"/>
      </w:tblPr>
      <w:tblGrid>
        <w:gridCol w:w="4858"/>
        <w:gridCol w:w="4853"/>
      </w:tblGrid>
      <w:tr>
        <w:trPr>
          <w:trHeight w:val="298"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原实际控制人名称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张近东</w:t>
            </w:r>
          </w:p>
        </w:tc>
      </w:tr>
      <w:tr>
        <w:trPr>
          <w:trHeight w:val="298"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新实际控制人名称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无实际控制人</w:t>
            </w:r>
          </w:p>
        </w:tc>
      </w:tr>
      <w:tr>
        <w:trPr>
          <w:trHeight w:val="298"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变更日期</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r>
              <w:rPr>
                <w:color w:val="000000"/>
                <w:spacing w:val="0"/>
                <w:w w:val="100"/>
                <w:position w:val="0"/>
                <w:sz w:val="22"/>
                <w:szCs w:val="22"/>
              </w:rPr>
              <w:t>30</w:t>
            </w:r>
            <w:r>
              <w:rPr>
                <w:rFonts w:ascii="SimSun" w:eastAsia="SimSun" w:hAnsi="SimSun" w:cs="SimSun"/>
                <w:color w:val="000000"/>
                <w:spacing w:val="0"/>
                <w:w w:val="100"/>
                <w:position w:val="0"/>
                <w:sz w:val="20"/>
                <w:szCs w:val="20"/>
              </w:rPr>
              <w:t>日</w:t>
            </w:r>
          </w:p>
        </w:tc>
      </w:tr>
      <w:tr>
        <w:trPr>
          <w:trHeight w:val="29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指定网站查询索引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2021-114</w:t>
            </w:r>
            <w:r>
              <w:rPr>
                <w:rFonts w:ascii="SimSun" w:eastAsia="SimSun" w:hAnsi="SimSun" w:cs="SimSun"/>
                <w:color w:val="000000"/>
                <w:spacing w:val="0"/>
                <w:w w:val="100"/>
                <w:position w:val="0"/>
                <w:sz w:val="20"/>
                <w:szCs w:val="20"/>
              </w:rPr>
              <w:t>号《关于公司控制权发生变更的公告》</w:t>
            </w:r>
          </w:p>
        </w:tc>
      </w:tr>
      <w:tr>
        <w:trPr>
          <w:trHeight w:val="307"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指定网站披露日期</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7</w:t>
            </w:r>
            <w:r>
              <w:rPr>
                <w:rFonts w:ascii="SimSun" w:eastAsia="SimSun" w:hAnsi="SimSun" w:cs="SimSun"/>
                <w:color w:val="000000"/>
                <w:spacing w:val="0"/>
                <w:w w:val="100"/>
                <w:position w:val="0"/>
                <w:sz w:val="20"/>
                <w:szCs w:val="20"/>
              </w:rPr>
              <w:t>月</w:t>
            </w:r>
            <w:r>
              <w:rPr>
                <w:color w:val="000000"/>
                <w:spacing w:val="0"/>
                <w:w w:val="100"/>
                <w:position w:val="0"/>
                <w:sz w:val="22"/>
                <w:szCs w:val="22"/>
              </w:rPr>
              <w:t>30</w:t>
            </w:r>
            <w:r>
              <w:rPr>
                <w:rFonts w:ascii="SimSun" w:eastAsia="SimSun" w:hAnsi="SimSun" w:cs="SimSun"/>
                <w:color w:val="000000"/>
                <w:spacing w:val="0"/>
                <w:w w:val="100"/>
                <w:position w:val="0"/>
                <w:sz w:val="20"/>
                <w:szCs w:val="20"/>
              </w:rPr>
              <w:t>日</w:t>
            </w:r>
          </w:p>
        </w:tc>
      </w:tr>
    </w:tbl>
    <w:p>
      <w:pPr>
        <w:widowControl w:val="0"/>
        <w:spacing w:after="379" w:line="1" w:lineRule="exact"/>
      </w:pP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控制权变更后公司股权结构:</w:t>
      </w:r>
    </w:p>
    <w:p>
      <w:pPr>
        <w:widowControl w:val="0"/>
        <w:jc w:val="center"/>
        <w:rPr>
          <w:sz w:val="2"/>
          <w:szCs w:val="2"/>
        </w:rPr>
      </w:pPr>
      <w:r>
        <w:drawing>
          <wp:inline>
            <wp:extent cx="5248910" cy="25482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248910" cy="2548255"/>
                    </a:xfrm>
                    <a:prstGeom prst="rect"/>
                  </pic:spPr>
                </pic:pic>
              </a:graphicData>
            </a:graphic>
          </wp:inline>
        </w:drawing>
      </w:r>
      <w:r>
        <w:br w:type="page"/>
      </w:r>
    </w:p>
    <w:p>
      <w:pPr>
        <w:pStyle w:val="Style17"/>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实际控制人通过信托或其他资产管理方式控制公司</w:t>
      </w:r>
    </w:p>
    <w:p>
      <w:pPr>
        <w:pStyle w:val="Style17"/>
        <w:keepNext w:val="0"/>
        <w:keepLines w:val="0"/>
        <w:widowControl w:val="0"/>
        <w:shd w:val="clear" w:color="auto" w:fill="auto"/>
        <w:bidi w:val="0"/>
        <w:spacing w:before="0" w:after="440" w:line="240" w:lineRule="auto"/>
        <w:ind w:left="0" w:right="0" w:firstLine="46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5"/>
        <w:keepNext/>
        <w:keepLines/>
        <w:widowControl w:val="0"/>
        <w:shd w:val="clear" w:color="auto" w:fill="auto"/>
        <w:bidi w:val="0"/>
        <w:spacing w:before="0" w:after="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sz w:val="22"/>
          <w:szCs w:val="22"/>
        </w:rPr>
        <w:t>4</w:t>
      </w:r>
      <w:bookmarkEnd w:id="641"/>
      <w:r>
        <w:rPr>
          <w:color w:val="000000"/>
          <w:spacing w:val="0"/>
          <w:w w:val="100"/>
          <w:position w:val="0"/>
        </w:rPr>
        <w:t>、公司控股股东或第一大股东及其一致行动人累计质押股份数量占其所持公司股份数量比例达到</w:t>
      </w:r>
      <w:bookmarkEnd w:id="639"/>
      <w:bookmarkEnd w:id="640"/>
      <w:bookmarkEnd w:id="642"/>
    </w:p>
    <w:p>
      <w:pPr>
        <w:pStyle w:val="Style65"/>
        <w:keepNext w:val="0"/>
        <w:keepLines w:val="0"/>
        <w:widowControl w:val="0"/>
        <w:shd w:val="clear" w:color="auto" w:fill="auto"/>
        <w:bidi w:val="0"/>
        <w:spacing w:before="0" w:after="300" w:line="240" w:lineRule="auto"/>
        <w:ind w:left="0" w:right="0" w:firstLine="0"/>
        <w:jc w:val="left"/>
      </w:pPr>
      <w:bookmarkStart w:id="643" w:name="bookmark643"/>
      <w:r>
        <w:rPr>
          <w:b/>
          <w:bCs/>
          <w:color w:val="000000"/>
          <w:spacing w:val="0"/>
          <w:w w:val="100"/>
          <w:position w:val="0"/>
        </w:rPr>
        <w:t>80%</w:t>
      </w:r>
      <w:bookmarkEnd w:id="643"/>
    </w:p>
    <w:p>
      <w:pPr>
        <w:pStyle w:val="Style17"/>
        <w:keepNext w:val="0"/>
        <w:keepLines w:val="0"/>
        <w:widowControl w:val="0"/>
        <w:shd w:val="clear" w:color="auto" w:fill="auto"/>
        <w:bidi w:val="0"/>
        <w:spacing w:before="0" w:after="440" w:line="240" w:lineRule="auto"/>
        <w:ind w:left="0" w:right="0" w:firstLine="46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bookmarkStart w:id="644" w:name="bookmark644"/>
      <w:r>
        <w:rPr>
          <w:rFonts w:ascii="Times New Roman" w:eastAsia="Times New Roman" w:hAnsi="Times New Roman" w:cs="Times New Roman"/>
          <w:b/>
          <w:bCs/>
          <w:color w:val="000000"/>
          <w:spacing w:val="0"/>
          <w:w w:val="100"/>
          <w:position w:val="0"/>
          <w:sz w:val="22"/>
          <w:szCs w:val="22"/>
        </w:rPr>
        <w:t>5</w:t>
      </w:r>
      <w:r>
        <w:rPr>
          <w:b/>
          <w:bCs/>
          <w:color w:val="000000"/>
          <w:spacing w:val="0"/>
          <w:w w:val="100"/>
          <w:position w:val="0"/>
        </w:rPr>
        <w:t>、其他持股在</w:t>
      </w:r>
      <w:r>
        <w:rPr>
          <w:rFonts w:ascii="Times New Roman" w:eastAsia="Times New Roman" w:hAnsi="Times New Roman" w:cs="Times New Roman"/>
          <w:b/>
          <w:bCs/>
          <w:color w:val="000000"/>
          <w:spacing w:val="0"/>
          <w:w w:val="100"/>
          <w:position w:val="0"/>
          <w:sz w:val="22"/>
          <w:szCs w:val="22"/>
        </w:rPr>
        <w:t>10%</w:t>
      </w:r>
      <w:r>
        <w:rPr>
          <w:b/>
          <w:bCs/>
          <w:color w:val="000000"/>
          <w:spacing w:val="0"/>
          <w:w w:val="100"/>
          <w:position w:val="0"/>
        </w:rPr>
        <w:t>以上的法人股东</w:t>
      </w:r>
      <w:bookmarkEnd w:id="644"/>
    </w:p>
    <w:tbl>
      <w:tblPr>
        <w:tblOverlap w:val="never"/>
        <w:jc w:val="center"/>
        <w:tblLayout w:type="fixed"/>
      </w:tblPr>
      <w:tblGrid>
        <w:gridCol w:w="2304"/>
        <w:gridCol w:w="1675"/>
        <w:gridCol w:w="1699"/>
        <w:gridCol w:w="1560"/>
        <w:gridCol w:w="2558"/>
      </w:tblGrid>
      <w:tr>
        <w:trPr>
          <w:trHeight w:val="58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法人股东名称</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88" w:lineRule="exact"/>
              <w:ind w:left="0" w:right="0" w:firstLine="0"/>
              <w:jc w:val="center"/>
              <w:rPr>
                <w:sz w:val="20"/>
                <w:szCs w:val="20"/>
              </w:rPr>
            </w:pPr>
            <w:r>
              <w:rPr>
                <w:rFonts w:ascii="SimSun" w:eastAsia="SimSun" w:hAnsi="SimSun" w:cs="SimSun"/>
                <w:color w:val="000000"/>
                <w:spacing w:val="0"/>
                <w:w w:val="100"/>
                <w:position w:val="0"/>
                <w:sz w:val="20"/>
                <w:szCs w:val="20"/>
              </w:rPr>
              <w:t>法定代表人</w:t>
            </w:r>
            <w:r>
              <w:rPr>
                <w:color w:val="000000"/>
                <w:spacing w:val="0"/>
                <w:w w:val="100"/>
                <w:position w:val="0"/>
                <w:sz w:val="22"/>
                <w:szCs w:val="22"/>
              </w:rPr>
              <w:t>/</w:t>
            </w:r>
            <w:r>
              <w:rPr>
                <w:rFonts w:ascii="SimSun" w:eastAsia="SimSun" w:hAnsi="SimSun" w:cs="SimSun"/>
                <w:color w:val="000000"/>
                <w:spacing w:val="0"/>
                <w:w w:val="100"/>
                <w:position w:val="0"/>
                <w:sz w:val="20"/>
                <w:szCs w:val="20"/>
              </w:rPr>
              <w:t>执行 事务合伙人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注册资本</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主要经营业务或管理活动</w:t>
            </w:r>
          </w:p>
        </w:tc>
      </w:tr>
      <w:tr>
        <w:trPr>
          <w:trHeight w:val="28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淘宝（中国）软件有限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戴珊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2004</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7</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69000</w:t>
            </w:r>
            <w:r>
              <w:rPr>
                <w:rFonts w:ascii="SimSun" w:eastAsia="SimSun" w:hAnsi="SimSun" w:cs="SimSun"/>
                <w:color w:val="000000"/>
                <w:spacing w:val="0"/>
                <w:w w:val="100"/>
                <w:position w:val="0"/>
                <w:sz w:val="20"/>
                <w:szCs w:val="20"/>
              </w:rPr>
              <w:t>万美元</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5" w:lineRule="exact"/>
              <w:ind w:left="0" w:right="0" w:firstLine="0"/>
              <w:jc w:val="both"/>
              <w:rPr>
                <w:sz w:val="20"/>
                <w:szCs w:val="20"/>
              </w:rPr>
            </w:pPr>
            <w:r>
              <w:rPr>
                <w:rFonts w:ascii="SimSun" w:eastAsia="SimSun" w:hAnsi="SimSun" w:cs="SimSun"/>
                <w:color w:val="000000"/>
                <w:spacing w:val="0"/>
                <w:w w:val="100"/>
                <w:position w:val="0"/>
                <w:sz w:val="20"/>
                <w:szCs w:val="20"/>
              </w:rPr>
              <w:t>研究、开发计算机软、硬 件，网络技术产品，多媒 体产品；系统集成的设计、 调试及维护；销售自身开 发的产品；并提供计算机 技术咨询、服务，电子商 务平台支持；经济信息咨 询（含商品中介）（国家禁 止和限制的除外，凡涉及 许可证制度的凭证经营）</w:t>
            </w:r>
          </w:p>
        </w:tc>
      </w:tr>
      <w:tr>
        <w:trPr>
          <w:trHeight w:val="11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江苏新新零售创新基金 二期（有限合伙）</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海南吉力达投资 有限责任公司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6</w:t>
            </w:r>
            <w:r>
              <w:rPr>
                <w:rFonts w:ascii="SimSun" w:eastAsia="SimSun" w:hAnsi="SimSun" w:cs="SimSun"/>
                <w:color w:val="000000"/>
                <w:spacing w:val="0"/>
                <w:w w:val="100"/>
                <w:position w:val="0"/>
                <w:sz w:val="20"/>
                <w:szCs w:val="20"/>
              </w:rPr>
              <w:t>月</w:t>
            </w:r>
            <w:r>
              <w:rPr>
                <w:color w:val="000000"/>
                <w:spacing w:val="0"/>
                <w:w w:val="100"/>
                <w:position w:val="0"/>
                <w:sz w:val="22"/>
                <w:szCs w:val="22"/>
              </w:rPr>
              <w:t>23</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2"/>
                <w:szCs w:val="22"/>
              </w:rPr>
              <w:t xml:space="preserve">883491.1456 </w:t>
            </w:r>
            <w:r>
              <w:rPr>
                <w:rFonts w:ascii="SimSun" w:eastAsia="SimSun" w:hAnsi="SimSun" w:cs="SimSun"/>
                <w:color w:val="000000"/>
                <w:spacing w:val="0"/>
                <w:w w:val="100"/>
                <w:position w:val="0"/>
                <w:sz w:val="20"/>
                <w:szCs w:val="20"/>
              </w:rPr>
              <w:t>万 元人民币</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rPr>
                <w:sz w:val="20"/>
                <w:szCs w:val="20"/>
              </w:rPr>
            </w:pPr>
            <w:r>
              <w:rPr>
                <w:rFonts w:ascii="SimSun" w:eastAsia="SimSun" w:hAnsi="SimSun" w:cs="SimSun"/>
                <w:color w:val="000000"/>
                <w:spacing w:val="0"/>
                <w:w w:val="100"/>
                <w:position w:val="0"/>
                <w:sz w:val="20"/>
                <w:szCs w:val="20"/>
              </w:rPr>
              <w:t>一般项目：股权投资（除 依法须经批准的项目外， 凭营业执照依法自主开展 经营活动）</w:t>
            </w:r>
          </w:p>
        </w:tc>
      </w:tr>
    </w:tbl>
    <w:p>
      <w:pPr>
        <w:pStyle w:val="Style26"/>
        <w:keepNext w:val="0"/>
        <w:keepLines w:val="0"/>
        <w:widowControl w:val="0"/>
        <w:shd w:val="clear" w:color="auto" w:fill="auto"/>
        <w:bidi w:val="0"/>
        <w:spacing w:before="0" w:after="0" w:line="240" w:lineRule="auto"/>
        <w:ind w:left="0" w:right="0" w:firstLine="0"/>
        <w:jc w:val="left"/>
      </w:pPr>
      <w:bookmarkStart w:id="645" w:name="bookmark645"/>
      <w:r>
        <w:rPr>
          <w:rFonts w:ascii="Times New Roman" w:eastAsia="Times New Roman" w:hAnsi="Times New Roman" w:cs="Times New Roman"/>
          <w:b/>
          <w:bCs/>
          <w:color w:val="000000"/>
          <w:spacing w:val="0"/>
          <w:w w:val="100"/>
          <w:position w:val="0"/>
          <w:sz w:val="22"/>
          <w:szCs w:val="22"/>
        </w:rPr>
        <w:t>6</w:t>
      </w:r>
      <w:r>
        <w:rPr>
          <w:b/>
          <w:bCs/>
          <w:color w:val="000000"/>
          <w:spacing w:val="0"/>
          <w:w w:val="100"/>
          <w:position w:val="0"/>
        </w:rPr>
        <w:t>、控股股东、实际控制人、重组方及其他承诺主体股份限制减持情况</w:t>
      </w:r>
      <w:bookmarkEnd w:id="645"/>
    </w:p>
    <w:p>
      <w:pPr>
        <w:widowControl w:val="0"/>
        <w:spacing w:after="299" w:line="1" w:lineRule="exact"/>
      </w:pPr>
    </w:p>
    <w:p>
      <w:pPr>
        <w:pStyle w:val="Style17"/>
        <w:keepNext w:val="0"/>
        <w:keepLines w:val="0"/>
        <w:widowControl w:val="0"/>
        <w:shd w:val="clear" w:color="auto" w:fill="auto"/>
        <w:bidi w:val="0"/>
        <w:spacing w:before="0" w:after="300" w:line="240" w:lineRule="auto"/>
        <w:ind w:left="0" w:right="0" w:firstLine="46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sz w:val="24"/>
          <w:szCs w:val="24"/>
        </w:rPr>
        <w:t>四</w:t>
      </w:r>
      <w:bookmarkEnd w:id="648"/>
      <w:r>
        <w:rPr>
          <w:color w:val="000000"/>
          <w:spacing w:val="0"/>
          <w:w w:val="100"/>
          <w:position w:val="0"/>
          <w:sz w:val="24"/>
          <w:szCs w:val="24"/>
        </w:rPr>
        <w:t>、股份回购在报告期的具体实施情况</w:t>
      </w:r>
      <w:bookmarkEnd w:id="646"/>
      <w:bookmarkEnd w:id="647"/>
      <w:bookmarkEnd w:id="649"/>
    </w:p>
    <w:p>
      <w:pPr>
        <w:pStyle w:val="Style17"/>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股份回购的实施进展情况</w:t>
      </w:r>
    </w:p>
    <w:p>
      <w:pPr>
        <w:pStyle w:val="Style17"/>
        <w:keepNext w:val="0"/>
        <w:keepLines w:val="0"/>
        <w:widowControl w:val="0"/>
        <w:shd w:val="clear" w:color="auto" w:fill="auto"/>
        <w:bidi w:val="0"/>
        <w:spacing w:before="0" w:after="160" w:line="240" w:lineRule="auto"/>
        <w:ind w:left="0" w:right="0" w:firstLine="46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采用集中竞价方式减持回购股份的实施进展情况</w:t>
      </w:r>
    </w:p>
    <w:p>
      <w:pPr>
        <w:pStyle w:val="Style17"/>
        <w:keepNext w:val="0"/>
        <w:keepLines w:val="0"/>
        <w:widowControl w:val="0"/>
        <w:shd w:val="clear" w:color="auto" w:fill="auto"/>
        <w:bidi w:val="0"/>
        <w:spacing w:before="0" w:after="300" w:line="240" w:lineRule="auto"/>
        <w:ind w:left="0" w:right="0" w:firstLine="460"/>
        <w:jc w:val="left"/>
        <w:sectPr>
          <w:footnotePr>
            <w:pos w:val="pageBottom"/>
            <w:numFmt w:val="decimal"/>
            <w:numStart w:val="1"/>
            <w:numRestart w:val="continuous"/>
            <w15:footnoteColumns w:val="1"/>
          </w:footnotePr>
          <w:pgSz w:w="11900" w:h="16840"/>
          <w:pgMar w:top="1281" w:right="449" w:bottom="1347" w:left="97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widowControl w:val="0"/>
        <w:spacing w:line="1" w:lineRule="exact"/>
      </w:pPr>
      <w:r>
        <mc:AlternateContent>
          <mc:Choice Requires="wps">
            <w:drawing>
              <wp:anchor distT="0" distB="3048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650" w:name="bookmark650"/>
                            <w:bookmarkStart w:id="651" w:name="bookmark651"/>
                            <w:bookmarkStart w:id="652" w:name="bookmark652"/>
                            <w:r>
                              <w:rPr>
                                <w:color w:val="000000"/>
                                <w:spacing w:val="0"/>
                                <w:w w:val="100"/>
                                <w:position w:val="0"/>
                              </w:rPr>
                              <w:t>第九节优先股相关情况</w:t>
                            </w:r>
                            <w:bookmarkEnd w:id="650"/>
                            <w:bookmarkEnd w:id="651"/>
                            <w:bookmarkEnd w:id="652"/>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199999999999999pt;z-index:-125829375;mso-wrap-distance-left:0;mso-wrap-distance-right:0;mso-wrap-distance-bottom:24.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650" w:name="bookmark650"/>
                      <w:bookmarkStart w:id="651" w:name="bookmark651"/>
                      <w:bookmarkStart w:id="652" w:name="bookmark652"/>
                      <w:r>
                        <w:rPr>
                          <w:color w:val="000000"/>
                          <w:spacing w:val="0"/>
                          <w:w w:val="100"/>
                          <w:position w:val="0"/>
                        </w:rPr>
                        <w:t>第九节优先股相关情况</w:t>
                      </w:r>
                      <w:bookmarkEnd w:id="650"/>
                      <w:bookmarkEnd w:id="651"/>
                      <w:bookmarkEnd w:id="652"/>
                    </w:p>
                  </w:txbxContent>
                </v:textbox>
                <w10:wrap type="topAndBottom" anchorx="page"/>
              </v:shape>
            </w:pict>
          </mc:Fallback>
        </mc:AlternateContent>
      </w:r>
    </w:p>
    <w:p>
      <w:pPr>
        <w:pStyle w:val="Style17"/>
        <w:keepNext w:val="0"/>
        <w:keepLines w:val="0"/>
        <w:widowControl w:val="0"/>
        <w:shd w:val="clear" w:color="auto" w:fill="auto"/>
        <w:bidi w:val="0"/>
        <w:spacing w:before="0" w:after="160" w:line="240" w:lineRule="auto"/>
        <w:ind w:left="0" w:right="0" w:firstLine="460"/>
        <w:jc w:val="left"/>
      </w:pPr>
      <w:bookmarkStart w:id="653" w:name="bookmark653"/>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653"/>
    </w:p>
    <w:p>
      <w:pPr>
        <w:pStyle w:val="Style17"/>
        <w:keepNext w:val="0"/>
        <w:keepLines w:val="0"/>
        <w:widowControl w:val="0"/>
        <w:shd w:val="clear" w:color="auto" w:fill="auto"/>
        <w:bidi w:val="0"/>
        <w:spacing w:before="0" w:after="0" w:line="240" w:lineRule="auto"/>
        <w:ind w:left="0" w:right="0" w:firstLine="460"/>
        <w:jc w:val="left"/>
        <w:sectPr>
          <w:footnotePr>
            <w:pos w:val="pageBottom"/>
            <w:numFmt w:val="decimal"/>
            <w:numStart w:val="1"/>
            <w:numRestart w:val="continuous"/>
            <w15:footnoteColumns w:val="1"/>
          </w:footnotePr>
          <w:pgSz w:w="11900" w:h="16840"/>
          <w:pgMar w:top="1465" w:right="984" w:bottom="1465" w:left="1104"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540" w:after="940" w:line="240" w:lineRule="auto"/>
        <w:ind w:left="0" w:right="0" w:firstLine="0"/>
        <w:jc w:val="center"/>
      </w:pPr>
      <w:bookmarkStart w:id="654" w:name="bookmark654"/>
      <w:bookmarkStart w:id="655" w:name="bookmark655"/>
      <w:bookmarkStart w:id="656" w:name="bookmark656"/>
      <w:r>
        <w:rPr>
          <w:color w:val="000000"/>
          <w:spacing w:val="0"/>
          <w:w w:val="100"/>
          <w:position w:val="0"/>
        </w:rPr>
        <w:t>第十节债券相关情况</w:t>
      </w:r>
      <w:bookmarkEnd w:id="654"/>
      <w:bookmarkEnd w:id="655"/>
      <w:bookmarkEnd w:id="656"/>
    </w:p>
    <w:p>
      <w:pPr>
        <w:pStyle w:val="Style32"/>
        <w:keepNext/>
        <w:keepLines/>
        <w:widowControl w:val="0"/>
        <w:shd w:val="clear" w:color="auto" w:fill="auto"/>
        <w:bidi w:val="0"/>
        <w:spacing w:before="0" w:after="320" w:line="240" w:lineRule="auto"/>
        <w:ind w:left="0" w:right="0" w:firstLine="0"/>
        <w:jc w:val="left"/>
      </w:pPr>
      <w:bookmarkStart w:id="657" w:name="bookmark657"/>
      <w:bookmarkStart w:id="658" w:name="bookmark658"/>
      <w:bookmarkStart w:id="659" w:name="bookmark659"/>
      <w:bookmarkStart w:id="660" w:name="bookmark660"/>
      <w:bookmarkStart w:id="661" w:name="bookmark661"/>
      <w:r>
        <w:rPr>
          <w:color w:val="000000"/>
          <w:spacing w:val="0"/>
          <w:w w:val="100"/>
          <w:position w:val="0"/>
          <w:sz w:val="24"/>
          <w:szCs w:val="24"/>
        </w:rPr>
        <w:t>一</w:t>
      </w:r>
      <w:bookmarkEnd w:id="660"/>
      <w:r>
        <w:rPr>
          <w:color w:val="000000"/>
          <w:spacing w:val="0"/>
          <w:w w:val="100"/>
          <w:position w:val="0"/>
          <w:sz w:val="24"/>
          <w:szCs w:val="24"/>
        </w:rPr>
        <w:t>、企业债券</w:t>
      </w:r>
      <w:bookmarkEnd w:id="658"/>
      <w:bookmarkEnd w:id="659"/>
      <w:bookmarkEnd w:id="661"/>
      <w:bookmarkEnd w:id="657"/>
    </w:p>
    <w:p>
      <w:pPr>
        <w:pStyle w:val="Style17"/>
        <w:keepNext w:val="0"/>
        <w:keepLines w:val="0"/>
        <w:widowControl w:val="0"/>
        <w:shd w:val="clear" w:color="auto" w:fill="auto"/>
        <w:bidi w:val="0"/>
        <w:spacing w:before="0" w:after="160" w:line="240" w:lineRule="auto"/>
        <w:ind w:left="0" w:right="0" w:firstLine="46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480" w:line="240" w:lineRule="auto"/>
        <w:ind w:left="0" w:right="0" w:firstLine="460"/>
        <w:jc w:val="left"/>
      </w:pPr>
      <w:r>
        <w:rPr>
          <w:color w:val="000000"/>
          <w:spacing w:val="0"/>
          <w:w w:val="100"/>
          <w:position w:val="0"/>
        </w:rPr>
        <w:t>报告期公司不存在企业债券。</w:t>
      </w:r>
    </w:p>
    <w:p>
      <w:pPr>
        <w:pStyle w:val="Style32"/>
        <w:keepNext/>
        <w:keepLines/>
        <w:widowControl w:val="0"/>
        <w:shd w:val="clear" w:color="auto" w:fill="auto"/>
        <w:bidi w:val="0"/>
        <w:spacing w:before="0" w:after="32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sz w:val="24"/>
          <w:szCs w:val="24"/>
        </w:rPr>
        <w:t>二</w:t>
      </w:r>
      <w:bookmarkEnd w:id="664"/>
      <w:r>
        <w:rPr>
          <w:color w:val="000000"/>
          <w:spacing w:val="0"/>
          <w:w w:val="100"/>
          <w:position w:val="0"/>
          <w:sz w:val="24"/>
          <w:szCs w:val="24"/>
        </w:rPr>
        <w:t>、公司债券</w:t>
      </w:r>
      <w:bookmarkEnd w:id="662"/>
      <w:bookmarkEnd w:id="663"/>
      <w:bookmarkEnd w:id="665"/>
    </w:p>
    <w:p>
      <w:pPr>
        <w:pStyle w:val="Style35"/>
        <w:keepNext/>
        <w:keepLines/>
        <w:widowControl w:val="0"/>
        <w:shd w:val="clear" w:color="auto" w:fill="auto"/>
        <w:bidi w:val="0"/>
        <w:spacing w:before="0" w:after="320" w:line="240" w:lineRule="auto"/>
        <w:ind w:left="0" w:right="0" w:firstLine="0"/>
        <w:jc w:val="left"/>
      </w:pPr>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sz w:val="22"/>
          <w:szCs w:val="22"/>
        </w:rPr>
        <w:t>1</w:t>
      </w:r>
      <w:r>
        <w:rPr>
          <w:color w:val="000000"/>
          <w:spacing w:val="0"/>
          <w:w w:val="100"/>
          <w:position w:val="0"/>
        </w:rPr>
        <w:t>、公司债券基本信息</w:t>
      </w:r>
      <w:bookmarkEnd w:id="666"/>
      <w:bookmarkEnd w:id="667"/>
      <w:bookmarkEnd w:id="6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706"/>
        <w:gridCol w:w="710"/>
        <w:gridCol w:w="907"/>
        <w:gridCol w:w="970"/>
        <w:gridCol w:w="816"/>
        <w:gridCol w:w="710"/>
        <w:gridCol w:w="706"/>
        <w:gridCol w:w="1642"/>
        <w:gridCol w:w="974"/>
      </w:tblGrid>
      <w:tr>
        <w:trPr>
          <w:trHeight w:val="66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债券名称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40" w:line="240" w:lineRule="auto"/>
              <w:ind w:left="0" w:right="0" w:firstLine="0"/>
              <w:jc w:val="center"/>
              <w:rPr>
                <w:sz w:val="20"/>
                <w:szCs w:val="20"/>
              </w:rPr>
            </w:pPr>
            <w:r>
              <w:rPr>
                <w:rFonts w:ascii="SimSun" w:eastAsia="SimSun" w:hAnsi="SimSun" w:cs="SimSun"/>
                <w:color w:val="000000"/>
                <w:spacing w:val="0"/>
                <w:w w:val="100"/>
                <w:position w:val="0"/>
                <w:sz w:val="20"/>
                <w:szCs w:val="20"/>
              </w:rPr>
              <w:t>债券</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简称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8" w:lineRule="exact"/>
              <w:ind w:left="0" w:right="0" w:firstLine="0"/>
              <w:jc w:val="center"/>
              <w:rPr>
                <w:sz w:val="20"/>
                <w:szCs w:val="20"/>
              </w:rPr>
            </w:pPr>
            <w:r>
              <w:rPr>
                <w:rFonts w:ascii="SimSun" w:eastAsia="SimSun" w:hAnsi="SimSun" w:cs="SimSun"/>
                <w:color w:val="000000"/>
                <w:spacing w:val="0"/>
                <w:w w:val="100"/>
                <w:position w:val="0"/>
                <w:sz w:val="20"/>
                <w:szCs w:val="20"/>
              </w:rPr>
              <w:t>债券 代码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发行日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起息日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到期日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债券</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利率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还本付息方式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交易场所</w:t>
            </w:r>
          </w:p>
        </w:tc>
      </w:tr>
      <w:tr>
        <w:trPr>
          <w:trHeight w:val="436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5" w:lineRule="exact"/>
              <w:ind w:left="0" w:right="0" w:firstLine="0"/>
              <w:jc w:val="left"/>
              <w:rPr>
                <w:sz w:val="20"/>
                <w:szCs w:val="20"/>
              </w:rPr>
            </w:pPr>
            <w:r>
              <w:rPr>
                <w:rFonts w:ascii="SimSun" w:eastAsia="SimSun" w:hAnsi="SimSun" w:cs="SimSun"/>
                <w:color w:val="000000"/>
                <w:spacing w:val="0"/>
                <w:w w:val="100"/>
                <w:position w:val="0"/>
                <w:sz w:val="20"/>
                <w:szCs w:val="20"/>
              </w:rPr>
              <w:t xml:space="preserve">苏宁易购集团 股份有限公司 </w:t>
            </w:r>
            <w:r>
              <w:rPr>
                <w:color w:val="000000"/>
                <w:spacing w:val="0"/>
                <w:w w:val="100"/>
                <w:position w:val="0"/>
                <w:sz w:val="22"/>
                <w:szCs w:val="22"/>
              </w:rPr>
              <w:t>2018</w:t>
            </w:r>
            <w:r>
              <w:rPr>
                <w:rFonts w:ascii="SimSun" w:eastAsia="SimSun" w:hAnsi="SimSun" w:cs="SimSun"/>
                <w:color w:val="000000"/>
                <w:spacing w:val="0"/>
                <w:w w:val="100"/>
                <w:position w:val="0"/>
                <w:sz w:val="20"/>
                <w:szCs w:val="20"/>
              </w:rPr>
              <w:t xml:space="preserve">年面向合 格投资者公开 发行公司债券 </w:t>
            </w:r>
            <w:r>
              <w:rPr>
                <w:color w:val="000000"/>
                <w:spacing w:val="0"/>
                <w:w w:val="100"/>
                <w:position w:val="0"/>
                <w:sz w:val="22"/>
                <w:szCs w:val="22"/>
              </w:rPr>
              <w:t>（</w:t>
            </w:r>
            <w:r>
              <w:rPr>
                <w:rFonts w:ascii="SimSun" w:eastAsia="SimSun" w:hAnsi="SimSun" w:cs="SimSun"/>
                <w:color w:val="000000"/>
                <w:spacing w:val="0"/>
                <w:w w:val="100"/>
                <w:position w:val="0"/>
                <w:sz w:val="20"/>
                <w:szCs w:val="20"/>
              </w:rPr>
              <w:t>第三期）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18</w:t>
            </w:r>
            <w:r>
              <w:rPr>
                <w:rFonts w:ascii="SimSun" w:eastAsia="SimSun" w:hAnsi="SimSun" w:cs="SimSun"/>
                <w:color w:val="000000"/>
                <w:spacing w:val="0"/>
                <w:w w:val="100"/>
                <w:position w:val="0"/>
                <w:sz w:val="20"/>
                <w:szCs w:val="20"/>
              </w:rPr>
              <w:t>苏 宁</w:t>
            </w:r>
            <w:r>
              <w:rPr>
                <w:color w:val="000000"/>
                <w:spacing w:val="0"/>
                <w:w w:val="100"/>
                <w:position w:val="0"/>
              </w:rPr>
              <w:t>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112721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2"/>
                <w:szCs w:val="22"/>
              </w:rPr>
              <w:t xml:space="preserve">2018 </w:t>
            </w:r>
            <w:r>
              <w:rPr>
                <w:rFonts w:ascii="SimSun" w:eastAsia="SimSun" w:hAnsi="SimSun" w:cs="SimSun"/>
                <w:color w:val="000000"/>
                <w:spacing w:val="0"/>
                <w:w w:val="100"/>
                <w:position w:val="0"/>
                <w:sz w:val="20"/>
                <w:szCs w:val="20"/>
              </w:rPr>
              <w:t xml:space="preserve">年 </w:t>
            </w:r>
            <w:r>
              <w:rPr>
                <w:color w:val="000000"/>
                <w:spacing w:val="0"/>
                <w:w w:val="100"/>
                <w:position w:val="0"/>
                <w:sz w:val="22"/>
                <w:szCs w:val="22"/>
              </w:rPr>
              <w:t xml:space="preserve">6 </w:t>
            </w:r>
            <w:r>
              <w:rPr>
                <w:rFonts w:ascii="SimSun" w:eastAsia="SimSun" w:hAnsi="SimSun" w:cs="SimSun"/>
                <w:color w:val="000000"/>
                <w:spacing w:val="0"/>
                <w:w w:val="100"/>
                <w:position w:val="0"/>
                <w:sz w:val="20"/>
                <w:szCs w:val="20"/>
              </w:rPr>
              <w:t>月</w:t>
            </w:r>
            <w:r>
              <w:rPr>
                <w:color w:val="000000"/>
                <w:spacing w:val="0"/>
                <w:w w:val="100"/>
                <w:position w:val="0"/>
                <w:sz w:val="22"/>
                <w:szCs w:val="22"/>
              </w:rPr>
              <w:t>15</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2"/>
                <w:szCs w:val="22"/>
              </w:rPr>
              <w:t xml:space="preserve">2018 </w:t>
            </w:r>
            <w:r>
              <w:rPr>
                <w:rFonts w:ascii="SimSun" w:eastAsia="SimSun" w:hAnsi="SimSun" w:cs="SimSun"/>
                <w:color w:val="000000"/>
                <w:spacing w:val="0"/>
                <w:w w:val="100"/>
                <w:position w:val="0"/>
                <w:sz w:val="20"/>
                <w:szCs w:val="20"/>
              </w:rPr>
              <w:t xml:space="preserve">年 </w:t>
            </w:r>
            <w:r>
              <w:rPr>
                <w:color w:val="000000"/>
                <w:spacing w:val="0"/>
                <w:w w:val="100"/>
                <w:position w:val="0"/>
                <w:sz w:val="22"/>
                <w:szCs w:val="22"/>
              </w:rPr>
              <w:t xml:space="preserve">6 </w:t>
            </w:r>
            <w:r>
              <w:rPr>
                <w:rFonts w:ascii="SimSun" w:eastAsia="SimSun" w:hAnsi="SimSun" w:cs="SimSun"/>
                <w:color w:val="000000"/>
                <w:spacing w:val="0"/>
                <w:w w:val="100"/>
                <w:position w:val="0"/>
                <w:sz w:val="20"/>
                <w:szCs w:val="20"/>
              </w:rPr>
              <w:t>月</w:t>
            </w:r>
            <w:r>
              <w:rPr>
                <w:color w:val="000000"/>
                <w:spacing w:val="0"/>
                <w:w w:val="100"/>
                <w:position w:val="0"/>
                <w:sz w:val="22"/>
                <w:szCs w:val="22"/>
              </w:rPr>
              <w:t>15</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2"/>
                <w:szCs w:val="22"/>
              </w:rPr>
              <w:t xml:space="preserve">2023 </w:t>
            </w:r>
            <w:r>
              <w:rPr>
                <w:rFonts w:ascii="SimSun" w:eastAsia="SimSun" w:hAnsi="SimSun" w:cs="SimSun"/>
                <w:color w:val="000000"/>
                <w:spacing w:val="0"/>
                <w:w w:val="100"/>
                <w:position w:val="0"/>
                <w:sz w:val="20"/>
                <w:szCs w:val="20"/>
              </w:rPr>
              <w:t xml:space="preserve">年 </w:t>
            </w:r>
            <w:r>
              <w:rPr>
                <w:color w:val="000000"/>
                <w:spacing w:val="0"/>
                <w:w w:val="100"/>
                <w:position w:val="0"/>
                <w:sz w:val="22"/>
                <w:szCs w:val="22"/>
              </w:rPr>
              <w:t>6</w:t>
            </w:r>
            <w:r>
              <w:rPr>
                <w:rFonts w:ascii="SimSun" w:eastAsia="SimSun" w:hAnsi="SimSun" w:cs="SimSun"/>
                <w:color w:val="000000"/>
                <w:spacing w:val="0"/>
                <w:w w:val="100"/>
                <w:position w:val="0"/>
                <w:sz w:val="20"/>
                <w:szCs w:val="20"/>
              </w:rPr>
              <w:t>月</w:t>
            </w:r>
            <w:r>
              <w:rPr>
                <w:color w:val="000000"/>
                <w:spacing w:val="0"/>
                <w:w w:val="100"/>
                <w:position w:val="0"/>
                <w:sz w:val="22"/>
                <w:szCs w:val="22"/>
              </w:rPr>
              <w:t xml:space="preserve">15 </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705.9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4" w:lineRule="exact"/>
              <w:ind w:left="0" w:right="0" w:firstLine="0"/>
              <w:jc w:val="both"/>
              <w:rPr>
                <w:sz w:val="20"/>
                <w:szCs w:val="20"/>
              </w:rPr>
            </w:pPr>
            <w:r>
              <w:rPr>
                <w:rFonts w:ascii="SimSun" w:eastAsia="SimSun" w:hAnsi="SimSun" w:cs="SimSun"/>
                <w:color w:val="000000"/>
                <w:spacing w:val="0"/>
                <w:w w:val="100"/>
                <w:position w:val="0"/>
                <w:sz w:val="20"/>
                <w:szCs w:val="20"/>
              </w:rPr>
              <w:t>本期债券按年付 息、到期一次还 本。利息每年支 付一次，最后一 期利息随本金一 起支付。若持有 人行使回售选择 权，则其回售部 分债券的付息日 为</w:t>
            </w:r>
            <w:r>
              <w:rPr>
                <w:color w:val="000000"/>
                <w:spacing w:val="0"/>
                <w:w w:val="100"/>
                <w:position w:val="0"/>
                <w:sz w:val="22"/>
                <w:szCs w:val="22"/>
              </w:rPr>
              <w:t>2019</w:t>
            </w:r>
            <w:r>
              <w:rPr>
                <w:rFonts w:ascii="SimSun" w:eastAsia="SimSun" w:hAnsi="SimSun" w:cs="SimSun"/>
                <w:color w:val="000000"/>
                <w:spacing w:val="0"/>
                <w:w w:val="100"/>
                <w:position w:val="0"/>
                <w:sz w:val="20"/>
                <w:szCs w:val="20"/>
              </w:rPr>
              <w:t xml:space="preserve">年至 </w:t>
            </w:r>
            <w:r>
              <w:rPr>
                <w:color w:val="000000"/>
                <w:spacing w:val="0"/>
                <w:w w:val="100"/>
                <w:position w:val="0"/>
                <w:sz w:val="22"/>
                <w:szCs w:val="22"/>
              </w:rPr>
              <w:t>2021</w:t>
            </w:r>
            <w:r>
              <w:rPr>
                <w:rFonts w:ascii="SimSun" w:eastAsia="SimSun" w:hAnsi="SimSun" w:cs="SimSun"/>
                <w:color w:val="000000"/>
                <w:spacing w:val="0"/>
                <w:w w:val="100"/>
                <w:position w:val="0"/>
                <w:sz w:val="20"/>
                <w:szCs w:val="20"/>
              </w:rPr>
              <w:t>年每年的</w:t>
            </w:r>
            <w:r>
              <w:rPr>
                <w:color w:val="000000"/>
                <w:spacing w:val="0"/>
                <w:w w:val="100"/>
                <w:position w:val="0"/>
                <w:sz w:val="22"/>
                <w:szCs w:val="22"/>
              </w:rPr>
              <w:t xml:space="preserve">6 </w:t>
            </w:r>
            <w:r>
              <w:rPr>
                <w:rFonts w:ascii="SimSun" w:eastAsia="SimSun" w:hAnsi="SimSun" w:cs="SimSun"/>
                <w:color w:val="000000"/>
                <w:spacing w:val="0"/>
                <w:w w:val="100"/>
                <w:position w:val="0"/>
                <w:sz w:val="20"/>
                <w:szCs w:val="20"/>
              </w:rPr>
              <w:t>月</w:t>
            </w:r>
            <w:r>
              <w:rPr>
                <w:color w:val="000000"/>
                <w:spacing w:val="0"/>
                <w:w w:val="100"/>
                <w:position w:val="0"/>
                <w:sz w:val="22"/>
                <w:szCs w:val="22"/>
              </w:rPr>
              <w:t>15</w:t>
            </w:r>
            <w:r>
              <w:rPr>
                <w:rFonts w:ascii="SimSun" w:eastAsia="SimSun" w:hAnsi="SimSun" w:cs="SimSun"/>
                <w:color w:val="000000"/>
                <w:spacing w:val="0"/>
                <w:w w:val="100"/>
                <w:position w:val="0"/>
                <w:sz w:val="20"/>
                <w:szCs w:val="20"/>
              </w:rPr>
              <w:t>日；回售部 分债券的兑付日 为</w:t>
            </w: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6</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15</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rPr>
                <w:sz w:val="20"/>
                <w:szCs w:val="20"/>
              </w:rPr>
            </w:pPr>
            <w:r>
              <w:rPr>
                <w:rFonts w:ascii="SimSun" w:eastAsia="SimSun" w:hAnsi="SimSun" w:cs="SimSun"/>
                <w:color w:val="000000"/>
                <w:spacing w:val="0"/>
                <w:w w:val="100"/>
                <w:position w:val="0"/>
                <w:sz w:val="20"/>
                <w:szCs w:val="20"/>
              </w:rPr>
              <w:t>深圳证券 交易所</w:t>
            </w:r>
          </w:p>
        </w:tc>
      </w:tr>
      <w:tr>
        <w:trPr>
          <w:trHeight w:val="376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5" w:lineRule="exact"/>
              <w:ind w:left="0" w:right="0" w:firstLine="0"/>
              <w:jc w:val="left"/>
            </w:pPr>
            <w:r>
              <w:rPr>
                <w:rFonts w:ascii="SimSun" w:eastAsia="SimSun" w:hAnsi="SimSun" w:cs="SimSun"/>
                <w:color w:val="000000"/>
                <w:spacing w:val="0"/>
                <w:w w:val="100"/>
                <w:position w:val="0"/>
                <w:sz w:val="20"/>
                <w:szCs w:val="20"/>
              </w:rPr>
              <w:t xml:space="preserve">苏宁易购集团 股份有限公司 </w:t>
            </w:r>
            <w:r>
              <w:rPr>
                <w:color w:val="000000"/>
                <w:spacing w:val="0"/>
                <w:w w:val="100"/>
                <w:position w:val="0"/>
              </w:rPr>
              <w:t>2018</w:t>
            </w:r>
            <w:r>
              <w:rPr>
                <w:rFonts w:ascii="SimSun" w:eastAsia="SimSun" w:hAnsi="SimSun" w:cs="SimSun"/>
                <w:color w:val="000000"/>
                <w:spacing w:val="0"/>
                <w:w w:val="100"/>
                <w:position w:val="0"/>
                <w:sz w:val="20"/>
                <w:szCs w:val="20"/>
              </w:rPr>
              <w:t>年面向合 格投资者公开 发行公司债券 （第六期</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18</w:t>
            </w:r>
            <w:r>
              <w:rPr>
                <w:rFonts w:ascii="SimSun" w:eastAsia="SimSun" w:hAnsi="SimSun" w:cs="SimSun"/>
                <w:color w:val="000000"/>
                <w:spacing w:val="0"/>
                <w:w w:val="100"/>
                <w:position w:val="0"/>
                <w:sz w:val="20"/>
                <w:szCs w:val="20"/>
              </w:rPr>
              <w:t>苏 宁</w:t>
            </w:r>
            <w:r>
              <w:rPr>
                <w:color w:val="000000"/>
                <w:spacing w:val="0"/>
                <w:w w:val="100"/>
                <w:position w:val="0"/>
              </w:rPr>
              <w:t>07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112800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2"/>
                <w:szCs w:val="22"/>
              </w:rPr>
              <w:t xml:space="preserve">2018 </w:t>
            </w:r>
            <w:r>
              <w:rPr>
                <w:rFonts w:ascii="SimSun" w:eastAsia="SimSun" w:hAnsi="SimSun" w:cs="SimSun"/>
                <w:color w:val="000000"/>
                <w:spacing w:val="0"/>
                <w:w w:val="100"/>
                <w:position w:val="0"/>
                <w:sz w:val="20"/>
                <w:szCs w:val="20"/>
              </w:rPr>
              <w:t>年</w:t>
            </w:r>
          </w:p>
          <w:p>
            <w:pPr>
              <w:pStyle w:val="Style29"/>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2"/>
                <w:szCs w:val="22"/>
              </w:rPr>
              <w:t xml:space="preserve">11 </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 xml:space="preserve">16 </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2"/>
                <w:szCs w:val="22"/>
              </w:rPr>
              <w:t xml:space="preserve">2018 </w:t>
            </w:r>
            <w:r>
              <w:rPr>
                <w:rFonts w:ascii="SimSun" w:eastAsia="SimSun" w:hAnsi="SimSun" w:cs="SimSun"/>
                <w:color w:val="000000"/>
                <w:spacing w:val="0"/>
                <w:w w:val="100"/>
                <w:position w:val="0"/>
                <w:sz w:val="20"/>
                <w:szCs w:val="20"/>
              </w:rPr>
              <w:t>年</w:t>
            </w:r>
          </w:p>
          <w:p>
            <w:pPr>
              <w:pStyle w:val="Style29"/>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2"/>
                <w:szCs w:val="22"/>
              </w:rPr>
              <w:t xml:space="preserve">11 </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 xml:space="preserve">16 </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2"/>
                <w:szCs w:val="22"/>
              </w:rPr>
              <w:t xml:space="preserve">2023 </w:t>
            </w:r>
            <w:r>
              <w:rPr>
                <w:rFonts w:ascii="SimSun" w:eastAsia="SimSun" w:hAnsi="SimSun" w:cs="SimSun"/>
                <w:color w:val="000000"/>
                <w:spacing w:val="0"/>
                <w:w w:val="100"/>
                <w:position w:val="0"/>
                <w:sz w:val="20"/>
                <w:szCs w:val="20"/>
              </w:rPr>
              <w:t>年</w:t>
            </w:r>
          </w:p>
          <w:p>
            <w:pPr>
              <w:pStyle w:val="Style29"/>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2"/>
                <w:szCs w:val="22"/>
              </w:rPr>
              <w:t xml:space="preserve">11 </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 xml:space="preserve">16 </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2,636.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4.90%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85" w:lineRule="exact"/>
              <w:ind w:left="0" w:right="0" w:firstLine="0"/>
              <w:jc w:val="both"/>
              <w:rPr>
                <w:sz w:val="20"/>
                <w:szCs w:val="20"/>
              </w:rPr>
            </w:pPr>
            <w:r>
              <w:rPr>
                <w:rFonts w:ascii="SimSun" w:eastAsia="SimSun" w:hAnsi="SimSun" w:cs="SimSun"/>
                <w:color w:val="000000"/>
                <w:spacing w:val="0"/>
                <w:w w:val="100"/>
                <w:position w:val="0"/>
                <w:sz w:val="20"/>
                <w:szCs w:val="20"/>
              </w:rPr>
              <w:t xml:space="preserve">本期债券按年付 息、到期一次还 本。利息每年支 付一次，最后一 期利息随本金一 起支付。若持有 人行使回售选择 权，则回售部分 的付息日期为 </w:t>
            </w:r>
            <w:r>
              <w:rPr>
                <w:color w:val="000000"/>
                <w:spacing w:val="0"/>
                <w:w w:val="100"/>
                <w:position w:val="0"/>
                <w:sz w:val="22"/>
                <w:szCs w:val="22"/>
              </w:rPr>
              <w:t xml:space="preserve">2019 </w:t>
            </w:r>
            <w:r>
              <w:rPr>
                <w:rFonts w:ascii="SimSun" w:eastAsia="SimSun" w:hAnsi="SimSun" w:cs="SimSun"/>
                <w:color w:val="000000"/>
                <w:spacing w:val="0"/>
                <w:w w:val="100"/>
                <w:position w:val="0"/>
                <w:sz w:val="20"/>
                <w:szCs w:val="20"/>
              </w:rPr>
              <w:t xml:space="preserve">年至 </w:t>
            </w: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年每年的</w:t>
            </w:r>
            <w:r>
              <w:rPr>
                <w:color w:val="000000"/>
                <w:spacing w:val="0"/>
                <w:w w:val="100"/>
                <w:position w:val="0"/>
                <w:sz w:val="22"/>
                <w:szCs w:val="22"/>
              </w:rPr>
              <w:t>11</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16</w:t>
            </w:r>
            <w:r>
              <w:rPr>
                <w:rFonts w:ascii="SimSun" w:eastAsia="SimSun" w:hAnsi="SimSun" w:cs="SimSun"/>
                <w:color w:val="000000"/>
                <w:spacing w:val="0"/>
                <w:w w:val="100"/>
                <w:position w:val="0"/>
                <w:sz w:val="20"/>
                <w:szCs w:val="20"/>
              </w:rPr>
              <w:t>日，回售部 分的兑付日期为</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rPr>
                <w:sz w:val="20"/>
                <w:szCs w:val="20"/>
              </w:rPr>
            </w:pPr>
            <w:r>
              <w:rPr>
                <w:rFonts w:ascii="SimSun" w:eastAsia="SimSun" w:hAnsi="SimSun" w:cs="SimSun"/>
                <w:color w:val="000000"/>
                <w:spacing w:val="0"/>
                <w:w w:val="100"/>
                <w:position w:val="0"/>
                <w:sz w:val="20"/>
                <w:szCs w:val="20"/>
              </w:rPr>
              <w:t>深圳证券 交易所</w:t>
            </w:r>
          </w:p>
        </w:tc>
      </w:tr>
    </w:tbl>
    <w:tbl>
      <w:tblPr>
        <w:tblOverlap w:val="never"/>
        <w:jc w:val="center"/>
        <w:tblLayout w:type="fixed"/>
      </w:tblPr>
      <w:tblGrid>
        <w:gridCol w:w="2986"/>
        <w:gridCol w:w="6725"/>
      </w:tblGrid>
      <w:tr>
        <w:trPr>
          <w:trHeight w:val="62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98" w:lineRule="exact"/>
              <w:ind w:left="4140" w:right="0" w:firstLine="0"/>
              <w:jc w:val="left"/>
              <w:rPr>
                <w:sz w:val="20"/>
                <w:szCs w:val="20"/>
              </w:rPr>
            </w:pP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sz w:val="22"/>
                <w:szCs w:val="22"/>
              </w:rPr>
              <w:t xml:space="preserve">11 </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 xml:space="preserve">16 </w:t>
            </w:r>
            <w:r>
              <w:rPr>
                <w:rFonts w:ascii="SimSun" w:eastAsia="SimSun" w:hAnsi="SimSun" w:cs="SimSun"/>
                <w:color w:val="000000"/>
                <w:spacing w:val="0"/>
                <w:w w:val="100"/>
                <w:position w:val="0"/>
                <w:sz w:val="20"/>
                <w:szCs w:val="20"/>
              </w:rPr>
              <w:t>日。</w:t>
            </w:r>
          </w:p>
        </w:tc>
      </w:tr>
      <w:tr>
        <w:trPr>
          <w:trHeight w:val="151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投资者适当性安排（如有）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2"/>
                <w:szCs w:val="22"/>
              </w:rPr>
              <w:t>18</w:t>
            </w:r>
            <w:r>
              <w:rPr>
                <w:rFonts w:ascii="SimSun" w:eastAsia="SimSun" w:hAnsi="SimSun" w:cs="SimSun"/>
                <w:color w:val="000000"/>
                <w:spacing w:val="0"/>
                <w:w w:val="100"/>
                <w:position w:val="0"/>
                <w:sz w:val="20"/>
                <w:szCs w:val="20"/>
              </w:rPr>
              <w:t>苏宁</w:t>
            </w:r>
            <w:r>
              <w:rPr>
                <w:color w:val="000000"/>
                <w:spacing w:val="0"/>
                <w:w w:val="100"/>
                <w:position w:val="0"/>
                <w:sz w:val="22"/>
                <w:szCs w:val="22"/>
              </w:rPr>
              <w:t>03</w:t>
            </w:r>
            <w:r>
              <w:rPr>
                <w:rFonts w:ascii="SimSun" w:eastAsia="SimSun" w:hAnsi="SimSun" w:cs="SimSun"/>
                <w:color w:val="000000"/>
                <w:spacing w:val="0"/>
                <w:w w:val="100"/>
                <w:position w:val="0"/>
                <w:sz w:val="20"/>
                <w:szCs w:val="20"/>
              </w:rPr>
              <w:t>、</w:t>
            </w:r>
            <w:r>
              <w:rPr>
                <w:color w:val="000000"/>
                <w:spacing w:val="0"/>
                <w:w w:val="100"/>
                <w:position w:val="0"/>
                <w:sz w:val="22"/>
                <w:szCs w:val="22"/>
              </w:rPr>
              <w:t>18</w:t>
            </w:r>
            <w:r>
              <w:rPr>
                <w:rFonts w:ascii="SimSun" w:eastAsia="SimSun" w:hAnsi="SimSun" w:cs="SimSun"/>
                <w:color w:val="000000"/>
                <w:spacing w:val="0"/>
                <w:w w:val="100"/>
                <w:position w:val="0"/>
                <w:sz w:val="20"/>
                <w:szCs w:val="20"/>
              </w:rPr>
              <w:t>苏宁</w:t>
            </w:r>
            <w:r>
              <w:rPr>
                <w:color w:val="000000"/>
                <w:spacing w:val="0"/>
                <w:w w:val="100"/>
                <w:position w:val="0"/>
                <w:sz w:val="22"/>
                <w:szCs w:val="22"/>
              </w:rPr>
              <w:t>07</w:t>
            </w:r>
            <w:r>
              <w:rPr>
                <w:rFonts w:ascii="SimSun" w:eastAsia="SimSun" w:hAnsi="SimSun" w:cs="SimSun"/>
                <w:color w:val="000000"/>
                <w:spacing w:val="0"/>
                <w:w w:val="100"/>
                <w:position w:val="0"/>
                <w:sz w:val="20"/>
                <w:szCs w:val="20"/>
              </w:rPr>
              <w:t>仅合格投资者中的机构投资者可以买入债券， 原持有债券的非合格机构投资者可以选择持有到期或者卖出债券。合 格机构投资者资质条件应当符合《公司债券发行与交易管理办法（</w:t>
            </w:r>
            <w:r>
              <w:rPr>
                <w:color w:val="000000"/>
                <w:spacing w:val="0"/>
                <w:w w:val="100"/>
                <w:position w:val="0"/>
                <w:sz w:val="22"/>
                <w:szCs w:val="22"/>
              </w:rPr>
              <w:t xml:space="preserve">2021 </w:t>
            </w:r>
            <w:r>
              <w:rPr>
                <w:rFonts w:ascii="SimSun" w:eastAsia="SimSun" w:hAnsi="SimSun" w:cs="SimSun"/>
                <w:color w:val="000000"/>
                <w:spacing w:val="0"/>
                <w:w w:val="100"/>
                <w:position w:val="0"/>
                <w:sz w:val="20"/>
                <w:szCs w:val="20"/>
              </w:rPr>
              <w:t>年修订）》第十四条和《深圳证券交易所债券市场投资者适当性管理办 法》的相关规定。</w:t>
            </w:r>
          </w:p>
        </w:tc>
      </w:tr>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适用的交易机制</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深圳证券交易所债券交易机制</w:t>
            </w:r>
          </w:p>
        </w:tc>
      </w:tr>
      <w:tr>
        <w:trPr>
          <w:trHeight w:val="67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是否存在终止上市交易的风险</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（如有）和应对措施</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bl>
    <w:p>
      <w:pPr>
        <w:widowControl w:val="0"/>
        <w:spacing w:after="399" w:line="1" w:lineRule="exact"/>
      </w:pPr>
    </w:p>
    <w:p>
      <w:pPr>
        <w:pStyle w:val="Style17"/>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逾期未偿还债券</w:t>
      </w:r>
    </w:p>
    <w:p>
      <w:pPr>
        <w:pStyle w:val="Style17"/>
        <w:keepNext w:val="0"/>
        <w:keepLines w:val="0"/>
        <w:widowControl w:val="0"/>
        <w:shd w:val="clear" w:color="auto" w:fill="auto"/>
        <w:bidi w:val="0"/>
        <w:spacing w:before="0" w:after="280" w:line="240"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5"/>
        <w:keepNext/>
        <w:keepLines/>
        <w:widowControl w:val="0"/>
        <w:shd w:val="clear" w:color="auto" w:fill="auto"/>
        <w:bidi w:val="0"/>
        <w:spacing w:before="0" w:after="160" w:line="428" w:lineRule="exact"/>
        <w:ind w:left="0" w:right="0" w:firstLine="0"/>
        <w:jc w:val="left"/>
      </w:pPr>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sz w:val="22"/>
          <w:szCs w:val="22"/>
        </w:rPr>
        <w:t>2</w:t>
      </w:r>
      <w:r>
        <w:rPr>
          <w:color w:val="000000"/>
          <w:spacing w:val="0"/>
          <w:w w:val="100"/>
          <w:position w:val="0"/>
        </w:rPr>
        <w:t>、发行人或投资者选择权条款、投资者保护条款的触发和执行情况</w:t>
      </w:r>
      <w:bookmarkEnd w:id="669"/>
      <w:bookmarkEnd w:id="670"/>
      <w:bookmarkEnd w:id="671"/>
    </w:p>
    <w:p>
      <w:pPr>
        <w:pStyle w:val="Style65"/>
        <w:keepNext w:val="0"/>
        <w:keepLines w:val="0"/>
        <w:widowControl w:val="0"/>
        <w:shd w:val="clear" w:color="auto" w:fill="auto"/>
        <w:tabs>
          <w:tab w:pos="803" w:val="left"/>
        </w:tabs>
        <w:bidi w:val="0"/>
        <w:spacing w:before="0" w:after="0" w:line="428" w:lineRule="exact"/>
        <w:ind w:left="0" w:right="0"/>
        <w:jc w:val="both"/>
      </w:pPr>
      <w:bookmarkStart w:id="672" w:name="bookmark672"/>
      <w:r>
        <w:rPr>
          <w:color w:val="000000"/>
          <w:spacing w:val="0"/>
          <w:w w:val="100"/>
          <w:position w:val="0"/>
        </w:rPr>
        <w:t>1</w:t>
      </w:r>
      <w:bookmarkEnd w:id="672"/>
      <w:r>
        <w:rPr>
          <w:rFonts w:ascii="SimSun" w:eastAsia="SimSun" w:hAnsi="SimSun" w:cs="SimSun"/>
          <w:color w:val="000000"/>
          <w:spacing w:val="0"/>
          <w:w w:val="100"/>
          <w:position w:val="0"/>
          <w:sz w:val="20"/>
          <w:szCs w:val="20"/>
        </w:rPr>
        <w:t>、</w:t>
        <w:tab/>
      </w:r>
      <w:r>
        <w:rPr>
          <w:color w:val="000000"/>
          <w:spacing w:val="0"/>
          <w:w w:val="100"/>
          <w:position w:val="0"/>
        </w:rPr>
        <w:t>18</w:t>
      </w:r>
      <w:r>
        <w:rPr>
          <w:rFonts w:ascii="SimSun" w:eastAsia="SimSun" w:hAnsi="SimSun" w:cs="SimSun"/>
          <w:color w:val="000000"/>
          <w:spacing w:val="0"/>
          <w:w w:val="100"/>
          <w:position w:val="0"/>
          <w:sz w:val="20"/>
          <w:szCs w:val="20"/>
        </w:rPr>
        <w:t>苏宁</w:t>
      </w:r>
      <w:r>
        <w:rPr>
          <w:color w:val="000000"/>
          <w:spacing w:val="0"/>
          <w:w w:val="100"/>
          <w:position w:val="0"/>
        </w:rPr>
        <w:t>03</w:t>
      </w:r>
    </w:p>
    <w:p>
      <w:pPr>
        <w:pStyle w:val="Style17"/>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根据《苏宁易购集团股份有限公司</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年面向合格投资者公开发行公司债券（第三期）募集说 明书》约定，公司分别于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日、</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日和</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日发布了《关于</w:t>
      </w:r>
      <w:r>
        <w:rPr>
          <w:rFonts w:ascii="Times New Roman" w:eastAsia="Times New Roman" w:hAnsi="Times New Roman" w:cs="Times New Roman"/>
          <w:color w:val="000000"/>
          <w:spacing w:val="0"/>
          <w:w w:val="100"/>
          <w:position w:val="0"/>
          <w:sz w:val="22"/>
          <w:szCs w:val="22"/>
        </w:rPr>
        <w:t xml:space="preserve">“18 </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03”</w:t>
      </w:r>
      <w:r>
        <w:rPr>
          <w:color w:val="000000"/>
          <w:spacing w:val="0"/>
          <w:w w:val="100"/>
          <w:position w:val="0"/>
        </w:rPr>
        <w:t>票面利率调整及投资者回售实施办法第一次提示性公告》（公告编号</w:t>
      </w:r>
      <w:r>
        <w:rPr>
          <w:rFonts w:ascii="Times New Roman" w:eastAsia="Times New Roman" w:hAnsi="Times New Roman" w:cs="Times New Roman"/>
          <w:color w:val="000000"/>
          <w:spacing w:val="0"/>
          <w:w w:val="100"/>
          <w:position w:val="0"/>
          <w:sz w:val="22"/>
          <w:szCs w:val="22"/>
        </w:rPr>
        <w:t>2021-053</w:t>
      </w:r>
      <w:r>
        <w:rPr>
          <w:color w:val="000000"/>
          <w:spacing w:val="0"/>
          <w:w w:val="100"/>
          <w:position w:val="0"/>
        </w:rPr>
        <w:t>）、《关于</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 宁</w:t>
      </w:r>
      <w:r>
        <w:rPr>
          <w:rFonts w:ascii="Times New Roman" w:eastAsia="Times New Roman" w:hAnsi="Times New Roman" w:cs="Times New Roman"/>
          <w:color w:val="000000"/>
          <w:spacing w:val="0"/>
          <w:w w:val="100"/>
          <w:position w:val="0"/>
          <w:sz w:val="22"/>
          <w:szCs w:val="22"/>
        </w:rPr>
        <w:t>03”</w:t>
      </w:r>
      <w:r>
        <w:rPr>
          <w:color w:val="000000"/>
          <w:spacing w:val="0"/>
          <w:w w:val="100"/>
          <w:position w:val="0"/>
        </w:rPr>
        <w:t>票面利率调整及投资者回售实施办法第二次提示性公告》公告编号</w:t>
      </w:r>
      <w:r>
        <w:rPr>
          <w:rFonts w:ascii="Times New Roman" w:eastAsia="Times New Roman" w:hAnsi="Times New Roman" w:cs="Times New Roman"/>
          <w:color w:val="000000"/>
          <w:spacing w:val="0"/>
          <w:w w:val="100"/>
          <w:position w:val="0"/>
          <w:sz w:val="22"/>
          <w:szCs w:val="22"/>
        </w:rPr>
        <w:t>2021-062</w:t>
      </w:r>
      <w:r>
        <w:rPr>
          <w:color w:val="000000"/>
          <w:spacing w:val="0"/>
          <w:w w:val="100"/>
          <w:position w:val="0"/>
        </w:rPr>
        <w:t>）、《关于</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 xml:space="preserve">苏宁 </w:t>
      </w:r>
      <w:r>
        <w:rPr>
          <w:rFonts w:ascii="Times New Roman" w:eastAsia="Times New Roman" w:hAnsi="Times New Roman" w:cs="Times New Roman"/>
          <w:color w:val="000000"/>
          <w:spacing w:val="0"/>
          <w:w w:val="100"/>
          <w:position w:val="0"/>
          <w:sz w:val="22"/>
          <w:szCs w:val="22"/>
        </w:rPr>
        <w:t>03”</w:t>
      </w:r>
      <w:r>
        <w:rPr>
          <w:color w:val="000000"/>
          <w:spacing w:val="0"/>
          <w:w w:val="100"/>
          <w:position w:val="0"/>
        </w:rPr>
        <w:t>票面利率调整及投资者回售实施办法第三次提示性公告》（公告编号</w:t>
      </w:r>
      <w:r>
        <w:rPr>
          <w:rFonts w:ascii="Times New Roman" w:eastAsia="Times New Roman" w:hAnsi="Times New Roman" w:cs="Times New Roman"/>
          <w:color w:val="000000"/>
          <w:spacing w:val="0"/>
          <w:w w:val="100"/>
          <w:position w:val="0"/>
          <w:sz w:val="22"/>
          <w:szCs w:val="22"/>
        </w:rPr>
        <w:t>2021-063</w:t>
      </w:r>
      <w:r>
        <w:rPr>
          <w:color w:val="000000"/>
          <w:spacing w:val="0"/>
          <w:w w:val="100"/>
          <w:position w:val="0"/>
        </w:rPr>
        <w:t>）。</w:t>
      </w:r>
    </w:p>
    <w:p>
      <w:pPr>
        <w:pStyle w:val="Style17"/>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投资者可在回售登记期内选择将持有的</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03”</w:t>
      </w:r>
      <w:r>
        <w:rPr>
          <w:color w:val="000000"/>
          <w:spacing w:val="0"/>
          <w:w w:val="100"/>
          <w:position w:val="0"/>
        </w:rPr>
        <w:t xml:space="preserve">全部或部分回售给公司，回售价格为人民币 </w:t>
      </w:r>
      <w:r>
        <w:rPr>
          <w:rFonts w:ascii="Times New Roman" w:eastAsia="Times New Roman" w:hAnsi="Times New Roman" w:cs="Times New Roman"/>
          <w:color w:val="000000"/>
          <w:spacing w:val="0"/>
          <w:w w:val="100"/>
          <w:position w:val="0"/>
          <w:sz w:val="22"/>
          <w:szCs w:val="22"/>
        </w:rPr>
        <w:t>100</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张（不含利息），</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03”</w:t>
      </w:r>
      <w:r>
        <w:rPr>
          <w:color w:val="000000"/>
          <w:spacing w:val="0"/>
          <w:w w:val="100"/>
          <w:position w:val="0"/>
        </w:rPr>
        <w:t>回售登记日为</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日（仅限交易 日）。本次回售申报可以进行撤销，回售撤销申报期为</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日（仅限交 易日）。</w:t>
      </w:r>
    </w:p>
    <w:p>
      <w:pPr>
        <w:pStyle w:val="Style17"/>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根据中国证券登记结算有限责任公司深圳分公司提供的债券回售申报数据，</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03”</w:t>
      </w:r>
      <w:r>
        <w:rPr>
          <w:color w:val="000000"/>
          <w:spacing w:val="0"/>
          <w:w w:val="100"/>
          <w:position w:val="0"/>
        </w:rPr>
        <w:t>的回售 数量为</w:t>
      </w:r>
      <w:r>
        <w:rPr>
          <w:rFonts w:ascii="Times New Roman" w:eastAsia="Times New Roman" w:hAnsi="Times New Roman" w:cs="Times New Roman"/>
          <w:color w:val="000000"/>
          <w:spacing w:val="0"/>
          <w:w w:val="100"/>
          <w:position w:val="0"/>
          <w:sz w:val="22"/>
          <w:szCs w:val="22"/>
        </w:rPr>
        <w:t>6,520,136</w:t>
      </w:r>
      <w:r>
        <w:rPr>
          <w:color w:val="000000"/>
          <w:spacing w:val="0"/>
          <w:w w:val="100"/>
          <w:position w:val="0"/>
        </w:rPr>
        <w:t>张，回售金额为</w:t>
      </w:r>
      <w:r>
        <w:rPr>
          <w:rFonts w:ascii="Times New Roman" w:eastAsia="Times New Roman" w:hAnsi="Times New Roman" w:cs="Times New Roman"/>
          <w:color w:val="000000"/>
          <w:spacing w:val="0"/>
          <w:w w:val="100"/>
          <w:position w:val="0"/>
          <w:sz w:val="22"/>
          <w:szCs w:val="22"/>
        </w:rPr>
        <w:t>652,013,600.00</w:t>
      </w:r>
      <w:r>
        <w:rPr>
          <w:color w:val="000000"/>
          <w:spacing w:val="0"/>
          <w:w w:val="100"/>
          <w:position w:val="0"/>
        </w:rPr>
        <w:t>元（不含利息），剩余托管量为</w:t>
      </w:r>
      <w:r>
        <w:rPr>
          <w:rFonts w:ascii="Times New Roman" w:eastAsia="Times New Roman" w:hAnsi="Times New Roman" w:cs="Times New Roman"/>
          <w:color w:val="000000"/>
          <w:spacing w:val="0"/>
          <w:w w:val="100"/>
          <w:position w:val="0"/>
          <w:sz w:val="22"/>
          <w:szCs w:val="22"/>
        </w:rPr>
        <w:t>70,590</w:t>
      </w:r>
      <w:r>
        <w:rPr>
          <w:color w:val="000000"/>
          <w:spacing w:val="0"/>
          <w:w w:val="100"/>
          <w:position w:val="0"/>
        </w:rPr>
        <w:t>张。</w:t>
      </w:r>
    </w:p>
    <w:p>
      <w:pPr>
        <w:pStyle w:val="Style65"/>
        <w:keepNext w:val="0"/>
        <w:keepLines w:val="0"/>
        <w:widowControl w:val="0"/>
        <w:shd w:val="clear" w:color="auto" w:fill="auto"/>
        <w:tabs>
          <w:tab w:pos="813" w:val="left"/>
        </w:tabs>
        <w:bidi w:val="0"/>
        <w:spacing w:before="0" w:after="0" w:line="428" w:lineRule="exact"/>
        <w:ind w:left="0" w:right="0"/>
        <w:jc w:val="both"/>
      </w:pPr>
      <w:bookmarkStart w:id="673" w:name="bookmark673"/>
      <w:r>
        <w:rPr>
          <w:color w:val="000000"/>
          <w:spacing w:val="0"/>
          <w:w w:val="100"/>
          <w:position w:val="0"/>
        </w:rPr>
        <w:t>2</w:t>
      </w:r>
      <w:bookmarkEnd w:id="673"/>
      <w:r>
        <w:rPr>
          <w:rFonts w:ascii="SimSun" w:eastAsia="SimSun" w:hAnsi="SimSun" w:cs="SimSun"/>
          <w:color w:val="000000"/>
          <w:spacing w:val="0"/>
          <w:w w:val="100"/>
          <w:position w:val="0"/>
          <w:sz w:val="20"/>
          <w:szCs w:val="20"/>
        </w:rPr>
        <w:t>、</w:t>
        <w:tab/>
      </w:r>
      <w:r>
        <w:rPr>
          <w:color w:val="000000"/>
          <w:spacing w:val="0"/>
          <w:w w:val="100"/>
          <w:position w:val="0"/>
        </w:rPr>
        <w:t>18</w:t>
      </w:r>
      <w:r>
        <w:rPr>
          <w:rFonts w:ascii="SimSun" w:eastAsia="SimSun" w:hAnsi="SimSun" w:cs="SimSun"/>
          <w:color w:val="000000"/>
          <w:spacing w:val="0"/>
          <w:w w:val="100"/>
          <w:position w:val="0"/>
          <w:sz w:val="20"/>
          <w:szCs w:val="20"/>
        </w:rPr>
        <w:t>苏宁</w:t>
      </w:r>
      <w:r>
        <w:rPr>
          <w:color w:val="000000"/>
          <w:spacing w:val="0"/>
          <w:w w:val="100"/>
          <w:position w:val="0"/>
        </w:rPr>
        <w:t>07</w:t>
      </w:r>
    </w:p>
    <w:p>
      <w:pPr>
        <w:pStyle w:val="Style17"/>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根据《苏宁易购集团股份有限公司</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年面向合格投资者公开发行公司债券（第六期）募集说 明书》约定，公司分别于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日、</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日和</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rPr>
        <w:t xml:space="preserve">日发布了《关于 </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07”</w:t>
      </w:r>
      <w:r>
        <w:rPr>
          <w:color w:val="000000"/>
          <w:spacing w:val="0"/>
          <w:w w:val="100"/>
          <w:position w:val="0"/>
        </w:rPr>
        <w:t>票面利率调整及投资者回售实施办法第一次提示性公告》（公告编号</w:t>
      </w:r>
      <w:r>
        <w:rPr>
          <w:rFonts w:ascii="Times New Roman" w:eastAsia="Times New Roman" w:hAnsi="Times New Roman" w:cs="Times New Roman"/>
          <w:color w:val="000000"/>
          <w:spacing w:val="0"/>
          <w:w w:val="100"/>
          <w:position w:val="0"/>
          <w:sz w:val="22"/>
          <w:szCs w:val="22"/>
        </w:rPr>
        <w:t>2021-133</w:t>
      </w:r>
      <w:r>
        <w:rPr>
          <w:color w:val="000000"/>
          <w:spacing w:val="0"/>
          <w:w w:val="100"/>
          <w:position w:val="0"/>
        </w:rPr>
        <w:t>）、《关于</w:t>
      </w:r>
      <w:r>
        <w:rPr>
          <w:rFonts w:ascii="Times New Roman" w:eastAsia="Times New Roman" w:hAnsi="Times New Roman" w:cs="Times New Roman"/>
          <w:color w:val="000000"/>
          <w:spacing w:val="0"/>
          <w:w w:val="100"/>
          <w:position w:val="0"/>
          <w:sz w:val="22"/>
          <w:szCs w:val="22"/>
        </w:rPr>
        <w:t xml:space="preserve">“18 </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07”</w:t>
      </w:r>
      <w:r>
        <w:rPr>
          <w:color w:val="000000"/>
          <w:spacing w:val="0"/>
          <w:w w:val="100"/>
          <w:position w:val="0"/>
        </w:rPr>
        <w:t>票面利率调整及投资者回售实施办法第二次提示性公告》（公告编号</w:t>
      </w:r>
      <w:r>
        <w:rPr>
          <w:rFonts w:ascii="Times New Roman" w:eastAsia="Times New Roman" w:hAnsi="Times New Roman" w:cs="Times New Roman"/>
          <w:color w:val="000000"/>
          <w:spacing w:val="0"/>
          <w:w w:val="100"/>
          <w:position w:val="0"/>
          <w:sz w:val="22"/>
          <w:szCs w:val="22"/>
        </w:rPr>
        <w:t>2021-135</w:t>
      </w:r>
      <w:r>
        <w:rPr>
          <w:color w:val="000000"/>
          <w:spacing w:val="0"/>
          <w:w w:val="100"/>
          <w:position w:val="0"/>
        </w:rPr>
        <w:t>）、《关于</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 宁</w:t>
      </w:r>
      <w:r>
        <w:rPr>
          <w:rFonts w:ascii="Times New Roman" w:eastAsia="Times New Roman" w:hAnsi="Times New Roman" w:cs="Times New Roman"/>
          <w:color w:val="000000"/>
          <w:spacing w:val="0"/>
          <w:w w:val="100"/>
          <w:position w:val="0"/>
          <w:sz w:val="22"/>
          <w:szCs w:val="22"/>
        </w:rPr>
        <w:t>07”</w:t>
      </w:r>
      <w:r>
        <w:rPr>
          <w:color w:val="000000"/>
          <w:spacing w:val="0"/>
          <w:w w:val="100"/>
          <w:position w:val="0"/>
        </w:rPr>
        <w:t>票面利率调整及投资者回售实施办法第三次提示性公告》（公告编号</w:t>
      </w:r>
      <w:r>
        <w:rPr>
          <w:rFonts w:ascii="Times New Roman" w:eastAsia="Times New Roman" w:hAnsi="Times New Roman" w:cs="Times New Roman"/>
          <w:color w:val="000000"/>
          <w:spacing w:val="0"/>
          <w:w w:val="100"/>
          <w:position w:val="0"/>
          <w:sz w:val="22"/>
          <w:szCs w:val="22"/>
        </w:rPr>
        <w:t>2021-136</w:t>
      </w:r>
      <w:r>
        <w:rPr>
          <w:color w:val="000000"/>
          <w:spacing w:val="0"/>
          <w:w w:val="100"/>
          <w:position w:val="0"/>
        </w:rPr>
        <w:t>）。</w:t>
      </w:r>
    </w:p>
    <w:p>
      <w:pPr>
        <w:pStyle w:val="Style17"/>
        <w:keepNext w:val="0"/>
        <w:keepLines w:val="0"/>
        <w:widowControl w:val="0"/>
        <w:shd w:val="clear" w:color="auto" w:fill="auto"/>
        <w:bidi w:val="0"/>
        <w:spacing w:before="0" w:after="0" w:line="428" w:lineRule="exact"/>
        <w:ind w:left="0" w:right="0" w:firstLine="460"/>
        <w:jc w:val="both"/>
      </w:pPr>
      <w:r>
        <w:rPr>
          <w:color w:val="000000"/>
          <w:spacing w:val="0"/>
          <w:w w:val="100"/>
          <w:position w:val="0"/>
        </w:rPr>
        <w:t>投资者可在回售登记期内选择将持有的</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07”</w:t>
      </w:r>
      <w:r>
        <w:rPr>
          <w:color w:val="000000"/>
          <w:spacing w:val="0"/>
          <w:w w:val="100"/>
          <w:position w:val="0"/>
        </w:rPr>
        <w:t xml:space="preserve">全部或部分回售给公司，回售价格为人民币 </w:t>
      </w:r>
      <w:r>
        <w:rPr>
          <w:rFonts w:ascii="Times New Roman" w:eastAsia="Times New Roman" w:hAnsi="Times New Roman" w:cs="Times New Roman"/>
          <w:color w:val="000000"/>
          <w:spacing w:val="0"/>
          <w:w w:val="100"/>
          <w:position w:val="0"/>
          <w:sz w:val="22"/>
          <w:szCs w:val="22"/>
        </w:rPr>
        <w:t>100</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张（不含利息），</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07”</w:t>
      </w:r>
      <w:r>
        <w:rPr>
          <w:color w:val="000000"/>
          <w:spacing w:val="0"/>
          <w:w w:val="100"/>
          <w:position w:val="0"/>
        </w:rPr>
        <w:t>回售登记期为</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 xml:space="preserve">日（仅限交 </w:t>
      </w:r>
      <w:r>
        <w:rPr>
          <w:color w:val="000000"/>
          <w:spacing w:val="0"/>
          <w:w w:val="100"/>
          <w:position w:val="0"/>
        </w:rPr>
        <w:t>易日）。本次回售申报可以进行撤销，回售撤销申报期为</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日（仅 限交易日）。</w:t>
      </w:r>
    </w:p>
    <w:p>
      <w:pPr>
        <w:pStyle w:val="Style17"/>
        <w:keepNext w:val="0"/>
        <w:keepLines w:val="0"/>
        <w:widowControl w:val="0"/>
        <w:shd w:val="clear" w:color="auto" w:fill="auto"/>
        <w:bidi w:val="0"/>
        <w:spacing w:before="0" w:after="460" w:line="418" w:lineRule="exact"/>
        <w:ind w:left="0" w:right="0" w:firstLine="540"/>
        <w:jc w:val="left"/>
      </w:pPr>
      <w:r>
        <w:rPr>
          <w:color w:val="000000"/>
          <w:spacing w:val="0"/>
          <w:w w:val="100"/>
          <w:position w:val="0"/>
        </w:rPr>
        <w:t>根据中国证券登记结算有限责任公司深圳分公司提供的债券回售申报数据，</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07”</w:t>
      </w:r>
      <w:r>
        <w:rPr>
          <w:color w:val="000000"/>
          <w:spacing w:val="0"/>
          <w:w w:val="100"/>
          <w:position w:val="0"/>
        </w:rPr>
        <w:t>的回售 数量为</w:t>
      </w:r>
      <w:r>
        <w:rPr>
          <w:rFonts w:ascii="Times New Roman" w:eastAsia="Times New Roman" w:hAnsi="Times New Roman" w:cs="Times New Roman"/>
          <w:color w:val="000000"/>
          <w:spacing w:val="0"/>
          <w:w w:val="100"/>
          <w:position w:val="0"/>
          <w:sz w:val="22"/>
          <w:szCs w:val="22"/>
        </w:rPr>
        <w:t>6,200,670</w:t>
      </w:r>
      <w:r>
        <w:rPr>
          <w:color w:val="000000"/>
          <w:spacing w:val="0"/>
          <w:w w:val="100"/>
          <w:position w:val="0"/>
        </w:rPr>
        <w:t>张，回售金额为</w:t>
      </w:r>
      <w:r>
        <w:rPr>
          <w:rFonts w:ascii="Times New Roman" w:eastAsia="Times New Roman" w:hAnsi="Times New Roman" w:cs="Times New Roman"/>
          <w:color w:val="000000"/>
          <w:spacing w:val="0"/>
          <w:w w:val="100"/>
          <w:position w:val="0"/>
          <w:sz w:val="22"/>
          <w:szCs w:val="22"/>
        </w:rPr>
        <w:t>620,067,000.00</w:t>
      </w:r>
      <w:r>
        <w:rPr>
          <w:color w:val="000000"/>
          <w:spacing w:val="0"/>
          <w:w w:val="100"/>
          <w:position w:val="0"/>
        </w:rPr>
        <w:t>元（不含利息），剩余托管量为</w:t>
      </w:r>
      <w:r>
        <w:rPr>
          <w:rFonts w:ascii="Times New Roman" w:eastAsia="Times New Roman" w:hAnsi="Times New Roman" w:cs="Times New Roman"/>
          <w:color w:val="000000"/>
          <w:spacing w:val="0"/>
          <w:w w:val="100"/>
          <w:position w:val="0"/>
          <w:sz w:val="22"/>
          <w:szCs w:val="22"/>
        </w:rPr>
        <w:t>263,650</w:t>
      </w:r>
      <w:r>
        <w:rPr>
          <w:color w:val="000000"/>
          <w:spacing w:val="0"/>
          <w:w w:val="100"/>
          <w:position w:val="0"/>
        </w:rPr>
        <w:t>张。</w:t>
      </w:r>
    </w:p>
    <w:p>
      <w:pPr>
        <w:pStyle w:val="Style26"/>
        <w:keepNext w:val="0"/>
        <w:keepLines w:val="0"/>
        <w:widowControl w:val="0"/>
        <w:shd w:val="clear" w:color="auto" w:fill="auto"/>
        <w:bidi w:val="0"/>
        <w:spacing w:before="0" w:after="0" w:line="240" w:lineRule="auto"/>
        <w:ind w:left="91" w:right="0" w:firstLine="0"/>
        <w:jc w:val="left"/>
      </w:pPr>
      <w:bookmarkStart w:id="674" w:name="bookmark674"/>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rPr>
        <w:t>、中介机构的情况</w:t>
      </w:r>
      <w:bookmarkEnd w:id="674"/>
    </w:p>
    <w:tbl>
      <w:tblPr>
        <w:tblOverlap w:val="never"/>
        <w:jc w:val="center"/>
        <w:tblLayout w:type="fixed"/>
      </w:tblPr>
      <w:tblGrid>
        <w:gridCol w:w="1651"/>
        <w:gridCol w:w="1670"/>
        <w:gridCol w:w="1613"/>
        <w:gridCol w:w="1790"/>
        <w:gridCol w:w="1642"/>
        <w:gridCol w:w="1502"/>
      </w:tblGrid>
      <w:tr>
        <w:trPr>
          <w:trHeight w:val="662"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债券项目名称</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中介机构名称</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办公地址</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签字会计师姓名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中介机构联系 人</w:t>
            </w:r>
          </w:p>
        </w:tc>
        <w:tc>
          <w:tcPr>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联系电话</w:t>
            </w:r>
          </w:p>
        </w:tc>
      </w:tr>
      <w:tr>
        <w:trPr>
          <w:trHeight w:val="9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18 </w:t>
            </w:r>
            <w:r>
              <w:rPr>
                <w:rFonts w:ascii="SimSun" w:eastAsia="SimSun" w:hAnsi="SimSun" w:cs="SimSun"/>
                <w:color w:val="000000"/>
                <w:spacing w:val="0"/>
                <w:w w:val="100"/>
                <w:position w:val="0"/>
                <w:sz w:val="20"/>
                <w:szCs w:val="20"/>
              </w:rPr>
              <w:t xml:space="preserve">苏宁 </w:t>
            </w:r>
            <w:r>
              <w:rPr>
                <w:color w:val="000000"/>
                <w:spacing w:val="0"/>
                <w:w w:val="100"/>
                <w:position w:val="0"/>
              </w:rPr>
              <w:t>03</w:t>
            </w:r>
            <w:r>
              <w:rPr>
                <w:rFonts w:ascii="SimSun" w:eastAsia="SimSun" w:hAnsi="SimSun" w:cs="SimSun"/>
                <w:color w:val="000000"/>
                <w:spacing w:val="0"/>
                <w:w w:val="100"/>
                <w:position w:val="0"/>
                <w:sz w:val="20"/>
                <w:szCs w:val="20"/>
              </w:rPr>
              <w:t>、</w:t>
            </w:r>
            <w:r>
              <w:rPr>
                <w:color w:val="000000"/>
                <w:spacing w:val="0"/>
                <w:w w:val="100"/>
                <w:position w:val="0"/>
              </w:rPr>
              <w:t xml:space="preserve">18 </w:t>
            </w:r>
            <w:r>
              <w:rPr>
                <w:rFonts w:ascii="SimSun" w:eastAsia="SimSun" w:hAnsi="SimSun" w:cs="SimSun"/>
                <w:color w:val="000000"/>
                <w:spacing w:val="0"/>
                <w:w w:val="100"/>
                <w:position w:val="0"/>
                <w:sz w:val="20"/>
                <w:szCs w:val="20"/>
              </w:rPr>
              <w:t>苏宁</w:t>
            </w:r>
            <w:r>
              <w:rPr>
                <w:color w:val="000000"/>
                <w:spacing w:val="0"/>
                <w:w w:val="100"/>
                <w:position w:val="0"/>
              </w:rPr>
              <w:t>07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中信证券股份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北京市朝阳区 亮马桥路</w:t>
            </w:r>
            <w:r>
              <w:rPr>
                <w:color w:val="000000"/>
                <w:spacing w:val="0"/>
                <w:w w:val="100"/>
                <w:position w:val="0"/>
                <w:sz w:val="22"/>
                <w:szCs w:val="22"/>
              </w:rPr>
              <w:t>48</w:t>
            </w:r>
            <w:r>
              <w:rPr>
                <w:rFonts w:ascii="SimSun" w:eastAsia="SimSun" w:hAnsi="SimSun" w:cs="SimSun"/>
                <w:color w:val="000000"/>
                <w:spacing w:val="0"/>
                <w:w w:val="100"/>
                <w:position w:val="0"/>
                <w:sz w:val="20"/>
                <w:szCs w:val="20"/>
              </w:rPr>
              <w:t>号 中信证券大厦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钱进、莫冰洁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周伟帆、孙啸 博</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010-6083406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r>
      <w:tr>
        <w:trPr>
          <w:trHeight w:val="152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18 </w:t>
            </w:r>
            <w:r>
              <w:rPr>
                <w:rFonts w:ascii="SimSun" w:eastAsia="SimSun" w:hAnsi="SimSun" w:cs="SimSun"/>
                <w:color w:val="000000"/>
                <w:spacing w:val="0"/>
                <w:w w:val="100"/>
                <w:position w:val="0"/>
                <w:sz w:val="20"/>
                <w:szCs w:val="20"/>
              </w:rPr>
              <w:t xml:space="preserve">苏宁 </w:t>
            </w:r>
            <w:r>
              <w:rPr>
                <w:color w:val="000000"/>
                <w:spacing w:val="0"/>
                <w:w w:val="100"/>
                <w:position w:val="0"/>
              </w:rPr>
              <w:t>03</w:t>
            </w:r>
            <w:r>
              <w:rPr>
                <w:rFonts w:ascii="SimSun" w:eastAsia="SimSun" w:hAnsi="SimSun" w:cs="SimSun"/>
                <w:color w:val="000000"/>
                <w:spacing w:val="0"/>
                <w:w w:val="100"/>
                <w:position w:val="0"/>
                <w:sz w:val="20"/>
                <w:szCs w:val="20"/>
              </w:rPr>
              <w:t>、</w:t>
            </w:r>
            <w:r>
              <w:rPr>
                <w:color w:val="000000"/>
                <w:spacing w:val="0"/>
                <w:w w:val="100"/>
                <w:position w:val="0"/>
              </w:rPr>
              <w:t xml:space="preserve">18 </w:t>
            </w:r>
            <w:r>
              <w:rPr>
                <w:rFonts w:ascii="SimSun" w:eastAsia="SimSun" w:hAnsi="SimSun" w:cs="SimSun"/>
                <w:color w:val="000000"/>
                <w:spacing w:val="0"/>
                <w:w w:val="100"/>
                <w:position w:val="0"/>
                <w:sz w:val="20"/>
                <w:szCs w:val="20"/>
              </w:rPr>
              <w:t>苏宁</w:t>
            </w:r>
            <w:r>
              <w:rPr>
                <w:color w:val="000000"/>
                <w:spacing w:val="0"/>
                <w:w w:val="100"/>
                <w:position w:val="0"/>
              </w:rPr>
              <w:t>07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中诚信国际信</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用评级有限责</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84" w:lineRule="exact"/>
              <w:ind w:left="0" w:right="0" w:firstLine="0"/>
              <w:jc w:val="left"/>
              <w:rPr>
                <w:sz w:val="20"/>
                <w:szCs w:val="20"/>
              </w:rPr>
            </w:pPr>
            <w:r>
              <w:rPr>
                <w:rFonts w:ascii="SimSun" w:eastAsia="SimSun" w:hAnsi="SimSun" w:cs="SimSun"/>
                <w:color w:val="000000"/>
                <w:spacing w:val="0"/>
                <w:w w:val="100"/>
                <w:position w:val="0"/>
                <w:sz w:val="20"/>
                <w:szCs w:val="20"/>
              </w:rPr>
              <w:t>北京市东城区 朝阳门内大街 南竹杆胡同</w:t>
            </w:r>
            <w:r>
              <w:rPr>
                <w:color w:val="000000"/>
                <w:spacing w:val="0"/>
                <w:w w:val="100"/>
                <w:position w:val="0"/>
                <w:sz w:val="22"/>
                <w:szCs w:val="22"/>
              </w:rPr>
              <w:t xml:space="preserve">2 </w:t>
            </w:r>
            <w:r>
              <w:rPr>
                <w:rFonts w:ascii="SimSun" w:eastAsia="SimSun" w:hAnsi="SimSun" w:cs="SimSun"/>
                <w:color w:val="000000"/>
                <w:spacing w:val="0"/>
                <w:w w:val="100"/>
                <w:position w:val="0"/>
                <w:sz w:val="20"/>
                <w:szCs w:val="20"/>
              </w:rPr>
              <w:t>号银河</w:t>
            </w:r>
            <w:r>
              <w:rPr>
                <w:color w:val="000000"/>
                <w:spacing w:val="0"/>
                <w:w w:val="100"/>
                <w:position w:val="0"/>
                <w:sz w:val="22"/>
                <w:szCs w:val="22"/>
              </w:rPr>
              <w:t xml:space="preserve">SOHO </w:t>
            </w:r>
            <w:r>
              <w:rPr>
                <w:color w:val="000000"/>
                <w:spacing w:val="0"/>
                <w:w w:val="100"/>
                <w:position w:val="0"/>
                <w:sz w:val="22"/>
                <w:szCs w:val="22"/>
              </w:rPr>
              <w:t>5</w:t>
            </w:r>
            <w:r>
              <w:rPr>
                <w:rFonts w:ascii="SimSun" w:eastAsia="SimSun" w:hAnsi="SimSun" w:cs="SimSun"/>
                <w:color w:val="000000"/>
                <w:spacing w:val="0"/>
                <w:w w:val="100"/>
                <w:position w:val="0"/>
                <w:sz w:val="20"/>
                <w:szCs w:val="20"/>
              </w:rPr>
              <w:t>号楼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钱进、莫冰洁</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田梓慧、杨傲 镝</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010-6642887</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bl>
    <w:p>
      <w:pPr>
        <w:widowControl w:val="0"/>
        <w:spacing w:after="399" w:line="1" w:lineRule="exact"/>
      </w:pPr>
    </w:p>
    <w:p>
      <w:pPr>
        <w:pStyle w:val="Style17"/>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报告期内上述机构是否发生变化</w:t>
      </w:r>
    </w:p>
    <w:p>
      <w:pPr>
        <w:pStyle w:val="Style17"/>
        <w:keepNext w:val="0"/>
        <w:keepLines w:val="0"/>
        <w:widowControl w:val="0"/>
        <w:shd w:val="clear" w:color="auto" w:fill="auto"/>
        <w:bidi w:val="0"/>
        <w:spacing w:before="0" w:after="460" w:line="240"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35"/>
        <w:keepNext/>
        <w:keepLines/>
        <w:widowControl w:val="0"/>
        <w:shd w:val="clear" w:color="auto" w:fill="auto"/>
        <w:bidi w:val="0"/>
        <w:spacing w:before="0" w:after="32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sz w:val="22"/>
          <w:szCs w:val="22"/>
        </w:rPr>
        <w:t>4</w:t>
      </w:r>
      <w:bookmarkEnd w:id="677"/>
      <w:r>
        <w:rPr>
          <w:color w:val="000000"/>
          <w:spacing w:val="0"/>
          <w:w w:val="100"/>
          <w:position w:val="0"/>
        </w:rPr>
        <w:t>、募集资金使用情况</w:t>
      </w:r>
      <w:bookmarkEnd w:id="675"/>
      <w:bookmarkEnd w:id="676"/>
      <w:bookmarkEnd w:id="6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03"/>
        <w:gridCol w:w="1133"/>
        <w:gridCol w:w="1133"/>
        <w:gridCol w:w="850"/>
        <w:gridCol w:w="2270"/>
        <w:gridCol w:w="1416"/>
        <w:gridCol w:w="1906"/>
      </w:tblGrid>
      <w:tr>
        <w:trPr>
          <w:trHeight w:val="12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债券项目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募集资金 总金额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已使用金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未使用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募集资金专项账户运作 情况（如有）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募集资金违规</w:t>
            </w:r>
          </w:p>
          <w:p>
            <w:pPr>
              <w:pStyle w:val="Style29"/>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使用的整改情 况（如有）</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85" w:lineRule="exact"/>
              <w:ind w:left="0" w:right="0" w:firstLine="0"/>
              <w:jc w:val="left"/>
              <w:rPr>
                <w:sz w:val="20"/>
                <w:szCs w:val="20"/>
              </w:rPr>
            </w:pPr>
            <w:r>
              <w:rPr>
                <w:rFonts w:ascii="SimSun" w:eastAsia="SimSun" w:hAnsi="SimSun" w:cs="SimSun"/>
                <w:color w:val="000000"/>
                <w:spacing w:val="0"/>
                <w:w w:val="100"/>
                <w:position w:val="0"/>
                <w:sz w:val="20"/>
                <w:szCs w:val="20"/>
              </w:rPr>
              <w:t>是否与募集说明书 承诺的用途、使用 计划及其他约定一 致</w:t>
            </w:r>
          </w:p>
        </w:tc>
      </w:tr>
      <w:tr>
        <w:trPr>
          <w:trHeight w:val="37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sz w:val="20"/>
                <w:szCs w:val="20"/>
              </w:rPr>
              <w:t>苏宁</w:t>
            </w:r>
            <w:r>
              <w:rPr>
                <w:color w:val="000000"/>
                <w:spacing w:val="0"/>
                <w:w w:val="100"/>
                <w:position w:val="0"/>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r>
        <w:trPr>
          <w:trHeight w:val="38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sz w:val="20"/>
                <w:szCs w:val="20"/>
              </w:rPr>
              <w:t>苏宁</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bl>
    <w:p>
      <w:pPr>
        <w:widowControl w:val="0"/>
        <w:spacing w:after="159" w:line="1" w:lineRule="exact"/>
      </w:pPr>
    </w:p>
    <w:p>
      <w:pPr>
        <w:pStyle w:val="Style17"/>
        <w:keepNext w:val="0"/>
        <w:keepLines w:val="0"/>
        <w:widowControl w:val="0"/>
        <w:shd w:val="clear" w:color="auto" w:fill="auto"/>
        <w:bidi w:val="0"/>
        <w:spacing w:before="0" w:after="160" w:line="442" w:lineRule="exact"/>
        <w:ind w:left="0" w:right="0" w:firstLine="540"/>
        <w:jc w:val="left"/>
      </w:pPr>
      <w:r>
        <w:rPr>
          <w:color w:val="000000"/>
          <w:spacing w:val="0"/>
          <w:w w:val="100"/>
          <w:position w:val="0"/>
        </w:rPr>
        <w:t>募集资金用于建设项目</w:t>
      </w:r>
    </w:p>
    <w:p>
      <w:pPr>
        <w:pStyle w:val="Style17"/>
        <w:keepNext w:val="0"/>
        <w:keepLines w:val="0"/>
        <w:widowControl w:val="0"/>
        <w:shd w:val="clear" w:color="auto" w:fill="auto"/>
        <w:bidi w:val="0"/>
        <w:spacing w:before="0" w:after="0" w:line="420"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160" w:line="442" w:lineRule="exact"/>
        <w:ind w:left="0" w:right="0" w:firstLine="540"/>
        <w:jc w:val="left"/>
      </w:pPr>
      <w:r>
        <w:rPr>
          <w:color w:val="000000"/>
          <w:spacing w:val="0"/>
          <w:w w:val="100"/>
          <w:position w:val="0"/>
        </w:rPr>
        <w:t>公司报告期内变更上述债券募集资金用途</w:t>
      </w:r>
    </w:p>
    <w:p>
      <w:pPr>
        <w:pStyle w:val="Style17"/>
        <w:keepNext w:val="0"/>
        <w:keepLines w:val="0"/>
        <w:widowControl w:val="0"/>
        <w:shd w:val="clear" w:color="auto" w:fill="auto"/>
        <w:bidi w:val="0"/>
        <w:spacing w:before="0" w:after="80" w:line="420" w:lineRule="auto"/>
        <w:ind w:left="0" w:right="0" w:firstLine="5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5"/>
        <w:keepNext/>
        <w:keepLines/>
        <w:widowControl w:val="0"/>
        <w:shd w:val="clear" w:color="auto" w:fill="auto"/>
        <w:bidi w:val="0"/>
        <w:spacing w:before="0" w:after="160" w:line="442" w:lineRule="exact"/>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sz w:val="22"/>
          <w:szCs w:val="22"/>
        </w:rPr>
        <w:t>5</w:t>
      </w:r>
      <w:bookmarkEnd w:id="681"/>
      <w:r>
        <w:rPr>
          <w:color w:val="000000"/>
          <w:spacing w:val="0"/>
          <w:w w:val="100"/>
          <w:position w:val="0"/>
        </w:rPr>
        <w:t>、报告期内信用评级结果调整情况</w:t>
      </w:r>
      <w:bookmarkEnd w:id="679"/>
      <w:bookmarkEnd w:id="680"/>
      <w:bookmarkEnd w:id="682"/>
    </w:p>
    <w:p>
      <w:pPr>
        <w:pStyle w:val="Style17"/>
        <w:keepNext w:val="0"/>
        <w:keepLines w:val="0"/>
        <w:widowControl w:val="0"/>
        <w:shd w:val="clear" w:color="auto" w:fill="auto"/>
        <w:bidi w:val="0"/>
        <w:spacing w:before="0" w:after="0" w:line="442" w:lineRule="exact"/>
        <w:ind w:left="0" w:right="0" w:firstLine="540"/>
        <w:jc w:val="left"/>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 xml:space="preserve">日，评级机构中诚信国际出具了《中诚信国际关于将苏宁易购集团股份有限公司 评级展望调整为负面的公告》。中诚信国际决定将苏宁易购集团股份有限公司的评级展望由稳定调整 </w:t>
      </w:r>
      <w:r>
        <w:rPr>
          <w:color w:val="000000"/>
          <w:spacing w:val="0"/>
          <w:w w:val="100"/>
          <w:position w:val="0"/>
        </w:rPr>
        <w:t>为负面，维持其主体信用等级为</w:t>
      </w:r>
      <w:r>
        <w:rPr>
          <w:rFonts w:ascii="Times New Roman" w:eastAsia="Times New Roman" w:hAnsi="Times New Roman" w:cs="Times New Roman"/>
          <w:color w:val="000000"/>
          <w:spacing w:val="0"/>
          <w:w w:val="100"/>
          <w:position w:val="0"/>
          <w:sz w:val="22"/>
          <w:szCs w:val="22"/>
        </w:rPr>
        <w:t>AAA</w:t>
      </w:r>
      <w:r>
        <w:rPr>
          <w:color w:val="000000"/>
          <w:spacing w:val="0"/>
          <w:w w:val="100"/>
          <w:position w:val="0"/>
        </w:rPr>
        <w:t>；维持</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03”</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07”</w:t>
      </w:r>
      <w:r>
        <w:rPr>
          <w:color w:val="000000"/>
          <w:spacing w:val="0"/>
          <w:w w:val="100"/>
          <w:position w:val="0"/>
        </w:rPr>
        <w:t>的信用等级为</w:t>
      </w:r>
      <w:r>
        <w:rPr>
          <w:rFonts w:ascii="Times New Roman" w:eastAsia="Times New Roman" w:hAnsi="Times New Roman" w:cs="Times New Roman"/>
          <w:color w:val="000000"/>
          <w:spacing w:val="0"/>
          <w:w w:val="100"/>
          <w:position w:val="0"/>
          <w:sz w:val="22"/>
          <w:szCs w:val="22"/>
        </w:rPr>
        <w:t>AAA</w:t>
      </w:r>
      <w:r>
        <w:rPr>
          <w:color w:val="000000"/>
          <w:spacing w:val="0"/>
          <w:w w:val="100"/>
          <w:position w:val="0"/>
        </w:rPr>
        <w:t>。</w:t>
      </w:r>
    </w:p>
    <w:p>
      <w:pPr>
        <w:pStyle w:val="Style17"/>
        <w:keepNext w:val="0"/>
        <w:keepLines w:val="0"/>
        <w:widowControl w:val="0"/>
        <w:shd w:val="clear" w:color="auto" w:fill="auto"/>
        <w:bidi w:val="0"/>
        <w:spacing w:before="0" w:after="420" w:line="434" w:lineRule="exact"/>
        <w:ind w:left="0" w:right="0" w:firstLine="46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日，评级机构中诚信国际出具了《苏宁易购集团股份有限公司</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年公开发行公 司债券（第三期、第六期）跟踪评级报告（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）》。中诚信国际将苏宁易购集团股份有限公司的主体 信用等级由</w:t>
      </w:r>
      <w:r>
        <w:rPr>
          <w:rFonts w:ascii="Times New Roman" w:eastAsia="Times New Roman" w:hAnsi="Times New Roman" w:cs="Times New Roman"/>
          <w:color w:val="000000"/>
          <w:spacing w:val="0"/>
          <w:w w:val="100"/>
          <w:position w:val="0"/>
          <w:sz w:val="22"/>
          <w:szCs w:val="22"/>
        </w:rPr>
        <w:t>AAA</w:t>
      </w:r>
      <w:r>
        <w:rPr>
          <w:color w:val="000000"/>
          <w:spacing w:val="0"/>
          <w:w w:val="100"/>
          <w:position w:val="0"/>
        </w:rPr>
        <w:t>调降至</w:t>
      </w:r>
      <w:r>
        <w:rPr>
          <w:rFonts w:ascii="Times New Roman" w:eastAsia="Times New Roman" w:hAnsi="Times New Roman" w:cs="Times New Roman"/>
          <w:color w:val="000000"/>
          <w:spacing w:val="0"/>
          <w:w w:val="100"/>
          <w:position w:val="0"/>
          <w:sz w:val="22"/>
          <w:szCs w:val="22"/>
        </w:rPr>
        <w:t xml:space="preserve">AA+ </w:t>
      </w:r>
      <w:r>
        <w:rPr>
          <w:color w:val="000000"/>
          <w:spacing w:val="0"/>
          <w:w w:val="100"/>
          <w:position w:val="0"/>
        </w:rPr>
        <w:t>；将</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03”</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07”</w:t>
      </w:r>
      <w:r>
        <w:rPr>
          <w:color w:val="000000"/>
          <w:spacing w:val="0"/>
          <w:w w:val="100"/>
          <w:position w:val="0"/>
        </w:rPr>
        <w:t>的债项信用等级由</w:t>
      </w:r>
      <w:r>
        <w:rPr>
          <w:rFonts w:ascii="Times New Roman" w:eastAsia="Times New Roman" w:hAnsi="Times New Roman" w:cs="Times New Roman"/>
          <w:color w:val="000000"/>
          <w:spacing w:val="0"/>
          <w:w w:val="100"/>
          <w:position w:val="0"/>
          <w:sz w:val="22"/>
          <w:szCs w:val="22"/>
        </w:rPr>
        <w:t>AAA</w:t>
      </w:r>
      <w:r>
        <w:rPr>
          <w:color w:val="000000"/>
          <w:spacing w:val="0"/>
          <w:w w:val="100"/>
          <w:position w:val="0"/>
        </w:rPr>
        <w:t>调降至</w:t>
      </w:r>
      <w:r>
        <w:rPr>
          <w:rFonts w:ascii="Times New Roman" w:eastAsia="Times New Roman" w:hAnsi="Times New Roman" w:cs="Times New Roman"/>
          <w:color w:val="000000"/>
          <w:spacing w:val="0"/>
          <w:w w:val="100"/>
          <w:position w:val="0"/>
          <w:sz w:val="22"/>
          <w:szCs w:val="22"/>
        </w:rPr>
        <w:t>AA+</w:t>
      </w:r>
      <w:r>
        <w:rPr>
          <w:color w:val="000000"/>
          <w:spacing w:val="0"/>
          <w:w w:val="100"/>
          <w:position w:val="0"/>
        </w:rPr>
        <w:t xml:space="preserve">， </w:t>
      </w:r>
      <w:r>
        <w:rPr>
          <w:color w:val="000000"/>
          <w:spacing w:val="0"/>
          <w:w w:val="100"/>
          <w:position w:val="0"/>
        </w:rPr>
        <w:t>并将主体和债项信用等级列入信用评级观察名单。</w:t>
      </w:r>
    </w:p>
    <w:p>
      <w:pPr>
        <w:pStyle w:val="Style35"/>
        <w:keepNext/>
        <w:keepLines/>
        <w:widowControl w:val="0"/>
        <w:shd w:val="clear" w:color="auto" w:fill="auto"/>
        <w:bidi w:val="0"/>
        <w:spacing w:before="0" w:after="120" w:line="302" w:lineRule="exact"/>
        <w:ind w:left="0" w:right="0" w:firstLine="0"/>
        <w:jc w:val="both"/>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sz w:val="22"/>
          <w:szCs w:val="22"/>
        </w:rPr>
        <w:t>6</w:t>
      </w:r>
      <w:bookmarkEnd w:id="685"/>
      <w:r>
        <w:rPr>
          <w:color w:val="000000"/>
          <w:spacing w:val="0"/>
          <w:w w:val="100"/>
          <w:position w:val="0"/>
        </w:rPr>
        <w:t>、担保情况、偿债计划及其他偿债保障措施在报告期内的执行情况和变化情况及对债券投资者权益 的影响</w:t>
      </w:r>
      <w:bookmarkEnd w:id="683"/>
      <w:bookmarkEnd w:id="684"/>
      <w:bookmarkEnd w:id="686"/>
    </w:p>
    <w:p>
      <w:pPr>
        <w:pStyle w:val="Style65"/>
        <w:keepNext w:val="0"/>
        <w:keepLines w:val="0"/>
        <w:widowControl w:val="0"/>
        <w:shd w:val="clear" w:color="auto" w:fill="auto"/>
        <w:tabs>
          <w:tab w:pos="916" w:val="left"/>
        </w:tabs>
        <w:bidi w:val="0"/>
        <w:spacing w:before="0" w:after="0" w:line="430" w:lineRule="exact"/>
        <w:ind w:left="0" w:right="0"/>
        <w:jc w:val="both"/>
      </w:pPr>
      <w:bookmarkStart w:id="687" w:name="bookmark687"/>
      <w:r>
        <w:rPr>
          <w:rFonts w:ascii="SimSun" w:eastAsia="SimSun" w:hAnsi="SimSun" w:cs="SimSun"/>
          <w:color w:val="000000"/>
          <w:spacing w:val="0"/>
          <w:w w:val="100"/>
          <w:position w:val="0"/>
          <w:sz w:val="20"/>
          <w:szCs w:val="20"/>
        </w:rPr>
        <w:t>（</w:t>
      </w:r>
      <w:bookmarkEnd w:id="687"/>
      <w:r>
        <w:rPr>
          <w:color w:val="000000"/>
          <w:spacing w:val="0"/>
          <w:w w:val="100"/>
          <w:position w:val="0"/>
        </w:rPr>
        <w:t>1</w:t>
      </w:r>
      <w:r>
        <w:rPr>
          <w:rFonts w:ascii="SimSun" w:eastAsia="SimSun" w:hAnsi="SimSun" w:cs="SimSun"/>
          <w:color w:val="000000"/>
          <w:spacing w:val="0"/>
          <w:w w:val="100"/>
          <w:position w:val="0"/>
          <w:sz w:val="20"/>
          <w:szCs w:val="20"/>
        </w:rPr>
        <w:t>）</w:t>
        <w:tab/>
      </w:r>
      <w:r>
        <w:rPr>
          <w:color w:val="000000"/>
          <w:spacing w:val="0"/>
          <w:w w:val="100"/>
          <w:position w:val="0"/>
        </w:rPr>
        <w:t xml:space="preserve">18 </w:t>
      </w:r>
      <w:r>
        <w:rPr>
          <w:rFonts w:ascii="SimSun" w:eastAsia="SimSun" w:hAnsi="SimSun" w:cs="SimSun"/>
          <w:color w:val="000000"/>
          <w:spacing w:val="0"/>
          <w:w w:val="100"/>
          <w:position w:val="0"/>
          <w:sz w:val="20"/>
          <w:szCs w:val="20"/>
        </w:rPr>
        <w:t xml:space="preserve">苏宁 </w:t>
      </w:r>
      <w:r>
        <w:rPr>
          <w:color w:val="000000"/>
          <w:spacing w:val="0"/>
          <w:w w:val="100"/>
          <w:position w:val="0"/>
        </w:rPr>
        <w:t>03</w:t>
      </w:r>
    </w:p>
    <w:p>
      <w:pPr>
        <w:pStyle w:val="Style17"/>
        <w:keepNext w:val="0"/>
        <w:keepLines w:val="0"/>
        <w:widowControl w:val="0"/>
        <w:shd w:val="clear" w:color="auto" w:fill="auto"/>
        <w:bidi w:val="0"/>
        <w:spacing w:before="0" w:after="0" w:line="430" w:lineRule="exact"/>
        <w:ind w:left="0" w:right="0" w:firstLine="460"/>
        <w:jc w:val="both"/>
      </w:pPr>
      <w:r>
        <w:rPr>
          <w:color w:val="000000"/>
          <w:spacing w:val="0"/>
          <w:w w:val="100"/>
          <w:position w:val="0"/>
        </w:rPr>
        <w:t>本期债券未出具相关增信机制。报告期内，公司根据债务结构进一步加强资产负债管理、流动性 管理，保证资金按计划使用，及时、足额准备资金用于每年的利息支付和到期的本金兑付，以充分保 障投资者的利益。公司偿债计划及其他偿债保障措施，详见公司</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13</w:t>
      </w:r>
      <w:r>
        <w:rPr>
          <w:color w:val="000000"/>
          <w:spacing w:val="0"/>
          <w:w w:val="100"/>
          <w:position w:val="0"/>
        </w:rPr>
        <w:t>日巨潮资讯网《苏宁 易购集团股份有限公司</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年面向合格投资者公开发行公司债券（第三期）募集说明书》</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第五节偿 债计划及其他保障措施</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17"/>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日分别召开第七届董事会第十四次会议、</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年第二 次临时股东大会审议通过了《关于变更部分募集资金用途的议案》，公司将新增区域配送中心建设项 目（二）剩余部分募集资金</w:t>
      </w:r>
      <w:r>
        <w:rPr>
          <w:rFonts w:ascii="Times New Roman" w:eastAsia="Times New Roman" w:hAnsi="Times New Roman" w:cs="Times New Roman"/>
          <w:color w:val="000000"/>
          <w:spacing w:val="0"/>
          <w:w w:val="100"/>
          <w:position w:val="0"/>
          <w:sz w:val="22"/>
          <w:szCs w:val="22"/>
        </w:rPr>
        <w:t>1,489,161,495.60</w:t>
      </w:r>
      <w:r>
        <w:rPr>
          <w:color w:val="000000"/>
          <w:spacing w:val="0"/>
          <w:w w:val="100"/>
          <w:position w:val="0"/>
        </w:rPr>
        <w:t xml:space="preserve">元用于偿还公司债券项目，该部分募集资金将用于偿还 </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03”</w:t>
      </w:r>
      <w:r>
        <w:rPr>
          <w:color w:val="000000"/>
          <w:spacing w:val="0"/>
          <w:w w:val="100"/>
          <w:position w:val="0"/>
        </w:rPr>
        <w:t>及</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04”</w:t>
      </w:r>
      <w:r>
        <w:rPr>
          <w:color w:val="000000"/>
          <w:spacing w:val="0"/>
          <w:w w:val="100"/>
          <w:position w:val="0"/>
        </w:rPr>
        <w:t>到期本息，相关内容详见《第七届董事会第十四次会议决议公告》（公告编 号：</w:t>
      </w:r>
      <w:r>
        <w:rPr>
          <w:rFonts w:ascii="Times New Roman" w:eastAsia="Times New Roman" w:hAnsi="Times New Roman" w:cs="Times New Roman"/>
          <w:color w:val="000000"/>
          <w:spacing w:val="0"/>
          <w:w w:val="100"/>
          <w:position w:val="0"/>
          <w:sz w:val="22"/>
          <w:szCs w:val="22"/>
        </w:rPr>
        <w:t>2021-054</w:t>
      </w:r>
      <w:r>
        <w:rPr>
          <w:color w:val="000000"/>
          <w:spacing w:val="0"/>
          <w:w w:val="100"/>
          <w:position w:val="0"/>
        </w:rPr>
        <w:t>）、《关于变更部分募集资金用途的公告》（公告编号：</w:t>
      </w:r>
      <w:r>
        <w:rPr>
          <w:rFonts w:ascii="Times New Roman" w:eastAsia="Times New Roman" w:hAnsi="Times New Roman" w:cs="Times New Roman"/>
          <w:color w:val="000000"/>
          <w:spacing w:val="0"/>
          <w:w w:val="100"/>
          <w:position w:val="0"/>
          <w:sz w:val="22"/>
          <w:szCs w:val="22"/>
        </w:rPr>
        <w:t>2021-056</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年第二次临时 股东大会决议公告》（公告编号：</w:t>
      </w:r>
      <w:r>
        <w:rPr>
          <w:rFonts w:ascii="Times New Roman" w:eastAsia="Times New Roman" w:hAnsi="Times New Roman" w:cs="Times New Roman"/>
          <w:color w:val="000000"/>
          <w:spacing w:val="0"/>
          <w:w w:val="100"/>
          <w:position w:val="0"/>
          <w:sz w:val="22"/>
          <w:szCs w:val="22"/>
        </w:rPr>
        <w:t>2021-065</w:t>
      </w:r>
      <w:r>
        <w:rPr>
          <w:color w:val="000000"/>
          <w:spacing w:val="0"/>
          <w:w w:val="100"/>
          <w:position w:val="0"/>
        </w:rPr>
        <w:t>）。</w:t>
      </w:r>
    </w:p>
    <w:p>
      <w:pPr>
        <w:pStyle w:val="Style65"/>
        <w:keepNext w:val="0"/>
        <w:keepLines w:val="0"/>
        <w:widowControl w:val="0"/>
        <w:shd w:val="clear" w:color="auto" w:fill="auto"/>
        <w:tabs>
          <w:tab w:pos="916" w:val="left"/>
        </w:tabs>
        <w:bidi w:val="0"/>
        <w:spacing w:before="0" w:after="0" w:line="427" w:lineRule="exact"/>
        <w:ind w:left="0" w:right="0"/>
        <w:jc w:val="both"/>
      </w:pPr>
      <w:bookmarkStart w:id="688" w:name="bookmark688"/>
      <w:r>
        <w:rPr>
          <w:rFonts w:ascii="SimSun" w:eastAsia="SimSun" w:hAnsi="SimSun" w:cs="SimSun"/>
          <w:color w:val="000000"/>
          <w:spacing w:val="0"/>
          <w:w w:val="100"/>
          <w:position w:val="0"/>
          <w:sz w:val="20"/>
          <w:szCs w:val="20"/>
        </w:rPr>
        <w:t>（</w:t>
      </w:r>
      <w:bookmarkEnd w:id="688"/>
      <w:r>
        <w:rPr>
          <w:color w:val="000000"/>
          <w:spacing w:val="0"/>
          <w:w w:val="100"/>
          <w:position w:val="0"/>
        </w:rPr>
        <w:t>2</w:t>
      </w:r>
      <w:r>
        <w:rPr>
          <w:rFonts w:ascii="SimSun" w:eastAsia="SimSun" w:hAnsi="SimSun" w:cs="SimSun"/>
          <w:color w:val="000000"/>
          <w:spacing w:val="0"/>
          <w:w w:val="100"/>
          <w:position w:val="0"/>
          <w:sz w:val="20"/>
          <w:szCs w:val="20"/>
        </w:rPr>
        <w:t>）</w:t>
        <w:tab/>
      </w:r>
      <w:r>
        <w:rPr>
          <w:color w:val="000000"/>
          <w:spacing w:val="0"/>
          <w:w w:val="100"/>
          <w:position w:val="0"/>
        </w:rPr>
        <w:t xml:space="preserve">18 </w:t>
      </w:r>
      <w:r>
        <w:rPr>
          <w:rFonts w:ascii="SimSun" w:eastAsia="SimSun" w:hAnsi="SimSun" w:cs="SimSun"/>
          <w:color w:val="000000"/>
          <w:spacing w:val="0"/>
          <w:w w:val="100"/>
          <w:position w:val="0"/>
          <w:sz w:val="20"/>
          <w:szCs w:val="20"/>
        </w:rPr>
        <w:t xml:space="preserve">苏宁 </w:t>
      </w:r>
      <w:r>
        <w:rPr>
          <w:color w:val="000000"/>
          <w:spacing w:val="0"/>
          <w:w w:val="100"/>
          <w:position w:val="0"/>
        </w:rPr>
        <w:t>07</w:t>
      </w:r>
    </w:p>
    <w:p>
      <w:pPr>
        <w:pStyle w:val="Style17"/>
        <w:keepNext w:val="0"/>
        <w:keepLines w:val="0"/>
        <w:widowControl w:val="0"/>
        <w:shd w:val="clear" w:color="auto" w:fill="auto"/>
        <w:bidi w:val="0"/>
        <w:spacing w:before="0" w:after="0" w:line="427" w:lineRule="exact"/>
        <w:ind w:left="0" w:right="0" w:firstLine="460"/>
        <w:jc w:val="both"/>
      </w:pPr>
      <w:r>
        <w:rPr>
          <w:color w:val="000000"/>
          <w:spacing w:val="0"/>
          <w:w w:val="100"/>
          <w:position w:val="0"/>
        </w:rPr>
        <w:t>本期债券未出具相关增信机制。报告期内，公司根据债务结构进一步加强资产负债管理、流动性 管理，保证资金按计划使用，及时、足额准备资金用于每年的利息支付和到期的本金兑付，以充分保 障投资者的利益。公司偿债计划及其他偿债保障措施，详见公司</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日巨潮资讯网《苏 宁易购集团股份有限公司</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年面向合格投资者公开发行公司债券（第六期）募集说明书》</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第五 节 偿债计划及其他保障措施</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17"/>
        <w:keepNext w:val="0"/>
        <w:keepLines w:val="0"/>
        <w:widowControl w:val="0"/>
        <w:shd w:val="clear" w:color="auto" w:fill="auto"/>
        <w:bidi w:val="0"/>
        <w:spacing w:before="0" w:after="60" w:line="427"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日分别召开第七届董事会第十五次会议、</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年第三 次临时股东大会审议通过了《关于变更部分募集资金用途的议案》，公司将部分募投项目剩余募集资 金合计</w:t>
      </w:r>
      <w:r>
        <w:rPr>
          <w:rFonts w:ascii="Times New Roman" w:eastAsia="Times New Roman" w:hAnsi="Times New Roman" w:cs="Times New Roman"/>
          <w:color w:val="000000"/>
          <w:spacing w:val="0"/>
          <w:w w:val="100"/>
          <w:position w:val="0"/>
          <w:sz w:val="22"/>
          <w:szCs w:val="22"/>
        </w:rPr>
        <w:t>173,250.91</w:t>
      </w:r>
      <w:r>
        <w:rPr>
          <w:color w:val="000000"/>
          <w:spacing w:val="0"/>
          <w:w w:val="100"/>
          <w:position w:val="0"/>
        </w:rPr>
        <w:t>万元用于偿还公司债券项目（二），该部分募集资金将用于偿还</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05”</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 xml:space="preserve">“18 </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06”</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07”</w:t>
      </w:r>
      <w:r>
        <w:rPr>
          <w:color w:val="000000"/>
          <w:spacing w:val="0"/>
          <w:w w:val="100"/>
          <w:position w:val="0"/>
        </w:rPr>
        <w:t xml:space="preserve">到期本息，相关内容详见《第七届董事会第十五次会议决议公告》（公告编号： </w:t>
      </w:r>
      <w:r>
        <w:rPr>
          <w:rFonts w:ascii="Times New Roman" w:eastAsia="Times New Roman" w:hAnsi="Times New Roman" w:cs="Times New Roman"/>
          <w:color w:val="000000"/>
          <w:spacing w:val="0"/>
          <w:w w:val="100"/>
          <w:position w:val="0"/>
          <w:sz w:val="22"/>
          <w:szCs w:val="22"/>
        </w:rPr>
        <w:t>2021-072</w:t>
      </w:r>
      <w:r>
        <w:rPr>
          <w:color w:val="000000"/>
          <w:spacing w:val="0"/>
          <w:w w:val="100"/>
          <w:position w:val="0"/>
        </w:rPr>
        <w:t>）、《关于变更部分募集资金用途的公告》（公告编号：</w:t>
      </w:r>
      <w:r>
        <w:rPr>
          <w:rFonts w:ascii="Times New Roman" w:eastAsia="Times New Roman" w:hAnsi="Times New Roman" w:cs="Times New Roman"/>
          <w:color w:val="000000"/>
          <w:spacing w:val="0"/>
          <w:w w:val="100"/>
          <w:position w:val="0"/>
          <w:sz w:val="22"/>
          <w:szCs w:val="22"/>
        </w:rPr>
        <w:t>2021-074</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年第三次临时股东 大会决议公告》（公告编号：</w:t>
      </w:r>
      <w:r>
        <w:rPr>
          <w:rFonts w:ascii="Times New Roman" w:eastAsia="Times New Roman" w:hAnsi="Times New Roman" w:cs="Times New Roman"/>
          <w:color w:val="000000"/>
          <w:spacing w:val="0"/>
          <w:w w:val="100"/>
          <w:position w:val="0"/>
          <w:sz w:val="22"/>
          <w:szCs w:val="22"/>
        </w:rPr>
        <w:t>2021-087</w:t>
      </w:r>
      <w:r>
        <w:rPr>
          <w:color w:val="000000"/>
          <w:spacing w:val="0"/>
          <w:w w:val="100"/>
          <w:position w:val="0"/>
        </w:rPr>
        <w:t>）。</w:t>
      </w:r>
    </w:p>
    <w:p>
      <w:pPr>
        <w:pStyle w:val="Style32"/>
        <w:keepNext/>
        <w:keepLines/>
        <w:widowControl w:val="0"/>
        <w:shd w:val="clear" w:color="auto" w:fill="auto"/>
        <w:bidi w:val="0"/>
        <w:spacing w:before="0" w:after="340" w:line="240" w:lineRule="auto"/>
        <w:ind w:left="0" w:right="0" w:firstLine="0"/>
        <w:jc w:val="both"/>
      </w:pPr>
      <w:bookmarkStart w:id="689" w:name="bookmark689"/>
      <w:bookmarkStart w:id="690" w:name="bookmark690"/>
      <w:bookmarkStart w:id="691" w:name="bookmark691"/>
      <w:bookmarkStart w:id="692" w:name="bookmark692"/>
      <w:r>
        <w:rPr>
          <w:color w:val="000000"/>
          <w:spacing w:val="0"/>
          <w:w w:val="100"/>
          <w:position w:val="0"/>
          <w:sz w:val="24"/>
          <w:szCs w:val="24"/>
        </w:rPr>
        <w:t>三</w:t>
      </w:r>
      <w:bookmarkEnd w:id="691"/>
      <w:r>
        <w:rPr>
          <w:color w:val="000000"/>
          <w:spacing w:val="0"/>
          <w:w w:val="100"/>
          <w:position w:val="0"/>
          <w:sz w:val="24"/>
          <w:szCs w:val="24"/>
        </w:rPr>
        <w:t>、非金融企业债务融资工具</w:t>
      </w:r>
      <w:bookmarkEnd w:id="689"/>
      <w:bookmarkEnd w:id="690"/>
      <w:bookmarkEnd w:id="692"/>
    </w:p>
    <w:p>
      <w:pPr>
        <w:pStyle w:val="Style35"/>
        <w:keepNext/>
        <w:keepLines/>
        <w:widowControl w:val="0"/>
        <w:shd w:val="clear" w:color="auto" w:fill="auto"/>
        <w:bidi w:val="0"/>
        <w:spacing w:before="0" w:after="300" w:line="240" w:lineRule="auto"/>
        <w:ind w:left="0" w:right="0" w:firstLine="0"/>
        <w:jc w:val="both"/>
      </w:pPr>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sz w:val="22"/>
          <w:szCs w:val="22"/>
        </w:rPr>
        <w:t>1</w:t>
      </w:r>
      <w:r>
        <w:rPr>
          <w:color w:val="000000"/>
          <w:spacing w:val="0"/>
          <w:w w:val="100"/>
          <w:position w:val="0"/>
        </w:rPr>
        <w:t>、非金融企业债务融资工具基本信息</w:t>
      </w:r>
      <w:bookmarkEnd w:id="693"/>
      <w:bookmarkEnd w:id="694"/>
      <w:bookmarkEnd w:id="6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84"/>
        <w:gridCol w:w="970"/>
        <w:gridCol w:w="970"/>
        <w:gridCol w:w="970"/>
        <w:gridCol w:w="970"/>
        <w:gridCol w:w="970"/>
        <w:gridCol w:w="965"/>
        <w:gridCol w:w="725"/>
        <w:gridCol w:w="1214"/>
        <w:gridCol w:w="974"/>
      </w:tblGrid>
      <w:tr>
        <w:trPr>
          <w:trHeight w:val="66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债券名称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债券简称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债券代码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发行日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起息日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到期日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债券余额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利率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rFonts w:ascii="SimSun" w:eastAsia="SimSun" w:hAnsi="SimSun" w:cs="SimSun"/>
                <w:color w:val="000000"/>
                <w:spacing w:val="0"/>
                <w:w w:val="100"/>
                <w:position w:val="0"/>
                <w:sz w:val="20"/>
                <w:szCs w:val="20"/>
              </w:rPr>
              <w:t>还本付息方 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交易场所</w:t>
            </w:r>
          </w:p>
        </w:tc>
      </w:tr>
      <w:tr>
        <w:trPr>
          <w:trHeight w:val="20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5" w:lineRule="exact"/>
              <w:ind w:left="0" w:right="0" w:firstLine="0"/>
              <w:jc w:val="both"/>
              <w:rPr>
                <w:sz w:val="20"/>
                <w:szCs w:val="20"/>
              </w:rPr>
            </w:pPr>
            <w:r>
              <w:rPr>
                <w:rFonts w:ascii="SimSun" w:eastAsia="SimSun" w:hAnsi="SimSun" w:cs="SimSun"/>
                <w:color w:val="000000"/>
                <w:spacing w:val="0"/>
                <w:w w:val="100"/>
                <w:position w:val="0"/>
                <w:sz w:val="20"/>
                <w:szCs w:val="20"/>
              </w:rPr>
              <w:t xml:space="preserve">苏宁易购 集团股份 有限公司 </w:t>
            </w:r>
            <w:r>
              <w:rPr>
                <w:color w:val="000000"/>
                <w:spacing w:val="0"/>
                <w:w w:val="100"/>
                <w:position w:val="0"/>
                <w:sz w:val="22"/>
                <w:szCs w:val="22"/>
              </w:rPr>
              <w:t>2020</w:t>
            </w:r>
            <w:r>
              <w:rPr>
                <w:rFonts w:ascii="SimSun" w:eastAsia="SimSun" w:hAnsi="SimSun" w:cs="SimSun"/>
                <w:color w:val="000000"/>
                <w:spacing w:val="0"/>
                <w:w w:val="100"/>
                <w:position w:val="0"/>
                <w:sz w:val="20"/>
                <w:szCs w:val="20"/>
              </w:rPr>
              <w:t>年度 第一期中 期票据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right"/>
            </w:pPr>
            <w:r>
              <w:rPr>
                <w:color w:val="000000"/>
                <w:spacing w:val="0"/>
                <w:w w:val="100"/>
                <w:position w:val="0"/>
              </w:rPr>
              <w:t>20</w:t>
            </w:r>
            <w:r>
              <w:rPr>
                <w:rFonts w:ascii="SimSun" w:eastAsia="SimSun" w:hAnsi="SimSun" w:cs="SimSun"/>
                <w:color w:val="000000"/>
                <w:spacing w:val="0"/>
                <w:w w:val="100"/>
                <w:position w:val="0"/>
                <w:sz w:val="20"/>
                <w:szCs w:val="20"/>
              </w:rPr>
              <w:t xml:space="preserve">苏宁易 购 </w:t>
            </w:r>
            <w:r>
              <w:rPr>
                <w:color w:val="000000"/>
                <w:spacing w:val="0"/>
                <w:w w:val="100"/>
                <w:position w:val="0"/>
              </w:rPr>
              <w:t>MTN001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10200032</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2"/>
                <w:szCs w:val="22"/>
              </w:rPr>
              <w:t xml:space="preserve">2020 </w:t>
            </w:r>
            <w:r>
              <w:rPr>
                <w:rFonts w:ascii="SimSun" w:eastAsia="SimSun" w:hAnsi="SimSun" w:cs="SimSun"/>
                <w:color w:val="000000"/>
                <w:spacing w:val="0"/>
                <w:w w:val="100"/>
                <w:position w:val="0"/>
                <w:sz w:val="20"/>
                <w:szCs w:val="20"/>
              </w:rPr>
              <w:t xml:space="preserve">年 </w:t>
            </w:r>
            <w:r>
              <w:rPr>
                <w:color w:val="000000"/>
                <w:spacing w:val="0"/>
                <w:w w:val="100"/>
                <w:position w:val="0"/>
                <w:sz w:val="22"/>
                <w:szCs w:val="22"/>
              </w:rPr>
              <w:t xml:space="preserve">3 </w:t>
            </w:r>
            <w:r>
              <w:rPr>
                <w:rFonts w:ascii="SimSun" w:eastAsia="SimSun" w:hAnsi="SimSun" w:cs="SimSun"/>
                <w:color w:val="000000"/>
                <w:spacing w:val="0"/>
                <w:w w:val="100"/>
                <w:position w:val="0"/>
                <w:sz w:val="20"/>
                <w:szCs w:val="20"/>
              </w:rPr>
              <w:t>月</w:t>
            </w:r>
            <w:r>
              <w:rPr>
                <w:color w:val="000000"/>
                <w:spacing w:val="0"/>
                <w:w w:val="100"/>
                <w:position w:val="0"/>
                <w:sz w:val="22"/>
                <w:szCs w:val="22"/>
              </w:rPr>
              <w:t>11</w:t>
            </w:r>
            <w:r>
              <w:rPr>
                <w:rFonts w:ascii="SimSun" w:eastAsia="SimSun" w:hAnsi="SimSun" w:cs="SimSun"/>
                <w:color w:val="000000"/>
                <w:spacing w:val="0"/>
                <w:w w:val="100"/>
                <w:position w:val="0"/>
                <w:sz w:val="20"/>
                <w:szCs w:val="20"/>
              </w:rPr>
              <w:t xml:space="preserve">日、 </w:t>
            </w:r>
            <w:r>
              <w:rPr>
                <w:color w:val="000000"/>
                <w:spacing w:val="0"/>
                <w:w w:val="100"/>
                <w:position w:val="0"/>
                <w:sz w:val="22"/>
                <w:szCs w:val="22"/>
              </w:rPr>
              <w:t>3</w:t>
            </w:r>
            <w:r>
              <w:rPr>
                <w:rFonts w:ascii="SimSun" w:eastAsia="SimSun" w:hAnsi="SimSun" w:cs="SimSun"/>
                <w:color w:val="000000"/>
                <w:spacing w:val="0"/>
                <w:w w:val="100"/>
                <w:position w:val="0"/>
                <w:sz w:val="20"/>
                <w:szCs w:val="20"/>
              </w:rPr>
              <w:t>月</w:t>
            </w:r>
            <w:r>
              <w:rPr>
                <w:color w:val="000000"/>
                <w:spacing w:val="0"/>
                <w:w w:val="100"/>
                <w:position w:val="0"/>
                <w:sz w:val="22"/>
                <w:szCs w:val="22"/>
              </w:rPr>
              <w:t>12</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20"/>
                <w:szCs w:val="20"/>
              </w:rPr>
              <w:t xml:space="preserve">年 </w:t>
            </w:r>
            <w:r>
              <w:rPr>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月</w:t>
            </w:r>
            <w:r>
              <w:rPr>
                <w:color w:val="000000"/>
                <w:spacing w:val="0"/>
                <w:w w:val="100"/>
                <w:position w:val="0"/>
                <w:sz w:val="22"/>
                <w:szCs w:val="22"/>
              </w:rPr>
              <w:t>13</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2023 </w:t>
            </w:r>
            <w:r>
              <w:rPr>
                <w:rFonts w:ascii="SimSun" w:eastAsia="SimSun" w:hAnsi="SimSun" w:cs="SimSun"/>
                <w:color w:val="000000"/>
                <w:spacing w:val="0"/>
                <w:w w:val="100"/>
                <w:position w:val="0"/>
                <w:sz w:val="20"/>
                <w:szCs w:val="20"/>
              </w:rPr>
              <w:t xml:space="preserve">年 </w:t>
            </w:r>
            <w:r>
              <w:rPr>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月</w:t>
            </w:r>
            <w:r>
              <w:rPr>
                <w:color w:val="000000"/>
                <w:spacing w:val="0"/>
                <w:w w:val="100"/>
                <w:position w:val="0"/>
                <w:sz w:val="22"/>
                <w:szCs w:val="22"/>
              </w:rPr>
              <w:t>13</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本期票据每 年付息一 次，于兑付 日一次性兑 付本金及最 后一期利 息。</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银行间债 券市场</w:t>
            </w:r>
          </w:p>
        </w:tc>
      </w:tr>
      <w:tr>
        <w:trPr>
          <w:trHeight w:val="374"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投资者适当性安排（如有）</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中期票据面向银行间市场的机构投资者。</w:t>
            </w:r>
          </w:p>
        </w:tc>
      </w:tr>
      <w:tr>
        <w:trPr>
          <w:trHeight w:val="374"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适用的交易机制</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银行间债券市场债券交易机制</w:t>
            </w:r>
          </w:p>
        </w:tc>
      </w:tr>
      <w:tr>
        <w:trPr>
          <w:trHeight w:val="672" w:hRule="exact"/>
        </w:trPr>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是否存在终止上市交易的风险</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（如有）和应对措施</w:t>
            </w:r>
          </w:p>
        </w:tc>
        <w:tc>
          <w:tcPr>
            <w:gridSpan w:val="7"/>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r>
    </w:tbl>
    <w:p>
      <w:pPr>
        <w:widowControl w:val="0"/>
        <w:spacing w:after="299" w:line="1" w:lineRule="exact"/>
      </w:pPr>
    </w:p>
    <w:p>
      <w:pPr>
        <w:pStyle w:val="Style17"/>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逾期未偿还债券</w:t>
      </w:r>
    </w:p>
    <w:p>
      <w:pPr>
        <w:pStyle w:val="Style17"/>
        <w:keepNext w:val="0"/>
        <w:keepLines w:val="0"/>
        <w:widowControl w:val="0"/>
        <w:shd w:val="clear" w:color="auto" w:fill="auto"/>
        <w:bidi w:val="0"/>
        <w:spacing w:before="0" w:after="300" w:line="240"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5"/>
        <w:keepNext/>
        <w:keepLines/>
        <w:widowControl w:val="0"/>
        <w:shd w:val="clear" w:color="auto" w:fill="auto"/>
        <w:bidi w:val="0"/>
        <w:spacing w:before="0" w:after="160" w:line="429" w:lineRule="exact"/>
        <w:ind w:left="0" w:right="0" w:firstLine="0"/>
        <w:jc w:val="both"/>
      </w:pPr>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sz w:val="22"/>
          <w:szCs w:val="22"/>
        </w:rPr>
        <w:t>2</w:t>
      </w:r>
      <w:r>
        <w:rPr>
          <w:color w:val="000000"/>
          <w:spacing w:val="0"/>
          <w:w w:val="100"/>
          <w:position w:val="0"/>
        </w:rPr>
        <w:t>、发行人或投资者选择权条款、投资者保护条款的触发和执行情况</w:t>
      </w:r>
      <w:bookmarkEnd w:id="696"/>
      <w:bookmarkEnd w:id="697"/>
      <w:bookmarkEnd w:id="698"/>
    </w:p>
    <w:p>
      <w:pPr>
        <w:pStyle w:val="Style17"/>
        <w:keepNext w:val="0"/>
        <w:keepLines w:val="0"/>
        <w:widowControl w:val="0"/>
        <w:shd w:val="clear" w:color="auto" w:fill="auto"/>
        <w:bidi w:val="0"/>
        <w:spacing w:before="0" w:after="0" w:line="429"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年度第一期中期票据</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年度第一次持有人会议</w:t>
      </w:r>
    </w:p>
    <w:p>
      <w:pPr>
        <w:pStyle w:val="Style17"/>
        <w:keepNext w:val="0"/>
        <w:keepLines w:val="0"/>
        <w:widowControl w:val="0"/>
        <w:numPr>
          <w:ilvl w:val="0"/>
          <w:numId w:val="9"/>
        </w:numPr>
        <w:shd w:val="clear" w:color="auto" w:fill="auto"/>
        <w:tabs>
          <w:tab w:pos="862" w:val="left"/>
        </w:tabs>
        <w:bidi w:val="0"/>
        <w:spacing w:before="0" w:after="0" w:line="420" w:lineRule="exact"/>
        <w:ind w:left="0" w:right="0" w:firstLine="460"/>
        <w:jc w:val="left"/>
      </w:pPr>
      <w:bookmarkStart w:id="699" w:name="bookmark699"/>
      <w:bookmarkEnd w:id="699"/>
      <w:r>
        <w:rPr>
          <w:color w:val="000000"/>
          <w:spacing w:val="0"/>
          <w:w w:val="100"/>
          <w:position w:val="0"/>
        </w:rPr>
        <w:t>议案内容</w:t>
      </w:r>
    </w:p>
    <w:p>
      <w:pPr>
        <w:pStyle w:val="Style17"/>
        <w:keepNext w:val="0"/>
        <w:keepLines w:val="0"/>
        <w:widowControl w:val="0"/>
        <w:shd w:val="clear" w:color="auto" w:fill="auto"/>
        <w:bidi w:val="0"/>
        <w:spacing w:before="0" w:after="0" w:line="420" w:lineRule="exact"/>
        <w:ind w:left="0" w:right="0" w:firstLine="460"/>
        <w:jc w:val="left"/>
      </w:pPr>
      <w:r>
        <w:rPr>
          <w:color w:val="000000"/>
          <w:spacing w:val="0"/>
          <w:w w:val="100"/>
          <w:position w:val="0"/>
        </w:rPr>
        <w:t>议案：关于豁免因发行人实际控制人变更导致违反债务融资工具约定事宜的议案</w:t>
      </w:r>
    </w:p>
    <w:p>
      <w:pPr>
        <w:pStyle w:val="Style17"/>
        <w:keepNext w:val="0"/>
        <w:keepLines w:val="0"/>
        <w:widowControl w:val="0"/>
        <w:shd w:val="clear" w:color="auto" w:fill="auto"/>
        <w:bidi w:val="0"/>
        <w:spacing w:before="0" w:after="0" w:line="420" w:lineRule="exact"/>
        <w:ind w:left="0" w:right="0" w:firstLine="460"/>
        <w:jc w:val="left"/>
      </w:pPr>
      <w:r>
        <w:rPr>
          <w:color w:val="000000"/>
          <w:spacing w:val="0"/>
          <w:w w:val="100"/>
          <w:position w:val="0"/>
        </w:rPr>
        <w:t>债券持有人已知悉发行人实际控制权变更情况，同意豁免发行人因实际控制权变更违反债务融资 工具约定事宜，且维持</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存续，不要求公司提前清偿</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项下 债务，也不要求发行人就</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提供额外担保。</w:t>
      </w:r>
    </w:p>
    <w:p>
      <w:pPr>
        <w:pStyle w:val="Style17"/>
        <w:keepNext w:val="0"/>
        <w:keepLines w:val="0"/>
        <w:widowControl w:val="0"/>
        <w:numPr>
          <w:ilvl w:val="0"/>
          <w:numId w:val="9"/>
        </w:numPr>
        <w:shd w:val="clear" w:color="auto" w:fill="auto"/>
        <w:tabs>
          <w:tab w:pos="862" w:val="left"/>
        </w:tabs>
        <w:bidi w:val="0"/>
        <w:spacing w:before="0" w:after="0" w:line="429" w:lineRule="exact"/>
        <w:ind w:left="0" w:right="0" w:firstLine="460"/>
        <w:jc w:val="left"/>
      </w:pPr>
      <w:bookmarkStart w:id="700" w:name="bookmark700"/>
      <w:bookmarkEnd w:id="700"/>
      <w:r>
        <w:rPr>
          <w:color w:val="000000"/>
          <w:spacing w:val="0"/>
          <w:w w:val="100"/>
          <w:position w:val="0"/>
        </w:rPr>
        <w:t>会议议案审议及表决情况</w:t>
      </w:r>
    </w:p>
    <w:p>
      <w:pPr>
        <w:pStyle w:val="Style17"/>
        <w:keepNext w:val="0"/>
        <w:keepLines w:val="0"/>
        <w:widowControl w:val="0"/>
        <w:shd w:val="clear" w:color="auto" w:fill="auto"/>
        <w:bidi w:val="0"/>
        <w:spacing w:before="0" w:after="0" w:line="451" w:lineRule="exact"/>
        <w:ind w:left="0" w:right="0" w:firstLine="460"/>
        <w:jc w:val="left"/>
      </w:pP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持有人会议对《苏宁易购集团股份有限公司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年度第一期中期票据</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年度第一次持有人会议的议案》的审议及表决情况如下：</w:t>
      </w:r>
    </w:p>
    <w:p>
      <w:pPr>
        <w:pStyle w:val="Style17"/>
        <w:keepNext w:val="0"/>
        <w:keepLines w:val="0"/>
        <w:widowControl w:val="0"/>
        <w:shd w:val="clear" w:color="auto" w:fill="auto"/>
        <w:bidi w:val="0"/>
        <w:spacing w:before="0" w:after="0" w:line="429" w:lineRule="exact"/>
        <w:ind w:left="0" w:right="0" w:firstLine="460"/>
        <w:jc w:val="left"/>
      </w:pPr>
      <w:r>
        <w:rPr>
          <w:color w:val="000000"/>
          <w:spacing w:val="0"/>
          <w:w w:val="100"/>
          <w:position w:val="0"/>
        </w:rPr>
        <w:t>同意《苏宁易购集团股份有限公司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年度第一期中期票据</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年度第一次持有人会议的议案》 （以下简称《议案》）的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持有人或持有人代理人共计</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家，其所持有的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 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面值总额共计人民币</w:t>
      </w:r>
      <w:r>
        <w:rPr>
          <w:rFonts w:ascii="Times New Roman" w:eastAsia="Times New Roman" w:hAnsi="Times New Roman" w:cs="Times New Roman"/>
          <w:color w:val="000000"/>
          <w:spacing w:val="0"/>
          <w:w w:val="100"/>
          <w:position w:val="0"/>
          <w:sz w:val="22"/>
          <w:szCs w:val="22"/>
        </w:rPr>
        <w:t>3.6</w:t>
      </w:r>
      <w:r>
        <w:rPr>
          <w:color w:val="000000"/>
          <w:spacing w:val="0"/>
          <w:w w:val="100"/>
          <w:position w:val="0"/>
        </w:rPr>
        <w:t>亿元，其所代表的有效表决权数额占参加本次持有人会议的</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持有人所持有效表决权的</w:t>
      </w:r>
      <w:r>
        <w:rPr>
          <w:rFonts w:ascii="Times New Roman" w:eastAsia="Times New Roman" w:hAnsi="Times New Roman" w:cs="Times New Roman"/>
          <w:color w:val="000000"/>
          <w:spacing w:val="0"/>
          <w:w w:val="100"/>
          <w:position w:val="0"/>
          <w:sz w:val="22"/>
          <w:szCs w:val="22"/>
        </w:rPr>
        <w:t>78.26%</w:t>
      </w:r>
      <w:r>
        <w:rPr>
          <w:color w:val="000000"/>
          <w:spacing w:val="0"/>
          <w:w w:val="100"/>
          <w:position w:val="0"/>
        </w:rPr>
        <w:t>。</w:t>
      </w:r>
    </w:p>
    <w:p>
      <w:pPr>
        <w:pStyle w:val="Style17"/>
        <w:keepNext w:val="0"/>
        <w:keepLines w:val="0"/>
        <w:widowControl w:val="0"/>
        <w:shd w:val="clear" w:color="auto" w:fill="auto"/>
        <w:bidi w:val="0"/>
        <w:spacing w:before="0" w:after="0" w:line="429" w:lineRule="exact"/>
        <w:ind w:left="0" w:right="0" w:firstLine="460"/>
        <w:jc w:val="left"/>
      </w:pPr>
      <w:r>
        <w:rPr>
          <w:color w:val="000000"/>
          <w:spacing w:val="0"/>
          <w:w w:val="100"/>
          <w:position w:val="0"/>
        </w:rPr>
        <w:t>反对《议案》的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持有人或持有人代理人共计</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家，其所持有的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 xml:space="preserve">苏宁易 </w:t>
      </w:r>
      <w:r>
        <w:rPr>
          <w:color w:val="000000"/>
          <w:spacing w:val="0"/>
          <w:w w:val="100"/>
          <w:position w:val="0"/>
        </w:rPr>
        <w:t>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面值总额共计人民币</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亿元，其所代表的有效表决权数额占参加本次持有人会议的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 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持有人所持有效表决权的</w:t>
      </w:r>
      <w:r>
        <w:rPr>
          <w:rFonts w:ascii="Times New Roman" w:eastAsia="Times New Roman" w:hAnsi="Times New Roman" w:cs="Times New Roman"/>
          <w:color w:val="000000"/>
          <w:spacing w:val="0"/>
          <w:w w:val="100"/>
          <w:position w:val="0"/>
          <w:sz w:val="22"/>
          <w:szCs w:val="22"/>
        </w:rPr>
        <w:t>21.74%</w:t>
      </w:r>
      <w:r>
        <w:rPr>
          <w:color w:val="000000"/>
          <w:spacing w:val="0"/>
          <w:w w:val="100"/>
          <w:position w:val="0"/>
        </w:rPr>
        <w:t>。</w:t>
      </w:r>
    </w:p>
    <w:p>
      <w:pPr>
        <w:pStyle w:val="Style17"/>
        <w:keepNext w:val="0"/>
        <w:keepLines w:val="0"/>
        <w:widowControl w:val="0"/>
        <w:shd w:val="clear" w:color="auto" w:fill="auto"/>
        <w:bidi w:val="0"/>
        <w:spacing w:before="0" w:after="0" w:line="422" w:lineRule="exact"/>
        <w:ind w:left="0" w:right="0" w:firstLine="460"/>
        <w:jc w:val="both"/>
      </w:pPr>
      <w:r>
        <w:rPr>
          <w:color w:val="000000"/>
          <w:spacing w:val="0"/>
          <w:w w:val="100"/>
          <w:position w:val="0"/>
        </w:rPr>
        <w:t>按照银行间市场清算所股份有限公司提供的持有人名册，经见证持有人会议的律师确认，以上表 决票有效。</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的相关议案的表决达到《苏宁易购集团股份有限公司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 一期中期票据募集说明书》规定的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持有人会议决议应当由出席会议的本期债务融资工具持有人所（</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 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年度第一期中期票据</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年度第一次持有人会议</w:t>
      </w:r>
    </w:p>
    <w:p>
      <w:pPr>
        <w:pStyle w:val="Style17"/>
        <w:keepNext w:val="0"/>
        <w:keepLines w:val="0"/>
        <w:widowControl w:val="0"/>
        <w:numPr>
          <w:ilvl w:val="0"/>
          <w:numId w:val="11"/>
        </w:numPr>
        <w:shd w:val="clear" w:color="auto" w:fill="auto"/>
        <w:tabs>
          <w:tab w:pos="848" w:val="left"/>
        </w:tabs>
        <w:bidi w:val="0"/>
        <w:spacing w:before="0" w:after="0" w:line="420" w:lineRule="exact"/>
        <w:ind w:left="0" w:right="0" w:firstLine="460"/>
        <w:jc w:val="both"/>
      </w:pPr>
      <w:bookmarkStart w:id="701" w:name="bookmark701"/>
      <w:bookmarkEnd w:id="701"/>
      <w:r>
        <w:rPr>
          <w:color w:val="000000"/>
          <w:spacing w:val="0"/>
          <w:w w:val="100"/>
          <w:position w:val="0"/>
        </w:rPr>
        <w:t>议案内容</w:t>
      </w:r>
    </w:p>
    <w:p>
      <w:pPr>
        <w:pStyle w:val="Style17"/>
        <w:keepNext w:val="0"/>
        <w:keepLines w:val="0"/>
        <w:widowControl w:val="0"/>
        <w:shd w:val="clear" w:color="auto" w:fill="auto"/>
        <w:bidi w:val="0"/>
        <w:spacing w:before="0" w:after="0" w:line="420" w:lineRule="exact"/>
        <w:ind w:left="0" w:right="0" w:firstLine="460"/>
        <w:jc w:val="left"/>
      </w:pPr>
      <w:r>
        <w:rPr>
          <w:color w:val="000000"/>
          <w:spacing w:val="0"/>
          <w:w w:val="100"/>
          <w:position w:val="0"/>
        </w:rPr>
        <w:t>议案：关于豁免因发行人实际控制人变更导致违反债务融资工具约定事宜的议案</w:t>
      </w:r>
    </w:p>
    <w:p>
      <w:pPr>
        <w:pStyle w:val="Style17"/>
        <w:keepNext w:val="0"/>
        <w:keepLines w:val="0"/>
        <w:widowControl w:val="0"/>
        <w:shd w:val="clear" w:color="auto" w:fill="auto"/>
        <w:bidi w:val="0"/>
        <w:spacing w:before="0" w:after="0" w:line="420" w:lineRule="exact"/>
        <w:ind w:left="0" w:right="0" w:firstLine="460"/>
        <w:jc w:val="left"/>
      </w:pPr>
      <w:r>
        <w:rPr>
          <w:color w:val="000000"/>
          <w:spacing w:val="0"/>
          <w:w w:val="100"/>
          <w:position w:val="0"/>
        </w:rPr>
        <w:t>债券持有人已知悉发行人实际控制权变更情况，同意豁免发行人因实际控制权变更违反债务融资 工具约定事宜，且维持</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存续，不要求公司提前清偿</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项下 债务，也不要求发行人就</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提供额外担保。</w:t>
      </w:r>
    </w:p>
    <w:p>
      <w:pPr>
        <w:pStyle w:val="Style17"/>
        <w:keepNext w:val="0"/>
        <w:keepLines w:val="0"/>
        <w:widowControl w:val="0"/>
        <w:numPr>
          <w:ilvl w:val="0"/>
          <w:numId w:val="11"/>
        </w:numPr>
        <w:shd w:val="clear" w:color="auto" w:fill="auto"/>
        <w:tabs>
          <w:tab w:pos="848" w:val="left"/>
        </w:tabs>
        <w:bidi w:val="0"/>
        <w:spacing w:before="0" w:after="0" w:line="420" w:lineRule="exact"/>
        <w:ind w:left="0" w:right="0" w:firstLine="460"/>
        <w:jc w:val="left"/>
      </w:pPr>
      <w:bookmarkStart w:id="702" w:name="bookmark702"/>
      <w:bookmarkEnd w:id="702"/>
      <w:r>
        <w:rPr>
          <w:color w:val="000000"/>
          <w:spacing w:val="0"/>
          <w:w w:val="100"/>
          <w:position w:val="0"/>
        </w:rPr>
        <w:t>会议议案审议及表决情况</w:t>
      </w:r>
    </w:p>
    <w:p>
      <w:pPr>
        <w:pStyle w:val="Style17"/>
        <w:keepNext w:val="0"/>
        <w:keepLines w:val="0"/>
        <w:widowControl w:val="0"/>
        <w:shd w:val="clear" w:color="auto" w:fill="auto"/>
        <w:bidi w:val="0"/>
        <w:spacing w:before="0" w:after="0" w:line="451" w:lineRule="exact"/>
        <w:ind w:left="0" w:right="0" w:firstLine="460"/>
        <w:jc w:val="left"/>
      </w:pP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持有人会议对《苏宁易购集团股份有限公司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年度第一期中期票据</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年度第一次持有人会议的议案》的审议及表决情况如下：</w:t>
      </w:r>
    </w:p>
    <w:p>
      <w:pPr>
        <w:pStyle w:val="Style17"/>
        <w:keepNext w:val="0"/>
        <w:keepLines w:val="0"/>
        <w:widowControl w:val="0"/>
        <w:shd w:val="clear" w:color="auto" w:fill="auto"/>
        <w:bidi w:val="0"/>
        <w:spacing w:before="0" w:after="0" w:line="428" w:lineRule="exact"/>
        <w:ind w:left="0" w:right="0" w:firstLine="460"/>
        <w:jc w:val="left"/>
      </w:pPr>
      <w:r>
        <w:rPr>
          <w:color w:val="000000"/>
          <w:spacing w:val="0"/>
          <w:w w:val="100"/>
          <w:position w:val="0"/>
        </w:rPr>
        <w:t>同意《苏宁易购集团股份有限公司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年度第一期中期票据</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年度第一次持有人会议的议案》 （以下简称《议案》）的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持有人或持有人代理人共计</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家，其所持有的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 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面值总额共计人民币</w:t>
      </w:r>
      <w:r>
        <w:rPr>
          <w:rFonts w:ascii="Times New Roman" w:eastAsia="Times New Roman" w:hAnsi="Times New Roman" w:cs="Times New Roman"/>
          <w:color w:val="000000"/>
          <w:spacing w:val="0"/>
          <w:w w:val="100"/>
          <w:position w:val="0"/>
          <w:sz w:val="22"/>
          <w:szCs w:val="22"/>
        </w:rPr>
        <w:t>3.6</w:t>
      </w:r>
      <w:r>
        <w:rPr>
          <w:color w:val="000000"/>
          <w:spacing w:val="0"/>
          <w:w w:val="100"/>
          <w:position w:val="0"/>
        </w:rPr>
        <w:t>亿元，其所代表的有效表决权数额占参加本次持有人会议的</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持有人所持有效表决权的</w:t>
      </w:r>
      <w:r>
        <w:rPr>
          <w:rFonts w:ascii="Times New Roman" w:eastAsia="Times New Roman" w:hAnsi="Times New Roman" w:cs="Times New Roman"/>
          <w:color w:val="000000"/>
          <w:spacing w:val="0"/>
          <w:w w:val="100"/>
          <w:position w:val="0"/>
          <w:sz w:val="22"/>
          <w:szCs w:val="22"/>
        </w:rPr>
        <w:t>78.26%</w:t>
      </w:r>
      <w:r>
        <w:rPr>
          <w:color w:val="000000"/>
          <w:spacing w:val="0"/>
          <w:w w:val="100"/>
          <w:position w:val="0"/>
        </w:rPr>
        <w:t>。</w:t>
      </w:r>
    </w:p>
    <w:p>
      <w:pPr>
        <w:pStyle w:val="Style17"/>
        <w:keepNext w:val="0"/>
        <w:keepLines w:val="0"/>
        <w:widowControl w:val="0"/>
        <w:shd w:val="clear" w:color="auto" w:fill="auto"/>
        <w:bidi w:val="0"/>
        <w:spacing w:before="0" w:after="0" w:line="428" w:lineRule="exact"/>
        <w:ind w:left="0" w:right="0" w:firstLine="460"/>
        <w:jc w:val="left"/>
      </w:pPr>
      <w:r>
        <w:rPr>
          <w:color w:val="000000"/>
          <w:spacing w:val="0"/>
          <w:w w:val="100"/>
          <w:position w:val="0"/>
        </w:rPr>
        <w:t>反对《议案》的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持有人或持有人代理人共计</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家，其所持有的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 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面值总额共计人民币</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亿元，其所代表的有效表决权数额占参加本次持有人会议的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 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持有人所持有效表决权的</w:t>
      </w:r>
      <w:r>
        <w:rPr>
          <w:rFonts w:ascii="Times New Roman" w:eastAsia="Times New Roman" w:hAnsi="Times New Roman" w:cs="Times New Roman"/>
          <w:color w:val="000000"/>
          <w:spacing w:val="0"/>
          <w:w w:val="100"/>
          <w:position w:val="0"/>
          <w:sz w:val="22"/>
          <w:szCs w:val="22"/>
        </w:rPr>
        <w:t>21.74%</w:t>
      </w:r>
      <w:r>
        <w:rPr>
          <w:color w:val="000000"/>
          <w:spacing w:val="0"/>
          <w:w w:val="100"/>
          <w:position w:val="0"/>
        </w:rPr>
        <w:t>。</w:t>
      </w:r>
    </w:p>
    <w:p>
      <w:pPr>
        <w:pStyle w:val="Style17"/>
        <w:keepNext w:val="0"/>
        <w:keepLines w:val="0"/>
        <w:widowControl w:val="0"/>
        <w:shd w:val="clear" w:color="auto" w:fill="auto"/>
        <w:bidi w:val="0"/>
        <w:spacing w:before="0" w:after="0" w:line="428" w:lineRule="exact"/>
        <w:ind w:left="0" w:right="0" w:firstLine="460"/>
        <w:jc w:val="left"/>
      </w:pPr>
      <w:r>
        <w:rPr>
          <w:color w:val="000000"/>
          <w:spacing w:val="0"/>
          <w:w w:val="100"/>
          <w:position w:val="0"/>
        </w:rPr>
        <w:t>按照银行间市场清算所股份有限公司提供的持有人名册，经见证持有人会议的律师确认，以上表 决票有效。</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的相关议案的表决达到《苏宁易购集团股份有限公司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 一期中期票据募集说明书》规定的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持有人会议决议应当由出席会议的本期债务融资工具持有人所持 表决权的四分之三以上通过后生效</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的表决生效条件，议案获得通过。</w:t>
      </w:r>
    </w:p>
    <w:p>
      <w:pPr>
        <w:pStyle w:val="Style17"/>
        <w:keepNext w:val="0"/>
        <w:keepLines w:val="0"/>
        <w:widowControl w:val="0"/>
        <w:shd w:val="clear" w:color="auto" w:fill="auto"/>
        <w:bidi w:val="0"/>
        <w:spacing w:before="0" w:after="0" w:line="425"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年度第一期中期票据</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年度第二次持有人会议</w:t>
      </w:r>
    </w:p>
    <w:p>
      <w:pPr>
        <w:pStyle w:val="Style17"/>
        <w:keepNext w:val="0"/>
        <w:keepLines w:val="0"/>
        <w:widowControl w:val="0"/>
        <w:numPr>
          <w:ilvl w:val="0"/>
          <w:numId w:val="13"/>
        </w:numPr>
        <w:shd w:val="clear" w:color="auto" w:fill="auto"/>
        <w:tabs>
          <w:tab w:pos="848" w:val="left"/>
        </w:tabs>
        <w:bidi w:val="0"/>
        <w:spacing w:before="0" w:after="0" w:line="425" w:lineRule="exact"/>
        <w:ind w:left="0" w:right="0" w:firstLine="460"/>
        <w:jc w:val="both"/>
      </w:pPr>
      <w:bookmarkStart w:id="703" w:name="bookmark703"/>
      <w:bookmarkEnd w:id="703"/>
      <w:r>
        <w:rPr>
          <w:color w:val="000000"/>
          <w:spacing w:val="0"/>
          <w:w w:val="100"/>
          <w:position w:val="0"/>
        </w:rPr>
        <w:t>议案内容</w:t>
      </w:r>
    </w:p>
    <w:p>
      <w:pPr>
        <w:pStyle w:val="Style17"/>
        <w:keepNext w:val="0"/>
        <w:keepLines w:val="0"/>
        <w:widowControl w:val="0"/>
        <w:shd w:val="clear" w:color="auto" w:fill="auto"/>
        <w:bidi w:val="0"/>
        <w:spacing w:before="0" w:after="0" w:line="420" w:lineRule="exact"/>
        <w:ind w:left="0" w:right="0" w:firstLine="460"/>
        <w:jc w:val="left"/>
      </w:pPr>
      <w:r>
        <w:rPr>
          <w:color w:val="000000"/>
          <w:spacing w:val="0"/>
          <w:w w:val="100"/>
          <w:position w:val="0"/>
        </w:rPr>
        <w:t>议案：关于豁免因发行人实际控制人变更导致违反债务融资工具约定事宜的议案</w:t>
      </w:r>
    </w:p>
    <w:p>
      <w:pPr>
        <w:pStyle w:val="Style17"/>
        <w:keepNext w:val="0"/>
        <w:keepLines w:val="0"/>
        <w:widowControl w:val="0"/>
        <w:shd w:val="clear" w:color="auto" w:fill="auto"/>
        <w:bidi w:val="0"/>
        <w:spacing w:before="0" w:after="0" w:line="420" w:lineRule="exact"/>
        <w:ind w:left="0" w:right="0" w:firstLine="460"/>
        <w:jc w:val="both"/>
      </w:pPr>
      <w:r>
        <w:rPr>
          <w:color w:val="000000"/>
          <w:spacing w:val="0"/>
          <w:w w:val="100"/>
          <w:position w:val="0"/>
        </w:rPr>
        <w:t>债券持有人已知悉发行人实际控制权变更情况，同意豁免发行人因实际控制权变更违反债务融资 工具约定事宜，且维持</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存续，不要求公司提前清偿</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项下 债务，也不要求发行人就</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提供额外担保。</w:t>
      </w:r>
    </w:p>
    <w:p>
      <w:pPr>
        <w:pStyle w:val="Style17"/>
        <w:keepNext w:val="0"/>
        <w:keepLines w:val="0"/>
        <w:widowControl w:val="0"/>
        <w:numPr>
          <w:ilvl w:val="0"/>
          <w:numId w:val="13"/>
        </w:numPr>
        <w:shd w:val="clear" w:color="auto" w:fill="auto"/>
        <w:tabs>
          <w:tab w:pos="848" w:val="left"/>
        </w:tabs>
        <w:bidi w:val="0"/>
        <w:spacing w:before="0" w:after="0" w:line="420" w:lineRule="exact"/>
        <w:ind w:left="0" w:right="0" w:firstLine="460"/>
        <w:jc w:val="both"/>
      </w:pPr>
      <w:bookmarkStart w:id="704" w:name="bookmark704"/>
      <w:bookmarkEnd w:id="704"/>
      <w:r>
        <w:rPr>
          <w:color w:val="000000"/>
          <w:spacing w:val="0"/>
          <w:w w:val="100"/>
          <w:position w:val="0"/>
        </w:rPr>
        <w:t>会议议案审议及表决情况</w:t>
      </w:r>
    </w:p>
    <w:p>
      <w:pPr>
        <w:pStyle w:val="Style17"/>
        <w:keepNext w:val="0"/>
        <w:keepLines w:val="0"/>
        <w:widowControl w:val="0"/>
        <w:shd w:val="clear" w:color="auto" w:fill="auto"/>
        <w:bidi w:val="0"/>
        <w:spacing w:before="0" w:after="0" w:line="451" w:lineRule="exact"/>
        <w:ind w:left="0" w:right="0" w:firstLine="460"/>
        <w:jc w:val="both"/>
      </w:pP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持有人会议对《苏宁易购集团股份有限公司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年度第一期中期票据</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年度第二次持有人会议的议案》的审议及表决情况如下：</w:t>
      </w:r>
    </w:p>
    <w:p>
      <w:pPr>
        <w:pStyle w:val="Style17"/>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同意该议案的债券持有人（包括代理人）共计</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名，合计持有的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表决权数 额为人民币</w:t>
      </w:r>
      <w:r>
        <w:rPr>
          <w:rFonts w:ascii="Times New Roman" w:eastAsia="Times New Roman" w:hAnsi="Times New Roman" w:cs="Times New Roman"/>
          <w:color w:val="000000"/>
          <w:spacing w:val="0"/>
          <w:w w:val="100"/>
          <w:position w:val="0"/>
          <w:sz w:val="22"/>
          <w:szCs w:val="22"/>
        </w:rPr>
        <w:t>400,000,000</w:t>
      </w:r>
      <w:r>
        <w:rPr>
          <w:color w:val="000000"/>
          <w:spacing w:val="0"/>
          <w:w w:val="100"/>
          <w:position w:val="0"/>
        </w:rPr>
        <w:t>元，占参加本次会议的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持有人（包括代理人）所持有 效表决权总额的</w:t>
      </w:r>
      <w:r>
        <w:rPr>
          <w:rFonts w:ascii="Times New Roman" w:eastAsia="Times New Roman" w:hAnsi="Times New Roman" w:cs="Times New Roman"/>
          <w:color w:val="000000"/>
          <w:spacing w:val="0"/>
          <w:w w:val="100"/>
          <w:position w:val="0"/>
          <w:sz w:val="22"/>
          <w:szCs w:val="22"/>
        </w:rPr>
        <w:t>80%</w:t>
      </w:r>
      <w:r>
        <w:rPr>
          <w:color w:val="000000"/>
          <w:spacing w:val="0"/>
          <w:w w:val="100"/>
          <w:position w:val="0"/>
        </w:rPr>
        <w:t>。</w:t>
      </w:r>
    </w:p>
    <w:p>
      <w:pPr>
        <w:pStyle w:val="Style17"/>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反对该议案的债券持有人（包括代理人）共计</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名，合计持有的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表决权数 额为人民币</w:t>
      </w:r>
      <w:r>
        <w:rPr>
          <w:rFonts w:ascii="Times New Roman" w:eastAsia="Times New Roman" w:hAnsi="Times New Roman" w:cs="Times New Roman"/>
          <w:color w:val="000000"/>
          <w:spacing w:val="0"/>
          <w:w w:val="100"/>
          <w:position w:val="0"/>
          <w:sz w:val="22"/>
          <w:szCs w:val="22"/>
        </w:rPr>
        <w:t>100,000,000</w:t>
      </w:r>
      <w:r>
        <w:rPr>
          <w:color w:val="000000"/>
          <w:spacing w:val="0"/>
          <w:w w:val="100"/>
          <w:position w:val="0"/>
        </w:rPr>
        <w:t>元，占参加本次会议的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持有人（包括代理人）所持有 效表决权总额的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w:t>
      </w:r>
    </w:p>
    <w:p>
      <w:pPr>
        <w:pStyle w:val="Style17"/>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弃权的债券持有人（包括代理人）共计</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名，合计持有的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表决权数额为人 民币</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元，占参加本次会议的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 xml:space="preserve">持有人（包括代理人）所持有效表决权总额的 </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w:t>
      </w:r>
    </w:p>
    <w:p>
      <w:pPr>
        <w:pStyle w:val="Style17"/>
        <w:keepNext w:val="0"/>
        <w:keepLines w:val="0"/>
        <w:widowControl w:val="0"/>
        <w:shd w:val="clear" w:color="auto" w:fill="auto"/>
        <w:bidi w:val="0"/>
        <w:spacing w:before="0" w:after="0" w:line="427" w:lineRule="exact"/>
        <w:ind w:left="0" w:right="0" w:firstLine="460"/>
        <w:jc w:val="both"/>
      </w:pPr>
      <w:r>
        <w:rPr>
          <w:color w:val="000000"/>
          <w:spacing w:val="0"/>
          <w:w w:val="100"/>
          <w:position w:val="0"/>
        </w:rPr>
        <w:t>按照银行间市场清算所股份有限公司提供的持有人名册，经见证持有人会议的律师确认，以上表 决票有效。</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的相关议案的表决达到《苏宁易购集团股份有限公司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 一期中期票据募集说明书》规定的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持有人会议决议应当由出席会议的本期债务融资工具持有人所持 表决权的四分之三以上通过后生效</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的表决生效条件，议案获得通过。</w:t>
      </w:r>
    </w:p>
    <w:p>
      <w:pPr>
        <w:pStyle w:val="Style17"/>
        <w:keepNext w:val="0"/>
        <w:keepLines w:val="0"/>
        <w:widowControl w:val="0"/>
        <w:shd w:val="clear" w:color="auto" w:fill="auto"/>
        <w:bidi w:val="0"/>
        <w:spacing w:before="0" w:after="0" w:line="427" w:lineRule="exact"/>
        <w:ind w:left="0" w:right="0" w:firstLine="460"/>
        <w:jc w:val="both"/>
      </w:pPr>
      <w:r>
        <w:rPr>
          <w:color w:val="000000"/>
          <w:spacing w:val="0"/>
          <w:w w:val="100"/>
          <w:position w:val="0"/>
        </w:rPr>
        <w:t>持表决权的四分之三以上通过后生效</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的表决生效条件，议案获得通过。</w:t>
      </w:r>
    </w:p>
    <w:p>
      <w:pPr>
        <w:pStyle w:val="Style17"/>
        <w:keepNext w:val="0"/>
        <w:keepLines w:val="0"/>
        <w:widowControl w:val="0"/>
        <w:shd w:val="clear" w:color="auto" w:fill="auto"/>
        <w:bidi w:val="0"/>
        <w:spacing w:before="0" w:after="0" w:line="427"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年度第一期中期票据</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年度第二次持有人会议</w:t>
      </w:r>
    </w:p>
    <w:p>
      <w:pPr>
        <w:pStyle w:val="Style17"/>
        <w:keepNext w:val="0"/>
        <w:keepLines w:val="0"/>
        <w:widowControl w:val="0"/>
        <w:numPr>
          <w:ilvl w:val="0"/>
          <w:numId w:val="15"/>
        </w:numPr>
        <w:shd w:val="clear" w:color="auto" w:fill="auto"/>
        <w:tabs>
          <w:tab w:pos="848" w:val="left"/>
        </w:tabs>
        <w:bidi w:val="0"/>
        <w:spacing w:before="0" w:after="0" w:line="427" w:lineRule="exact"/>
        <w:ind w:left="0" w:right="0" w:firstLine="460"/>
        <w:jc w:val="both"/>
      </w:pPr>
      <w:bookmarkStart w:id="705" w:name="bookmark705"/>
      <w:bookmarkEnd w:id="705"/>
      <w:r>
        <w:rPr>
          <w:color w:val="000000"/>
          <w:spacing w:val="0"/>
          <w:w w:val="100"/>
          <w:position w:val="0"/>
        </w:rPr>
        <w:t>议案内容</w:t>
      </w:r>
    </w:p>
    <w:p>
      <w:pPr>
        <w:pStyle w:val="Style17"/>
        <w:keepNext w:val="0"/>
        <w:keepLines w:val="0"/>
        <w:widowControl w:val="0"/>
        <w:shd w:val="clear" w:color="auto" w:fill="auto"/>
        <w:bidi w:val="0"/>
        <w:spacing w:before="0" w:after="0" w:line="427" w:lineRule="exact"/>
        <w:ind w:left="0" w:right="0" w:firstLine="460"/>
        <w:jc w:val="both"/>
      </w:pPr>
      <w:r>
        <w:rPr>
          <w:color w:val="000000"/>
          <w:spacing w:val="0"/>
          <w:w w:val="100"/>
          <w:position w:val="0"/>
        </w:rPr>
        <w:t>议案：关于豁免因发行人实际控制人变更导致违反债务融资工具约定事宜的议案</w:t>
      </w:r>
    </w:p>
    <w:p>
      <w:pPr>
        <w:pStyle w:val="Style17"/>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债券持有人已知悉发行人实际控制权变更情况，同意豁免发行人因实际控制权变更违反债务融资 工具约定事宜，且维持</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存续，不要求公司提前清偿</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项下 债务，也不要求发行人就</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提供额外担保。</w:t>
      </w:r>
    </w:p>
    <w:p>
      <w:pPr>
        <w:pStyle w:val="Style17"/>
        <w:keepNext w:val="0"/>
        <w:keepLines w:val="0"/>
        <w:widowControl w:val="0"/>
        <w:numPr>
          <w:ilvl w:val="0"/>
          <w:numId w:val="15"/>
        </w:numPr>
        <w:shd w:val="clear" w:color="auto" w:fill="auto"/>
        <w:tabs>
          <w:tab w:pos="848" w:val="left"/>
        </w:tabs>
        <w:bidi w:val="0"/>
        <w:spacing w:before="0" w:after="0" w:line="427" w:lineRule="exact"/>
        <w:ind w:left="0" w:right="0" w:firstLine="460"/>
        <w:jc w:val="both"/>
      </w:pPr>
      <w:bookmarkStart w:id="706" w:name="bookmark706"/>
      <w:bookmarkEnd w:id="706"/>
      <w:r>
        <w:rPr>
          <w:color w:val="000000"/>
          <w:spacing w:val="0"/>
          <w:w w:val="100"/>
          <w:position w:val="0"/>
        </w:rPr>
        <w:t>会议议案审议及表决情况</w:t>
      </w:r>
    </w:p>
    <w:p>
      <w:pPr>
        <w:pStyle w:val="Style17"/>
        <w:keepNext w:val="0"/>
        <w:keepLines w:val="0"/>
        <w:widowControl w:val="0"/>
        <w:shd w:val="clear" w:color="auto" w:fill="auto"/>
        <w:bidi w:val="0"/>
        <w:spacing w:before="0" w:after="0" w:line="427" w:lineRule="exact"/>
        <w:ind w:left="0" w:right="0" w:firstLine="460"/>
        <w:jc w:val="both"/>
      </w:pP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持有人会议对《苏宁易购集团股份有限公司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年度第一期中期票据</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年度第二次持有人会议的议案》的审议及表决情况如下：</w:t>
      </w:r>
    </w:p>
    <w:p>
      <w:pPr>
        <w:pStyle w:val="Style17"/>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同意该议案的债券持有人（包括代理人）共计</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名，合计持有的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表决权数 额为人民币</w:t>
      </w:r>
      <w:r>
        <w:rPr>
          <w:rFonts w:ascii="Times New Roman" w:eastAsia="Times New Roman" w:hAnsi="Times New Roman" w:cs="Times New Roman"/>
          <w:color w:val="000000"/>
          <w:spacing w:val="0"/>
          <w:w w:val="100"/>
          <w:position w:val="0"/>
          <w:sz w:val="22"/>
          <w:szCs w:val="22"/>
        </w:rPr>
        <w:t>400,000,000</w:t>
      </w:r>
      <w:r>
        <w:rPr>
          <w:color w:val="000000"/>
          <w:spacing w:val="0"/>
          <w:w w:val="100"/>
          <w:position w:val="0"/>
        </w:rPr>
        <w:t>元，占参加本次会议的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持有人（包括代理人）所持有 效表决权总额的</w:t>
      </w:r>
      <w:r>
        <w:rPr>
          <w:rFonts w:ascii="Times New Roman" w:eastAsia="Times New Roman" w:hAnsi="Times New Roman" w:cs="Times New Roman"/>
          <w:color w:val="000000"/>
          <w:spacing w:val="0"/>
          <w:w w:val="100"/>
          <w:position w:val="0"/>
          <w:sz w:val="22"/>
          <w:szCs w:val="22"/>
        </w:rPr>
        <w:t>80%</w:t>
      </w:r>
      <w:r>
        <w:rPr>
          <w:color w:val="000000"/>
          <w:spacing w:val="0"/>
          <w:w w:val="100"/>
          <w:position w:val="0"/>
        </w:rPr>
        <w:t>。</w:t>
      </w:r>
    </w:p>
    <w:p>
      <w:pPr>
        <w:pStyle w:val="Style17"/>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反对该议案的债券持有人（包括代理人）共计</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名，合计持有的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表决权数 额为人民币</w:t>
      </w:r>
      <w:r>
        <w:rPr>
          <w:rFonts w:ascii="Times New Roman" w:eastAsia="Times New Roman" w:hAnsi="Times New Roman" w:cs="Times New Roman"/>
          <w:color w:val="000000"/>
          <w:spacing w:val="0"/>
          <w:w w:val="100"/>
          <w:position w:val="0"/>
          <w:sz w:val="22"/>
          <w:szCs w:val="22"/>
        </w:rPr>
        <w:t>100,000,000</w:t>
      </w:r>
      <w:r>
        <w:rPr>
          <w:color w:val="000000"/>
          <w:spacing w:val="0"/>
          <w:w w:val="100"/>
          <w:position w:val="0"/>
        </w:rPr>
        <w:t>元，占参加本次会议的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持有人（包括代理人）所持有 效表决权总额的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w:t>
      </w:r>
    </w:p>
    <w:p>
      <w:pPr>
        <w:pStyle w:val="Style17"/>
        <w:keepNext w:val="0"/>
        <w:keepLines w:val="0"/>
        <w:widowControl w:val="0"/>
        <w:shd w:val="clear" w:color="auto" w:fill="auto"/>
        <w:bidi w:val="0"/>
        <w:spacing w:before="0" w:after="0" w:line="427" w:lineRule="exact"/>
        <w:ind w:left="0" w:right="0" w:firstLine="460"/>
        <w:jc w:val="both"/>
      </w:pPr>
      <w:r>
        <w:rPr>
          <w:color w:val="000000"/>
          <w:spacing w:val="0"/>
          <w:w w:val="100"/>
          <w:position w:val="0"/>
        </w:rPr>
        <w:t>弃权的债券持有人（包括代理人）共计</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名，合计持有的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 xml:space="preserve">表决权数额为人 </w:t>
      </w:r>
      <w:r>
        <w:rPr>
          <w:color w:val="000000"/>
          <w:spacing w:val="0"/>
          <w:w w:val="100"/>
          <w:position w:val="0"/>
        </w:rPr>
        <w:t>民币</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元，占参加本次会议的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 xml:space="preserve">持有人（包括代理人）所持有效表决权总额的 </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w:t>
      </w:r>
    </w:p>
    <w:p>
      <w:pPr>
        <w:pStyle w:val="Style17"/>
        <w:keepNext w:val="0"/>
        <w:keepLines w:val="0"/>
        <w:widowControl w:val="0"/>
        <w:shd w:val="clear" w:color="auto" w:fill="auto"/>
        <w:bidi w:val="0"/>
        <w:spacing w:before="0" w:after="460" w:line="428" w:lineRule="exact"/>
        <w:ind w:left="0" w:right="0" w:firstLine="520"/>
        <w:jc w:val="both"/>
      </w:pPr>
      <w:r>
        <w:rPr>
          <w:color w:val="000000"/>
          <w:spacing w:val="0"/>
          <w:w w:val="100"/>
          <w:position w:val="0"/>
        </w:rPr>
        <w:t>按照银行间市场清算所股份有限公司提供的持有人名册，经见证持有人会议的律师确认，以上表 决票有效。</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的相关议案的表决达到《苏宁易购集团股份有限公司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 一期中期票据募集说明书》规定的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持有人会议决议应当由出席会议的本期债务融资工具持有人所持 表决权的四分之三以上通过后生效</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的表决生效条件，议案获得通过。</w:t>
      </w:r>
    </w:p>
    <w:p>
      <w:pPr>
        <w:pStyle w:val="Style26"/>
        <w:keepNext w:val="0"/>
        <w:keepLines w:val="0"/>
        <w:widowControl w:val="0"/>
        <w:shd w:val="clear" w:color="auto" w:fill="auto"/>
        <w:bidi w:val="0"/>
        <w:spacing w:before="0" w:after="0" w:line="240" w:lineRule="auto"/>
        <w:ind w:left="62" w:right="0" w:firstLine="0"/>
        <w:jc w:val="left"/>
      </w:pPr>
      <w:bookmarkStart w:id="707" w:name="bookmark707"/>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rPr>
        <w:t>、中介机构的情况</w:t>
      </w:r>
      <w:bookmarkEnd w:id="707"/>
    </w:p>
    <w:tbl>
      <w:tblPr>
        <w:tblOverlap w:val="never"/>
        <w:jc w:val="center"/>
        <w:tblLayout w:type="fixed"/>
      </w:tblPr>
      <w:tblGrid>
        <w:gridCol w:w="1651"/>
        <w:gridCol w:w="1642"/>
        <w:gridCol w:w="1642"/>
        <w:gridCol w:w="1642"/>
        <w:gridCol w:w="1642"/>
        <w:gridCol w:w="1651"/>
      </w:tblGrid>
      <w:tr>
        <w:trPr>
          <w:trHeight w:val="37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债券项目名称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中介机构名称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办公地址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签字会计师姓名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中介机构联系人</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联系电话</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w:t>
            </w:r>
            <w:r>
              <w:rPr>
                <w:rFonts w:ascii="SimSun" w:eastAsia="SimSun" w:hAnsi="SimSun" w:cs="SimSun"/>
                <w:color w:val="000000"/>
                <w:spacing w:val="0"/>
                <w:w w:val="100"/>
                <w:position w:val="0"/>
                <w:sz w:val="20"/>
                <w:szCs w:val="20"/>
              </w:rPr>
              <w:t>苏宁易购</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中国建设银行股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both"/>
              <w:rPr>
                <w:sz w:val="20"/>
                <w:szCs w:val="20"/>
              </w:rPr>
            </w:pPr>
            <w:r>
              <w:rPr>
                <w:rFonts w:ascii="SimSun" w:eastAsia="SimSun" w:hAnsi="SimSun" w:cs="SimSun"/>
                <w:color w:val="000000"/>
                <w:spacing w:val="0"/>
                <w:w w:val="100"/>
                <w:position w:val="0"/>
                <w:sz w:val="20"/>
                <w:szCs w:val="20"/>
              </w:rPr>
              <w:t>北京市西城区闹 市口大街</w:t>
            </w:r>
            <w:r>
              <w:rPr>
                <w:color w:val="000000"/>
                <w:spacing w:val="0"/>
                <w:w w:val="100"/>
                <w:position w:val="0"/>
                <w:sz w:val="22"/>
                <w:szCs w:val="22"/>
              </w:rPr>
              <w:t>1</w:t>
            </w:r>
            <w:r>
              <w:rPr>
                <w:rFonts w:ascii="SimSun" w:eastAsia="SimSun" w:hAnsi="SimSun" w:cs="SimSun"/>
                <w:color w:val="000000"/>
                <w:spacing w:val="0"/>
                <w:w w:val="100"/>
                <w:position w:val="0"/>
                <w:sz w:val="20"/>
                <w:szCs w:val="20"/>
              </w:rPr>
              <w:t xml:space="preserve">号院 </w:t>
            </w:r>
            <w:r>
              <w:rPr>
                <w:color w:val="000000"/>
                <w:spacing w:val="0"/>
                <w:w w:val="100"/>
                <w:position w:val="0"/>
                <w:sz w:val="22"/>
                <w:szCs w:val="22"/>
              </w:rPr>
              <w:t>1</w:t>
            </w:r>
            <w:r>
              <w:rPr>
                <w:rFonts w:ascii="SimSun" w:eastAsia="SimSun" w:hAnsi="SimSun" w:cs="SimSun"/>
                <w:color w:val="000000"/>
                <w:spacing w:val="0"/>
                <w:w w:val="100"/>
                <w:position w:val="0"/>
                <w:sz w:val="20"/>
                <w:szCs w:val="20"/>
              </w:rPr>
              <w:t>号楼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钱进、莫冰洁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王文俊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010-67594276</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w:t>
            </w:r>
            <w:r>
              <w:rPr>
                <w:rFonts w:ascii="SimSun" w:eastAsia="SimSun" w:hAnsi="SimSun" w:cs="SimSun"/>
                <w:color w:val="000000"/>
                <w:spacing w:val="0"/>
                <w:w w:val="100"/>
                <w:position w:val="0"/>
                <w:sz w:val="20"/>
                <w:szCs w:val="20"/>
              </w:rPr>
              <w:t>苏宁易购</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中信证券股份有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both"/>
              <w:rPr>
                <w:sz w:val="20"/>
                <w:szCs w:val="20"/>
              </w:rPr>
            </w:pPr>
            <w:r>
              <w:rPr>
                <w:rFonts w:ascii="SimSun" w:eastAsia="SimSun" w:hAnsi="SimSun" w:cs="SimSun"/>
                <w:color w:val="000000"/>
                <w:spacing w:val="0"/>
                <w:w w:val="100"/>
                <w:position w:val="0"/>
                <w:sz w:val="20"/>
                <w:szCs w:val="20"/>
              </w:rPr>
              <w:t>北京市朝阳区亮 马桥路</w:t>
            </w:r>
            <w:r>
              <w:rPr>
                <w:color w:val="000000"/>
                <w:spacing w:val="0"/>
                <w:w w:val="100"/>
                <w:position w:val="0"/>
                <w:sz w:val="22"/>
                <w:szCs w:val="22"/>
              </w:rPr>
              <w:t>48</w:t>
            </w:r>
            <w:r>
              <w:rPr>
                <w:rFonts w:ascii="SimSun" w:eastAsia="SimSun" w:hAnsi="SimSun" w:cs="SimSun"/>
                <w:color w:val="000000"/>
                <w:spacing w:val="0"/>
                <w:w w:val="100"/>
                <w:position w:val="0"/>
                <w:sz w:val="20"/>
                <w:szCs w:val="20"/>
              </w:rPr>
              <w:t>号中 信证券大厦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钱进、莫冰洁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周伟帆、孙啸博</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010-60834068</w:t>
            </w:r>
          </w:p>
        </w:tc>
      </w:tr>
      <w:tr>
        <w:trPr>
          <w:trHeight w:val="151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w:t>
            </w:r>
            <w:r>
              <w:rPr>
                <w:rFonts w:ascii="SimSun" w:eastAsia="SimSun" w:hAnsi="SimSun" w:cs="SimSun"/>
                <w:color w:val="000000"/>
                <w:spacing w:val="0"/>
                <w:w w:val="100"/>
                <w:position w:val="0"/>
                <w:sz w:val="20"/>
                <w:szCs w:val="20"/>
              </w:rPr>
              <w:t>苏宁易购</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40" w:line="240" w:lineRule="auto"/>
              <w:ind w:left="0" w:right="0" w:firstLine="0"/>
              <w:jc w:val="left"/>
              <w:rPr>
                <w:sz w:val="20"/>
                <w:szCs w:val="20"/>
              </w:rPr>
            </w:pPr>
            <w:r>
              <w:rPr>
                <w:rFonts w:ascii="SimSun" w:eastAsia="SimSun" w:hAnsi="SimSun" w:cs="SimSun"/>
                <w:color w:val="000000"/>
                <w:spacing w:val="0"/>
                <w:w w:val="100"/>
                <w:position w:val="0"/>
                <w:sz w:val="20"/>
                <w:szCs w:val="20"/>
              </w:rPr>
              <w:t>中诚信国际信</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用评级有限责</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4" w:lineRule="exact"/>
              <w:ind w:left="0" w:right="0" w:firstLine="0"/>
              <w:jc w:val="left"/>
              <w:rPr>
                <w:sz w:val="20"/>
                <w:szCs w:val="20"/>
              </w:rPr>
            </w:pPr>
            <w:r>
              <w:rPr>
                <w:rFonts w:ascii="SimSun" w:eastAsia="SimSun" w:hAnsi="SimSun" w:cs="SimSun"/>
                <w:color w:val="000000"/>
                <w:spacing w:val="0"/>
                <w:w w:val="100"/>
                <w:position w:val="0"/>
                <w:sz w:val="20"/>
                <w:szCs w:val="20"/>
              </w:rPr>
              <w:t>北京市东城区 朝阳门内大街 南竹杆胡同</w:t>
            </w:r>
            <w:r>
              <w:rPr>
                <w:color w:val="000000"/>
                <w:spacing w:val="0"/>
                <w:w w:val="100"/>
                <w:position w:val="0"/>
                <w:sz w:val="22"/>
                <w:szCs w:val="22"/>
              </w:rPr>
              <w:t xml:space="preserve">2 </w:t>
            </w:r>
            <w:r>
              <w:rPr>
                <w:rFonts w:ascii="SimSun" w:eastAsia="SimSun" w:hAnsi="SimSun" w:cs="SimSun"/>
                <w:color w:val="000000"/>
                <w:spacing w:val="0"/>
                <w:w w:val="100"/>
                <w:position w:val="0"/>
                <w:sz w:val="20"/>
                <w:szCs w:val="20"/>
              </w:rPr>
              <w:t>号银河</w:t>
            </w:r>
            <w:r>
              <w:rPr>
                <w:color w:val="000000"/>
                <w:spacing w:val="0"/>
                <w:w w:val="100"/>
                <w:position w:val="0"/>
                <w:sz w:val="22"/>
                <w:szCs w:val="22"/>
              </w:rPr>
              <w:t xml:space="preserve">SOHO </w:t>
            </w:r>
            <w:r>
              <w:rPr>
                <w:color w:val="000000"/>
                <w:spacing w:val="0"/>
                <w:w w:val="100"/>
                <w:position w:val="0"/>
                <w:sz w:val="22"/>
                <w:szCs w:val="22"/>
              </w:rPr>
              <w:t>5</w:t>
            </w:r>
            <w:r>
              <w:rPr>
                <w:rFonts w:ascii="SimSun" w:eastAsia="SimSun" w:hAnsi="SimSun" w:cs="SimSun"/>
                <w:color w:val="000000"/>
                <w:spacing w:val="0"/>
                <w:w w:val="100"/>
                <w:position w:val="0"/>
                <w:sz w:val="20"/>
                <w:szCs w:val="20"/>
              </w:rPr>
              <w:t>号楼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钱进、莫冰洁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田梓慧、杨傲 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010-66428877</w:t>
            </w:r>
          </w:p>
        </w:tc>
      </w:tr>
      <w:tr>
        <w:trPr>
          <w:trHeight w:val="124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w:t>
            </w:r>
            <w:r>
              <w:rPr>
                <w:rFonts w:ascii="SimSun" w:eastAsia="SimSun" w:hAnsi="SimSun" w:cs="SimSun"/>
                <w:color w:val="000000"/>
                <w:spacing w:val="0"/>
                <w:w w:val="100"/>
                <w:position w:val="0"/>
                <w:sz w:val="20"/>
                <w:szCs w:val="20"/>
              </w:rPr>
              <w:t>苏宁易购</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rPr>
                <w:sz w:val="20"/>
                <w:szCs w:val="20"/>
              </w:rPr>
            </w:pPr>
            <w:r>
              <w:rPr>
                <w:rFonts w:ascii="SimSun" w:eastAsia="SimSun" w:hAnsi="SimSun" w:cs="SimSun"/>
                <w:color w:val="000000"/>
                <w:spacing w:val="0"/>
                <w:w w:val="100"/>
                <w:position w:val="0"/>
                <w:sz w:val="20"/>
                <w:szCs w:val="20"/>
              </w:rPr>
              <w:t>银行间市场清 算所股份有限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80" w:lineRule="exact"/>
              <w:ind w:left="0" w:right="0" w:firstLine="0"/>
              <w:jc w:val="left"/>
              <w:rPr>
                <w:sz w:val="20"/>
                <w:szCs w:val="20"/>
              </w:rPr>
            </w:pPr>
            <w:r>
              <w:rPr>
                <w:rFonts w:ascii="SimSun" w:eastAsia="SimSun" w:hAnsi="SimSun" w:cs="SimSun"/>
                <w:color w:val="000000"/>
                <w:spacing w:val="0"/>
                <w:w w:val="100"/>
                <w:position w:val="0"/>
                <w:sz w:val="20"/>
                <w:szCs w:val="20"/>
              </w:rPr>
              <w:t>上海市中山南 路</w:t>
            </w:r>
            <w:r>
              <w:rPr>
                <w:color w:val="000000"/>
                <w:spacing w:val="0"/>
                <w:w w:val="100"/>
                <w:position w:val="0"/>
                <w:sz w:val="22"/>
                <w:szCs w:val="22"/>
              </w:rPr>
              <w:t>318</w:t>
            </w:r>
            <w:r>
              <w:rPr>
                <w:rFonts w:ascii="SimSun" w:eastAsia="SimSun" w:hAnsi="SimSun" w:cs="SimSun"/>
                <w:color w:val="000000"/>
                <w:spacing w:val="0"/>
                <w:w w:val="100"/>
                <w:position w:val="0"/>
                <w:sz w:val="20"/>
                <w:szCs w:val="20"/>
              </w:rPr>
              <w:t xml:space="preserve">号东方 国际金融广场 </w:t>
            </w:r>
            <w:r>
              <w:rPr>
                <w:color w:val="000000"/>
                <w:spacing w:val="0"/>
                <w:w w:val="100"/>
                <w:position w:val="0"/>
                <w:sz w:val="22"/>
                <w:szCs w:val="22"/>
              </w:rPr>
              <w:t>33</w:t>
            </w:r>
            <w:r>
              <w:rPr>
                <w:rFonts w:ascii="SimSun" w:eastAsia="SimSun" w:hAnsi="SimSun" w:cs="SimSun"/>
                <w:color w:val="000000"/>
                <w:spacing w:val="0"/>
                <w:w w:val="100"/>
                <w:position w:val="0"/>
                <w:sz w:val="20"/>
                <w:szCs w:val="20"/>
              </w:rPr>
              <w:t>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钱进、莫冰洁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发行岗</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021-63326662</w:t>
            </w:r>
          </w:p>
        </w:tc>
      </w:tr>
    </w:tbl>
    <w:p>
      <w:pPr>
        <w:widowControl w:val="0"/>
        <w:spacing w:after="399" w:line="1" w:lineRule="exact"/>
      </w:pPr>
    </w:p>
    <w:p>
      <w:pPr>
        <w:pStyle w:val="Style17"/>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报告期内上述机构是否发生变化</w:t>
      </w:r>
    </w:p>
    <w:p>
      <w:pPr>
        <w:pStyle w:val="Style17"/>
        <w:keepNext w:val="0"/>
        <w:keepLines w:val="0"/>
        <w:widowControl w:val="0"/>
        <w:shd w:val="clear" w:color="auto" w:fill="auto"/>
        <w:bidi w:val="0"/>
        <w:spacing w:before="0" w:after="460" w:line="240" w:lineRule="auto"/>
        <w:ind w:left="0" w:right="0" w:firstLine="52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35"/>
        <w:keepNext/>
        <w:keepLines/>
        <w:widowControl w:val="0"/>
        <w:shd w:val="clear" w:color="auto" w:fill="auto"/>
        <w:bidi w:val="0"/>
        <w:spacing w:before="0" w:after="32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sz w:val="22"/>
          <w:szCs w:val="22"/>
        </w:rPr>
        <w:t>4</w:t>
      </w:r>
      <w:bookmarkEnd w:id="710"/>
      <w:r>
        <w:rPr>
          <w:color w:val="000000"/>
          <w:spacing w:val="0"/>
          <w:w w:val="100"/>
          <w:position w:val="0"/>
        </w:rPr>
        <w:t>、募集资金使用情况</w:t>
      </w:r>
      <w:bookmarkEnd w:id="708"/>
      <w:bookmarkEnd w:id="709"/>
      <w:bookmarkEnd w:id="7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42"/>
        <w:gridCol w:w="1133"/>
        <w:gridCol w:w="1277"/>
        <w:gridCol w:w="1133"/>
        <w:gridCol w:w="1560"/>
        <w:gridCol w:w="1421"/>
        <w:gridCol w:w="2045"/>
      </w:tblGrid>
      <w:tr>
        <w:trPr>
          <w:trHeight w:val="9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债券项目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募集资金 总金额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已使用金额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未使用金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募集资金专项</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账户运作情况</w:t>
            </w:r>
          </w:p>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（如有）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募集资金违规</w:t>
            </w:r>
          </w:p>
          <w:p>
            <w:pPr>
              <w:pStyle w:val="Style29"/>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使用的整改情 况（如有）</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both"/>
              <w:rPr>
                <w:sz w:val="20"/>
                <w:szCs w:val="20"/>
              </w:rPr>
            </w:pPr>
            <w:r>
              <w:rPr>
                <w:rFonts w:ascii="SimSun" w:eastAsia="SimSun" w:hAnsi="SimSun" w:cs="SimSun"/>
                <w:color w:val="000000"/>
                <w:spacing w:val="0"/>
                <w:w w:val="100"/>
                <w:position w:val="0"/>
                <w:sz w:val="20"/>
                <w:szCs w:val="20"/>
              </w:rPr>
              <w:t>是否与募集说明书承 诺的用途、使用计划 及其他约定一致</w:t>
            </w:r>
          </w:p>
        </w:tc>
      </w:tr>
      <w:tr>
        <w:trPr>
          <w:trHeight w:val="66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20</w:t>
            </w:r>
            <w:r>
              <w:rPr>
                <w:rFonts w:ascii="SimSun" w:eastAsia="SimSun" w:hAnsi="SimSun" w:cs="SimSun"/>
                <w:color w:val="000000"/>
                <w:spacing w:val="0"/>
                <w:w w:val="100"/>
                <w:position w:val="0"/>
                <w:sz w:val="20"/>
                <w:szCs w:val="20"/>
              </w:rPr>
              <w:t>苏宁易</w:t>
            </w:r>
          </w:p>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 xml:space="preserve">购 </w:t>
            </w:r>
            <w:r>
              <w:rPr>
                <w:color w:val="000000"/>
                <w:spacing w:val="0"/>
                <w:w w:val="100"/>
                <w:position w:val="0"/>
              </w:rPr>
              <w:t>MTN001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bl>
    <w:p>
      <w:pPr>
        <w:widowControl w:val="0"/>
        <w:spacing w:after="399" w:line="1" w:lineRule="exact"/>
      </w:pPr>
    </w:p>
    <w:p>
      <w:pPr>
        <w:pStyle w:val="Style17"/>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募集资金用于建设项目</w:t>
      </w:r>
    </w:p>
    <w:p>
      <w:pPr>
        <w:pStyle w:val="Style17"/>
        <w:keepNext w:val="0"/>
        <w:keepLines w:val="0"/>
        <w:widowControl w:val="0"/>
        <w:shd w:val="clear" w:color="auto" w:fill="auto"/>
        <w:bidi w:val="0"/>
        <w:spacing w:before="0" w:after="400" w:line="240" w:lineRule="auto"/>
        <w:ind w:left="0" w:right="0" w:firstLine="52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160" w:line="430" w:lineRule="exact"/>
        <w:ind w:left="0" w:right="0" w:firstLine="460"/>
        <w:jc w:val="both"/>
      </w:pPr>
      <w:r>
        <w:rPr>
          <w:color w:val="000000"/>
          <w:spacing w:val="0"/>
          <w:w w:val="100"/>
          <w:position w:val="0"/>
        </w:rPr>
        <w:t>公司报告期内变更上述债券募集资金用途</w:t>
      </w:r>
    </w:p>
    <w:p>
      <w:pPr>
        <w:pStyle w:val="Style17"/>
        <w:keepNext w:val="0"/>
        <w:keepLines w:val="0"/>
        <w:widowControl w:val="0"/>
        <w:shd w:val="clear" w:color="auto" w:fill="auto"/>
        <w:bidi w:val="0"/>
        <w:spacing w:before="0" w:after="280" w:line="408"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5"/>
        <w:keepNext/>
        <w:keepLines/>
        <w:widowControl w:val="0"/>
        <w:shd w:val="clear" w:color="auto" w:fill="auto"/>
        <w:tabs>
          <w:tab w:pos="401" w:val="left"/>
        </w:tabs>
        <w:bidi w:val="0"/>
        <w:spacing w:before="0" w:after="0" w:line="408"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sz w:val="22"/>
          <w:szCs w:val="22"/>
        </w:rPr>
        <w:t>5</w:t>
      </w:r>
      <w:bookmarkEnd w:id="714"/>
      <w:r>
        <w:rPr>
          <w:color w:val="000000"/>
          <w:spacing w:val="0"/>
          <w:w w:val="100"/>
          <w:position w:val="0"/>
        </w:rPr>
        <w:t>、</w:t>
        <w:tab/>
        <w:t>报告期内信用评级结果调整情况</w:t>
      </w:r>
      <w:bookmarkEnd w:id="712"/>
      <w:bookmarkEnd w:id="713"/>
      <w:bookmarkEnd w:id="715"/>
    </w:p>
    <w:p>
      <w:pPr>
        <w:pStyle w:val="Style17"/>
        <w:keepNext w:val="0"/>
        <w:keepLines w:val="0"/>
        <w:widowControl w:val="0"/>
        <w:shd w:val="clear" w:color="auto" w:fill="auto"/>
        <w:bidi w:val="0"/>
        <w:spacing w:before="0" w:after="0" w:line="430" w:lineRule="exact"/>
        <w:ind w:left="0" w:right="0" w:firstLine="460"/>
        <w:jc w:val="left"/>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日，评级机构中诚信国际出具了《中诚信国际关于将苏宁易购集团股份有限公司 评级展望调整为负面的公告》。中诚信国际决定将苏宁易购集团股份有限公司的评级展望由稳定调整 为负面，维持其主体信用等级为</w:t>
      </w:r>
      <w:r>
        <w:rPr>
          <w:rFonts w:ascii="Times New Roman" w:eastAsia="Times New Roman" w:hAnsi="Times New Roman" w:cs="Times New Roman"/>
          <w:color w:val="000000"/>
          <w:spacing w:val="0"/>
          <w:w w:val="100"/>
          <w:position w:val="0"/>
          <w:sz w:val="22"/>
          <w:szCs w:val="22"/>
        </w:rPr>
        <w:t>AAA</w:t>
      </w:r>
      <w:r>
        <w:rPr>
          <w:color w:val="000000"/>
          <w:spacing w:val="0"/>
          <w:w w:val="100"/>
          <w:position w:val="0"/>
        </w:rPr>
        <w:t>；维持</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的信用等级为</w:t>
      </w:r>
      <w:r>
        <w:rPr>
          <w:rFonts w:ascii="Times New Roman" w:eastAsia="Times New Roman" w:hAnsi="Times New Roman" w:cs="Times New Roman"/>
          <w:color w:val="000000"/>
          <w:spacing w:val="0"/>
          <w:w w:val="100"/>
          <w:position w:val="0"/>
          <w:sz w:val="22"/>
          <w:szCs w:val="22"/>
        </w:rPr>
        <w:t>AAA</w:t>
      </w:r>
      <w:r>
        <w:rPr>
          <w:color w:val="000000"/>
          <w:spacing w:val="0"/>
          <w:w w:val="100"/>
          <w:position w:val="0"/>
        </w:rPr>
        <w:t>。</w:t>
      </w:r>
    </w:p>
    <w:p>
      <w:pPr>
        <w:pStyle w:val="Style17"/>
        <w:keepNext w:val="0"/>
        <w:keepLines w:val="0"/>
        <w:widowControl w:val="0"/>
        <w:shd w:val="clear" w:color="auto" w:fill="auto"/>
        <w:bidi w:val="0"/>
        <w:spacing w:before="0" w:after="400" w:line="430" w:lineRule="exact"/>
        <w:ind w:left="0" w:right="0" w:firstLine="460"/>
        <w:jc w:val="left"/>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日，评级机构中诚信国际出具了《苏宁易购集团股份有限公司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年度跟踪评级 报告》。中诚信国际将苏宁易购集团股份有限公司的主体信用等级由</w:t>
      </w:r>
      <w:r>
        <w:rPr>
          <w:rFonts w:ascii="Times New Roman" w:eastAsia="Times New Roman" w:hAnsi="Times New Roman" w:cs="Times New Roman"/>
          <w:color w:val="000000"/>
          <w:spacing w:val="0"/>
          <w:w w:val="100"/>
          <w:position w:val="0"/>
          <w:sz w:val="22"/>
          <w:szCs w:val="22"/>
        </w:rPr>
        <w:t>AAA</w:t>
      </w:r>
      <w:r>
        <w:rPr>
          <w:color w:val="000000"/>
          <w:spacing w:val="0"/>
          <w:w w:val="100"/>
          <w:position w:val="0"/>
        </w:rPr>
        <w:t>调降至</w:t>
      </w:r>
      <w:r>
        <w:rPr>
          <w:rFonts w:ascii="Times New Roman" w:eastAsia="Times New Roman" w:hAnsi="Times New Roman" w:cs="Times New Roman"/>
          <w:color w:val="000000"/>
          <w:spacing w:val="0"/>
          <w:w w:val="100"/>
          <w:position w:val="0"/>
          <w:sz w:val="22"/>
          <w:szCs w:val="22"/>
        </w:rPr>
        <w:t>AA+</w:t>
      </w:r>
      <w:r>
        <w:rPr>
          <w:color w:val="000000"/>
          <w:spacing w:val="0"/>
          <w:w w:val="100"/>
          <w:position w:val="0"/>
        </w:rPr>
        <w:t>；</w:t>
      </w:r>
      <w:r>
        <w:rPr>
          <w:color w:val="000000"/>
          <w:spacing w:val="0"/>
          <w:w w:val="100"/>
          <w:position w:val="0"/>
        </w:rPr>
        <w:t>将</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 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的债项信用等级由</w:t>
      </w:r>
      <w:r>
        <w:rPr>
          <w:rFonts w:ascii="Times New Roman" w:eastAsia="Times New Roman" w:hAnsi="Times New Roman" w:cs="Times New Roman"/>
          <w:color w:val="000000"/>
          <w:spacing w:val="0"/>
          <w:w w:val="100"/>
          <w:position w:val="0"/>
          <w:sz w:val="22"/>
          <w:szCs w:val="22"/>
        </w:rPr>
        <w:t>AAA</w:t>
      </w:r>
      <w:r>
        <w:rPr>
          <w:color w:val="000000"/>
          <w:spacing w:val="0"/>
          <w:w w:val="100"/>
          <w:position w:val="0"/>
        </w:rPr>
        <w:t>调降至</w:t>
      </w:r>
      <w:r>
        <w:rPr>
          <w:rFonts w:ascii="Times New Roman" w:eastAsia="Times New Roman" w:hAnsi="Times New Roman" w:cs="Times New Roman"/>
          <w:color w:val="000000"/>
          <w:spacing w:val="0"/>
          <w:w w:val="100"/>
          <w:position w:val="0"/>
          <w:sz w:val="22"/>
          <w:szCs w:val="22"/>
        </w:rPr>
        <w:t>AA+</w:t>
      </w:r>
      <w:r>
        <w:rPr>
          <w:color w:val="000000"/>
          <w:spacing w:val="0"/>
          <w:w w:val="100"/>
          <w:position w:val="0"/>
        </w:rPr>
        <w:t>，并将主体和债项信用等级列入信用评级观察名 单。</w:t>
      </w:r>
    </w:p>
    <w:p>
      <w:pPr>
        <w:pStyle w:val="Style35"/>
        <w:keepNext/>
        <w:keepLines/>
        <w:widowControl w:val="0"/>
        <w:shd w:val="clear" w:color="auto" w:fill="auto"/>
        <w:tabs>
          <w:tab w:pos="401" w:val="left"/>
        </w:tabs>
        <w:bidi w:val="0"/>
        <w:spacing w:before="0" w:after="160" w:line="307" w:lineRule="exact"/>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sz w:val="22"/>
          <w:szCs w:val="22"/>
        </w:rPr>
        <w:t>6</w:t>
      </w:r>
      <w:bookmarkEnd w:id="718"/>
      <w:r>
        <w:rPr>
          <w:color w:val="000000"/>
          <w:spacing w:val="0"/>
          <w:w w:val="100"/>
          <w:position w:val="0"/>
        </w:rPr>
        <w:t>、</w:t>
        <w:tab/>
        <w:t>担保情况、偿债计划及其他偿债保障措施在报告期内的执行情况和变化情况及对债券投资者权益 的影响</w:t>
      </w:r>
      <w:bookmarkEnd w:id="716"/>
      <w:bookmarkEnd w:id="717"/>
      <w:bookmarkEnd w:id="719"/>
    </w:p>
    <w:p>
      <w:pPr>
        <w:pStyle w:val="Style17"/>
        <w:keepNext w:val="0"/>
        <w:keepLines w:val="0"/>
        <w:widowControl w:val="0"/>
        <w:shd w:val="clear" w:color="auto" w:fill="auto"/>
        <w:bidi w:val="0"/>
        <w:spacing w:before="0" w:after="500" w:line="430" w:lineRule="exact"/>
        <w:ind w:left="0" w:right="0" w:firstLine="460"/>
        <w:jc w:val="both"/>
      </w:pPr>
      <w:r>
        <w:rPr>
          <w:color w:val="000000"/>
          <w:spacing w:val="0"/>
          <w:w w:val="100"/>
          <w:position w:val="0"/>
        </w:rPr>
        <w:t>本期债券未出具相关增信机制。报告期内，公司根据债务结构进一步加强资产负债管理、流动性 管理，保证资金按计划使用，及时、足额准备资金用于每年的利息支付和到期的本金兑付，以充分保 障投资者的利益。公司偿债资金来源及保障措施，详见公司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日中国货币网和上海清算 所网站发布的《苏宁易购集团股份有限公司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年度第一期中期票据募集说明书》</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第四章第二节偿 债资金来源及保障措施</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32"/>
        <w:keepNext/>
        <w:keepLines/>
        <w:widowControl w:val="0"/>
        <w:shd w:val="clear" w:color="auto" w:fill="auto"/>
        <w:tabs>
          <w:tab w:pos="498" w:val="left"/>
        </w:tabs>
        <w:bidi w:val="0"/>
        <w:spacing w:before="0" w:after="340" w:line="430" w:lineRule="exact"/>
        <w:ind w:left="0" w:right="0" w:firstLine="0"/>
        <w:jc w:val="left"/>
      </w:pPr>
      <w:bookmarkStart w:id="720" w:name="bookmark720"/>
      <w:bookmarkStart w:id="721" w:name="bookmark721"/>
      <w:bookmarkStart w:id="722" w:name="bookmark722"/>
      <w:bookmarkStart w:id="723" w:name="bookmark723"/>
      <w:r>
        <w:rPr>
          <w:color w:val="000000"/>
          <w:spacing w:val="0"/>
          <w:w w:val="100"/>
          <w:position w:val="0"/>
          <w:sz w:val="24"/>
          <w:szCs w:val="24"/>
        </w:rPr>
        <w:t>四</w:t>
      </w:r>
      <w:bookmarkEnd w:id="722"/>
      <w:r>
        <w:rPr>
          <w:color w:val="000000"/>
          <w:spacing w:val="0"/>
          <w:w w:val="100"/>
          <w:position w:val="0"/>
          <w:sz w:val="24"/>
          <w:szCs w:val="24"/>
        </w:rPr>
        <w:t>、</w:t>
        <w:tab/>
        <w:t>可转换公司债券</w:t>
      </w:r>
      <w:bookmarkEnd w:id="720"/>
      <w:bookmarkEnd w:id="721"/>
      <w:bookmarkEnd w:id="723"/>
    </w:p>
    <w:p>
      <w:pPr>
        <w:pStyle w:val="Style17"/>
        <w:keepNext w:val="0"/>
        <w:keepLines w:val="0"/>
        <w:widowControl w:val="0"/>
        <w:shd w:val="clear" w:color="auto" w:fill="auto"/>
        <w:bidi w:val="0"/>
        <w:spacing w:before="0" w:after="0" w:line="408"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17"/>
        <w:keepNext w:val="0"/>
        <w:keepLines w:val="0"/>
        <w:widowControl w:val="0"/>
        <w:shd w:val="clear" w:color="auto" w:fill="auto"/>
        <w:bidi w:val="0"/>
        <w:spacing w:before="0" w:after="340" w:line="430" w:lineRule="exact"/>
        <w:ind w:left="0" w:right="0" w:firstLine="460"/>
        <w:jc w:val="both"/>
      </w:pPr>
      <w:r>
        <w:rPr>
          <w:color w:val="000000"/>
          <w:spacing w:val="0"/>
          <w:w w:val="100"/>
          <w:position w:val="0"/>
        </w:rPr>
        <w:t>报告期公司不存在可转换公司债券。</w:t>
      </w:r>
    </w:p>
    <w:p>
      <w:pPr>
        <w:pStyle w:val="Style32"/>
        <w:keepNext/>
        <w:keepLines/>
        <w:widowControl w:val="0"/>
        <w:shd w:val="clear" w:color="auto" w:fill="auto"/>
        <w:tabs>
          <w:tab w:pos="517" w:val="left"/>
        </w:tabs>
        <w:bidi w:val="0"/>
        <w:spacing w:before="0" w:after="340" w:line="430" w:lineRule="exact"/>
        <w:ind w:left="0" w:right="0" w:firstLine="0"/>
        <w:jc w:val="left"/>
      </w:pPr>
      <w:bookmarkStart w:id="724" w:name="bookmark724"/>
      <w:bookmarkStart w:id="725" w:name="bookmark725"/>
      <w:bookmarkStart w:id="726" w:name="bookmark726"/>
      <w:bookmarkStart w:id="727" w:name="bookmark727"/>
      <w:r>
        <w:rPr>
          <w:color w:val="000000"/>
          <w:spacing w:val="0"/>
          <w:w w:val="100"/>
          <w:position w:val="0"/>
          <w:sz w:val="24"/>
          <w:szCs w:val="24"/>
        </w:rPr>
        <w:t>五</w:t>
      </w:r>
      <w:bookmarkEnd w:id="726"/>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24"/>
      <w:bookmarkEnd w:id="725"/>
      <w:bookmarkEnd w:id="727"/>
    </w:p>
    <w:p>
      <w:pPr>
        <w:pStyle w:val="Style17"/>
        <w:keepNext w:val="0"/>
        <w:keepLines w:val="0"/>
        <w:widowControl w:val="0"/>
        <w:shd w:val="clear" w:color="auto" w:fill="auto"/>
        <w:tabs>
          <w:tab w:pos="838" w:val="left"/>
        </w:tabs>
        <w:bidi w:val="0"/>
        <w:spacing w:before="0" w:after="0" w:line="408" w:lineRule="auto"/>
        <w:ind w:left="0" w:right="0" w:firstLine="460"/>
        <w:jc w:val="both"/>
      </w:pPr>
      <w:bookmarkStart w:id="728" w:name="bookmark728"/>
      <w:r>
        <w:rPr>
          <w:rFonts w:ascii="Times New Roman" w:eastAsia="Times New Roman" w:hAnsi="Times New Roman" w:cs="Times New Roman"/>
          <w:b/>
          <w:bCs/>
          <w:color w:val="000000"/>
          <w:spacing w:val="0"/>
          <w:w w:val="100"/>
          <w:position w:val="0"/>
          <w:sz w:val="22"/>
          <w:szCs w:val="22"/>
        </w:rPr>
        <w:t>1</w:t>
      </w:r>
      <w:bookmarkEnd w:id="728"/>
      <w:r>
        <w:rPr>
          <w:b/>
          <w:bCs/>
          <w:color w:val="000000"/>
          <w:spacing w:val="0"/>
          <w:w w:val="100"/>
          <w:position w:val="0"/>
        </w:rPr>
        <w:t>、</w:t>
        <w:tab/>
        <w:t>项目名称</w:t>
      </w:r>
    </w:p>
    <w:p>
      <w:pPr>
        <w:pStyle w:val="Style65"/>
        <w:keepNext w:val="0"/>
        <w:keepLines w:val="0"/>
        <w:widowControl w:val="0"/>
        <w:shd w:val="clear" w:color="auto" w:fill="auto"/>
        <w:bidi w:val="0"/>
        <w:spacing w:before="0" w:after="160" w:line="437" w:lineRule="exact"/>
        <w:ind w:left="0" w:right="0"/>
        <w:jc w:val="both"/>
      </w:pPr>
      <w:r>
        <w:rPr>
          <w:color w:val="000000"/>
          <w:spacing w:val="0"/>
          <w:w w:val="100"/>
          <w:position w:val="0"/>
        </w:rPr>
        <w:t>18</w:t>
      </w:r>
      <w:r>
        <w:rPr>
          <w:rFonts w:ascii="SimSun" w:eastAsia="SimSun" w:hAnsi="SimSun" w:cs="SimSun"/>
          <w:color w:val="000000"/>
          <w:spacing w:val="0"/>
          <w:w w:val="100"/>
          <w:position w:val="0"/>
          <w:sz w:val="20"/>
          <w:szCs w:val="20"/>
        </w:rPr>
        <w:t>苏宁</w:t>
      </w:r>
      <w:r>
        <w:rPr>
          <w:color w:val="000000"/>
          <w:spacing w:val="0"/>
          <w:w w:val="100"/>
          <w:position w:val="0"/>
        </w:rPr>
        <w:t>03/18</w:t>
      </w:r>
      <w:r>
        <w:rPr>
          <w:rFonts w:ascii="SimSun" w:eastAsia="SimSun" w:hAnsi="SimSun" w:cs="SimSun"/>
          <w:color w:val="000000"/>
          <w:spacing w:val="0"/>
          <w:w w:val="100"/>
          <w:position w:val="0"/>
          <w:sz w:val="20"/>
          <w:szCs w:val="20"/>
        </w:rPr>
        <w:t>苏宁</w:t>
      </w:r>
      <w:r>
        <w:rPr>
          <w:color w:val="000000"/>
          <w:spacing w:val="0"/>
          <w:w w:val="100"/>
          <w:position w:val="0"/>
        </w:rPr>
        <w:t>07/20</w:t>
      </w:r>
      <w:r>
        <w:rPr>
          <w:rFonts w:ascii="SimSun" w:eastAsia="SimSun" w:hAnsi="SimSun" w:cs="SimSun"/>
          <w:color w:val="000000"/>
          <w:spacing w:val="0"/>
          <w:w w:val="100"/>
          <w:position w:val="0"/>
          <w:sz w:val="20"/>
          <w:szCs w:val="20"/>
        </w:rPr>
        <w:t>苏宁易购</w:t>
      </w:r>
      <w:r>
        <w:rPr>
          <w:color w:val="000000"/>
          <w:spacing w:val="0"/>
          <w:w w:val="100"/>
          <w:position w:val="0"/>
        </w:rPr>
        <w:t>MTN001</w:t>
      </w:r>
    </w:p>
    <w:p>
      <w:pPr>
        <w:pStyle w:val="Style17"/>
        <w:keepNext w:val="0"/>
        <w:keepLines w:val="0"/>
        <w:widowControl w:val="0"/>
        <w:shd w:val="clear" w:color="auto" w:fill="auto"/>
        <w:tabs>
          <w:tab w:pos="847" w:val="left"/>
        </w:tabs>
        <w:bidi w:val="0"/>
        <w:spacing w:before="0" w:after="0" w:line="415" w:lineRule="auto"/>
        <w:ind w:left="0" w:right="0" w:firstLine="460"/>
        <w:jc w:val="both"/>
      </w:pPr>
      <w:bookmarkStart w:id="729" w:name="bookmark729"/>
      <w:r>
        <w:rPr>
          <w:rFonts w:ascii="Times New Roman" w:eastAsia="Times New Roman" w:hAnsi="Times New Roman" w:cs="Times New Roman"/>
          <w:b/>
          <w:bCs/>
          <w:color w:val="000000"/>
          <w:spacing w:val="0"/>
          <w:w w:val="100"/>
          <w:position w:val="0"/>
          <w:sz w:val="22"/>
          <w:szCs w:val="22"/>
        </w:rPr>
        <w:t>2</w:t>
      </w:r>
      <w:bookmarkEnd w:id="729"/>
      <w:r>
        <w:rPr>
          <w:b/>
          <w:bCs/>
          <w:color w:val="000000"/>
          <w:spacing w:val="0"/>
          <w:w w:val="100"/>
          <w:position w:val="0"/>
        </w:rPr>
        <w:t>、</w:t>
        <w:tab/>
        <w:t>亏损情况</w:t>
      </w:r>
    </w:p>
    <w:p>
      <w:pPr>
        <w:pStyle w:val="Style17"/>
        <w:keepNext w:val="0"/>
        <w:keepLines w:val="0"/>
        <w:widowControl w:val="0"/>
        <w:shd w:val="clear" w:color="auto" w:fill="auto"/>
        <w:bidi w:val="0"/>
        <w:spacing w:before="0" w:after="160" w:line="437" w:lineRule="exact"/>
        <w:ind w:left="0" w:right="0" w:firstLine="4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年归属于上市公司股东的净利润亏损</w:t>
      </w:r>
      <w:r>
        <w:rPr>
          <w:rFonts w:ascii="Times New Roman" w:eastAsia="Times New Roman" w:hAnsi="Times New Roman" w:cs="Times New Roman"/>
          <w:color w:val="000000"/>
          <w:spacing w:val="0"/>
          <w:w w:val="100"/>
          <w:position w:val="0"/>
          <w:sz w:val="22"/>
          <w:szCs w:val="22"/>
        </w:rPr>
        <w:t>432.65</w:t>
      </w:r>
      <w:r>
        <w:rPr>
          <w:color w:val="000000"/>
          <w:spacing w:val="0"/>
          <w:w w:val="100"/>
          <w:position w:val="0"/>
        </w:rPr>
        <w:t>亿元。</w:t>
      </w:r>
    </w:p>
    <w:p>
      <w:pPr>
        <w:pStyle w:val="Style17"/>
        <w:keepNext w:val="0"/>
        <w:keepLines w:val="0"/>
        <w:widowControl w:val="0"/>
        <w:shd w:val="clear" w:color="auto" w:fill="auto"/>
        <w:tabs>
          <w:tab w:pos="847" w:val="left"/>
        </w:tabs>
        <w:bidi w:val="0"/>
        <w:spacing w:before="0" w:after="0" w:line="415" w:lineRule="auto"/>
        <w:ind w:left="0" w:right="0" w:firstLine="460"/>
        <w:jc w:val="both"/>
      </w:pPr>
      <w:bookmarkStart w:id="730" w:name="bookmark730"/>
      <w:r>
        <w:rPr>
          <w:rFonts w:ascii="Times New Roman" w:eastAsia="Times New Roman" w:hAnsi="Times New Roman" w:cs="Times New Roman"/>
          <w:b/>
          <w:bCs/>
          <w:color w:val="000000"/>
          <w:spacing w:val="0"/>
          <w:w w:val="100"/>
          <w:position w:val="0"/>
          <w:sz w:val="22"/>
          <w:szCs w:val="22"/>
        </w:rPr>
        <w:t>3</w:t>
      </w:r>
      <w:bookmarkEnd w:id="730"/>
      <w:r>
        <w:rPr>
          <w:b/>
          <w:bCs/>
          <w:color w:val="000000"/>
          <w:spacing w:val="0"/>
          <w:w w:val="100"/>
          <w:position w:val="0"/>
        </w:rPr>
        <w:t>、</w:t>
        <w:tab/>
        <w:t>亏损原因</w:t>
      </w:r>
    </w:p>
    <w:p>
      <w:pPr>
        <w:pStyle w:val="Style17"/>
        <w:keepNext w:val="0"/>
        <w:keepLines w:val="0"/>
        <w:widowControl w:val="0"/>
        <w:shd w:val="clear" w:color="auto" w:fill="auto"/>
        <w:bidi w:val="0"/>
        <w:spacing w:before="0" w:after="0" w:line="437" w:lineRule="exact"/>
        <w:ind w:left="0" w:right="0" w:firstLine="460"/>
        <w:jc w:val="both"/>
      </w:pPr>
      <w:r>
        <w:rPr>
          <w:color w:val="000000"/>
          <w:spacing w:val="0"/>
          <w:w w:val="100"/>
          <w:position w:val="0"/>
        </w:rPr>
        <w:t>一方面，报告期内公司遇到了持续的流动性严重不足，尤其是下半年以来公司核心电器</w:t>
      </w:r>
      <w:r>
        <w:rPr>
          <w:rFonts w:ascii="Times New Roman" w:eastAsia="Times New Roman" w:hAnsi="Times New Roman" w:cs="Times New Roman"/>
          <w:color w:val="000000"/>
          <w:spacing w:val="0"/>
          <w:w w:val="100"/>
          <w:position w:val="0"/>
          <w:sz w:val="22"/>
          <w:szCs w:val="22"/>
        </w:rPr>
        <w:t>3C</w:t>
      </w:r>
      <w:r>
        <w:rPr>
          <w:color w:val="000000"/>
          <w:spacing w:val="0"/>
          <w:w w:val="100"/>
          <w:position w:val="0"/>
        </w:rPr>
        <w:t xml:space="preserve">业务 的库存商品规模创历史最低值，销售和采购规模同时大幅下降，导致采购成本提高对应经营利润大幅 </w:t>
      </w:r>
      <w:r>
        <w:rPr>
          <w:color w:val="000000"/>
          <w:spacing w:val="0"/>
          <w:w w:val="100"/>
          <w:position w:val="0"/>
        </w:rPr>
        <w:t>下降；同时，对于能够结转以后年度的可抵扣亏损，公司以未来期间很可能获得用来抵扣可抵扣亏损 的应纳税所得额为限，确认递延所得税资产，结合外部环境以及公司自身运营情况变化，部分子公司 业务经营策略有所调整，导致未来期间很可能获得用来抵扣可抵扣亏损的应纳税所得额下降，相应转 回递延所得税资产。前述事项减少公司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年归属于上市公司股东的净利润</w:t>
      </w:r>
      <w:r>
        <w:rPr>
          <w:rFonts w:ascii="Times New Roman" w:eastAsia="Times New Roman" w:hAnsi="Times New Roman" w:cs="Times New Roman"/>
          <w:color w:val="000000"/>
          <w:spacing w:val="0"/>
          <w:w w:val="100"/>
          <w:position w:val="0"/>
          <w:sz w:val="22"/>
          <w:szCs w:val="22"/>
        </w:rPr>
        <w:t>279.48</w:t>
      </w:r>
      <w:r>
        <w:rPr>
          <w:color w:val="000000"/>
          <w:spacing w:val="0"/>
          <w:w w:val="100"/>
          <w:position w:val="0"/>
        </w:rPr>
        <w:t>亿元。</w:t>
      </w:r>
    </w:p>
    <w:p>
      <w:pPr>
        <w:pStyle w:val="Style17"/>
        <w:keepNext w:val="0"/>
        <w:keepLines w:val="0"/>
        <w:widowControl w:val="0"/>
        <w:shd w:val="clear" w:color="auto" w:fill="auto"/>
        <w:bidi w:val="0"/>
        <w:spacing w:before="0" w:after="0" w:line="429" w:lineRule="exact"/>
        <w:ind w:left="0" w:right="0" w:firstLine="460"/>
        <w:jc w:val="left"/>
      </w:pPr>
      <w:r>
        <w:rPr>
          <w:color w:val="000000"/>
          <w:spacing w:val="0"/>
          <w:w w:val="100"/>
          <w:position w:val="0"/>
        </w:rPr>
        <w:t>另一方面，结合外部环境以及公司自身运营情况的变化，公司基于审慎原则对相关资产计提减值 准备、确认投资损失，合计减少公司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年归属于上市公司股东的净利润为</w:t>
      </w:r>
      <w:r>
        <w:rPr>
          <w:rFonts w:ascii="Times New Roman" w:eastAsia="Times New Roman" w:hAnsi="Times New Roman" w:cs="Times New Roman"/>
          <w:color w:val="000000"/>
          <w:spacing w:val="0"/>
          <w:w w:val="100"/>
          <w:position w:val="0"/>
          <w:sz w:val="22"/>
          <w:szCs w:val="22"/>
        </w:rPr>
        <w:t>67.54</w:t>
      </w:r>
      <w:r>
        <w:rPr>
          <w:color w:val="000000"/>
          <w:spacing w:val="0"/>
          <w:w w:val="100"/>
          <w:position w:val="0"/>
        </w:rPr>
        <w:t>亿元。</w:t>
      </w:r>
    </w:p>
    <w:p>
      <w:pPr>
        <w:pStyle w:val="Style17"/>
        <w:keepNext w:val="0"/>
        <w:keepLines w:val="0"/>
        <w:widowControl w:val="0"/>
        <w:shd w:val="clear" w:color="auto" w:fill="auto"/>
        <w:bidi w:val="0"/>
        <w:spacing w:before="0" w:after="180" w:line="429" w:lineRule="exact"/>
        <w:ind w:left="0" w:right="0" w:firstLine="46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年度的一系列减值事项不影响目前公司的现金流量水平，公司将持续通过各种路径和 方法回收资金，尽可能将对公司的损失减少到最小程度。</w:t>
      </w:r>
    </w:p>
    <w:p>
      <w:pPr>
        <w:pStyle w:val="Style17"/>
        <w:keepNext w:val="0"/>
        <w:keepLines w:val="0"/>
        <w:widowControl w:val="0"/>
        <w:shd w:val="clear" w:color="auto" w:fill="auto"/>
        <w:bidi w:val="0"/>
        <w:spacing w:before="0" w:after="0" w:line="408" w:lineRule="auto"/>
        <w:ind w:left="0" w:right="0" w:firstLine="460"/>
        <w:jc w:val="left"/>
      </w:pPr>
      <w:bookmarkStart w:id="731" w:name="bookmark731"/>
      <w:r>
        <w:rPr>
          <w:rFonts w:ascii="Times New Roman" w:eastAsia="Times New Roman" w:hAnsi="Times New Roman" w:cs="Times New Roman"/>
          <w:b/>
          <w:bCs/>
          <w:color w:val="000000"/>
          <w:spacing w:val="0"/>
          <w:w w:val="100"/>
          <w:position w:val="0"/>
          <w:sz w:val="22"/>
          <w:szCs w:val="22"/>
        </w:rPr>
        <w:t>4</w:t>
      </w:r>
      <w:bookmarkEnd w:id="731"/>
      <w:r>
        <w:rPr>
          <w:b/>
          <w:bCs/>
          <w:color w:val="000000"/>
          <w:spacing w:val="0"/>
          <w:w w:val="100"/>
          <w:position w:val="0"/>
        </w:rPr>
        <w:t>、对公司生产经营和偿债能力的影响</w:t>
      </w:r>
    </w:p>
    <w:p>
      <w:pPr>
        <w:pStyle w:val="Style17"/>
        <w:keepNext w:val="0"/>
        <w:keepLines w:val="0"/>
        <w:widowControl w:val="0"/>
        <w:shd w:val="clear" w:color="auto" w:fill="auto"/>
        <w:tabs>
          <w:tab w:pos="1054" w:val="left"/>
        </w:tabs>
        <w:bidi w:val="0"/>
        <w:spacing w:before="0" w:after="0" w:line="429" w:lineRule="exact"/>
        <w:ind w:left="0" w:right="0" w:firstLine="460"/>
        <w:jc w:val="left"/>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年是苏宁易购发展历程中艰难的一年，经历了多重因素的影响，公司经营状况降至历 史低点。三季度以来，公司在省市政府大力支持之下，通过银企合作模式推进逐步解决流动性问题， 从收入提升、费用压降、资产盘活、供应链恢复等几个关键方面齐头并进，多措并举。在</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月份开 始实现了单月</w:t>
      </w:r>
      <w:r>
        <w:rPr>
          <w:rFonts w:ascii="Times New Roman" w:eastAsia="Times New Roman" w:hAnsi="Times New Roman" w:cs="Times New Roman"/>
          <w:color w:val="000000"/>
          <w:spacing w:val="0"/>
          <w:w w:val="100"/>
          <w:position w:val="0"/>
          <w:sz w:val="22"/>
          <w:szCs w:val="22"/>
        </w:rPr>
        <w:t>EBITDA</w:t>
      </w:r>
      <w:r>
        <w:rPr>
          <w:color w:val="000000"/>
          <w:spacing w:val="0"/>
          <w:w w:val="100"/>
          <w:position w:val="0"/>
        </w:rPr>
        <w:t>盈利，逐步稳住经营，恢复造血能力，收入环比持续改善，费用同比显著下降， 资产盘活深入开展，供应链合作有序恢复。</w:t>
      </w:r>
    </w:p>
    <w:p>
      <w:pPr>
        <w:pStyle w:val="Style17"/>
        <w:keepNext w:val="0"/>
        <w:keepLines w:val="0"/>
        <w:widowControl w:val="0"/>
        <w:shd w:val="clear" w:color="auto" w:fill="auto"/>
        <w:tabs>
          <w:tab w:pos="962" w:val="left"/>
        </w:tabs>
        <w:bidi w:val="0"/>
        <w:spacing w:before="0" w:after="320" w:line="429" w:lineRule="exact"/>
        <w:ind w:left="0" w:right="0" w:firstLine="46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03</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苏宁</w:t>
      </w:r>
      <w:r>
        <w:rPr>
          <w:rFonts w:ascii="Times New Roman" w:eastAsia="Times New Roman" w:hAnsi="Times New Roman" w:cs="Times New Roman"/>
          <w:color w:val="000000"/>
          <w:spacing w:val="0"/>
          <w:w w:val="100"/>
          <w:position w:val="0"/>
          <w:sz w:val="22"/>
          <w:szCs w:val="22"/>
        </w:rPr>
        <w:t>07</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苏宁易购</w:t>
      </w:r>
      <w:r>
        <w:rPr>
          <w:rFonts w:ascii="Times New Roman" w:eastAsia="Times New Roman" w:hAnsi="Times New Roman" w:cs="Times New Roman"/>
          <w:color w:val="000000"/>
          <w:spacing w:val="0"/>
          <w:w w:val="100"/>
          <w:position w:val="0"/>
          <w:sz w:val="22"/>
          <w:szCs w:val="22"/>
        </w:rPr>
        <w:t>MTN001</w:t>
      </w:r>
      <w:r>
        <w:rPr>
          <w:color w:val="000000"/>
          <w:spacing w:val="0"/>
          <w:w w:val="100"/>
          <w:position w:val="0"/>
        </w:rPr>
        <w:t>公司将按期偿还本息，维护债权人权益。</w:t>
      </w:r>
    </w:p>
    <w:p>
      <w:pPr>
        <w:pStyle w:val="Style32"/>
        <w:keepNext/>
        <w:keepLines/>
        <w:widowControl w:val="0"/>
        <w:shd w:val="clear" w:color="auto" w:fill="auto"/>
        <w:tabs>
          <w:tab w:pos="517" w:val="left"/>
        </w:tabs>
        <w:bidi w:val="0"/>
        <w:spacing w:before="0" w:after="320" w:line="429" w:lineRule="exact"/>
        <w:ind w:left="0" w:right="0" w:firstLine="0"/>
        <w:jc w:val="left"/>
      </w:pPr>
      <w:bookmarkStart w:id="734" w:name="bookmark734"/>
      <w:bookmarkStart w:id="735" w:name="bookmark735"/>
      <w:bookmarkStart w:id="736" w:name="bookmark736"/>
      <w:bookmarkStart w:id="737" w:name="bookmark737"/>
      <w:r>
        <w:rPr>
          <w:color w:val="000000"/>
          <w:spacing w:val="0"/>
          <w:w w:val="100"/>
          <w:position w:val="0"/>
          <w:sz w:val="24"/>
          <w:szCs w:val="24"/>
        </w:rPr>
        <w:t>六</w:t>
      </w:r>
      <w:bookmarkEnd w:id="736"/>
      <w:r>
        <w:rPr>
          <w:color w:val="000000"/>
          <w:spacing w:val="0"/>
          <w:w w:val="100"/>
          <w:position w:val="0"/>
          <w:sz w:val="24"/>
          <w:szCs w:val="24"/>
        </w:rPr>
        <w:t>、</w:t>
        <w:tab/>
        <w:t>报告期末除债券外的有息债务逾期情况</w:t>
      </w:r>
      <w:bookmarkEnd w:id="734"/>
      <w:bookmarkEnd w:id="735"/>
      <w:bookmarkEnd w:id="737"/>
    </w:p>
    <w:p>
      <w:pPr>
        <w:pStyle w:val="Style17"/>
        <w:keepNext w:val="0"/>
        <w:keepLines w:val="0"/>
        <w:widowControl w:val="0"/>
        <w:shd w:val="clear" w:color="auto" w:fill="auto"/>
        <w:bidi w:val="0"/>
        <w:spacing w:before="0" w:after="120" w:line="408"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2"/>
        <w:keepNext/>
        <w:keepLines/>
        <w:widowControl w:val="0"/>
        <w:shd w:val="clear" w:color="auto" w:fill="auto"/>
        <w:tabs>
          <w:tab w:pos="522" w:val="left"/>
        </w:tabs>
        <w:bidi w:val="0"/>
        <w:spacing w:before="0" w:after="320" w:line="429" w:lineRule="exact"/>
        <w:ind w:left="0" w:right="0" w:firstLine="0"/>
        <w:jc w:val="left"/>
      </w:pPr>
      <w:bookmarkStart w:id="738" w:name="bookmark738"/>
      <w:bookmarkStart w:id="739" w:name="bookmark739"/>
      <w:bookmarkStart w:id="740" w:name="bookmark740"/>
      <w:bookmarkStart w:id="741" w:name="bookmark741"/>
      <w:r>
        <w:rPr>
          <w:color w:val="000000"/>
          <w:spacing w:val="0"/>
          <w:w w:val="100"/>
          <w:position w:val="0"/>
          <w:sz w:val="24"/>
          <w:szCs w:val="24"/>
        </w:rPr>
        <w:t>七</w:t>
      </w:r>
      <w:bookmarkEnd w:id="740"/>
      <w:r>
        <w:rPr>
          <w:color w:val="000000"/>
          <w:spacing w:val="0"/>
          <w:w w:val="100"/>
          <w:position w:val="0"/>
          <w:sz w:val="24"/>
          <w:szCs w:val="24"/>
        </w:rPr>
        <w:t>、</w:t>
        <w:tab/>
        <w:t>报告期内是否有违反规章制度的情况</w:t>
      </w:r>
      <w:bookmarkEnd w:id="738"/>
      <w:bookmarkEnd w:id="739"/>
      <w:bookmarkEnd w:id="741"/>
    </w:p>
    <w:p>
      <w:pPr>
        <w:pStyle w:val="Style17"/>
        <w:keepNext w:val="0"/>
        <w:keepLines w:val="0"/>
        <w:widowControl w:val="0"/>
        <w:shd w:val="clear" w:color="auto" w:fill="auto"/>
        <w:bidi w:val="0"/>
        <w:spacing w:before="0" w:after="260" w:line="408" w:lineRule="auto"/>
        <w:ind w:left="0" w:right="0" w:firstLine="4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left"/>
        <w:rPr>
          <w:sz w:val="24"/>
          <w:szCs w:val="24"/>
        </w:rPr>
      </w:pPr>
      <w:bookmarkStart w:id="742" w:name="bookmark742"/>
      <w:r>
        <w:rPr>
          <w:b/>
          <w:bCs/>
          <w:color w:val="000000"/>
          <w:spacing w:val="0"/>
          <w:w w:val="100"/>
          <w:position w:val="0"/>
          <w:sz w:val="24"/>
          <w:szCs w:val="24"/>
        </w:rPr>
        <w:t>八、截至报告期末公司近两年的主要会计数据和财务指标</w:t>
      </w:r>
      <w:bookmarkEnd w:id="742"/>
    </w:p>
    <w:tbl>
      <w:tblPr>
        <w:tblOverlap w:val="never"/>
        <w:jc w:val="center"/>
        <w:tblLayout w:type="fixed"/>
      </w:tblPr>
      <w:tblGrid>
        <w:gridCol w:w="2986"/>
        <w:gridCol w:w="2054"/>
        <w:gridCol w:w="2054"/>
        <w:gridCol w:w="2616"/>
      </w:tblGrid>
      <w:tr>
        <w:trPr>
          <w:trHeight w:val="2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本报告期末</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上年末</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本报告期末比上年末增减</w:t>
            </w:r>
          </w:p>
        </w:tc>
      </w:tr>
      <w:tr>
        <w:trPr>
          <w:trHeight w:val="2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流动比率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0.86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-0.18</w:t>
            </w:r>
          </w:p>
        </w:tc>
      </w:tr>
      <w:tr>
        <w:trPr>
          <w:trHeight w:val="29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资产负债率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w:t>
            </w:r>
          </w:p>
        </w:tc>
      </w:tr>
      <w:tr>
        <w:trPr>
          <w:trHeight w:val="2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速动比率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0.62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-0.08</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本报告期</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w:t>
            </w:r>
          </w:p>
        </w:tc>
        <w:tc>
          <w:tcPr>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本报告期比上年同期增减</w:t>
            </w:r>
          </w:p>
        </w:tc>
      </w:tr>
      <w:tr>
        <w:trPr>
          <w:trHeight w:val="581"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扣除非经常性损益后净利润</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（千元）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-44,668,520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-6,806,848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-556.23%</w:t>
            </w:r>
          </w:p>
        </w:tc>
      </w:tr>
      <w:tr>
        <w:trPr>
          <w:trHeight w:val="2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EBITDA</w:t>
            </w:r>
            <w:r>
              <w:rPr>
                <w:rFonts w:ascii="SimSun" w:eastAsia="SimSun" w:hAnsi="SimSun" w:cs="SimSun"/>
                <w:color w:val="000000"/>
                <w:spacing w:val="0"/>
                <w:w w:val="100"/>
                <w:position w:val="0"/>
                <w:sz w:val="20"/>
                <w:szCs w:val="20"/>
              </w:rPr>
              <w:t>全部债务比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w:t>
            </w:r>
          </w:p>
        </w:tc>
      </w:tr>
      <w:tr>
        <w:trPr>
          <w:trHeight w:val="29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-25.64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-23.49</w:t>
            </w:r>
          </w:p>
        </w:tc>
      </w:tr>
      <w:tr>
        <w:trPr>
          <w:trHeight w:val="2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现金利息保障倍数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0.65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-3.69</w:t>
            </w:r>
          </w:p>
        </w:tc>
      </w:tr>
      <w:tr>
        <w:trPr>
          <w:trHeight w:val="29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EBITDA</w:t>
            </w:r>
            <w:r>
              <w:rPr>
                <w:rFonts w:ascii="SimSun" w:eastAsia="SimSun" w:hAnsi="SimSun" w:cs="SimSun"/>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-21.31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w:t>
            </w:r>
          </w:p>
        </w:tc>
      </w:tr>
      <w:tr>
        <w:trPr>
          <w:trHeight w:val="2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贷款偿还率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0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利息偿付率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55"/>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r>
        <w:rPr>
          <w:rFonts w:ascii="Times New Roman" w:eastAsia="Times New Roman" w:hAnsi="Times New Roman" w:cs="Times New Roman"/>
          <w:color w:val="000000"/>
          <w:spacing w:val="0"/>
          <w:w w:val="100"/>
          <w:position w:val="0"/>
        </w:rPr>
        <w:t>=</w:t>
      </w:r>
      <w:r>
        <w:rPr>
          <w:color w:val="000000"/>
          <w:spacing w:val="0"/>
          <w:w w:val="100"/>
          <w:position w:val="0"/>
        </w:rPr>
        <w:t>息税折旧摊销前利润</w:t>
      </w:r>
      <w:r>
        <w:rPr>
          <w:rFonts w:ascii="Times New Roman" w:eastAsia="Times New Roman" w:hAnsi="Times New Roman" w:cs="Times New Roman"/>
          <w:color w:val="000000"/>
          <w:spacing w:val="0"/>
          <w:w w:val="100"/>
          <w:position w:val="0"/>
        </w:rPr>
        <w:t>/</w:t>
      </w:r>
      <w:r>
        <w:rPr>
          <w:color w:val="000000"/>
          <w:spacing w:val="0"/>
          <w:w w:val="100"/>
          <w:position w:val="0"/>
        </w:rPr>
        <w:t>全部债务</w:t>
      </w:r>
    </w:p>
    <w:p>
      <w:pPr>
        <w:pStyle w:val="Style55"/>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：利息保障倍数</w:t>
      </w:r>
      <w:r>
        <w:rPr>
          <w:rFonts w:ascii="Times New Roman" w:eastAsia="Times New Roman" w:hAnsi="Times New Roman" w:cs="Times New Roman"/>
          <w:color w:val="000000"/>
          <w:spacing w:val="0"/>
          <w:w w:val="100"/>
          <w:position w:val="0"/>
        </w:rPr>
        <w:t>=</w:t>
      </w:r>
      <w:r>
        <w:rPr>
          <w:color w:val="000000"/>
          <w:spacing w:val="0"/>
          <w:w w:val="100"/>
          <w:position w:val="0"/>
        </w:rPr>
        <w:t>息税前利润</w:t>
      </w:r>
      <w:r>
        <w:rPr>
          <w:rFonts w:ascii="Times New Roman" w:eastAsia="Times New Roman" w:hAnsi="Times New Roman" w:cs="Times New Roman"/>
          <w:color w:val="000000"/>
          <w:spacing w:val="0"/>
          <w:w w:val="100"/>
          <w:position w:val="0"/>
        </w:rPr>
        <w:t xml:space="preserve">/ </w:t>
      </w:r>
      <w:r>
        <w:rPr>
          <w:color w:val="000000"/>
          <w:spacing w:val="0"/>
          <w:w w:val="100"/>
          <w:position w:val="0"/>
        </w:rPr>
        <w:t>（计入财务费用的利息支出</w:t>
      </w:r>
      <w:r>
        <w:rPr>
          <w:rFonts w:ascii="Times New Roman" w:eastAsia="Times New Roman" w:hAnsi="Times New Roman" w:cs="Times New Roman"/>
          <w:color w:val="000000"/>
          <w:spacing w:val="0"/>
          <w:w w:val="100"/>
          <w:position w:val="0"/>
        </w:rPr>
        <w:t>+</w:t>
      </w:r>
      <w:r>
        <w:rPr>
          <w:color w:val="000000"/>
          <w:spacing w:val="0"/>
          <w:w w:val="100"/>
          <w:position w:val="0"/>
        </w:rPr>
        <w:t>资本化的利息支出）</w:t>
      </w:r>
    </w:p>
    <w:p>
      <w:pPr>
        <w:pStyle w:val="Style55"/>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：现金利息保障倍数</w:t>
      </w:r>
      <w:r>
        <w:rPr>
          <w:rFonts w:ascii="Times New Roman" w:eastAsia="Times New Roman" w:hAnsi="Times New Roman" w:cs="Times New Roman"/>
          <w:color w:val="000000"/>
          <w:spacing w:val="0"/>
          <w:w w:val="100"/>
          <w:position w:val="0"/>
        </w:rPr>
        <w:t>=</w:t>
      </w:r>
      <w:r>
        <w:rPr>
          <w:color w:val="000000"/>
          <w:spacing w:val="0"/>
          <w:w w:val="100"/>
          <w:position w:val="0"/>
        </w:rPr>
        <w:t>（经营活动产生的现金流量净额</w:t>
      </w:r>
      <w:r>
        <w:rPr>
          <w:rFonts w:ascii="Times New Roman" w:eastAsia="Times New Roman" w:hAnsi="Times New Roman" w:cs="Times New Roman"/>
          <w:color w:val="000000"/>
          <w:spacing w:val="0"/>
          <w:w w:val="100"/>
          <w:position w:val="0"/>
        </w:rPr>
        <w:t>+</w:t>
      </w:r>
      <w:r>
        <w:rPr>
          <w:color w:val="000000"/>
          <w:spacing w:val="0"/>
          <w:w w:val="100"/>
          <w:position w:val="0"/>
        </w:rPr>
        <w:t>现金利息支出</w:t>
      </w:r>
      <w:r>
        <w:rPr>
          <w:rFonts w:ascii="Times New Roman" w:eastAsia="Times New Roman" w:hAnsi="Times New Roman" w:cs="Times New Roman"/>
          <w:color w:val="000000"/>
          <w:spacing w:val="0"/>
          <w:w w:val="100"/>
          <w:position w:val="0"/>
        </w:rPr>
        <w:t>+</w:t>
      </w:r>
      <w:r>
        <w:rPr>
          <w:color w:val="000000"/>
          <w:spacing w:val="0"/>
          <w:w w:val="100"/>
          <w:position w:val="0"/>
        </w:rPr>
        <w:t>所得税付现）</w:t>
      </w:r>
      <w:r>
        <w:rPr>
          <w:rFonts w:ascii="Times New Roman" w:eastAsia="Times New Roman" w:hAnsi="Times New Roman" w:cs="Times New Roman"/>
          <w:color w:val="000000"/>
          <w:spacing w:val="0"/>
          <w:w w:val="100"/>
          <w:position w:val="0"/>
        </w:rPr>
        <w:t>/</w:t>
      </w:r>
      <w:r>
        <w:rPr>
          <w:color w:val="000000"/>
          <w:spacing w:val="0"/>
          <w:w w:val="100"/>
          <w:position w:val="0"/>
        </w:rPr>
        <w:t>现金利息支出</w:t>
      </w:r>
    </w:p>
    <w:p>
      <w:pPr>
        <w:pStyle w:val="Style55"/>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r>
        <w:rPr>
          <w:rFonts w:ascii="Times New Roman" w:eastAsia="Times New Roman" w:hAnsi="Times New Roman" w:cs="Times New Roman"/>
          <w:color w:val="000000"/>
          <w:spacing w:val="0"/>
          <w:w w:val="100"/>
          <w:position w:val="0"/>
        </w:rPr>
        <w:t>=</w:t>
      </w:r>
      <w:r>
        <w:rPr>
          <w:color w:val="000000"/>
          <w:spacing w:val="0"/>
          <w:w w:val="100"/>
          <w:position w:val="0"/>
        </w:rPr>
        <w:t>息税折旧摊销前利润</w:t>
      </w:r>
      <w:r>
        <w:rPr>
          <w:rFonts w:ascii="Times New Roman" w:eastAsia="Times New Roman" w:hAnsi="Times New Roman" w:cs="Times New Roman"/>
          <w:color w:val="000000"/>
          <w:spacing w:val="0"/>
          <w:w w:val="100"/>
          <w:position w:val="0"/>
        </w:rPr>
        <w:t xml:space="preserve">/ </w:t>
      </w:r>
      <w:r>
        <w:rPr>
          <w:color w:val="000000"/>
          <w:spacing w:val="0"/>
          <w:w w:val="100"/>
          <w:position w:val="0"/>
        </w:rPr>
        <w:t>（计入财务费用的利息支出</w:t>
      </w:r>
      <w:r>
        <w:rPr>
          <w:rFonts w:ascii="Times New Roman" w:eastAsia="Times New Roman" w:hAnsi="Times New Roman" w:cs="Times New Roman"/>
          <w:color w:val="000000"/>
          <w:spacing w:val="0"/>
          <w:w w:val="100"/>
          <w:position w:val="0"/>
        </w:rPr>
        <w:t>+</w:t>
      </w:r>
      <w:r>
        <w:rPr>
          <w:color w:val="000000"/>
          <w:spacing w:val="0"/>
          <w:w w:val="100"/>
          <w:position w:val="0"/>
        </w:rPr>
        <w:t>资本化的利息支出）</w:t>
      </w:r>
    </w:p>
    <w:p>
      <w:pPr>
        <w:pStyle w:val="Style55"/>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：贷款偿还率</w:t>
      </w:r>
      <w:r>
        <w:rPr>
          <w:rFonts w:ascii="Times New Roman" w:eastAsia="Times New Roman" w:hAnsi="Times New Roman" w:cs="Times New Roman"/>
          <w:color w:val="000000"/>
          <w:spacing w:val="0"/>
          <w:w w:val="100"/>
          <w:position w:val="0"/>
        </w:rPr>
        <w:t>=</w:t>
      </w:r>
      <w:r>
        <w:rPr>
          <w:color w:val="000000"/>
          <w:spacing w:val="0"/>
          <w:w w:val="100"/>
          <w:position w:val="0"/>
        </w:rPr>
        <w:t>实际贷款偿还额</w:t>
      </w:r>
      <w:r>
        <w:rPr>
          <w:rFonts w:ascii="Times New Roman" w:eastAsia="Times New Roman" w:hAnsi="Times New Roman" w:cs="Times New Roman"/>
          <w:color w:val="000000"/>
          <w:spacing w:val="0"/>
          <w:w w:val="100"/>
          <w:position w:val="0"/>
        </w:rPr>
        <w:t>/</w:t>
      </w:r>
      <w:r>
        <w:rPr>
          <w:color w:val="000000"/>
          <w:spacing w:val="0"/>
          <w:w w:val="100"/>
          <w:position w:val="0"/>
        </w:rPr>
        <w:t>应偿还贷款额</w:t>
      </w:r>
    </w:p>
    <w:p>
      <w:pPr>
        <w:pStyle w:val="Style55"/>
        <w:keepNext w:val="0"/>
        <w:keepLines w:val="0"/>
        <w:widowControl w:val="0"/>
        <w:shd w:val="clear" w:color="auto" w:fill="auto"/>
        <w:bidi w:val="0"/>
        <w:spacing w:before="0" w:after="40" w:line="240" w:lineRule="auto"/>
        <w:ind w:left="0" w:right="0" w:firstLine="0"/>
        <w:jc w:val="left"/>
        <w:sectPr>
          <w:footnotePr>
            <w:pos w:val="pageBottom"/>
            <w:numFmt w:val="decimal"/>
            <w:numStart w:val="1"/>
            <w:numRestart w:val="continuous"/>
            <w15:footnoteColumns w:val="1"/>
          </w:footnotePr>
          <w:pgSz w:w="11900" w:h="16840"/>
          <w:pgMar w:top="1267" w:right="981" w:bottom="1348" w:left="1049"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：利息偿付率</w:t>
      </w:r>
      <w:r>
        <w:rPr>
          <w:rFonts w:ascii="Times New Roman" w:eastAsia="Times New Roman" w:hAnsi="Times New Roman" w:cs="Times New Roman"/>
          <w:color w:val="000000"/>
          <w:spacing w:val="0"/>
          <w:w w:val="100"/>
          <w:position w:val="0"/>
        </w:rPr>
        <w:t>=</w:t>
      </w:r>
      <w:r>
        <w:rPr>
          <w:color w:val="000000"/>
          <w:spacing w:val="0"/>
          <w:w w:val="100"/>
          <w:position w:val="0"/>
        </w:rPr>
        <w:t>实际支付利息</w:t>
      </w:r>
      <w:r>
        <w:rPr>
          <w:rFonts w:ascii="Times New Roman" w:eastAsia="Times New Roman" w:hAnsi="Times New Roman" w:cs="Times New Roman"/>
          <w:color w:val="000000"/>
          <w:spacing w:val="0"/>
          <w:w w:val="100"/>
          <w:position w:val="0"/>
        </w:rPr>
        <w:t>/</w:t>
      </w:r>
      <w:r>
        <w:rPr>
          <w:color w:val="000000"/>
          <w:spacing w:val="0"/>
          <w:w w:val="100"/>
          <w:position w:val="0"/>
        </w:rPr>
        <w:t>应付利息</w:t>
      </w:r>
    </w:p>
    <w:p>
      <w:pPr>
        <w:pStyle w:val="Style15"/>
        <w:keepNext/>
        <w:keepLines/>
        <w:widowControl w:val="0"/>
        <w:shd w:val="clear" w:color="auto" w:fill="auto"/>
        <w:bidi w:val="0"/>
        <w:spacing w:before="0" w:after="940" w:line="240" w:lineRule="auto"/>
        <w:ind w:left="0" w:right="0" w:firstLine="0"/>
        <w:jc w:val="center"/>
      </w:pPr>
      <w:bookmarkStart w:id="743" w:name="bookmark743"/>
      <w:bookmarkStart w:id="744" w:name="bookmark744"/>
      <w:bookmarkStart w:id="745" w:name="bookmark745"/>
      <w:bookmarkStart w:id="746" w:name="bookmark746"/>
      <w:r>
        <w:rPr>
          <w:color w:val="000000"/>
          <w:spacing w:val="0"/>
          <w:w w:val="100"/>
          <w:position w:val="0"/>
        </w:rPr>
        <w:t>第十一节财务报告</w:t>
      </w:r>
      <w:bookmarkEnd w:id="744"/>
      <w:bookmarkEnd w:id="745"/>
      <w:bookmarkEnd w:id="746"/>
      <w:bookmarkEnd w:id="743"/>
    </w:p>
    <w:p>
      <w:pPr>
        <w:pStyle w:val="Style72"/>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rPr>
        <w:t>审计报告</w:t>
      </w:r>
    </w:p>
    <w:p>
      <w:pPr>
        <w:pStyle w:val="Style72"/>
        <w:keepNext w:val="0"/>
        <w:keepLines w:val="0"/>
        <w:widowControl w:val="0"/>
        <w:shd w:val="clear" w:color="auto" w:fill="auto"/>
        <w:bidi w:val="0"/>
        <w:spacing w:before="0" w:after="60" w:line="310" w:lineRule="exact"/>
        <w:ind w:left="0" w:right="700" w:firstLine="0"/>
        <w:jc w:val="right"/>
      </w:pPr>
      <w:r>
        <w:rPr>
          <w:color w:val="000000"/>
          <w:spacing w:val="0"/>
          <w:w w:val="100"/>
          <w:position w:val="0"/>
          <w:sz w:val="24"/>
          <w:szCs w:val="24"/>
        </w:rPr>
        <w:t>普华永道中天审字</w:t>
      </w:r>
      <w:r>
        <w:rPr>
          <w:color w:val="000000"/>
          <w:spacing w:val="0"/>
          <w:w w:val="100"/>
          <w:position w:val="0"/>
          <w:sz w:val="26"/>
          <w:szCs w:val="26"/>
        </w:rPr>
        <w:t>（</w:t>
      </w:r>
      <w:r>
        <w:rPr>
          <w:rFonts w:ascii="Georgia" w:eastAsia="Georgia" w:hAnsi="Georgia" w:cs="Georgia"/>
          <w:color w:val="000000"/>
          <w:spacing w:val="0"/>
          <w:w w:val="100"/>
          <w:position w:val="0"/>
          <w:sz w:val="24"/>
          <w:szCs w:val="24"/>
        </w:rPr>
        <w:t>2022</w:t>
      </w:r>
      <w:r>
        <w:rPr>
          <w:color w:val="000000"/>
          <w:spacing w:val="0"/>
          <w:w w:val="100"/>
          <w:position w:val="0"/>
          <w:sz w:val="26"/>
          <w:szCs w:val="26"/>
        </w:rPr>
        <w:t>）</w:t>
      </w:r>
      <w:r>
        <w:rPr>
          <w:color w:val="000000"/>
          <w:spacing w:val="0"/>
          <w:w w:val="100"/>
          <w:position w:val="0"/>
          <w:sz w:val="24"/>
          <w:szCs w:val="24"/>
        </w:rPr>
        <w:t>第</w:t>
      </w:r>
      <w:r>
        <w:rPr>
          <w:rFonts w:ascii="Georgia" w:eastAsia="Georgia" w:hAnsi="Georgia" w:cs="Georgia"/>
          <w:color w:val="000000"/>
          <w:spacing w:val="0"/>
          <w:w w:val="100"/>
          <w:position w:val="0"/>
          <w:sz w:val="24"/>
          <w:szCs w:val="24"/>
        </w:rPr>
        <w:t>10072</w:t>
      </w:r>
      <w:r>
        <w:rPr>
          <w:color w:val="000000"/>
          <w:spacing w:val="0"/>
          <w:w w:val="100"/>
          <w:position w:val="0"/>
          <w:sz w:val="24"/>
          <w:szCs w:val="24"/>
        </w:rPr>
        <w:t>号</w:t>
      </w:r>
    </w:p>
    <w:p>
      <w:pPr>
        <w:pStyle w:val="Style72"/>
        <w:keepNext w:val="0"/>
        <w:keepLines w:val="0"/>
        <w:widowControl w:val="0"/>
        <w:shd w:val="clear" w:color="auto" w:fill="auto"/>
        <w:bidi w:val="0"/>
        <w:spacing w:before="0" w:line="310" w:lineRule="exact"/>
        <w:ind w:left="0" w:right="700" w:firstLine="0"/>
        <w:jc w:val="right"/>
      </w:pPr>
      <w:r>
        <w:rPr>
          <w:rFonts w:ascii="Georgia" w:eastAsia="Georgia" w:hAnsi="Georgia" w:cs="Georgia"/>
          <w:color w:val="000000"/>
          <w:spacing w:val="0"/>
          <w:w w:val="100"/>
          <w:position w:val="0"/>
          <w:sz w:val="24"/>
          <w:szCs w:val="24"/>
        </w:rPr>
        <w:t>（</w:t>
      </w:r>
      <w:r>
        <w:rPr>
          <w:color w:val="000000"/>
          <w:spacing w:val="0"/>
          <w:w w:val="100"/>
          <w:position w:val="0"/>
          <w:sz w:val="24"/>
          <w:szCs w:val="24"/>
        </w:rPr>
        <w:t>第一页，共十一页</w:t>
      </w:r>
      <w:r>
        <w:rPr>
          <w:rFonts w:ascii="Georgia" w:eastAsia="Georgia" w:hAnsi="Georgia" w:cs="Georgia"/>
          <w:color w:val="000000"/>
          <w:spacing w:val="0"/>
          <w:w w:val="100"/>
          <w:position w:val="0"/>
          <w:sz w:val="24"/>
          <w:szCs w:val="24"/>
        </w:rPr>
        <w:t>）</w:t>
      </w:r>
    </w:p>
    <w:p>
      <w:pPr>
        <w:pStyle w:val="Style72"/>
        <w:keepNext w:val="0"/>
        <w:keepLines w:val="0"/>
        <w:widowControl w:val="0"/>
        <w:shd w:val="clear" w:color="auto" w:fill="auto"/>
        <w:bidi w:val="0"/>
        <w:spacing w:before="0" w:line="310" w:lineRule="exact"/>
        <w:ind w:left="0" w:right="0" w:firstLine="860"/>
        <w:jc w:val="both"/>
      </w:pPr>
      <w:r>
        <w:rPr>
          <w:color w:val="000000"/>
          <w:spacing w:val="0"/>
          <w:w w:val="100"/>
          <w:position w:val="0"/>
          <w:sz w:val="24"/>
          <w:szCs w:val="24"/>
        </w:rPr>
        <w:t>苏宁易购集团股份有限公司全体股东：</w:t>
      </w:r>
    </w:p>
    <w:p>
      <w:pPr>
        <w:pStyle w:val="Style72"/>
        <w:keepNext w:val="0"/>
        <w:keepLines w:val="0"/>
        <w:widowControl w:val="0"/>
        <w:shd w:val="clear" w:color="auto" w:fill="auto"/>
        <w:tabs>
          <w:tab w:pos="2055" w:val="left"/>
        </w:tabs>
        <w:bidi w:val="0"/>
        <w:spacing w:before="0" w:after="300" w:line="310" w:lineRule="exact"/>
        <w:ind w:left="1340" w:right="0" w:firstLine="0"/>
        <w:jc w:val="both"/>
      </w:pPr>
      <w:bookmarkStart w:id="747" w:name="bookmark747"/>
      <w:r>
        <w:rPr>
          <w:b/>
          <w:bCs/>
          <w:color w:val="000000"/>
          <w:spacing w:val="0"/>
          <w:w w:val="100"/>
          <w:position w:val="0"/>
          <w:sz w:val="24"/>
          <w:szCs w:val="24"/>
        </w:rPr>
        <w:t>一</w:t>
      </w:r>
      <w:bookmarkEnd w:id="747"/>
      <w:r>
        <w:rPr>
          <w:b/>
          <w:bCs/>
          <w:color w:val="000000"/>
          <w:spacing w:val="0"/>
          <w:w w:val="100"/>
          <w:position w:val="0"/>
          <w:sz w:val="24"/>
          <w:szCs w:val="24"/>
        </w:rPr>
        <w:t>、</w:t>
        <w:tab/>
        <w:t>审计意见</w:t>
      </w:r>
    </w:p>
    <w:p>
      <w:pPr>
        <w:pStyle w:val="Style72"/>
        <w:keepNext w:val="0"/>
        <w:keepLines w:val="0"/>
        <w:widowControl w:val="0"/>
        <w:shd w:val="clear" w:color="auto" w:fill="auto"/>
        <w:tabs>
          <w:tab w:pos="2055" w:val="left"/>
        </w:tabs>
        <w:bidi w:val="0"/>
        <w:spacing w:before="0" w:after="300" w:line="310" w:lineRule="exact"/>
        <w:ind w:left="1340" w:right="0" w:firstLine="0"/>
        <w:jc w:val="both"/>
      </w:pPr>
      <w:bookmarkStart w:id="748" w:name="bookmark748"/>
      <w:r>
        <w:rPr>
          <w:rFonts w:ascii="Georgia" w:eastAsia="Georgia" w:hAnsi="Georgia" w:cs="Georgia"/>
          <w:color w:val="000000"/>
          <w:spacing w:val="0"/>
          <w:w w:val="100"/>
          <w:position w:val="0"/>
          <w:sz w:val="24"/>
          <w:szCs w:val="24"/>
        </w:rPr>
        <w:t>（</w:t>
      </w:r>
      <w:bookmarkEnd w:id="748"/>
      <w:r>
        <w:rPr>
          <w:color w:val="000000"/>
          <w:spacing w:val="0"/>
          <w:w w:val="100"/>
          <w:position w:val="0"/>
          <w:sz w:val="24"/>
          <w:szCs w:val="24"/>
        </w:rPr>
        <w:t>一</w:t>
      </w:r>
      <w:r>
        <w:rPr>
          <w:color w:val="000000"/>
          <w:spacing w:val="0"/>
          <w:w w:val="100"/>
          <w:position w:val="0"/>
          <w:sz w:val="26"/>
          <w:szCs w:val="26"/>
        </w:rPr>
        <w:t>）</w:t>
      </w:r>
      <w:r>
        <w:rPr>
          <w:rFonts w:ascii="Georgia" w:eastAsia="Georgia" w:hAnsi="Georgia" w:cs="Georgia"/>
          <w:color w:val="000000"/>
          <w:spacing w:val="0"/>
          <w:w w:val="100"/>
          <w:position w:val="0"/>
          <w:sz w:val="24"/>
          <w:szCs w:val="24"/>
        </w:rPr>
        <w:tab/>
      </w:r>
      <w:r>
        <w:rPr>
          <w:color w:val="000000"/>
          <w:spacing w:val="0"/>
          <w:w w:val="100"/>
          <w:position w:val="0"/>
          <w:sz w:val="24"/>
          <w:szCs w:val="24"/>
        </w:rPr>
        <w:t>我们审计的内容</w:t>
      </w:r>
    </w:p>
    <w:p>
      <w:pPr>
        <w:pStyle w:val="Style72"/>
        <w:keepNext w:val="0"/>
        <w:keepLines w:val="0"/>
        <w:widowControl w:val="0"/>
        <w:shd w:val="clear" w:color="auto" w:fill="auto"/>
        <w:bidi w:val="0"/>
        <w:spacing w:before="0" w:line="310" w:lineRule="exact"/>
        <w:ind w:left="860" w:right="0" w:firstLine="480"/>
        <w:jc w:val="both"/>
      </w:pPr>
      <w:r>
        <w:rPr>
          <w:color w:val="000000"/>
          <w:spacing w:val="0"/>
          <w:w w:val="100"/>
          <w:position w:val="0"/>
          <w:sz w:val="24"/>
          <w:szCs w:val="24"/>
        </w:rPr>
        <w:t>我们审计了苏宁易购集团股份有限公司</w:t>
      </w:r>
      <w:r>
        <w:rPr>
          <w:color w:val="000000"/>
          <w:spacing w:val="0"/>
          <w:w w:val="100"/>
          <w:position w:val="0"/>
          <w:sz w:val="26"/>
          <w:szCs w:val="26"/>
        </w:rPr>
        <w:t>（</w:t>
      </w:r>
      <w:r>
        <w:rPr>
          <w:color w:val="000000"/>
          <w:spacing w:val="0"/>
          <w:w w:val="100"/>
          <w:position w:val="0"/>
          <w:sz w:val="24"/>
          <w:szCs w:val="24"/>
        </w:rPr>
        <w:t>以下简称“苏宁易购”</w:t>
      </w:r>
      <w:r>
        <w:rPr>
          <w:color w:val="000000"/>
          <w:spacing w:val="0"/>
          <w:w w:val="100"/>
          <w:position w:val="0"/>
          <w:sz w:val="26"/>
          <w:szCs w:val="26"/>
        </w:rPr>
        <w:t>）</w:t>
      </w:r>
      <w:r>
        <w:rPr>
          <w:color w:val="000000"/>
          <w:spacing w:val="0"/>
          <w:w w:val="100"/>
          <w:position w:val="0"/>
          <w:sz w:val="24"/>
          <w:szCs w:val="24"/>
        </w:rPr>
        <w:t>的财务报 表，包括</w:t>
      </w:r>
      <w:r>
        <w:rPr>
          <w:rFonts w:ascii="Georgia" w:eastAsia="Georgia" w:hAnsi="Georgia" w:cs="Georgia"/>
          <w:color w:val="000000"/>
          <w:spacing w:val="0"/>
          <w:w w:val="100"/>
          <w:position w:val="0"/>
          <w:sz w:val="24"/>
          <w:szCs w:val="24"/>
        </w:rPr>
        <w:t>2021</w:t>
      </w:r>
      <w:r>
        <w:rPr>
          <w:color w:val="000000"/>
          <w:spacing w:val="0"/>
          <w:w w:val="100"/>
          <w:position w:val="0"/>
          <w:sz w:val="24"/>
          <w:szCs w:val="24"/>
        </w:rPr>
        <w:t>年</w:t>
      </w:r>
      <w:r>
        <w:rPr>
          <w:rFonts w:ascii="Georgia" w:eastAsia="Georgia" w:hAnsi="Georgia" w:cs="Georgia"/>
          <w:color w:val="000000"/>
          <w:spacing w:val="0"/>
          <w:w w:val="100"/>
          <w:position w:val="0"/>
          <w:sz w:val="24"/>
          <w:szCs w:val="24"/>
        </w:rPr>
        <w:t>12</w:t>
      </w:r>
      <w:r>
        <w:rPr>
          <w:color w:val="000000"/>
          <w:spacing w:val="0"/>
          <w:w w:val="100"/>
          <w:position w:val="0"/>
          <w:sz w:val="24"/>
          <w:szCs w:val="24"/>
        </w:rPr>
        <w:t>月</w:t>
      </w:r>
      <w:r>
        <w:rPr>
          <w:rFonts w:ascii="Georgia" w:eastAsia="Georgia" w:hAnsi="Georgia" w:cs="Georgia"/>
          <w:color w:val="000000"/>
          <w:spacing w:val="0"/>
          <w:w w:val="100"/>
          <w:position w:val="0"/>
          <w:sz w:val="24"/>
          <w:szCs w:val="24"/>
        </w:rPr>
        <w:t>31</w:t>
      </w:r>
      <w:r>
        <w:rPr>
          <w:color w:val="000000"/>
          <w:spacing w:val="0"/>
          <w:w w:val="100"/>
          <w:position w:val="0"/>
          <w:sz w:val="24"/>
          <w:szCs w:val="24"/>
        </w:rPr>
        <w:t>日的合并及公司资产负债表，</w:t>
      </w:r>
      <w:r>
        <w:rPr>
          <w:rFonts w:ascii="Georgia" w:eastAsia="Georgia" w:hAnsi="Georgia" w:cs="Georgia"/>
          <w:color w:val="000000"/>
          <w:spacing w:val="0"/>
          <w:w w:val="100"/>
          <w:position w:val="0"/>
          <w:sz w:val="24"/>
          <w:szCs w:val="24"/>
        </w:rPr>
        <w:t>2021</w:t>
      </w:r>
      <w:r>
        <w:rPr>
          <w:color w:val="000000"/>
          <w:spacing w:val="0"/>
          <w:w w:val="100"/>
          <w:position w:val="0"/>
          <w:sz w:val="24"/>
          <w:szCs w:val="24"/>
        </w:rPr>
        <w:t>年度的合并及公 司利润表、合并及公司现金流量表、合并及公司股东权益变动表以及财务报表 附注。</w:t>
      </w:r>
    </w:p>
    <w:p>
      <w:pPr>
        <w:pStyle w:val="Style72"/>
        <w:keepNext w:val="0"/>
        <w:keepLines w:val="0"/>
        <w:widowControl w:val="0"/>
        <w:shd w:val="clear" w:color="auto" w:fill="auto"/>
        <w:tabs>
          <w:tab w:pos="2055" w:val="left"/>
        </w:tabs>
        <w:bidi w:val="0"/>
        <w:spacing w:before="0" w:after="300" w:line="310" w:lineRule="exact"/>
        <w:ind w:left="1340" w:right="0" w:firstLine="0"/>
        <w:jc w:val="both"/>
      </w:pPr>
      <w:bookmarkStart w:id="749" w:name="bookmark749"/>
      <w:r>
        <w:rPr>
          <w:rFonts w:ascii="Georgia" w:eastAsia="Georgia" w:hAnsi="Georgia" w:cs="Georgia"/>
          <w:color w:val="000000"/>
          <w:spacing w:val="0"/>
          <w:w w:val="100"/>
          <w:position w:val="0"/>
          <w:sz w:val="24"/>
          <w:szCs w:val="24"/>
        </w:rPr>
        <w:t>（</w:t>
      </w:r>
      <w:bookmarkEnd w:id="749"/>
      <w:r>
        <w:rPr>
          <w:color w:val="000000"/>
          <w:spacing w:val="0"/>
          <w:w w:val="100"/>
          <w:position w:val="0"/>
          <w:sz w:val="24"/>
          <w:szCs w:val="24"/>
        </w:rPr>
        <w:t>二</w:t>
      </w:r>
      <w:r>
        <w:rPr>
          <w:color w:val="000000"/>
          <w:spacing w:val="0"/>
          <w:w w:val="100"/>
          <w:position w:val="0"/>
          <w:sz w:val="26"/>
          <w:szCs w:val="26"/>
        </w:rPr>
        <w:t>）</w:t>
      </w:r>
      <w:r>
        <w:rPr>
          <w:rFonts w:ascii="Georgia" w:eastAsia="Georgia" w:hAnsi="Georgia" w:cs="Georgia"/>
          <w:color w:val="000000"/>
          <w:spacing w:val="0"/>
          <w:w w:val="100"/>
          <w:position w:val="0"/>
          <w:sz w:val="24"/>
          <w:szCs w:val="24"/>
        </w:rPr>
        <w:tab/>
      </w:r>
      <w:r>
        <w:rPr>
          <w:color w:val="000000"/>
          <w:spacing w:val="0"/>
          <w:w w:val="100"/>
          <w:position w:val="0"/>
          <w:sz w:val="24"/>
          <w:szCs w:val="24"/>
        </w:rPr>
        <w:t>我们的意见</w:t>
      </w:r>
    </w:p>
    <w:p>
      <w:pPr>
        <w:pStyle w:val="Style72"/>
        <w:keepNext w:val="0"/>
        <w:keepLines w:val="0"/>
        <w:widowControl w:val="0"/>
        <w:shd w:val="clear" w:color="auto" w:fill="auto"/>
        <w:bidi w:val="0"/>
        <w:spacing w:before="0" w:line="312" w:lineRule="exact"/>
        <w:ind w:left="860" w:right="0" w:firstLine="480"/>
        <w:jc w:val="both"/>
      </w:pPr>
      <w:r>
        <w:rPr>
          <w:color w:val="000000"/>
          <w:spacing w:val="0"/>
          <w:w w:val="100"/>
          <w:position w:val="0"/>
          <w:sz w:val="24"/>
          <w:szCs w:val="24"/>
        </w:rPr>
        <w:t>我们认为，后附的财务报表在所有重大方面按照企业会计准则的规定编制， 公允反映了苏宁易购</w:t>
      </w:r>
      <w:r>
        <w:rPr>
          <w:rFonts w:ascii="Georgia" w:eastAsia="Georgia" w:hAnsi="Georgia" w:cs="Georgia"/>
          <w:color w:val="000000"/>
          <w:spacing w:val="0"/>
          <w:w w:val="100"/>
          <w:position w:val="0"/>
          <w:sz w:val="24"/>
          <w:szCs w:val="24"/>
        </w:rPr>
        <w:t>2021</w:t>
      </w:r>
      <w:r>
        <w:rPr>
          <w:color w:val="000000"/>
          <w:spacing w:val="0"/>
          <w:w w:val="100"/>
          <w:position w:val="0"/>
          <w:sz w:val="24"/>
          <w:szCs w:val="24"/>
        </w:rPr>
        <w:t>年</w:t>
      </w:r>
      <w:r>
        <w:rPr>
          <w:rFonts w:ascii="Georgia" w:eastAsia="Georgia" w:hAnsi="Georgia" w:cs="Georgia"/>
          <w:color w:val="000000"/>
          <w:spacing w:val="0"/>
          <w:w w:val="100"/>
          <w:position w:val="0"/>
          <w:sz w:val="24"/>
          <w:szCs w:val="24"/>
        </w:rPr>
        <w:t>12</w:t>
      </w:r>
      <w:r>
        <w:rPr>
          <w:color w:val="000000"/>
          <w:spacing w:val="0"/>
          <w:w w:val="100"/>
          <w:position w:val="0"/>
          <w:sz w:val="24"/>
          <w:szCs w:val="24"/>
        </w:rPr>
        <w:t>月</w:t>
      </w:r>
      <w:r>
        <w:rPr>
          <w:rFonts w:ascii="Georgia" w:eastAsia="Georgia" w:hAnsi="Georgia" w:cs="Georgia"/>
          <w:color w:val="000000"/>
          <w:spacing w:val="0"/>
          <w:w w:val="100"/>
          <w:position w:val="0"/>
          <w:sz w:val="24"/>
          <w:szCs w:val="24"/>
        </w:rPr>
        <w:t>31</w:t>
      </w:r>
      <w:r>
        <w:rPr>
          <w:color w:val="000000"/>
          <w:spacing w:val="0"/>
          <w:w w:val="100"/>
          <w:position w:val="0"/>
          <w:sz w:val="24"/>
          <w:szCs w:val="24"/>
        </w:rPr>
        <w:t>日的合并及公司财务状况以及</w:t>
      </w:r>
      <w:r>
        <w:rPr>
          <w:rFonts w:ascii="Georgia" w:eastAsia="Georgia" w:hAnsi="Georgia" w:cs="Georgia"/>
          <w:color w:val="000000"/>
          <w:spacing w:val="0"/>
          <w:w w:val="100"/>
          <w:position w:val="0"/>
          <w:sz w:val="24"/>
          <w:szCs w:val="24"/>
        </w:rPr>
        <w:t>2021</w:t>
      </w:r>
      <w:r>
        <w:rPr>
          <w:color w:val="000000"/>
          <w:spacing w:val="0"/>
          <w:w w:val="100"/>
          <w:position w:val="0"/>
          <w:sz w:val="24"/>
          <w:szCs w:val="24"/>
        </w:rPr>
        <w:t>年度 的合并及公司经营成果和现金流量。</w:t>
      </w:r>
    </w:p>
    <w:p>
      <w:pPr>
        <w:pStyle w:val="Style72"/>
        <w:keepNext w:val="0"/>
        <w:keepLines w:val="0"/>
        <w:widowControl w:val="0"/>
        <w:shd w:val="clear" w:color="auto" w:fill="auto"/>
        <w:tabs>
          <w:tab w:pos="2055" w:val="left"/>
        </w:tabs>
        <w:bidi w:val="0"/>
        <w:spacing w:before="0" w:line="310" w:lineRule="exact"/>
        <w:ind w:left="1340" w:right="0" w:firstLine="0"/>
        <w:jc w:val="both"/>
      </w:pPr>
      <w:bookmarkStart w:id="750" w:name="bookmark750"/>
      <w:r>
        <w:rPr>
          <w:b/>
          <w:bCs/>
          <w:color w:val="000000"/>
          <w:spacing w:val="0"/>
          <w:w w:val="100"/>
          <w:position w:val="0"/>
          <w:sz w:val="24"/>
          <w:szCs w:val="24"/>
        </w:rPr>
        <w:t>二</w:t>
      </w:r>
      <w:bookmarkEnd w:id="750"/>
      <w:r>
        <w:rPr>
          <w:b/>
          <w:bCs/>
          <w:color w:val="000000"/>
          <w:spacing w:val="0"/>
          <w:w w:val="100"/>
          <w:position w:val="0"/>
          <w:sz w:val="24"/>
          <w:szCs w:val="24"/>
        </w:rPr>
        <w:t>、</w:t>
        <w:tab/>
        <w:t>形成审计意见的基础</w:t>
      </w:r>
    </w:p>
    <w:p>
      <w:pPr>
        <w:pStyle w:val="Style72"/>
        <w:keepNext w:val="0"/>
        <w:keepLines w:val="0"/>
        <w:widowControl w:val="0"/>
        <w:shd w:val="clear" w:color="auto" w:fill="auto"/>
        <w:bidi w:val="0"/>
        <w:spacing w:before="0" w:line="309" w:lineRule="exact"/>
        <w:ind w:left="860" w:right="0" w:firstLine="480"/>
        <w:jc w:val="both"/>
      </w:pPr>
      <w:r>
        <w:rPr>
          <w:color w:val="000000"/>
          <w:spacing w:val="0"/>
          <w:w w:val="100"/>
          <w:position w:val="0"/>
          <w:sz w:val="24"/>
          <w:szCs w:val="24"/>
        </w:rPr>
        <w:t>我们按照中国注册会计师审计准则的规定执行了审计工作。审计报告的 “注册会计师对财务报表审计的责任”部分进一步阐述了我们在这些准则下的 责任。我们相信，我们获取的审计证据是充分、适当的，为发表审计意见提供 了基础。</w:t>
      </w:r>
    </w:p>
    <w:p>
      <w:pPr>
        <w:pStyle w:val="Style72"/>
        <w:keepNext w:val="0"/>
        <w:keepLines w:val="0"/>
        <w:widowControl w:val="0"/>
        <w:shd w:val="clear" w:color="auto" w:fill="auto"/>
        <w:bidi w:val="0"/>
        <w:spacing w:before="0" w:line="317" w:lineRule="exact"/>
        <w:ind w:left="860" w:right="0" w:firstLine="480"/>
        <w:jc w:val="both"/>
      </w:pPr>
      <w:r>
        <w:rPr>
          <w:color w:val="000000"/>
          <w:spacing w:val="0"/>
          <w:w w:val="100"/>
          <w:position w:val="0"/>
          <w:sz w:val="24"/>
          <w:szCs w:val="24"/>
        </w:rPr>
        <w:t>按照中国注册会计师职业道德守则，我们独立于苏宁易购，并履行了职业 道德方面的其他责任。</w:t>
      </w:r>
    </w:p>
    <w:p>
      <w:pPr>
        <w:pStyle w:val="Style72"/>
        <w:keepNext w:val="0"/>
        <w:keepLines w:val="0"/>
        <w:widowControl w:val="0"/>
        <w:shd w:val="clear" w:color="auto" w:fill="auto"/>
        <w:tabs>
          <w:tab w:pos="2081" w:val="left"/>
        </w:tabs>
        <w:bidi w:val="0"/>
        <w:spacing w:before="0" w:line="310" w:lineRule="exact"/>
        <w:ind w:left="1420" w:right="0" w:firstLine="0"/>
        <w:jc w:val="both"/>
      </w:pPr>
      <w:bookmarkStart w:id="751" w:name="bookmark751"/>
      <w:r>
        <w:rPr>
          <w:b/>
          <w:bCs/>
          <w:color w:val="000000"/>
          <w:spacing w:val="0"/>
          <w:w w:val="100"/>
          <w:position w:val="0"/>
          <w:sz w:val="24"/>
          <w:szCs w:val="24"/>
        </w:rPr>
        <w:t>三</w:t>
      </w:r>
      <w:bookmarkEnd w:id="751"/>
      <w:r>
        <w:rPr>
          <w:b/>
          <w:bCs/>
          <w:color w:val="000000"/>
          <w:spacing w:val="0"/>
          <w:w w:val="100"/>
          <w:position w:val="0"/>
          <w:sz w:val="24"/>
          <w:szCs w:val="24"/>
        </w:rPr>
        <w:t>、</w:t>
        <w:tab/>
        <w:t>与持续经营相关的重大不确定性</w:t>
      </w:r>
    </w:p>
    <w:p>
      <w:pPr>
        <w:pStyle w:val="Style72"/>
        <w:keepNext w:val="0"/>
        <w:keepLines w:val="0"/>
        <w:widowControl w:val="0"/>
        <w:shd w:val="clear" w:color="auto" w:fill="auto"/>
        <w:bidi w:val="0"/>
        <w:spacing w:before="0" w:after="40" w:line="310" w:lineRule="exact"/>
        <w:ind w:left="860" w:right="0" w:firstLine="720"/>
        <w:jc w:val="both"/>
      </w:pPr>
      <w:r>
        <w:rPr>
          <w:color w:val="000000"/>
          <w:spacing w:val="0"/>
          <w:w w:val="100"/>
          <w:position w:val="0"/>
          <w:sz w:val="24"/>
          <w:szCs w:val="24"/>
        </w:rPr>
        <w:t>我们提请财务报表使用者关注，如合并财务报表附注二</w:t>
      </w:r>
      <w:r>
        <w:rPr>
          <w:rFonts w:ascii="Georgia" w:eastAsia="Georgia" w:hAnsi="Georgia" w:cs="Georgia"/>
          <w:color w:val="000000"/>
          <w:spacing w:val="0"/>
          <w:w w:val="100"/>
          <w:position w:val="0"/>
          <w:sz w:val="24"/>
          <w:szCs w:val="24"/>
        </w:rPr>
        <w:t>（1）</w:t>
      </w:r>
      <w:r>
        <w:rPr>
          <w:color w:val="000000"/>
          <w:spacing w:val="0"/>
          <w:w w:val="100"/>
          <w:position w:val="0"/>
          <w:sz w:val="24"/>
          <w:szCs w:val="24"/>
        </w:rPr>
        <w:t>所述，苏宁易 购于</w:t>
      </w:r>
      <w:r>
        <w:rPr>
          <w:rFonts w:ascii="Georgia" w:eastAsia="Georgia" w:hAnsi="Georgia" w:cs="Georgia"/>
          <w:color w:val="000000"/>
          <w:spacing w:val="0"/>
          <w:w w:val="100"/>
          <w:position w:val="0"/>
          <w:sz w:val="24"/>
          <w:szCs w:val="24"/>
        </w:rPr>
        <w:t>2021</w:t>
      </w:r>
      <w:r>
        <w:rPr>
          <w:color w:val="000000"/>
          <w:spacing w:val="0"/>
          <w:w w:val="100"/>
          <w:position w:val="0"/>
          <w:sz w:val="24"/>
          <w:szCs w:val="24"/>
        </w:rPr>
        <w:t>年度合并净亏损为人民币</w:t>
      </w:r>
      <w:r>
        <w:rPr>
          <w:rFonts w:ascii="Georgia" w:eastAsia="Georgia" w:hAnsi="Georgia" w:cs="Georgia"/>
          <w:color w:val="000000"/>
          <w:spacing w:val="0"/>
          <w:w w:val="100"/>
          <w:position w:val="0"/>
          <w:sz w:val="24"/>
          <w:szCs w:val="24"/>
        </w:rPr>
        <w:t>441.79</w:t>
      </w:r>
      <w:r>
        <w:rPr>
          <w:color w:val="000000"/>
          <w:spacing w:val="0"/>
          <w:w w:val="100"/>
          <w:position w:val="0"/>
          <w:sz w:val="24"/>
          <w:szCs w:val="24"/>
        </w:rPr>
        <w:t>亿元，经营活动现金净流出为人民 币</w:t>
      </w:r>
      <w:r>
        <w:rPr>
          <w:rFonts w:ascii="Georgia" w:eastAsia="Georgia" w:hAnsi="Georgia" w:cs="Georgia"/>
          <w:color w:val="000000"/>
          <w:spacing w:val="0"/>
          <w:w w:val="100"/>
          <w:position w:val="0"/>
          <w:sz w:val="24"/>
          <w:szCs w:val="24"/>
        </w:rPr>
        <w:t>64.30</w:t>
      </w:r>
      <w:r>
        <w:rPr>
          <w:color w:val="000000"/>
          <w:spacing w:val="0"/>
          <w:w w:val="100"/>
          <w:position w:val="0"/>
          <w:sz w:val="24"/>
          <w:szCs w:val="24"/>
        </w:rPr>
        <w:t>亿元。于</w:t>
      </w:r>
      <w:r>
        <w:rPr>
          <w:rFonts w:ascii="Georgia" w:eastAsia="Georgia" w:hAnsi="Georgia" w:cs="Georgia"/>
          <w:color w:val="000000"/>
          <w:spacing w:val="0"/>
          <w:w w:val="100"/>
          <w:position w:val="0"/>
          <w:sz w:val="24"/>
          <w:szCs w:val="24"/>
        </w:rPr>
        <w:t>2021</w:t>
      </w:r>
      <w:r>
        <w:rPr>
          <w:color w:val="000000"/>
          <w:spacing w:val="0"/>
          <w:w w:val="100"/>
          <w:position w:val="0"/>
          <w:sz w:val="24"/>
          <w:szCs w:val="24"/>
        </w:rPr>
        <w:t>年</w:t>
      </w:r>
      <w:r>
        <w:rPr>
          <w:rFonts w:ascii="Georgia" w:eastAsia="Georgia" w:hAnsi="Georgia" w:cs="Georgia"/>
          <w:color w:val="000000"/>
          <w:spacing w:val="0"/>
          <w:w w:val="100"/>
          <w:position w:val="0"/>
          <w:sz w:val="24"/>
          <w:szCs w:val="24"/>
        </w:rPr>
        <w:t>12</w:t>
      </w:r>
      <w:r>
        <w:rPr>
          <w:color w:val="000000"/>
          <w:spacing w:val="0"/>
          <w:w w:val="100"/>
          <w:position w:val="0"/>
          <w:sz w:val="24"/>
          <w:szCs w:val="24"/>
        </w:rPr>
        <w:t>月</w:t>
      </w:r>
      <w:r>
        <w:rPr>
          <w:rFonts w:ascii="Georgia" w:eastAsia="Georgia" w:hAnsi="Georgia" w:cs="Georgia"/>
          <w:color w:val="000000"/>
          <w:spacing w:val="0"/>
          <w:w w:val="100"/>
          <w:position w:val="0"/>
          <w:sz w:val="24"/>
          <w:szCs w:val="24"/>
        </w:rPr>
        <w:t>31</w:t>
      </w:r>
      <w:r>
        <w:rPr>
          <w:color w:val="000000"/>
          <w:spacing w:val="0"/>
          <w:w w:val="100"/>
          <w:position w:val="0"/>
          <w:sz w:val="24"/>
          <w:szCs w:val="24"/>
        </w:rPr>
        <w:t>日，苏宁易购的流动负债超出流动资产为 人民币</w:t>
      </w:r>
      <w:r>
        <w:rPr>
          <w:rFonts w:ascii="Georgia" w:eastAsia="Georgia" w:hAnsi="Georgia" w:cs="Georgia"/>
          <w:color w:val="000000"/>
          <w:spacing w:val="0"/>
          <w:w w:val="100"/>
          <w:position w:val="0"/>
          <w:sz w:val="24"/>
          <w:szCs w:val="24"/>
        </w:rPr>
        <w:t>349.94</w:t>
      </w:r>
      <w:r>
        <w:rPr>
          <w:color w:val="000000"/>
          <w:spacing w:val="0"/>
          <w:w w:val="100"/>
          <w:position w:val="0"/>
          <w:sz w:val="24"/>
          <w:szCs w:val="24"/>
        </w:rPr>
        <w:t>亿元，现金及现金等价物余额为人民币</w:t>
      </w:r>
      <w:r>
        <w:rPr>
          <w:rFonts w:ascii="Georgia" w:eastAsia="Georgia" w:hAnsi="Georgia" w:cs="Georgia"/>
          <w:color w:val="000000"/>
          <w:spacing w:val="0"/>
          <w:w w:val="100"/>
          <w:position w:val="0"/>
          <w:sz w:val="24"/>
          <w:szCs w:val="24"/>
        </w:rPr>
        <w:t>41.62</w:t>
      </w:r>
      <w:r>
        <w:rPr>
          <w:color w:val="000000"/>
          <w:spacing w:val="0"/>
          <w:w w:val="100"/>
          <w:position w:val="0"/>
          <w:sz w:val="24"/>
          <w:szCs w:val="24"/>
        </w:rPr>
        <w:t>亿元。于</w:t>
      </w:r>
      <w:r>
        <w:rPr>
          <w:rFonts w:ascii="Georgia" w:eastAsia="Georgia" w:hAnsi="Georgia" w:cs="Georgia"/>
          <w:color w:val="000000"/>
          <w:spacing w:val="0"/>
          <w:w w:val="100"/>
          <w:position w:val="0"/>
          <w:sz w:val="24"/>
          <w:szCs w:val="24"/>
        </w:rPr>
        <w:t>2021</w:t>
      </w:r>
      <w:r>
        <w:rPr>
          <w:color w:val="000000"/>
          <w:spacing w:val="0"/>
          <w:w w:val="100"/>
          <w:position w:val="0"/>
          <w:sz w:val="24"/>
          <w:szCs w:val="24"/>
        </w:rPr>
        <w:t>年 度，苏宁易购由于未能履行若干银行借款协议中的约定条款而触发了部分银行 借款合同中的违约或交叉违约条款</w:t>
      </w:r>
      <w:r>
        <w:rPr>
          <w:rFonts w:ascii="Georgia" w:eastAsia="Georgia" w:hAnsi="Georgia" w:cs="Georgia"/>
          <w:color w:val="000000"/>
          <w:spacing w:val="0"/>
          <w:w w:val="100"/>
          <w:position w:val="0"/>
          <w:sz w:val="24"/>
          <w:szCs w:val="24"/>
        </w:rPr>
        <w:t>（</w:t>
      </w:r>
      <w:r>
        <w:rPr>
          <w:color w:val="000000"/>
          <w:spacing w:val="0"/>
          <w:w w:val="100"/>
          <w:position w:val="0"/>
          <w:sz w:val="24"/>
          <w:szCs w:val="24"/>
        </w:rPr>
        <w:t>以下合称“违约事项”"于</w:t>
      </w:r>
      <w:r>
        <w:rPr>
          <w:rFonts w:ascii="Georgia" w:eastAsia="Georgia" w:hAnsi="Georgia" w:cs="Georgia"/>
          <w:color w:val="000000"/>
          <w:spacing w:val="0"/>
          <w:w w:val="100"/>
          <w:position w:val="0"/>
          <w:sz w:val="24"/>
          <w:szCs w:val="24"/>
        </w:rPr>
        <w:t>2021</w:t>
      </w:r>
      <w:r>
        <w:rPr>
          <w:color w:val="000000"/>
          <w:spacing w:val="0"/>
          <w:w w:val="100"/>
          <w:position w:val="0"/>
          <w:sz w:val="24"/>
          <w:szCs w:val="24"/>
        </w:rPr>
        <w:t>年</w:t>
      </w:r>
      <w:r>
        <w:rPr>
          <w:rFonts w:ascii="Georgia" w:eastAsia="Georgia" w:hAnsi="Georgia" w:cs="Georgia"/>
          <w:color w:val="000000"/>
          <w:spacing w:val="0"/>
          <w:w w:val="100"/>
          <w:position w:val="0"/>
          <w:sz w:val="24"/>
          <w:szCs w:val="24"/>
        </w:rPr>
        <w:t>12</w:t>
      </w:r>
      <w:r>
        <w:rPr>
          <w:color w:val="000000"/>
          <w:spacing w:val="0"/>
          <w:w w:val="100"/>
          <w:position w:val="0"/>
          <w:sz w:val="24"/>
          <w:szCs w:val="24"/>
        </w:rPr>
        <w:t xml:space="preserve">月 </w:t>
      </w:r>
      <w:r>
        <w:rPr>
          <w:rFonts w:ascii="Georgia" w:eastAsia="Georgia" w:hAnsi="Georgia" w:cs="Georgia"/>
          <w:color w:val="000000"/>
          <w:spacing w:val="0"/>
          <w:w w:val="100"/>
          <w:position w:val="0"/>
          <w:sz w:val="24"/>
          <w:szCs w:val="24"/>
        </w:rPr>
        <w:t>31</w:t>
      </w:r>
      <w:r>
        <w:rPr>
          <w:color w:val="000000"/>
          <w:spacing w:val="0"/>
          <w:w w:val="100"/>
          <w:position w:val="0"/>
          <w:sz w:val="24"/>
          <w:szCs w:val="24"/>
        </w:rPr>
        <w:t>日，该等违约事项导致相关银行及其他金融机构有权要求苏宁易购提前偿还 共计人民币</w:t>
      </w:r>
      <w:r>
        <w:rPr>
          <w:rFonts w:ascii="Georgia" w:eastAsia="Georgia" w:hAnsi="Georgia" w:cs="Georgia"/>
          <w:color w:val="000000"/>
          <w:spacing w:val="0"/>
          <w:w w:val="100"/>
          <w:position w:val="0"/>
          <w:sz w:val="24"/>
          <w:szCs w:val="24"/>
        </w:rPr>
        <w:t>191.05</w:t>
      </w:r>
      <w:r>
        <w:rPr>
          <w:color w:val="000000"/>
          <w:spacing w:val="0"/>
          <w:w w:val="100"/>
          <w:position w:val="0"/>
          <w:sz w:val="24"/>
          <w:szCs w:val="24"/>
        </w:rPr>
        <w:t>亿元的银行借款本金及利息。此外，于</w:t>
      </w:r>
      <w:r>
        <w:rPr>
          <w:rFonts w:ascii="Georgia" w:eastAsia="Georgia" w:hAnsi="Georgia" w:cs="Georgia"/>
          <w:color w:val="000000"/>
          <w:spacing w:val="0"/>
          <w:w w:val="100"/>
          <w:position w:val="0"/>
          <w:sz w:val="24"/>
          <w:szCs w:val="24"/>
        </w:rPr>
        <w:t>2021</w:t>
      </w:r>
      <w:r>
        <w:rPr>
          <w:color w:val="000000"/>
          <w:spacing w:val="0"/>
          <w:w w:val="100"/>
          <w:position w:val="0"/>
          <w:sz w:val="24"/>
          <w:szCs w:val="24"/>
        </w:rPr>
        <w:t>年</w:t>
      </w:r>
      <w:r>
        <w:rPr>
          <w:rFonts w:ascii="Georgia" w:eastAsia="Georgia" w:hAnsi="Georgia" w:cs="Georgia"/>
          <w:color w:val="000000"/>
          <w:spacing w:val="0"/>
          <w:w w:val="100"/>
          <w:position w:val="0"/>
          <w:sz w:val="24"/>
          <w:szCs w:val="24"/>
        </w:rPr>
        <w:t>12</w:t>
      </w:r>
      <w:r>
        <w:rPr>
          <w:color w:val="000000"/>
          <w:spacing w:val="0"/>
          <w:w w:val="100"/>
          <w:position w:val="0"/>
          <w:sz w:val="24"/>
          <w:szCs w:val="24"/>
        </w:rPr>
        <w:t>月</w:t>
      </w:r>
      <w:r>
        <w:rPr>
          <w:rFonts w:ascii="Georgia" w:eastAsia="Georgia" w:hAnsi="Georgia" w:cs="Georgia"/>
          <w:color w:val="000000"/>
          <w:spacing w:val="0"/>
          <w:w w:val="100"/>
          <w:position w:val="0"/>
          <w:sz w:val="24"/>
          <w:szCs w:val="24"/>
        </w:rPr>
        <w:t>31</w:t>
      </w:r>
      <w:r>
        <w:rPr>
          <w:color w:val="000000"/>
          <w:spacing w:val="0"/>
          <w:w w:val="100"/>
          <w:position w:val="0"/>
          <w:sz w:val="24"/>
          <w:szCs w:val="24"/>
        </w:rPr>
        <w:t>日， 苏宁易购部分应付款项共约人民币</w:t>
      </w:r>
      <w:r>
        <w:rPr>
          <w:rFonts w:ascii="Georgia" w:eastAsia="Georgia" w:hAnsi="Georgia" w:cs="Georgia"/>
          <w:color w:val="000000"/>
          <w:spacing w:val="0"/>
          <w:w w:val="100"/>
          <w:position w:val="0"/>
          <w:sz w:val="24"/>
          <w:szCs w:val="24"/>
        </w:rPr>
        <w:t>328.93</w:t>
      </w:r>
      <w:r>
        <w:rPr>
          <w:color w:val="000000"/>
          <w:spacing w:val="0"/>
          <w:w w:val="100"/>
          <w:position w:val="0"/>
          <w:sz w:val="24"/>
          <w:szCs w:val="24"/>
        </w:rPr>
        <w:t>亿元亦已逾期未支付。上述事项，连 同财务报表附注二</w:t>
      </w:r>
      <w:r>
        <w:rPr>
          <w:rFonts w:ascii="Georgia" w:eastAsia="Georgia" w:hAnsi="Georgia" w:cs="Georgia"/>
          <w:color w:val="000000"/>
          <w:spacing w:val="0"/>
          <w:w w:val="100"/>
          <w:position w:val="0"/>
          <w:sz w:val="24"/>
          <w:szCs w:val="24"/>
        </w:rPr>
        <w:t>（1）</w:t>
      </w:r>
      <w:r>
        <w:rPr>
          <w:color w:val="000000"/>
          <w:spacing w:val="0"/>
          <w:w w:val="100"/>
          <w:position w:val="0"/>
          <w:sz w:val="24"/>
          <w:szCs w:val="24"/>
        </w:rPr>
        <w:t>所述的其他事项，表明存在可能导致对苏宁易购持续经营 能力产生重大疑虑的重大不确定性。本事项不影响已发表的审计意见。</w:t>
      </w:r>
    </w:p>
    <w:p>
      <w:pPr>
        <w:pStyle w:val="Style72"/>
        <w:keepNext w:val="0"/>
        <w:keepLines w:val="0"/>
        <w:widowControl w:val="0"/>
        <w:shd w:val="clear" w:color="auto" w:fill="auto"/>
        <w:tabs>
          <w:tab w:pos="2081" w:val="left"/>
        </w:tabs>
        <w:bidi w:val="0"/>
        <w:spacing w:before="0" w:line="310" w:lineRule="exact"/>
        <w:ind w:left="1420" w:right="0" w:firstLine="0"/>
        <w:jc w:val="both"/>
      </w:pPr>
      <w:bookmarkStart w:id="752" w:name="bookmark752"/>
      <w:r>
        <w:rPr>
          <w:b/>
          <w:bCs/>
          <w:color w:val="000000"/>
          <w:spacing w:val="0"/>
          <w:w w:val="100"/>
          <w:position w:val="0"/>
          <w:sz w:val="24"/>
          <w:szCs w:val="24"/>
        </w:rPr>
        <w:t>四</w:t>
      </w:r>
      <w:bookmarkEnd w:id="752"/>
      <w:r>
        <w:rPr>
          <w:b/>
          <w:bCs/>
          <w:color w:val="000000"/>
          <w:spacing w:val="0"/>
          <w:w w:val="100"/>
          <w:position w:val="0"/>
          <w:sz w:val="24"/>
          <w:szCs w:val="24"/>
        </w:rPr>
        <w:t>、</w:t>
        <w:tab/>
        <w:t>关键审计事项</w:t>
      </w:r>
    </w:p>
    <w:p>
      <w:pPr>
        <w:pStyle w:val="Style72"/>
        <w:keepNext w:val="0"/>
        <w:keepLines w:val="0"/>
        <w:widowControl w:val="0"/>
        <w:shd w:val="clear" w:color="auto" w:fill="auto"/>
        <w:bidi w:val="0"/>
        <w:spacing w:before="0" w:line="307" w:lineRule="exact"/>
        <w:ind w:left="860" w:right="0" w:firstLine="480"/>
        <w:jc w:val="both"/>
      </w:pPr>
      <w:r>
        <w:rPr>
          <w:color w:val="000000"/>
          <w:spacing w:val="0"/>
          <w:w w:val="100"/>
          <w:position w:val="0"/>
          <w:sz w:val="24"/>
          <w:szCs w:val="24"/>
        </w:rPr>
        <w:t>关键审计事项是我们根据职业判断，认为对本期财务报表审计最为重要的 事项。这些事项的应对以对财务报表整体进行审计并形成审计意见为背景，我 们不对这些事项单独发表意见。</w:t>
      </w:r>
    </w:p>
    <w:p>
      <w:pPr>
        <w:pStyle w:val="Style72"/>
        <w:keepNext w:val="0"/>
        <w:keepLines w:val="0"/>
        <w:widowControl w:val="0"/>
        <w:shd w:val="clear" w:color="auto" w:fill="auto"/>
        <w:bidi w:val="0"/>
        <w:spacing w:before="0" w:after="400" w:line="307" w:lineRule="exact"/>
        <w:ind w:left="860" w:right="0" w:firstLine="480"/>
        <w:jc w:val="both"/>
      </w:pPr>
      <w:r>
        <w:rPr>
          <w:color w:val="000000"/>
          <w:spacing w:val="0"/>
          <w:w w:val="100"/>
          <w:position w:val="0"/>
          <w:sz w:val="24"/>
          <w:szCs w:val="24"/>
        </w:rPr>
        <w:t>除“与持续经营相关的重大不确定性”部分所描述的事项外，我们在审计 中识别出的关键审计事项汇总如下：</w:t>
      </w:r>
    </w:p>
    <w:p>
      <w:pPr>
        <w:pStyle w:val="Style72"/>
        <w:keepNext w:val="0"/>
        <w:keepLines w:val="0"/>
        <w:widowControl w:val="0"/>
        <w:shd w:val="clear" w:color="auto" w:fill="auto"/>
        <w:tabs>
          <w:tab w:pos="2081" w:val="left"/>
        </w:tabs>
        <w:bidi w:val="0"/>
        <w:spacing w:before="0" w:after="0" w:line="276" w:lineRule="auto"/>
        <w:ind w:left="1340" w:right="0" w:firstLine="0"/>
        <w:jc w:val="both"/>
      </w:pPr>
      <w:bookmarkStart w:id="753" w:name="bookmark753"/>
      <w:r>
        <w:rPr>
          <w:rFonts w:ascii="Georgia" w:eastAsia="Georgia" w:hAnsi="Georgia" w:cs="Georgia"/>
          <w:color w:val="000000"/>
          <w:spacing w:val="0"/>
          <w:w w:val="100"/>
          <w:position w:val="0"/>
          <w:sz w:val="24"/>
          <w:szCs w:val="24"/>
        </w:rPr>
        <w:t>（</w:t>
      </w:r>
      <w:bookmarkEnd w:id="753"/>
      <w:r>
        <w:rPr>
          <w:color w:val="000000"/>
          <w:spacing w:val="0"/>
          <w:w w:val="100"/>
          <w:position w:val="0"/>
          <w:sz w:val="24"/>
          <w:szCs w:val="24"/>
        </w:rPr>
        <w:t>一</w:t>
      </w:r>
      <w:r>
        <w:rPr>
          <w:color w:val="000000"/>
          <w:spacing w:val="0"/>
          <w:w w:val="100"/>
          <w:position w:val="0"/>
          <w:sz w:val="26"/>
          <w:szCs w:val="26"/>
        </w:rPr>
        <w:t>）</w:t>
      </w:r>
      <w:r>
        <w:rPr>
          <w:rFonts w:ascii="Georgia" w:eastAsia="Georgia" w:hAnsi="Georgia" w:cs="Georgia"/>
          <w:color w:val="000000"/>
          <w:spacing w:val="0"/>
          <w:w w:val="100"/>
          <w:position w:val="0"/>
          <w:sz w:val="24"/>
          <w:szCs w:val="24"/>
        </w:rPr>
        <w:tab/>
      </w:r>
      <w:r>
        <w:rPr>
          <w:color w:val="000000"/>
          <w:spacing w:val="0"/>
          <w:w w:val="100"/>
          <w:position w:val="0"/>
          <w:sz w:val="24"/>
          <w:szCs w:val="24"/>
        </w:rPr>
        <w:t>长期资产减值评估</w:t>
      </w:r>
    </w:p>
    <w:p>
      <w:pPr>
        <w:pStyle w:val="Style72"/>
        <w:keepNext w:val="0"/>
        <w:keepLines w:val="0"/>
        <w:widowControl w:val="0"/>
        <w:shd w:val="clear" w:color="auto" w:fill="auto"/>
        <w:tabs>
          <w:tab w:pos="2081" w:val="left"/>
        </w:tabs>
        <w:bidi w:val="0"/>
        <w:spacing w:before="0" w:line="310" w:lineRule="exact"/>
        <w:ind w:left="1340" w:right="0" w:firstLine="0"/>
        <w:jc w:val="both"/>
      </w:pPr>
      <w:bookmarkStart w:id="754" w:name="bookmark754"/>
      <w:r>
        <w:rPr>
          <w:rFonts w:ascii="Georgia" w:eastAsia="Georgia" w:hAnsi="Georgia" w:cs="Georgia"/>
          <w:color w:val="000000"/>
          <w:spacing w:val="0"/>
          <w:w w:val="100"/>
          <w:position w:val="0"/>
          <w:sz w:val="24"/>
          <w:szCs w:val="24"/>
        </w:rPr>
        <w:t>（</w:t>
      </w:r>
      <w:bookmarkEnd w:id="754"/>
      <w:r>
        <w:rPr>
          <w:color w:val="000000"/>
          <w:spacing w:val="0"/>
          <w:w w:val="100"/>
          <w:position w:val="0"/>
          <w:sz w:val="24"/>
          <w:szCs w:val="24"/>
        </w:rPr>
        <w:t>二</w:t>
      </w:r>
      <w:r>
        <w:rPr>
          <w:color w:val="000000"/>
          <w:spacing w:val="0"/>
          <w:w w:val="100"/>
          <w:position w:val="0"/>
          <w:sz w:val="26"/>
          <w:szCs w:val="26"/>
        </w:rPr>
        <w:t>）</w:t>
      </w:r>
      <w:r>
        <w:rPr>
          <w:rFonts w:ascii="Georgia" w:eastAsia="Georgia" w:hAnsi="Georgia" w:cs="Georgia"/>
          <w:color w:val="000000"/>
          <w:spacing w:val="0"/>
          <w:w w:val="100"/>
          <w:position w:val="0"/>
          <w:sz w:val="24"/>
          <w:szCs w:val="24"/>
        </w:rPr>
        <w:tab/>
      </w:r>
      <w:r>
        <w:rPr>
          <w:color w:val="000000"/>
          <w:spacing w:val="0"/>
          <w:w w:val="100"/>
          <w:position w:val="0"/>
          <w:sz w:val="24"/>
          <w:szCs w:val="24"/>
        </w:rPr>
        <w:t>与可抵扣亏损相关的递延所得税资产的确认</w:t>
      </w:r>
      <w:r>
        <w:br w:type="page"/>
      </w:r>
    </w:p>
    <w:p>
      <w:pPr>
        <w:pStyle w:val="Style72"/>
        <w:keepNext w:val="0"/>
        <w:keepLines w:val="0"/>
        <w:widowControl w:val="0"/>
        <w:shd w:val="clear" w:color="auto" w:fill="auto"/>
        <w:bidi w:val="0"/>
        <w:spacing w:before="0" w:after="60" w:line="240" w:lineRule="auto"/>
        <w:ind w:left="5000" w:right="0" w:firstLine="0"/>
        <w:jc w:val="left"/>
      </w:pPr>
      <w:r>
        <w:rPr>
          <w:color w:val="000000"/>
          <w:spacing w:val="0"/>
          <w:w w:val="100"/>
          <w:position w:val="0"/>
          <w:sz w:val="24"/>
          <w:szCs w:val="24"/>
        </w:rPr>
        <w:t>普华永道中天审字</w:t>
      </w:r>
      <w:r>
        <w:rPr>
          <w:color w:val="000000"/>
          <w:spacing w:val="0"/>
          <w:w w:val="100"/>
          <w:position w:val="0"/>
          <w:sz w:val="26"/>
          <w:szCs w:val="26"/>
        </w:rPr>
        <w:t>(</w:t>
      </w:r>
      <w:r>
        <w:rPr>
          <w:rFonts w:ascii="Georgia" w:eastAsia="Georgia" w:hAnsi="Georgia" w:cs="Georgia"/>
          <w:color w:val="000000"/>
          <w:spacing w:val="0"/>
          <w:w w:val="100"/>
          <w:position w:val="0"/>
          <w:sz w:val="24"/>
          <w:szCs w:val="24"/>
        </w:rPr>
        <w:t>2022</w:t>
      </w:r>
      <w:r>
        <w:rPr>
          <w:color w:val="000000"/>
          <w:spacing w:val="0"/>
          <w:w w:val="100"/>
          <w:position w:val="0"/>
          <w:sz w:val="26"/>
          <w:szCs w:val="26"/>
        </w:rPr>
        <w:t>)</w:t>
      </w:r>
      <w:r>
        <w:rPr>
          <w:color w:val="000000"/>
          <w:spacing w:val="0"/>
          <w:w w:val="100"/>
          <w:position w:val="0"/>
          <w:sz w:val="24"/>
          <w:szCs w:val="24"/>
        </w:rPr>
        <w:t>第</w:t>
      </w:r>
      <w:r>
        <w:rPr>
          <w:rFonts w:ascii="Georgia" w:eastAsia="Georgia" w:hAnsi="Georgia" w:cs="Georgia"/>
          <w:color w:val="000000"/>
          <w:spacing w:val="0"/>
          <w:w w:val="100"/>
          <w:position w:val="0"/>
          <w:sz w:val="24"/>
          <w:szCs w:val="24"/>
        </w:rPr>
        <w:t>10072</w:t>
      </w:r>
      <w:r>
        <w:rPr>
          <w:color w:val="000000"/>
          <w:spacing w:val="0"/>
          <w:w w:val="100"/>
          <w:position w:val="0"/>
          <w:sz w:val="24"/>
          <w:szCs w:val="24"/>
        </w:rPr>
        <w:t>号</w:t>
      </w:r>
    </w:p>
    <w:p>
      <w:pPr>
        <w:pStyle w:val="Style72"/>
        <w:keepNext w:val="0"/>
        <w:keepLines w:val="0"/>
        <w:widowControl w:val="0"/>
        <w:shd w:val="clear" w:color="auto" w:fill="auto"/>
        <w:bidi w:val="0"/>
        <w:spacing w:before="0" w:after="660" w:line="240" w:lineRule="auto"/>
        <w:ind w:left="0" w:right="860" w:firstLine="0"/>
        <w:jc w:val="right"/>
      </w:pPr>
      <w:r>
        <w:rPr>
          <w:rFonts w:ascii="Georgia" w:eastAsia="Georgia" w:hAnsi="Georgia" w:cs="Georgia"/>
          <w:color w:val="000000"/>
          <w:spacing w:val="0"/>
          <w:w w:val="100"/>
          <w:position w:val="0"/>
          <w:sz w:val="24"/>
          <w:szCs w:val="24"/>
        </w:rPr>
        <w:t>(</w:t>
      </w:r>
      <w:r>
        <w:rPr>
          <w:color w:val="000000"/>
          <w:spacing w:val="0"/>
          <w:w w:val="100"/>
          <w:position w:val="0"/>
          <w:sz w:val="24"/>
          <w:szCs w:val="24"/>
        </w:rPr>
        <w:t>第三页，共十一页</w:t>
      </w:r>
      <w:r>
        <w:rPr>
          <w:rFonts w:ascii="Georgia" w:eastAsia="Georgia" w:hAnsi="Georgia" w:cs="Georgia"/>
          <w:color w:val="000000"/>
          <w:spacing w:val="0"/>
          <w:w w:val="100"/>
          <w:position w:val="0"/>
          <w:sz w:val="24"/>
          <w:szCs w:val="24"/>
        </w:rPr>
        <w:t>)</w:t>
      </w:r>
    </w:p>
    <w:p>
      <w:pPr>
        <w:pStyle w:val="Style26"/>
        <w:keepNext w:val="0"/>
        <w:keepLines w:val="0"/>
        <w:widowControl w:val="0"/>
        <w:shd w:val="clear" w:color="auto" w:fill="auto"/>
        <w:bidi w:val="0"/>
        <w:spacing w:before="0" w:after="0" w:line="240" w:lineRule="auto"/>
        <w:ind w:left="581" w:right="0" w:firstLine="0"/>
        <w:jc w:val="left"/>
        <w:rPr>
          <w:sz w:val="24"/>
          <w:szCs w:val="24"/>
        </w:rPr>
      </w:pPr>
      <w:r>
        <w:rPr>
          <w:b/>
          <w:bCs/>
          <w:color w:val="000000"/>
          <w:spacing w:val="0"/>
          <w:w w:val="100"/>
          <w:position w:val="0"/>
          <w:sz w:val="24"/>
          <w:szCs w:val="24"/>
        </w:rPr>
        <w:t>四、关键审计事项</w:t>
      </w:r>
      <w:r>
        <w:rPr>
          <w:rFonts w:ascii="Georgia" w:eastAsia="Georgia" w:hAnsi="Georgia" w:cs="Georgia"/>
          <w:b/>
          <w:bCs/>
          <w:color w:val="000000"/>
          <w:spacing w:val="0"/>
          <w:w w:val="100"/>
          <w:position w:val="0"/>
          <w:sz w:val="24"/>
          <w:szCs w:val="24"/>
        </w:rPr>
        <w:t>(</w:t>
      </w:r>
      <w:r>
        <w:rPr>
          <w:b/>
          <w:bCs/>
          <w:color w:val="000000"/>
          <w:spacing w:val="0"/>
          <w:w w:val="100"/>
          <w:position w:val="0"/>
          <w:sz w:val="24"/>
          <w:szCs w:val="24"/>
        </w:rPr>
        <w:t>续</w:t>
      </w:r>
      <w:r>
        <w:rPr>
          <w:rFonts w:ascii="Georgia" w:eastAsia="Georgia" w:hAnsi="Georgia" w:cs="Georgia"/>
          <w:b/>
          <w:bCs/>
          <w:color w:val="000000"/>
          <w:spacing w:val="0"/>
          <w:w w:val="100"/>
          <w:position w:val="0"/>
          <w:sz w:val="24"/>
          <w:szCs w:val="24"/>
        </w:rPr>
        <w:t>)</w:t>
      </w:r>
    </w:p>
    <w:tbl>
      <w:tblPr>
        <w:tblOverlap w:val="never"/>
        <w:jc w:val="right"/>
        <w:tblLayout w:type="fixed"/>
      </w:tblPr>
      <w:tblGrid>
        <w:gridCol w:w="4253"/>
        <w:gridCol w:w="4829"/>
      </w:tblGrid>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关键审计事项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我们在审计中如何应对关键审计事项</w:t>
            </w:r>
          </w:p>
        </w:tc>
      </w:tr>
      <w:tr>
        <w:trPr>
          <w:trHeight w:val="886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tabs>
                <w:tab w:pos="802" w:val="left"/>
              </w:tabs>
              <w:bidi w:val="0"/>
              <w:spacing w:before="0" w:after="320" w:line="311" w:lineRule="exact"/>
              <w:ind w:left="0" w:right="0" w:firstLine="0"/>
              <w:jc w:val="both"/>
              <w:rPr>
                <w:sz w:val="24"/>
                <w:szCs w:val="24"/>
              </w:rPr>
            </w:pPr>
            <w:r>
              <w:rPr>
                <w:rFonts w:ascii="Georgia" w:eastAsia="Georgia" w:hAnsi="Georgia" w:cs="Georgia"/>
                <w:color w:val="000000"/>
                <w:spacing w:val="0"/>
                <w:w w:val="100"/>
                <w:position w:val="0"/>
                <w:sz w:val="24"/>
                <w:szCs w:val="24"/>
              </w:rPr>
              <w:t>(</w:t>
            </w:r>
            <w:r>
              <w:rPr>
                <w:rFonts w:ascii="SimSun" w:eastAsia="SimSun" w:hAnsi="SimSun" w:cs="SimSun"/>
                <w:color w:val="000000"/>
                <w:spacing w:val="0"/>
                <w:w w:val="100"/>
                <w:position w:val="0"/>
                <w:sz w:val="24"/>
                <w:szCs w:val="24"/>
              </w:rPr>
              <w:t>一</w:t>
            </w:r>
            <w:r>
              <w:rPr>
                <w:rFonts w:ascii="SimSun" w:eastAsia="SimSun" w:hAnsi="SimSun" w:cs="SimSun"/>
                <w:color w:val="000000"/>
                <w:spacing w:val="0"/>
                <w:w w:val="100"/>
                <w:position w:val="0"/>
                <w:sz w:val="26"/>
                <w:szCs w:val="26"/>
              </w:rPr>
              <w:t>)</w:t>
            </w:r>
            <w:r>
              <w:rPr>
                <w:rFonts w:ascii="Georgia" w:eastAsia="Georgia" w:hAnsi="Georgia" w:cs="Georgia"/>
                <w:color w:val="000000"/>
                <w:spacing w:val="0"/>
                <w:w w:val="100"/>
                <w:position w:val="0"/>
                <w:sz w:val="24"/>
                <w:szCs w:val="24"/>
              </w:rPr>
              <w:tab/>
            </w:r>
            <w:r>
              <w:rPr>
                <w:rFonts w:ascii="SimSun" w:eastAsia="SimSun" w:hAnsi="SimSun" w:cs="SimSun"/>
                <w:color w:val="000000"/>
                <w:spacing w:val="0"/>
                <w:w w:val="100"/>
                <w:position w:val="0"/>
                <w:sz w:val="24"/>
                <w:szCs w:val="24"/>
              </w:rPr>
              <w:t>长期资产减值评估</w:t>
            </w:r>
          </w:p>
          <w:p>
            <w:pPr>
              <w:pStyle w:val="Style29"/>
              <w:keepNext w:val="0"/>
              <w:keepLines w:val="0"/>
              <w:widowControl w:val="0"/>
              <w:shd w:val="clear" w:color="auto" w:fill="auto"/>
              <w:bidi w:val="0"/>
              <w:spacing w:before="0" w:after="320" w:line="315" w:lineRule="exact"/>
              <w:ind w:left="0" w:right="0" w:firstLine="0"/>
              <w:jc w:val="both"/>
              <w:rPr>
                <w:sz w:val="24"/>
                <w:szCs w:val="24"/>
              </w:rPr>
            </w:pPr>
            <w:r>
              <w:rPr>
                <w:rFonts w:ascii="SimSun" w:eastAsia="SimSun" w:hAnsi="SimSun" w:cs="SimSun"/>
                <w:color w:val="000000"/>
                <w:spacing w:val="0"/>
                <w:w w:val="100"/>
                <w:position w:val="0"/>
                <w:sz w:val="24"/>
                <w:szCs w:val="24"/>
              </w:rPr>
              <w:t>参见财务报表附注二</w:t>
            </w:r>
            <w:r>
              <w:rPr>
                <w:rFonts w:ascii="SimSun" w:eastAsia="SimSun" w:hAnsi="SimSun" w:cs="SimSun"/>
                <w:color w:val="000000"/>
                <w:spacing w:val="0"/>
                <w:w w:val="100"/>
                <w:position w:val="0"/>
                <w:sz w:val="26"/>
                <w:szCs w:val="26"/>
              </w:rPr>
              <w:t>(</w:t>
            </w:r>
            <w:r>
              <w:rPr>
                <w:rFonts w:ascii="Georgia" w:eastAsia="Georgia" w:hAnsi="Georgia" w:cs="Georgia"/>
                <w:color w:val="000000"/>
                <w:spacing w:val="0"/>
                <w:w w:val="100"/>
                <w:position w:val="0"/>
                <w:sz w:val="24"/>
                <w:szCs w:val="24"/>
              </w:rPr>
              <w:t>29</w:t>
            </w:r>
            <w:r>
              <w:rPr>
                <w:rFonts w:ascii="SimSun" w:eastAsia="SimSun" w:hAnsi="SimSun" w:cs="SimSun"/>
                <w:color w:val="000000"/>
                <w:spacing w:val="0"/>
                <w:w w:val="100"/>
                <w:position w:val="0"/>
                <w:sz w:val="26"/>
                <w:szCs w:val="26"/>
              </w:rPr>
              <w:t>)</w:t>
            </w:r>
            <w:r>
              <w:rPr>
                <w:rFonts w:ascii="Georgia" w:eastAsia="Georgia" w:hAnsi="Georgia" w:cs="Georgia"/>
                <w:color w:val="000000"/>
                <w:spacing w:val="0"/>
                <w:w w:val="100"/>
                <w:position w:val="0"/>
                <w:sz w:val="24"/>
                <w:szCs w:val="24"/>
              </w:rPr>
              <w:t>(b)(iii)</w:t>
            </w: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 xml:space="preserve">附注二 </w:t>
            </w:r>
            <w:r>
              <w:rPr>
                <w:rFonts w:ascii="SimSun" w:eastAsia="SimSun" w:hAnsi="SimSun" w:cs="SimSun"/>
                <w:color w:val="000000"/>
                <w:spacing w:val="0"/>
                <w:w w:val="100"/>
                <w:position w:val="0"/>
                <w:sz w:val="26"/>
                <w:szCs w:val="26"/>
              </w:rPr>
              <w:t>(</w:t>
            </w:r>
            <w:r>
              <w:rPr>
                <w:rFonts w:ascii="Georgia" w:eastAsia="Georgia" w:hAnsi="Georgia" w:cs="Georgia"/>
                <w:color w:val="000000"/>
                <w:spacing w:val="0"/>
                <w:w w:val="100"/>
                <w:position w:val="0"/>
                <w:sz w:val="24"/>
                <w:szCs w:val="24"/>
              </w:rPr>
              <w:t>29</w:t>
            </w:r>
            <w:r>
              <w:rPr>
                <w:rFonts w:ascii="SimSun" w:eastAsia="SimSun" w:hAnsi="SimSun" w:cs="SimSun"/>
                <w:color w:val="000000"/>
                <w:spacing w:val="0"/>
                <w:w w:val="100"/>
                <w:position w:val="0"/>
                <w:sz w:val="26"/>
                <w:szCs w:val="26"/>
              </w:rPr>
              <w:t>)</w:t>
            </w:r>
            <w:r>
              <w:rPr>
                <w:rFonts w:ascii="Georgia" w:eastAsia="Georgia" w:hAnsi="Georgia" w:cs="Georgia"/>
                <w:color w:val="000000"/>
                <w:spacing w:val="0"/>
                <w:w w:val="100"/>
                <w:position w:val="0"/>
                <w:sz w:val="24"/>
                <w:szCs w:val="24"/>
              </w:rPr>
              <w:t>(b)(iv)</w:t>
            </w: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rFonts w:ascii="Georgia" w:eastAsia="Georgia" w:hAnsi="Georgia" w:cs="Georgia"/>
                <w:color w:val="000000"/>
                <w:spacing w:val="0"/>
                <w:w w:val="100"/>
                <w:position w:val="0"/>
                <w:sz w:val="24"/>
                <w:szCs w:val="24"/>
              </w:rPr>
              <w:t>(14</w:t>
            </w:r>
            <w:r>
              <w:rPr>
                <w:rFonts w:ascii="SimSun" w:eastAsia="SimSun" w:hAnsi="SimSun" w:cs="SimSun"/>
                <w:color w:val="000000"/>
                <w:spacing w:val="0"/>
                <w:w w:val="100"/>
                <w:position w:val="0"/>
                <w:sz w:val="26"/>
                <w:szCs w:val="26"/>
              </w:rPr>
              <w:t>)</w:t>
            </w:r>
            <w:r>
              <w:rPr>
                <w:rFonts w:ascii="SimSun" w:eastAsia="SimSun" w:hAnsi="SimSun" w:cs="SimSun"/>
                <w:color w:val="000000"/>
                <w:spacing w:val="0"/>
                <w:w w:val="100"/>
                <w:position w:val="0"/>
                <w:sz w:val="24"/>
                <w:szCs w:val="24"/>
              </w:rPr>
              <w:t>、附注四</w:t>
            </w:r>
            <w:r>
              <w:rPr>
                <w:rFonts w:ascii="Georgia" w:eastAsia="Georgia" w:hAnsi="Georgia" w:cs="Georgia"/>
                <w:color w:val="000000"/>
                <w:spacing w:val="0"/>
                <w:w w:val="100"/>
                <w:position w:val="0"/>
                <w:sz w:val="24"/>
                <w:szCs w:val="24"/>
              </w:rPr>
              <w:t>(15</w:t>
            </w:r>
            <w:r>
              <w:rPr>
                <w:rFonts w:ascii="SimSun" w:eastAsia="SimSun" w:hAnsi="SimSun" w:cs="SimSun"/>
                <w:color w:val="000000"/>
                <w:spacing w:val="0"/>
                <w:w w:val="100"/>
                <w:position w:val="0"/>
                <w:sz w:val="26"/>
                <w:szCs w:val="26"/>
              </w:rPr>
              <w:t>)</w:t>
            </w:r>
            <w:r>
              <w:rPr>
                <w:rFonts w:ascii="SimSun" w:eastAsia="SimSun" w:hAnsi="SimSun" w:cs="SimSun"/>
                <w:color w:val="000000"/>
                <w:spacing w:val="0"/>
                <w:w w:val="100"/>
                <w:position w:val="0"/>
                <w:sz w:val="24"/>
                <w:szCs w:val="24"/>
              </w:rPr>
              <w:t>、 附注四</w:t>
            </w:r>
            <w:r>
              <w:rPr>
                <w:rFonts w:ascii="Georgia" w:eastAsia="Georgia" w:hAnsi="Georgia" w:cs="Georgia"/>
                <w:color w:val="000000"/>
                <w:spacing w:val="0"/>
                <w:w w:val="100"/>
                <w:position w:val="0"/>
                <w:sz w:val="24"/>
                <w:szCs w:val="24"/>
              </w:rPr>
              <w:t>(16)</w:t>
            </w:r>
            <w:r>
              <w:rPr>
                <w:rFonts w:ascii="SimSun" w:eastAsia="SimSun" w:hAnsi="SimSun" w:cs="SimSun"/>
                <w:color w:val="000000"/>
                <w:spacing w:val="0"/>
                <w:w w:val="100"/>
                <w:position w:val="0"/>
                <w:sz w:val="24"/>
                <w:szCs w:val="24"/>
              </w:rPr>
              <w:t>、附注四</w:t>
            </w:r>
            <w:r>
              <w:rPr>
                <w:rFonts w:ascii="Georgia" w:eastAsia="Georgia" w:hAnsi="Georgia" w:cs="Georgia"/>
                <w:color w:val="000000"/>
                <w:spacing w:val="0"/>
                <w:w w:val="100"/>
                <w:position w:val="0"/>
                <w:sz w:val="24"/>
                <w:szCs w:val="24"/>
              </w:rPr>
              <w:t>(17)</w:t>
            </w:r>
            <w:r>
              <w:rPr>
                <w:rFonts w:ascii="SimSun" w:eastAsia="SimSun" w:hAnsi="SimSun" w:cs="SimSun"/>
                <w:color w:val="000000"/>
                <w:spacing w:val="0"/>
                <w:w w:val="100"/>
                <w:position w:val="0"/>
                <w:sz w:val="24"/>
                <w:szCs w:val="24"/>
              </w:rPr>
              <w:t>、附注四</w:t>
            </w:r>
            <w:r>
              <w:rPr>
                <w:rFonts w:ascii="Georgia" w:eastAsia="Georgia" w:hAnsi="Georgia" w:cs="Georgia"/>
                <w:color w:val="000000"/>
                <w:spacing w:val="0"/>
                <w:w w:val="100"/>
                <w:position w:val="0"/>
                <w:sz w:val="24"/>
                <w:szCs w:val="24"/>
              </w:rPr>
              <w:t>(18)</w:t>
            </w:r>
            <w:r>
              <w:rPr>
                <w:rFonts w:ascii="SimSun" w:eastAsia="SimSun" w:hAnsi="SimSun" w:cs="SimSun"/>
                <w:color w:val="000000"/>
                <w:spacing w:val="0"/>
                <w:w w:val="100"/>
                <w:position w:val="0"/>
                <w:sz w:val="24"/>
                <w:szCs w:val="24"/>
              </w:rPr>
              <w:t>、 附注四</w:t>
            </w:r>
            <w:r>
              <w:rPr>
                <w:rFonts w:ascii="Georgia" w:eastAsia="Georgia" w:hAnsi="Georgia" w:cs="Georgia"/>
                <w:color w:val="000000"/>
                <w:spacing w:val="0"/>
                <w:w w:val="100"/>
                <w:position w:val="0"/>
                <w:sz w:val="24"/>
                <w:szCs w:val="24"/>
              </w:rPr>
              <w:t>(19)</w:t>
            </w:r>
            <w:r>
              <w:rPr>
                <w:rFonts w:ascii="SimSun" w:eastAsia="SimSun" w:hAnsi="SimSun" w:cs="SimSun"/>
                <w:color w:val="000000"/>
                <w:spacing w:val="0"/>
                <w:w w:val="100"/>
                <w:position w:val="0"/>
                <w:sz w:val="24"/>
                <w:szCs w:val="24"/>
              </w:rPr>
              <w:t>、附注四</w:t>
            </w:r>
            <w:r>
              <w:rPr>
                <w:rFonts w:ascii="Georgia" w:eastAsia="Georgia" w:hAnsi="Georgia" w:cs="Georgia"/>
                <w:color w:val="000000"/>
                <w:spacing w:val="0"/>
                <w:w w:val="100"/>
                <w:position w:val="0"/>
                <w:sz w:val="24"/>
                <w:szCs w:val="24"/>
              </w:rPr>
              <w:t>(20)</w:t>
            </w:r>
            <w:r>
              <w:rPr>
                <w:rFonts w:ascii="SimSun" w:eastAsia="SimSun" w:hAnsi="SimSun" w:cs="SimSun"/>
                <w:color w:val="000000"/>
                <w:spacing w:val="0"/>
                <w:w w:val="100"/>
                <w:position w:val="0"/>
                <w:sz w:val="24"/>
                <w:szCs w:val="24"/>
              </w:rPr>
              <w:t>及附注四</w:t>
            </w:r>
            <w:r>
              <w:rPr>
                <w:rFonts w:ascii="Georgia" w:eastAsia="Georgia" w:hAnsi="Georgia" w:cs="Georgia"/>
                <w:color w:val="000000"/>
                <w:spacing w:val="0"/>
                <w:w w:val="100"/>
                <w:position w:val="0"/>
                <w:sz w:val="24"/>
                <w:szCs w:val="24"/>
              </w:rPr>
              <w:t>(23)</w:t>
            </w:r>
            <w:r>
              <w:rPr>
                <w:rFonts w:ascii="SimSun" w:eastAsia="SimSun" w:hAnsi="SimSun" w:cs="SimSun"/>
                <w:color w:val="000000"/>
                <w:spacing w:val="0"/>
                <w:w w:val="100"/>
                <w:position w:val="0"/>
                <w:sz w:val="24"/>
                <w:szCs w:val="24"/>
              </w:rPr>
              <w:t>。</w:t>
            </w:r>
          </w:p>
          <w:p>
            <w:pPr>
              <w:pStyle w:val="Style29"/>
              <w:keepNext w:val="0"/>
              <w:keepLines w:val="0"/>
              <w:widowControl w:val="0"/>
              <w:shd w:val="clear" w:color="auto" w:fill="auto"/>
              <w:bidi w:val="0"/>
              <w:spacing w:before="0" w:after="320" w:line="311" w:lineRule="exact"/>
              <w:ind w:left="0" w:right="0" w:firstLine="0"/>
              <w:jc w:val="both"/>
              <w:rPr>
                <w:sz w:val="24"/>
                <w:szCs w:val="24"/>
              </w:rPr>
            </w:pPr>
            <w:r>
              <w:rPr>
                <w:rFonts w:ascii="SimSun" w:eastAsia="SimSun" w:hAnsi="SimSun" w:cs="SimSun"/>
                <w:color w:val="000000"/>
                <w:spacing w:val="0"/>
                <w:w w:val="100"/>
                <w:position w:val="0"/>
                <w:sz w:val="24"/>
                <w:szCs w:val="24"/>
              </w:rPr>
              <w:t>于</w:t>
            </w:r>
            <w:r>
              <w:rPr>
                <w:rFonts w:ascii="Georgia" w:eastAsia="Georgia" w:hAnsi="Georgia" w:cs="Georgia"/>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Georgia" w:eastAsia="Georgia" w:hAnsi="Georgia" w:cs="Georgia"/>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Georgia" w:eastAsia="Georgia" w:hAnsi="Georgia" w:cs="Georgia"/>
                <w:color w:val="000000"/>
                <w:spacing w:val="0"/>
                <w:w w:val="100"/>
                <w:position w:val="0"/>
                <w:sz w:val="24"/>
                <w:szCs w:val="24"/>
              </w:rPr>
              <w:t>31</w:t>
            </w:r>
            <w:r>
              <w:rPr>
                <w:rFonts w:ascii="SimSun" w:eastAsia="SimSun" w:hAnsi="SimSun" w:cs="SimSun"/>
                <w:color w:val="000000"/>
                <w:spacing w:val="0"/>
                <w:w w:val="100"/>
                <w:position w:val="0"/>
                <w:sz w:val="24"/>
                <w:szCs w:val="24"/>
              </w:rPr>
              <w:t xml:space="preserve">日，苏宁易购合并财务 报表中使用权资产的账面价值约人民币 </w:t>
            </w:r>
            <w:r>
              <w:rPr>
                <w:rFonts w:ascii="Georgia" w:eastAsia="Georgia" w:hAnsi="Georgia" w:cs="Georgia"/>
                <w:color w:val="000000"/>
                <w:spacing w:val="0"/>
                <w:w w:val="100"/>
                <w:position w:val="0"/>
                <w:sz w:val="24"/>
                <w:szCs w:val="24"/>
              </w:rPr>
              <w:t>235.5</w:t>
            </w:r>
            <w:r>
              <w:rPr>
                <w:rFonts w:ascii="Georgia" w:eastAsia="Georgia" w:hAnsi="Georgia" w:cs="Georgia"/>
                <w:color w:val="000000"/>
                <w:spacing w:val="0"/>
                <w:w w:val="100"/>
                <w:position w:val="0"/>
                <w:sz w:val="24"/>
                <w:szCs w:val="24"/>
              </w:rPr>
              <w:t>2</w:t>
            </w:r>
            <w:r>
              <w:rPr>
                <w:rFonts w:ascii="SimSun" w:eastAsia="SimSun" w:hAnsi="SimSun" w:cs="SimSun"/>
                <w:color w:val="000000"/>
                <w:spacing w:val="0"/>
                <w:w w:val="100"/>
                <w:position w:val="0"/>
                <w:sz w:val="24"/>
                <w:szCs w:val="24"/>
              </w:rPr>
              <w:t>亿元，无形资产的账面价值约人 民币</w:t>
            </w:r>
            <w:r>
              <w:rPr>
                <w:rFonts w:ascii="Georgia" w:eastAsia="Georgia" w:hAnsi="Georgia" w:cs="Georgia"/>
                <w:color w:val="000000"/>
                <w:spacing w:val="0"/>
                <w:w w:val="100"/>
                <w:position w:val="0"/>
                <w:sz w:val="24"/>
                <w:szCs w:val="24"/>
              </w:rPr>
              <w:t>92.64</w:t>
            </w:r>
            <w:r>
              <w:rPr>
                <w:rFonts w:ascii="SimSun" w:eastAsia="SimSun" w:hAnsi="SimSun" w:cs="SimSun"/>
                <w:color w:val="000000"/>
                <w:spacing w:val="0"/>
                <w:w w:val="100"/>
                <w:position w:val="0"/>
                <w:sz w:val="24"/>
                <w:szCs w:val="24"/>
              </w:rPr>
              <w:t>亿元，商誉的账面价值约人民 币</w:t>
            </w:r>
            <w:r>
              <w:rPr>
                <w:rFonts w:ascii="Georgia" w:eastAsia="Georgia" w:hAnsi="Georgia" w:cs="Georgia"/>
                <w:color w:val="000000"/>
                <w:spacing w:val="0"/>
                <w:w w:val="100"/>
                <w:position w:val="0"/>
                <w:sz w:val="24"/>
                <w:szCs w:val="24"/>
              </w:rPr>
              <w:t>54.55</w:t>
            </w:r>
            <w:r>
              <w:rPr>
                <w:rFonts w:ascii="SimSun" w:eastAsia="SimSun" w:hAnsi="SimSun" w:cs="SimSun"/>
                <w:color w:val="000000"/>
                <w:spacing w:val="0"/>
                <w:w w:val="100"/>
                <w:position w:val="0"/>
                <w:sz w:val="24"/>
                <w:szCs w:val="24"/>
              </w:rPr>
              <w:t>亿元，在建工程账面价值约人民 币</w:t>
            </w:r>
            <w:r>
              <w:rPr>
                <w:rFonts w:ascii="Georgia" w:eastAsia="Georgia" w:hAnsi="Georgia" w:cs="Georgia"/>
                <w:color w:val="000000"/>
                <w:spacing w:val="0"/>
                <w:w w:val="100"/>
                <w:position w:val="0"/>
                <w:sz w:val="24"/>
                <w:szCs w:val="24"/>
              </w:rPr>
              <w:t>38.5</w:t>
            </w:r>
            <w:r>
              <w:rPr>
                <w:rFonts w:ascii="Georgia" w:eastAsia="Georgia" w:hAnsi="Georgia" w:cs="Georgia"/>
                <w:color w:val="000000"/>
                <w:spacing w:val="0"/>
                <w:w w:val="100"/>
                <w:position w:val="0"/>
                <w:sz w:val="24"/>
                <w:szCs w:val="24"/>
              </w:rPr>
              <w:t>0</w:t>
            </w:r>
            <w:r>
              <w:rPr>
                <w:rFonts w:ascii="SimSun" w:eastAsia="SimSun" w:hAnsi="SimSun" w:cs="SimSun"/>
                <w:color w:val="000000"/>
                <w:spacing w:val="0"/>
                <w:w w:val="100"/>
                <w:position w:val="0"/>
                <w:sz w:val="24"/>
                <w:szCs w:val="24"/>
              </w:rPr>
              <w:t>亿元，长期待摊费用账面价值约 人民币</w:t>
            </w:r>
            <w:r>
              <w:rPr>
                <w:rFonts w:ascii="Georgia" w:eastAsia="Georgia" w:hAnsi="Georgia" w:cs="Georgia"/>
                <w:color w:val="000000"/>
                <w:spacing w:val="0"/>
                <w:w w:val="100"/>
                <w:position w:val="0"/>
                <w:sz w:val="24"/>
                <w:szCs w:val="24"/>
              </w:rPr>
              <w:t>6.18</w:t>
            </w:r>
            <w:r>
              <w:rPr>
                <w:rFonts w:ascii="SimSun" w:eastAsia="SimSun" w:hAnsi="SimSun" w:cs="SimSun"/>
                <w:color w:val="000000"/>
                <w:spacing w:val="0"/>
                <w:w w:val="100"/>
                <w:position w:val="0"/>
                <w:sz w:val="24"/>
                <w:szCs w:val="24"/>
              </w:rPr>
              <w:t>亿元，固定资产账面价值约人 民币</w:t>
            </w:r>
            <w:r>
              <w:rPr>
                <w:rFonts w:ascii="Georgia" w:eastAsia="Georgia" w:hAnsi="Georgia" w:cs="Georgia"/>
                <w:color w:val="000000"/>
                <w:spacing w:val="0"/>
                <w:w w:val="100"/>
                <w:position w:val="0"/>
                <w:sz w:val="24"/>
                <w:szCs w:val="24"/>
              </w:rPr>
              <w:t>133.28</w:t>
            </w:r>
            <w:r>
              <w:rPr>
                <w:rFonts w:ascii="SimSun" w:eastAsia="SimSun" w:hAnsi="SimSun" w:cs="SimSun"/>
                <w:color w:val="000000"/>
                <w:spacing w:val="0"/>
                <w:w w:val="100"/>
                <w:position w:val="0"/>
                <w:sz w:val="24"/>
                <w:szCs w:val="24"/>
              </w:rPr>
              <w:t>亿元，投资性房地产账面价 值约人民币</w:t>
            </w:r>
            <w:r>
              <w:rPr>
                <w:rFonts w:ascii="Georgia" w:eastAsia="Georgia" w:hAnsi="Georgia" w:cs="Georgia"/>
                <w:color w:val="000000"/>
                <w:spacing w:val="0"/>
                <w:w w:val="100"/>
                <w:position w:val="0"/>
                <w:sz w:val="24"/>
                <w:szCs w:val="24"/>
              </w:rPr>
              <w:t>74.85</w:t>
            </w:r>
            <w:r>
              <w:rPr>
                <w:rFonts w:ascii="SimSun" w:eastAsia="SimSun" w:hAnsi="SimSun" w:cs="SimSun"/>
                <w:color w:val="000000"/>
                <w:spacing w:val="0"/>
                <w:w w:val="100"/>
                <w:position w:val="0"/>
                <w:sz w:val="24"/>
                <w:szCs w:val="24"/>
              </w:rPr>
              <w:t>亿元，已分别计提了使 用权资产减值准备约人民币</w:t>
            </w:r>
            <w:r>
              <w:rPr>
                <w:rFonts w:ascii="Georgia" w:eastAsia="Georgia" w:hAnsi="Georgia" w:cs="Georgia"/>
                <w:color w:val="000000"/>
                <w:spacing w:val="0"/>
                <w:w w:val="100"/>
                <w:position w:val="0"/>
                <w:sz w:val="24"/>
                <w:szCs w:val="24"/>
              </w:rPr>
              <w:t>38.79</w:t>
            </w:r>
            <w:r>
              <w:rPr>
                <w:rFonts w:ascii="SimSun" w:eastAsia="SimSun" w:hAnsi="SimSun" w:cs="SimSun"/>
                <w:color w:val="000000"/>
                <w:spacing w:val="0"/>
                <w:w w:val="100"/>
                <w:position w:val="0"/>
                <w:sz w:val="24"/>
                <w:szCs w:val="24"/>
              </w:rPr>
              <w:t>亿元， 无形资产减值准备约人民币</w:t>
            </w:r>
            <w:r>
              <w:rPr>
                <w:rFonts w:ascii="Georgia" w:eastAsia="Georgia" w:hAnsi="Georgia" w:cs="Georgia"/>
                <w:color w:val="000000"/>
                <w:spacing w:val="0"/>
                <w:w w:val="100"/>
                <w:position w:val="0"/>
                <w:sz w:val="24"/>
                <w:szCs w:val="24"/>
              </w:rPr>
              <w:t>2</w:t>
            </w:r>
            <w:r>
              <w:rPr>
                <w:rFonts w:ascii="Georgia" w:eastAsia="Georgia" w:hAnsi="Georgia" w:cs="Georgia"/>
                <w:color w:val="000000"/>
                <w:spacing w:val="0"/>
                <w:w w:val="100"/>
                <w:position w:val="0"/>
                <w:sz w:val="24"/>
                <w:szCs w:val="24"/>
              </w:rPr>
              <w:t>9.35</w:t>
            </w:r>
            <w:r>
              <w:rPr>
                <w:rFonts w:ascii="SimSun" w:eastAsia="SimSun" w:hAnsi="SimSun" w:cs="SimSun"/>
                <w:color w:val="000000"/>
                <w:spacing w:val="0"/>
                <w:w w:val="100"/>
                <w:position w:val="0"/>
                <w:sz w:val="24"/>
                <w:szCs w:val="24"/>
              </w:rPr>
              <w:t>亿元， 商誉减值准备约人民币</w:t>
            </w:r>
            <w:r>
              <w:rPr>
                <w:rFonts w:ascii="Georgia" w:eastAsia="Georgia" w:hAnsi="Georgia" w:cs="Georgia"/>
                <w:color w:val="000000"/>
                <w:spacing w:val="0"/>
                <w:w w:val="100"/>
                <w:position w:val="0"/>
                <w:sz w:val="24"/>
                <w:szCs w:val="24"/>
              </w:rPr>
              <w:t>2</w:t>
            </w:r>
            <w:r>
              <w:rPr>
                <w:rFonts w:ascii="Georgia" w:eastAsia="Georgia" w:hAnsi="Georgia" w:cs="Georgia"/>
                <w:color w:val="000000"/>
                <w:spacing w:val="0"/>
                <w:w w:val="100"/>
                <w:position w:val="0"/>
                <w:sz w:val="24"/>
                <w:szCs w:val="24"/>
              </w:rPr>
              <w:t>3.2</w:t>
            </w:r>
            <w:r>
              <w:rPr>
                <w:rFonts w:ascii="Georgia" w:eastAsia="Georgia" w:hAnsi="Georgia" w:cs="Georgia"/>
                <w:color w:val="000000"/>
                <w:spacing w:val="0"/>
                <w:w w:val="100"/>
                <w:position w:val="0"/>
                <w:sz w:val="24"/>
                <w:szCs w:val="24"/>
              </w:rPr>
              <w:t>2</w:t>
            </w:r>
            <w:r>
              <w:rPr>
                <w:rFonts w:ascii="SimSun" w:eastAsia="SimSun" w:hAnsi="SimSun" w:cs="SimSun"/>
                <w:color w:val="000000"/>
                <w:spacing w:val="0"/>
                <w:w w:val="100"/>
                <w:position w:val="0"/>
                <w:sz w:val="24"/>
                <w:szCs w:val="24"/>
              </w:rPr>
              <w:t>亿元，在建 工程减值准备约人民币</w:t>
            </w:r>
            <w:r>
              <w:rPr>
                <w:rFonts w:ascii="Georgia" w:eastAsia="Georgia" w:hAnsi="Georgia" w:cs="Georgia"/>
                <w:color w:val="000000"/>
                <w:spacing w:val="0"/>
                <w:w w:val="100"/>
                <w:position w:val="0"/>
                <w:sz w:val="24"/>
                <w:szCs w:val="24"/>
              </w:rPr>
              <w:t>1</w:t>
            </w:r>
            <w:r>
              <w:rPr>
                <w:rFonts w:ascii="Georgia" w:eastAsia="Georgia" w:hAnsi="Georgia" w:cs="Georgia"/>
                <w:color w:val="000000"/>
                <w:spacing w:val="0"/>
                <w:w w:val="100"/>
                <w:position w:val="0"/>
                <w:sz w:val="24"/>
                <w:szCs w:val="24"/>
              </w:rPr>
              <w:t>.65</w:t>
            </w:r>
            <w:r>
              <w:rPr>
                <w:rFonts w:ascii="SimSun" w:eastAsia="SimSun" w:hAnsi="SimSun" w:cs="SimSun"/>
                <w:color w:val="000000"/>
                <w:spacing w:val="0"/>
                <w:w w:val="100"/>
                <w:position w:val="0"/>
                <w:sz w:val="24"/>
                <w:szCs w:val="24"/>
              </w:rPr>
              <w:t>亿元，长期待 摊费用减值准备约人民币</w:t>
            </w:r>
            <w:r>
              <w:rPr>
                <w:rFonts w:ascii="Georgia" w:eastAsia="Georgia" w:hAnsi="Georgia" w:cs="Georgia"/>
                <w:color w:val="000000"/>
                <w:spacing w:val="0"/>
                <w:w w:val="100"/>
                <w:position w:val="0"/>
                <w:sz w:val="24"/>
                <w:szCs w:val="24"/>
              </w:rPr>
              <w:t>1</w:t>
            </w:r>
            <w:r>
              <w:rPr>
                <w:rFonts w:ascii="Georgia" w:eastAsia="Georgia" w:hAnsi="Georgia" w:cs="Georgia"/>
                <w:color w:val="000000"/>
                <w:spacing w:val="0"/>
                <w:w w:val="100"/>
                <w:position w:val="0"/>
                <w:sz w:val="24"/>
                <w:szCs w:val="24"/>
              </w:rPr>
              <w:t>.41</w:t>
            </w:r>
            <w:r>
              <w:rPr>
                <w:rFonts w:ascii="SimSun" w:eastAsia="SimSun" w:hAnsi="SimSun" w:cs="SimSun"/>
                <w:color w:val="000000"/>
                <w:spacing w:val="0"/>
                <w:w w:val="100"/>
                <w:position w:val="0"/>
                <w:sz w:val="24"/>
                <w:szCs w:val="24"/>
              </w:rPr>
              <w:t>亿元，固定 资产减值准备约人民币</w:t>
            </w:r>
            <w:r>
              <w:rPr>
                <w:rFonts w:ascii="Georgia" w:eastAsia="Georgia" w:hAnsi="Georgia" w:cs="Georgia"/>
                <w:color w:val="000000"/>
                <w:spacing w:val="0"/>
                <w:w w:val="100"/>
                <w:position w:val="0"/>
                <w:sz w:val="24"/>
                <w:szCs w:val="24"/>
              </w:rPr>
              <w:t>1</w:t>
            </w:r>
            <w:r>
              <w:rPr>
                <w:rFonts w:ascii="Georgia" w:eastAsia="Georgia" w:hAnsi="Georgia" w:cs="Georgia"/>
                <w:color w:val="000000"/>
                <w:spacing w:val="0"/>
                <w:w w:val="100"/>
                <w:position w:val="0"/>
                <w:sz w:val="24"/>
                <w:szCs w:val="24"/>
              </w:rPr>
              <w:t>.20</w:t>
            </w:r>
            <w:r>
              <w:rPr>
                <w:rFonts w:ascii="SimSun" w:eastAsia="SimSun" w:hAnsi="SimSun" w:cs="SimSun"/>
                <w:color w:val="000000"/>
                <w:spacing w:val="0"/>
                <w:w w:val="100"/>
                <w:position w:val="0"/>
                <w:sz w:val="24"/>
                <w:szCs w:val="24"/>
              </w:rPr>
              <w:t>亿元，投资性 房地产减值准备约人民币</w:t>
            </w:r>
            <w:r>
              <w:rPr>
                <w:rFonts w:ascii="Georgia" w:eastAsia="Georgia" w:hAnsi="Georgia" w:cs="Georgia"/>
                <w:color w:val="000000"/>
                <w:spacing w:val="0"/>
                <w:w w:val="100"/>
                <w:position w:val="0"/>
                <w:sz w:val="24"/>
                <w:szCs w:val="24"/>
              </w:rPr>
              <w:t>0.48</w:t>
            </w:r>
            <w:r>
              <w:rPr>
                <w:rFonts w:ascii="SimSun" w:eastAsia="SimSun" w:hAnsi="SimSun" w:cs="SimSun"/>
                <w:color w:val="000000"/>
                <w:spacing w:val="0"/>
                <w:w w:val="100"/>
                <w:position w:val="0"/>
                <w:sz w:val="24"/>
                <w:szCs w:val="24"/>
              </w:rPr>
              <w:t>亿元。</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320" w:line="312" w:lineRule="exact"/>
              <w:ind w:left="0" w:right="0" w:firstLine="0"/>
              <w:jc w:val="both"/>
              <w:rPr>
                <w:sz w:val="24"/>
                <w:szCs w:val="24"/>
              </w:rPr>
            </w:pPr>
            <w:r>
              <w:rPr>
                <w:rFonts w:ascii="SimSun" w:eastAsia="SimSun" w:hAnsi="SimSun" w:cs="SimSun"/>
                <w:color w:val="000000"/>
                <w:spacing w:val="0"/>
                <w:w w:val="100"/>
                <w:position w:val="0"/>
                <w:sz w:val="24"/>
                <w:szCs w:val="24"/>
              </w:rPr>
              <w:t>我们对包括使用权资产、无形资产、商誉、在 建工程、长期待摊费用、固定资产和投资性房 地产在内的长期资产减值评估的审计程序包 括：</w:t>
            </w:r>
          </w:p>
          <w:p>
            <w:pPr>
              <w:pStyle w:val="Style29"/>
              <w:keepNext w:val="0"/>
              <w:keepLines w:val="0"/>
              <w:widowControl w:val="0"/>
              <w:shd w:val="clear" w:color="auto" w:fill="auto"/>
              <w:bidi w:val="0"/>
              <w:spacing w:before="0" w:after="320" w:line="313"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了解管理层关于长期资产减值准备相 关内部控制和评估流程，通过考虑估计 不确定性的程度和其他固有风险因素 的水平如其复杂性、主观性、变化和对 管理层偏向的敏感度，评估了重大错报 的固有风险，并测试了关键控制执行的 有效性；</w:t>
            </w:r>
          </w:p>
          <w:p>
            <w:pPr>
              <w:pStyle w:val="Style29"/>
              <w:keepNext w:val="0"/>
              <w:keepLines w:val="0"/>
              <w:widowControl w:val="0"/>
              <w:shd w:val="clear" w:color="auto" w:fill="auto"/>
              <w:bidi w:val="0"/>
              <w:spacing w:before="0" w:after="320" w:line="307"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评估相关长期资产是否按照合理的方 法分摊至相关资产组或资产组组合；</w:t>
            </w:r>
          </w:p>
          <w:p>
            <w:pPr>
              <w:pStyle w:val="Style29"/>
              <w:keepNext w:val="0"/>
              <w:keepLines w:val="0"/>
              <w:widowControl w:val="0"/>
              <w:shd w:val="clear" w:color="auto" w:fill="auto"/>
              <w:bidi w:val="0"/>
              <w:spacing w:before="0" w:after="320" w:line="308"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将管理层编制的相关资产组或资产组 组合</w:t>
            </w:r>
            <w:r>
              <w:rPr>
                <w:rFonts w:ascii="Georgia" w:eastAsia="Georgia" w:hAnsi="Georgia" w:cs="Georgia"/>
                <w:color w:val="000000"/>
                <w:spacing w:val="0"/>
                <w:w w:val="100"/>
                <w:position w:val="0"/>
                <w:sz w:val="24"/>
                <w:szCs w:val="24"/>
              </w:rPr>
              <w:t>2020</w:t>
            </w:r>
            <w:r>
              <w:rPr>
                <w:rFonts w:ascii="SimSun" w:eastAsia="SimSun" w:hAnsi="SimSun" w:cs="SimSun"/>
                <w:color w:val="000000"/>
                <w:spacing w:val="0"/>
                <w:w w:val="100"/>
                <w:position w:val="0"/>
                <w:sz w:val="24"/>
                <w:szCs w:val="24"/>
              </w:rPr>
              <w:t>年度的盈利预测与</w:t>
            </w:r>
            <w:r>
              <w:rPr>
                <w:rFonts w:ascii="Georgia" w:eastAsia="Georgia" w:hAnsi="Georgia" w:cs="Georgia"/>
                <w:color w:val="000000"/>
                <w:spacing w:val="0"/>
                <w:w w:val="100"/>
                <w:position w:val="0"/>
                <w:sz w:val="24"/>
                <w:szCs w:val="24"/>
              </w:rPr>
              <w:t>2021</w:t>
            </w:r>
            <w:r>
              <w:rPr>
                <w:rFonts w:ascii="SimSun" w:eastAsia="SimSun" w:hAnsi="SimSun" w:cs="SimSun"/>
                <w:color w:val="000000"/>
                <w:spacing w:val="0"/>
                <w:w w:val="100"/>
                <w:position w:val="0"/>
                <w:sz w:val="24"/>
                <w:szCs w:val="24"/>
              </w:rPr>
              <w:t>年 度实际运营结果进行比较，以评价管理 层对现金流量的预测编制是否存在偏 向性；</w:t>
            </w:r>
          </w:p>
          <w:p>
            <w:pPr>
              <w:pStyle w:val="Style29"/>
              <w:keepNext w:val="0"/>
              <w:keepLines w:val="0"/>
              <w:widowControl w:val="0"/>
              <w:shd w:val="clear" w:color="auto" w:fill="auto"/>
              <w:bidi w:val="0"/>
              <w:spacing w:before="0" w:after="320" w:line="316" w:lineRule="exact"/>
              <w:ind w:left="720" w:right="0" w:hanging="360"/>
              <w:jc w:val="both"/>
              <w:rPr>
                <w:sz w:val="24"/>
                <w:szCs w:val="24"/>
              </w:rPr>
            </w:pPr>
            <w:r>
              <w:rPr>
                <w:rFonts w:ascii="SimSun" w:eastAsia="SimSun" w:hAnsi="SimSun" w:cs="SimSun"/>
                <w:color w:val="000000"/>
                <w:spacing w:val="0"/>
                <w:w w:val="100"/>
                <w:position w:val="0"/>
                <w:sz w:val="24"/>
                <w:szCs w:val="24"/>
              </w:rPr>
              <w:t xml:space="preserve">・ </w:t>
            </w:r>
            <w:r>
              <w:rPr>
                <w:rFonts w:ascii="SimSun" w:eastAsia="SimSun" w:hAnsi="SimSun" w:cs="SimSun"/>
                <w:color w:val="000000"/>
                <w:spacing w:val="0"/>
                <w:w w:val="100"/>
                <w:position w:val="0"/>
                <w:sz w:val="24"/>
                <w:szCs w:val="24"/>
              </w:rPr>
              <w:t>评估了现金流量预测中使用的预测期 的收入增长率及毛利率将其与过去若 干年的历史收入增长率和以前年度的 实际毛利率进行比较分析，并在评估中 考虑市场趋势；</w:t>
            </w:r>
          </w:p>
        </w:tc>
      </w:tr>
    </w:tbl>
    <w:p>
      <w:pPr>
        <w:sectPr>
          <w:footnotePr>
            <w:pos w:val="pageBottom"/>
            <w:numFmt w:val="decimal"/>
            <w:numStart w:val="1"/>
            <w:numRestart w:val="continuous"/>
            <w15:footnoteColumns w:val="1"/>
          </w:footnotePr>
          <w:pgSz w:w="11900" w:h="16840"/>
          <w:pgMar w:top="3986" w:right="953" w:bottom="1598" w:left="1155" w:header="0" w:footer="3" w:gutter="0"/>
          <w:cols w:space="720"/>
          <w:noEndnote/>
          <w:rtlGutter w:val="0"/>
          <w:docGrid w:linePitch="360"/>
        </w:sectPr>
      </w:pPr>
    </w:p>
    <w:p>
      <w:pPr>
        <w:pStyle w:val="Style72"/>
        <w:keepNext w:val="0"/>
        <w:keepLines w:val="0"/>
        <w:widowControl w:val="0"/>
        <w:shd w:val="clear" w:color="auto" w:fill="auto"/>
        <w:bidi w:val="0"/>
        <w:spacing w:before="0" w:after="0" w:line="240" w:lineRule="auto"/>
        <w:ind w:left="1280" w:right="0" w:firstLine="0"/>
        <w:jc w:val="left"/>
        <w:rPr>
          <w:sz w:val="26"/>
          <w:szCs w:val="26"/>
        </w:rPr>
      </w:pPr>
      <w:bookmarkStart w:id="757" w:name="bookmark757"/>
      <w:r>
        <w:rPr>
          <w:b/>
          <w:bCs/>
          <w:color w:val="000000"/>
          <w:spacing w:val="0"/>
          <w:w w:val="100"/>
          <w:position w:val="0"/>
          <w:sz w:val="24"/>
          <w:szCs w:val="24"/>
        </w:rPr>
        <w:t>四</w:t>
      </w:r>
      <w:bookmarkEnd w:id="757"/>
      <w:r>
        <w:rPr>
          <w:b/>
          <w:bCs/>
          <w:color w:val="000000"/>
          <w:spacing w:val="0"/>
          <w:w w:val="100"/>
          <w:position w:val="0"/>
          <w:sz w:val="24"/>
          <w:szCs w:val="24"/>
        </w:rPr>
        <w:t>、关键审计事项</w:t>
      </w:r>
      <w:r>
        <w:rPr>
          <w:rFonts w:ascii="Georgia" w:eastAsia="Georgia" w:hAnsi="Georgia" w:cs="Georgia"/>
          <w:b/>
          <w:bCs/>
          <w:color w:val="000000"/>
          <w:spacing w:val="0"/>
          <w:w w:val="100"/>
          <w:position w:val="0"/>
          <w:sz w:val="24"/>
          <w:szCs w:val="24"/>
        </w:rPr>
        <w:t>（</w:t>
      </w:r>
      <w:r>
        <w:rPr>
          <w:b/>
          <w:bCs/>
          <w:color w:val="000000"/>
          <w:spacing w:val="0"/>
          <w:w w:val="100"/>
          <w:position w:val="0"/>
          <w:sz w:val="24"/>
          <w:szCs w:val="24"/>
        </w:rPr>
        <w:t>续</w:t>
      </w:r>
      <w:r>
        <w:rPr>
          <w:b/>
          <w:bCs/>
          <w:color w:val="000000"/>
          <w:spacing w:val="0"/>
          <w:w w:val="100"/>
          <w:position w:val="0"/>
          <w:sz w:val="26"/>
          <w:szCs w:val="26"/>
        </w:rPr>
        <w:t>）</w:t>
      </w:r>
    </w:p>
    <w:p>
      <w:pPr>
        <w:widowControl w:val="0"/>
        <w:spacing w:after="7349" w:line="1" w:lineRule="exact"/>
        <w:sectPr>
          <w:footnotePr>
            <w:pos w:val="pageBottom"/>
            <w:numFmt w:val="decimal"/>
            <w:numStart w:val="1"/>
            <w:numRestart w:val="continuous"/>
            <w15:footnoteColumns w:val="1"/>
          </w:footnotePr>
          <w:pgSz w:w="11900" w:h="16840"/>
          <w:pgMar w:top="4954" w:right="841" w:bottom="4128" w:left="1267" w:header="0" w:footer="3" w:gutter="0"/>
          <w:cols w:space="720"/>
          <w:noEndnote/>
          <w:rtlGutter w:val="0"/>
          <w:docGrid w:linePitch="360"/>
        </w:sectPr>
      </w:pPr>
      <w:r>
        <mc:AlternateContent>
          <mc:Choice Requires="wps">
            <w:drawing>
              <wp:anchor distT="0" distB="0" distL="0" distR="0" simplePos="0" relativeHeight="62914690" behindDoc="1" locked="0" layoutInCell="1" allowOverlap="1">
                <wp:simplePos x="0" y="0"/>
                <wp:positionH relativeFrom="page">
                  <wp:posOffset>1246505</wp:posOffset>
                </wp:positionH>
                <wp:positionV relativeFrom="paragraph">
                  <wp:posOffset>152400</wp:posOffset>
                </wp:positionV>
                <wp:extent cx="2679065" cy="4514215"/>
                <wp:wrapNone/>
                <wp:docPr id="4" name="Shape 4"/>
                <a:graphic xmlns:a="http://schemas.openxmlformats.org/drawingml/2006/main">
                  <a:graphicData uri="http://schemas.microsoft.com/office/word/2010/wordprocessingShape">
                    <wps:wsp>
                      <wps:cNvSpPr txBox="1"/>
                      <wps:spPr>
                        <a:xfrm>
                          <a:ext cx="2679065" cy="4514215"/>
                        </a:xfrm>
                        <a:prstGeom prst="rect"/>
                        <a:noFill/>
                      </wps:spPr>
                      <wps:txbx>
                        <w:txbxContent>
                          <w:p>
                            <w:pPr>
                              <w:pStyle w:val="Style72"/>
                              <w:keepNext w:val="0"/>
                              <w:keepLines w:val="0"/>
                              <w:widowControl w:val="0"/>
                              <w:shd w:val="clear" w:color="auto" w:fill="auto"/>
                              <w:bidi w:val="0"/>
                              <w:spacing w:before="0" w:after="40"/>
                              <w:ind w:left="0" w:right="0" w:firstLine="0"/>
                              <w:jc w:val="left"/>
                            </w:pPr>
                            <w:r>
                              <w:rPr>
                                <w:color w:val="000000"/>
                                <w:spacing w:val="0"/>
                                <w:w w:val="100"/>
                                <w:position w:val="0"/>
                                <w:sz w:val="24"/>
                                <w:szCs w:val="24"/>
                              </w:rPr>
                              <w:t>关键审计事项</w:t>
                            </w:r>
                          </w:p>
                          <w:p>
                            <w:pPr>
                              <w:pStyle w:val="Style72"/>
                              <w:keepNext w:val="0"/>
                              <w:keepLines w:val="0"/>
                              <w:widowControl w:val="0"/>
                              <w:shd w:val="clear" w:color="auto" w:fill="auto"/>
                              <w:bidi w:val="0"/>
                              <w:spacing w:before="0" w:after="320"/>
                              <w:ind w:left="0" w:right="0" w:firstLine="0"/>
                              <w:jc w:val="left"/>
                            </w:pPr>
                            <w:r>
                              <w:rPr>
                                <w:rFonts w:ascii="Georgia" w:eastAsia="Georgia" w:hAnsi="Georgia" w:cs="Georgia"/>
                                <w:color w:val="000000"/>
                                <w:spacing w:val="0"/>
                                <w:w w:val="100"/>
                                <w:position w:val="0"/>
                                <w:sz w:val="24"/>
                                <w:szCs w:val="24"/>
                              </w:rPr>
                              <w:t>（</w:t>
                            </w:r>
                            <w:r>
                              <w:rPr>
                                <w:color w:val="000000"/>
                                <w:spacing w:val="0"/>
                                <w:w w:val="100"/>
                                <w:position w:val="0"/>
                                <w:sz w:val="24"/>
                                <w:szCs w:val="24"/>
                              </w:rPr>
                              <w:t>一）长期资产减值评估</w:t>
                            </w:r>
                            <w:r>
                              <w:rPr>
                                <w:rFonts w:ascii="Georgia" w:eastAsia="Georgia" w:hAnsi="Georgia" w:cs="Georgia"/>
                                <w:color w:val="000000"/>
                                <w:spacing w:val="0"/>
                                <w:w w:val="100"/>
                                <w:position w:val="0"/>
                                <w:sz w:val="24"/>
                                <w:szCs w:val="24"/>
                              </w:rPr>
                              <w:t>（</w:t>
                            </w:r>
                            <w:r>
                              <w:rPr>
                                <w:color w:val="000000"/>
                                <w:spacing w:val="0"/>
                                <w:w w:val="100"/>
                                <w:position w:val="0"/>
                                <w:sz w:val="24"/>
                                <w:szCs w:val="24"/>
                              </w:rPr>
                              <w:t>续</w:t>
                            </w:r>
                            <w:r>
                              <w:rPr>
                                <w:rFonts w:ascii="Georgia" w:eastAsia="Georgia" w:hAnsi="Georgia" w:cs="Georgia"/>
                                <w:color w:val="000000"/>
                                <w:spacing w:val="0"/>
                                <w:w w:val="100"/>
                                <w:position w:val="0"/>
                                <w:sz w:val="24"/>
                                <w:szCs w:val="24"/>
                              </w:rPr>
                              <w:t>）</w:t>
                            </w:r>
                          </w:p>
                          <w:p>
                            <w:pPr>
                              <w:pStyle w:val="Style72"/>
                              <w:keepNext w:val="0"/>
                              <w:keepLines w:val="0"/>
                              <w:widowControl w:val="0"/>
                              <w:shd w:val="clear" w:color="auto" w:fill="auto"/>
                              <w:bidi w:val="0"/>
                              <w:spacing w:before="0" w:after="320"/>
                              <w:ind w:left="0" w:right="0" w:firstLine="0"/>
                              <w:jc w:val="both"/>
                            </w:pPr>
                            <w:r>
                              <w:rPr>
                                <w:color w:val="000000"/>
                                <w:spacing w:val="0"/>
                                <w:w w:val="100"/>
                                <w:position w:val="0"/>
                                <w:sz w:val="24"/>
                                <w:szCs w:val="24"/>
                              </w:rPr>
                              <w:t>管理层将能独立产生现金流入的最小资 产组合认定为资产组或资产组组合。对 于除商誉以外的长期资产，资产负债表 日存在减值迹象的，管理层进行减值测 试。进行减值测试时，管理层需要计算 相关资产组或资产组组合的可收回金 额。可收回金额为该资产组或资产组组 合的公允价值减去处置费用后的净额与 使用资产组预计未来现金流量的现值两 者之间的较高者。当可收回金额低于资 产组账面价值时，管理层按差额计提相 关长期资产减值准备。管理层采用现金 流量折现的方法确定相应资产组可收回 金额，在编制未来现金流量现值时所采 用的关键假设包括：</w:t>
                            </w:r>
                          </w:p>
                          <w:p>
                            <w:pPr>
                              <w:pStyle w:val="Style72"/>
                              <w:keepNext w:val="0"/>
                              <w:keepLines w:val="0"/>
                              <w:widowControl w:val="0"/>
                              <w:shd w:val="clear" w:color="auto" w:fill="auto"/>
                              <w:bidi w:val="0"/>
                              <w:spacing w:before="0" w:after="40"/>
                              <w:ind w:left="0" w:right="0" w:firstLine="0"/>
                              <w:jc w:val="both"/>
                            </w:pPr>
                            <w:r>
                              <w:rPr>
                                <w:color w:val="000000"/>
                                <w:spacing w:val="0"/>
                                <w:w w:val="100"/>
                                <w:position w:val="0"/>
                                <w:sz w:val="24"/>
                                <w:szCs w:val="24"/>
                              </w:rPr>
                              <w:t>•</w:t>
                            </w:r>
                            <w:r>
                              <w:rPr>
                                <w:color w:val="000000"/>
                                <w:spacing w:val="0"/>
                                <w:w w:val="100"/>
                                <w:position w:val="0"/>
                                <w:sz w:val="24"/>
                                <w:szCs w:val="24"/>
                              </w:rPr>
                              <w:t>收入增长率</w:t>
                            </w:r>
                          </w:p>
                          <w:p>
                            <w:pPr>
                              <w:pStyle w:val="Style72"/>
                              <w:keepNext w:val="0"/>
                              <w:keepLines w:val="0"/>
                              <w:widowControl w:val="0"/>
                              <w:shd w:val="clear" w:color="auto" w:fill="auto"/>
                              <w:bidi w:val="0"/>
                              <w:spacing w:before="0" w:after="40"/>
                              <w:ind w:left="0" w:right="0" w:firstLine="0"/>
                              <w:jc w:val="both"/>
                            </w:pPr>
                            <w:r>
                              <w:rPr>
                                <w:color w:val="000000"/>
                                <w:spacing w:val="0"/>
                                <w:w w:val="100"/>
                                <w:position w:val="0"/>
                                <w:sz w:val="24"/>
                                <w:szCs w:val="24"/>
                              </w:rPr>
                              <w:t>•</w:t>
                            </w:r>
                            <w:r>
                              <w:rPr>
                                <w:color w:val="000000"/>
                                <w:spacing w:val="0"/>
                                <w:w w:val="100"/>
                                <w:position w:val="0"/>
                                <w:sz w:val="24"/>
                                <w:szCs w:val="24"/>
                              </w:rPr>
                              <w:t>预测期毛利率</w:t>
                            </w:r>
                          </w:p>
                          <w:p>
                            <w:pPr>
                              <w:pStyle w:val="Style72"/>
                              <w:keepNext w:val="0"/>
                              <w:keepLines w:val="0"/>
                              <w:widowControl w:val="0"/>
                              <w:shd w:val="clear" w:color="auto" w:fill="auto"/>
                              <w:bidi w:val="0"/>
                              <w:spacing w:before="0" w:after="180"/>
                              <w:ind w:left="0" w:right="0" w:firstLine="0"/>
                              <w:jc w:val="both"/>
                            </w:pPr>
                            <w:r>
                              <w:rPr>
                                <w:color w:val="000000"/>
                                <w:spacing w:val="0"/>
                                <w:w w:val="100"/>
                                <w:position w:val="0"/>
                                <w:sz w:val="24"/>
                                <w:szCs w:val="24"/>
                              </w:rPr>
                              <w:t>• 折现率</w:t>
                            </w:r>
                          </w:p>
                        </w:txbxContent>
                      </wps:txbx>
                      <wps:bodyPr lIns="0" tIns="0" rIns="0" bIns="0">
                        <a:noAutoFit/>
                      </wps:bodyPr>
                    </wps:wsp>
                  </a:graphicData>
                </a:graphic>
              </wp:anchor>
            </w:drawing>
          </mc:Choice>
          <mc:Fallback>
            <w:pict>
              <v:shape id="_x0000_s1030" type="#_x0000_t202" style="position:absolute;margin-left:98.150000000000006pt;margin-top:12.pt;width:210.95000000000002pt;height:355.44999999999999pt;z-index:-188744063;mso-wrap-distance-left:0;mso-wrap-distance-right:0;mso-position-horizontal-relative:page" wrapcoords="0 0" filled="f" stroked="f">
                <v:textbox inset="0,0,0,0">
                  <w:txbxContent>
                    <w:p>
                      <w:pPr>
                        <w:pStyle w:val="Style72"/>
                        <w:keepNext w:val="0"/>
                        <w:keepLines w:val="0"/>
                        <w:widowControl w:val="0"/>
                        <w:shd w:val="clear" w:color="auto" w:fill="auto"/>
                        <w:bidi w:val="0"/>
                        <w:spacing w:before="0" w:after="40"/>
                        <w:ind w:left="0" w:right="0" w:firstLine="0"/>
                        <w:jc w:val="left"/>
                      </w:pPr>
                      <w:r>
                        <w:rPr>
                          <w:color w:val="000000"/>
                          <w:spacing w:val="0"/>
                          <w:w w:val="100"/>
                          <w:position w:val="0"/>
                          <w:sz w:val="24"/>
                          <w:szCs w:val="24"/>
                        </w:rPr>
                        <w:t>关键审计事项</w:t>
                      </w:r>
                    </w:p>
                    <w:p>
                      <w:pPr>
                        <w:pStyle w:val="Style72"/>
                        <w:keepNext w:val="0"/>
                        <w:keepLines w:val="0"/>
                        <w:widowControl w:val="0"/>
                        <w:shd w:val="clear" w:color="auto" w:fill="auto"/>
                        <w:bidi w:val="0"/>
                        <w:spacing w:before="0" w:after="320"/>
                        <w:ind w:left="0" w:right="0" w:firstLine="0"/>
                        <w:jc w:val="left"/>
                      </w:pPr>
                      <w:r>
                        <w:rPr>
                          <w:rFonts w:ascii="Georgia" w:eastAsia="Georgia" w:hAnsi="Georgia" w:cs="Georgia"/>
                          <w:color w:val="000000"/>
                          <w:spacing w:val="0"/>
                          <w:w w:val="100"/>
                          <w:position w:val="0"/>
                          <w:sz w:val="24"/>
                          <w:szCs w:val="24"/>
                        </w:rPr>
                        <w:t>（</w:t>
                      </w:r>
                      <w:r>
                        <w:rPr>
                          <w:color w:val="000000"/>
                          <w:spacing w:val="0"/>
                          <w:w w:val="100"/>
                          <w:position w:val="0"/>
                          <w:sz w:val="24"/>
                          <w:szCs w:val="24"/>
                        </w:rPr>
                        <w:t>一）长期资产减值评估</w:t>
                      </w:r>
                      <w:r>
                        <w:rPr>
                          <w:rFonts w:ascii="Georgia" w:eastAsia="Georgia" w:hAnsi="Georgia" w:cs="Georgia"/>
                          <w:color w:val="000000"/>
                          <w:spacing w:val="0"/>
                          <w:w w:val="100"/>
                          <w:position w:val="0"/>
                          <w:sz w:val="24"/>
                          <w:szCs w:val="24"/>
                        </w:rPr>
                        <w:t>（</w:t>
                      </w:r>
                      <w:r>
                        <w:rPr>
                          <w:color w:val="000000"/>
                          <w:spacing w:val="0"/>
                          <w:w w:val="100"/>
                          <w:position w:val="0"/>
                          <w:sz w:val="24"/>
                          <w:szCs w:val="24"/>
                        </w:rPr>
                        <w:t>续</w:t>
                      </w:r>
                      <w:r>
                        <w:rPr>
                          <w:rFonts w:ascii="Georgia" w:eastAsia="Georgia" w:hAnsi="Georgia" w:cs="Georgia"/>
                          <w:color w:val="000000"/>
                          <w:spacing w:val="0"/>
                          <w:w w:val="100"/>
                          <w:position w:val="0"/>
                          <w:sz w:val="24"/>
                          <w:szCs w:val="24"/>
                        </w:rPr>
                        <w:t>）</w:t>
                      </w:r>
                    </w:p>
                    <w:p>
                      <w:pPr>
                        <w:pStyle w:val="Style72"/>
                        <w:keepNext w:val="0"/>
                        <w:keepLines w:val="0"/>
                        <w:widowControl w:val="0"/>
                        <w:shd w:val="clear" w:color="auto" w:fill="auto"/>
                        <w:bidi w:val="0"/>
                        <w:spacing w:before="0" w:after="320"/>
                        <w:ind w:left="0" w:right="0" w:firstLine="0"/>
                        <w:jc w:val="both"/>
                      </w:pPr>
                      <w:r>
                        <w:rPr>
                          <w:color w:val="000000"/>
                          <w:spacing w:val="0"/>
                          <w:w w:val="100"/>
                          <w:position w:val="0"/>
                          <w:sz w:val="24"/>
                          <w:szCs w:val="24"/>
                        </w:rPr>
                        <w:t>管理层将能独立产生现金流入的最小资 产组合认定为资产组或资产组组合。对 于除商誉以外的长期资产，资产负债表 日存在减值迹象的，管理层进行减值测 试。进行减值测试时，管理层需要计算 相关资产组或资产组组合的可收回金 额。可收回金额为该资产组或资产组组 合的公允价值减去处置费用后的净额与 使用资产组预计未来现金流量的现值两 者之间的较高者。当可收回金额低于资 产组账面价值时，管理层按差额计提相 关长期资产减值准备。管理层采用现金 流量折现的方法确定相应资产组可收回 金额，在编制未来现金流量现值时所采 用的关键假设包括：</w:t>
                      </w:r>
                    </w:p>
                    <w:p>
                      <w:pPr>
                        <w:pStyle w:val="Style72"/>
                        <w:keepNext w:val="0"/>
                        <w:keepLines w:val="0"/>
                        <w:widowControl w:val="0"/>
                        <w:shd w:val="clear" w:color="auto" w:fill="auto"/>
                        <w:bidi w:val="0"/>
                        <w:spacing w:before="0" w:after="40"/>
                        <w:ind w:left="0" w:right="0" w:firstLine="0"/>
                        <w:jc w:val="both"/>
                      </w:pPr>
                      <w:r>
                        <w:rPr>
                          <w:color w:val="000000"/>
                          <w:spacing w:val="0"/>
                          <w:w w:val="100"/>
                          <w:position w:val="0"/>
                          <w:sz w:val="24"/>
                          <w:szCs w:val="24"/>
                        </w:rPr>
                        <w:t>•</w:t>
                      </w:r>
                      <w:r>
                        <w:rPr>
                          <w:color w:val="000000"/>
                          <w:spacing w:val="0"/>
                          <w:w w:val="100"/>
                          <w:position w:val="0"/>
                          <w:sz w:val="24"/>
                          <w:szCs w:val="24"/>
                        </w:rPr>
                        <w:t>收入增长率</w:t>
                      </w:r>
                    </w:p>
                    <w:p>
                      <w:pPr>
                        <w:pStyle w:val="Style72"/>
                        <w:keepNext w:val="0"/>
                        <w:keepLines w:val="0"/>
                        <w:widowControl w:val="0"/>
                        <w:shd w:val="clear" w:color="auto" w:fill="auto"/>
                        <w:bidi w:val="0"/>
                        <w:spacing w:before="0" w:after="40"/>
                        <w:ind w:left="0" w:right="0" w:firstLine="0"/>
                        <w:jc w:val="both"/>
                      </w:pPr>
                      <w:r>
                        <w:rPr>
                          <w:color w:val="000000"/>
                          <w:spacing w:val="0"/>
                          <w:w w:val="100"/>
                          <w:position w:val="0"/>
                          <w:sz w:val="24"/>
                          <w:szCs w:val="24"/>
                        </w:rPr>
                        <w:t>•</w:t>
                      </w:r>
                      <w:r>
                        <w:rPr>
                          <w:color w:val="000000"/>
                          <w:spacing w:val="0"/>
                          <w:w w:val="100"/>
                          <w:position w:val="0"/>
                          <w:sz w:val="24"/>
                          <w:szCs w:val="24"/>
                        </w:rPr>
                        <w:t>预测期毛利率</w:t>
                      </w:r>
                    </w:p>
                    <w:p>
                      <w:pPr>
                        <w:pStyle w:val="Style72"/>
                        <w:keepNext w:val="0"/>
                        <w:keepLines w:val="0"/>
                        <w:widowControl w:val="0"/>
                        <w:shd w:val="clear" w:color="auto" w:fill="auto"/>
                        <w:bidi w:val="0"/>
                        <w:spacing w:before="0" w:after="180"/>
                        <w:ind w:left="0" w:right="0" w:firstLine="0"/>
                        <w:jc w:val="both"/>
                      </w:pPr>
                      <w:r>
                        <w:rPr>
                          <w:color w:val="000000"/>
                          <w:spacing w:val="0"/>
                          <w:w w:val="100"/>
                          <w:position w:val="0"/>
                          <w:sz w:val="24"/>
                          <w:szCs w:val="24"/>
                        </w:rPr>
                        <w:t>• 折现率</w:t>
                      </w:r>
                    </w:p>
                  </w:txbxContent>
                </v:textbox>
                <w10:wrap anchorx="page"/>
              </v:shape>
            </w:pict>
          </mc:Fallback>
        </mc:AlternateContent>
      </w:r>
      <w:r>
        <mc:AlternateContent>
          <mc:Choice Requires="wps">
            <w:drawing>
              <wp:anchor distT="0" distB="0" distL="0" distR="0" simplePos="0" relativeHeight="62914692" behindDoc="1" locked="0" layoutInCell="1" allowOverlap="1">
                <wp:simplePos x="0" y="0"/>
                <wp:positionH relativeFrom="page">
                  <wp:posOffset>3943985</wp:posOffset>
                </wp:positionH>
                <wp:positionV relativeFrom="paragraph">
                  <wp:posOffset>155575</wp:posOffset>
                </wp:positionV>
                <wp:extent cx="3078480" cy="3483610"/>
                <wp:wrapNone/>
                <wp:docPr id="6" name="Shape 6"/>
                <a:graphic xmlns:a="http://schemas.openxmlformats.org/drawingml/2006/main">
                  <a:graphicData uri="http://schemas.microsoft.com/office/word/2010/wordprocessingShape">
                    <wps:wsp>
                      <wps:cNvSpPr txBox="1"/>
                      <wps:spPr>
                        <a:xfrm>
                          <a:ext cx="3078480" cy="3483610"/>
                        </a:xfrm>
                        <a:prstGeom prst="rect"/>
                        <a:noFill/>
                      </wps:spPr>
                      <wps:txbx>
                        <w:txbxContent>
                          <w:p>
                            <w:pPr>
                              <w:pStyle w:val="Style72"/>
                              <w:keepNext w:val="0"/>
                              <w:keepLines w:val="0"/>
                              <w:widowControl w:val="0"/>
                              <w:shd w:val="clear" w:color="auto" w:fill="auto"/>
                              <w:bidi w:val="0"/>
                              <w:spacing w:before="0" w:after="40" w:line="313" w:lineRule="exact"/>
                              <w:ind w:left="0" w:right="0" w:firstLine="0"/>
                              <w:jc w:val="both"/>
                            </w:pPr>
                            <w:r>
                              <w:rPr>
                                <w:color w:val="000000"/>
                                <w:spacing w:val="0"/>
                                <w:w w:val="100"/>
                                <w:position w:val="0"/>
                                <w:sz w:val="24"/>
                                <w:szCs w:val="24"/>
                              </w:rPr>
                              <w:t>我们在审计中如何应对关键审计事项</w:t>
                            </w:r>
                          </w:p>
                          <w:p>
                            <w:pPr>
                              <w:pStyle w:val="Style72"/>
                              <w:keepNext w:val="0"/>
                              <w:keepLines w:val="0"/>
                              <w:widowControl w:val="0"/>
                              <w:shd w:val="clear" w:color="auto" w:fill="auto"/>
                              <w:bidi w:val="0"/>
                              <w:spacing w:before="0" w:line="313" w:lineRule="exact"/>
                              <w:ind w:right="0" w:hanging="720"/>
                              <w:jc w:val="both"/>
                            </w:pPr>
                            <w:r>
                              <w:rPr>
                                <w:color w:val="000000"/>
                                <w:spacing w:val="0"/>
                                <w:w w:val="100"/>
                                <w:position w:val="0"/>
                                <w:sz w:val="24"/>
                                <w:szCs w:val="24"/>
                              </w:rPr>
                              <w:t>-</w:t>
                            </w:r>
                            <w:r>
                              <w:rPr>
                                <w:color w:val="000000"/>
                                <w:spacing w:val="0"/>
                                <w:w w:val="100"/>
                                <w:position w:val="0"/>
                                <w:sz w:val="24"/>
                                <w:szCs w:val="24"/>
                              </w:rPr>
                              <w:t>・基于对苏宁易购业务和所处行业的了 解，在内部估值专家的协助下，评估了 管理层估计相关长期资产可收回金额时 所使用方法的整体恰当性以及所采用的 关键假设的合理性；</w:t>
                            </w:r>
                          </w:p>
                          <w:p>
                            <w:pPr>
                              <w:pStyle w:val="Style72"/>
                              <w:keepNext w:val="0"/>
                              <w:keepLines w:val="0"/>
                              <w:widowControl w:val="0"/>
                              <w:shd w:val="clear" w:color="auto" w:fill="auto"/>
                              <w:bidi w:val="0"/>
                              <w:spacing w:before="0" w:line="312" w:lineRule="exact"/>
                              <w:ind w:right="0" w:hanging="360"/>
                              <w:jc w:val="both"/>
                            </w:pPr>
                            <w:r>
                              <w:rPr>
                                <w:color w:val="000000"/>
                                <w:spacing w:val="0"/>
                                <w:w w:val="100"/>
                                <w:position w:val="0"/>
                                <w:sz w:val="24"/>
                                <w:szCs w:val="24"/>
                              </w:rPr>
                              <w:t>・</w:t>
                            </w:r>
                            <w:r>
                              <w:rPr>
                                <w:color w:val="000000"/>
                                <w:spacing w:val="0"/>
                                <w:w w:val="100"/>
                                <w:position w:val="0"/>
                                <w:sz w:val="24"/>
                                <w:szCs w:val="24"/>
                              </w:rPr>
                              <w:t>对减值评估中采用的收入增长率、毛利 率、折现率等经营和财务假设执行敏感 性分析，考虑这些参数和假设在合理变 动时，对减值测试结果的潜在影响；</w:t>
                            </w:r>
                          </w:p>
                          <w:p>
                            <w:pPr>
                              <w:pStyle w:val="Style72"/>
                              <w:keepNext w:val="0"/>
                              <w:keepLines w:val="0"/>
                              <w:widowControl w:val="0"/>
                              <w:numPr>
                                <w:ilvl w:val="0"/>
                                <w:numId w:val="17"/>
                              </w:numPr>
                              <w:shd w:val="clear" w:color="auto" w:fill="auto"/>
                              <w:tabs>
                                <w:tab w:pos="720" w:val="left"/>
                              </w:tabs>
                              <w:bidi w:val="0"/>
                              <w:spacing w:before="0" w:line="298" w:lineRule="exact"/>
                              <w:ind w:right="0" w:hanging="360"/>
                              <w:jc w:val="both"/>
                            </w:pPr>
                            <w:bookmarkStart w:id="755" w:name="bookmark755"/>
                            <w:bookmarkEnd w:id="755"/>
                            <w:r>
                              <w:rPr>
                                <w:color w:val="000000"/>
                                <w:spacing w:val="0"/>
                                <w:w w:val="100"/>
                                <w:position w:val="0"/>
                                <w:sz w:val="24"/>
                                <w:szCs w:val="24"/>
                              </w:rPr>
                              <w:t>在内部估值专家协助下，验证管理层公 允价值评估的合理性；</w:t>
                            </w:r>
                          </w:p>
                          <w:p>
                            <w:pPr>
                              <w:pStyle w:val="Style72"/>
                              <w:keepNext w:val="0"/>
                              <w:keepLines w:val="0"/>
                              <w:widowControl w:val="0"/>
                              <w:numPr>
                                <w:ilvl w:val="0"/>
                                <w:numId w:val="17"/>
                              </w:numPr>
                              <w:shd w:val="clear" w:color="auto" w:fill="auto"/>
                              <w:tabs>
                                <w:tab w:pos="720" w:val="left"/>
                              </w:tabs>
                              <w:bidi w:val="0"/>
                              <w:spacing w:before="0" w:line="331" w:lineRule="exact"/>
                              <w:ind w:right="0" w:hanging="360"/>
                              <w:jc w:val="both"/>
                            </w:pPr>
                            <w:bookmarkStart w:id="756" w:name="bookmark756"/>
                            <w:bookmarkEnd w:id="756"/>
                            <w:r>
                              <w:rPr>
                                <w:color w:val="000000"/>
                                <w:spacing w:val="0"/>
                                <w:w w:val="100"/>
                                <w:position w:val="0"/>
                                <w:sz w:val="24"/>
                                <w:szCs w:val="24"/>
                              </w:rPr>
                              <w:t>对未来现金流量现值和公允价值减去 处置费用后的净额执行了重新计算。</w:t>
                            </w:r>
                          </w:p>
                        </w:txbxContent>
                      </wps:txbx>
                      <wps:bodyPr lIns="0" tIns="0" rIns="0" bIns="0">
                        <a:noAutoFit/>
                      </wps:bodyPr>
                    </wps:wsp>
                  </a:graphicData>
                </a:graphic>
              </wp:anchor>
            </w:drawing>
          </mc:Choice>
          <mc:Fallback>
            <w:pict>
              <v:shape id="_x0000_s1032" type="#_x0000_t202" style="position:absolute;margin-left:310.55000000000001pt;margin-top:12.25pt;width:242.40000000000001pt;height:274.30000000000001pt;z-index:-188744061;mso-wrap-distance-left:0;mso-wrap-distance-right:0;mso-position-horizontal-relative:page" wrapcoords="0 0" filled="f" stroked="f">
                <v:textbox inset="0,0,0,0">
                  <w:txbxContent>
                    <w:p>
                      <w:pPr>
                        <w:pStyle w:val="Style72"/>
                        <w:keepNext w:val="0"/>
                        <w:keepLines w:val="0"/>
                        <w:widowControl w:val="0"/>
                        <w:shd w:val="clear" w:color="auto" w:fill="auto"/>
                        <w:bidi w:val="0"/>
                        <w:spacing w:before="0" w:after="40" w:line="313" w:lineRule="exact"/>
                        <w:ind w:left="0" w:right="0" w:firstLine="0"/>
                        <w:jc w:val="both"/>
                      </w:pPr>
                      <w:r>
                        <w:rPr>
                          <w:color w:val="000000"/>
                          <w:spacing w:val="0"/>
                          <w:w w:val="100"/>
                          <w:position w:val="0"/>
                          <w:sz w:val="24"/>
                          <w:szCs w:val="24"/>
                        </w:rPr>
                        <w:t>我们在审计中如何应对关键审计事项</w:t>
                      </w:r>
                    </w:p>
                    <w:p>
                      <w:pPr>
                        <w:pStyle w:val="Style72"/>
                        <w:keepNext w:val="0"/>
                        <w:keepLines w:val="0"/>
                        <w:widowControl w:val="0"/>
                        <w:shd w:val="clear" w:color="auto" w:fill="auto"/>
                        <w:bidi w:val="0"/>
                        <w:spacing w:before="0" w:line="313" w:lineRule="exact"/>
                        <w:ind w:right="0" w:hanging="720"/>
                        <w:jc w:val="both"/>
                      </w:pPr>
                      <w:r>
                        <w:rPr>
                          <w:color w:val="000000"/>
                          <w:spacing w:val="0"/>
                          <w:w w:val="100"/>
                          <w:position w:val="0"/>
                          <w:sz w:val="24"/>
                          <w:szCs w:val="24"/>
                        </w:rPr>
                        <w:t>-</w:t>
                      </w:r>
                      <w:r>
                        <w:rPr>
                          <w:color w:val="000000"/>
                          <w:spacing w:val="0"/>
                          <w:w w:val="100"/>
                          <w:position w:val="0"/>
                          <w:sz w:val="24"/>
                          <w:szCs w:val="24"/>
                        </w:rPr>
                        <w:t>・基于对苏宁易购业务和所处行业的了 解，在内部估值专家的协助下，评估了 管理层估计相关长期资产可收回金额时 所使用方法的整体恰当性以及所采用的 关键假设的合理性；</w:t>
                      </w:r>
                    </w:p>
                    <w:p>
                      <w:pPr>
                        <w:pStyle w:val="Style72"/>
                        <w:keepNext w:val="0"/>
                        <w:keepLines w:val="0"/>
                        <w:widowControl w:val="0"/>
                        <w:shd w:val="clear" w:color="auto" w:fill="auto"/>
                        <w:bidi w:val="0"/>
                        <w:spacing w:before="0" w:line="312" w:lineRule="exact"/>
                        <w:ind w:right="0" w:hanging="360"/>
                        <w:jc w:val="both"/>
                      </w:pPr>
                      <w:r>
                        <w:rPr>
                          <w:color w:val="000000"/>
                          <w:spacing w:val="0"/>
                          <w:w w:val="100"/>
                          <w:position w:val="0"/>
                          <w:sz w:val="24"/>
                          <w:szCs w:val="24"/>
                        </w:rPr>
                        <w:t>・</w:t>
                      </w:r>
                      <w:r>
                        <w:rPr>
                          <w:color w:val="000000"/>
                          <w:spacing w:val="0"/>
                          <w:w w:val="100"/>
                          <w:position w:val="0"/>
                          <w:sz w:val="24"/>
                          <w:szCs w:val="24"/>
                        </w:rPr>
                        <w:t>对减值评估中采用的收入增长率、毛利 率、折现率等经营和财务假设执行敏感 性分析，考虑这些参数和假设在合理变 动时，对减值测试结果的潜在影响；</w:t>
                      </w:r>
                    </w:p>
                    <w:p>
                      <w:pPr>
                        <w:pStyle w:val="Style72"/>
                        <w:keepNext w:val="0"/>
                        <w:keepLines w:val="0"/>
                        <w:widowControl w:val="0"/>
                        <w:numPr>
                          <w:ilvl w:val="0"/>
                          <w:numId w:val="17"/>
                        </w:numPr>
                        <w:shd w:val="clear" w:color="auto" w:fill="auto"/>
                        <w:tabs>
                          <w:tab w:pos="720" w:val="left"/>
                        </w:tabs>
                        <w:bidi w:val="0"/>
                        <w:spacing w:before="0" w:line="298" w:lineRule="exact"/>
                        <w:ind w:right="0" w:hanging="360"/>
                        <w:jc w:val="both"/>
                      </w:pPr>
                      <w:bookmarkStart w:id="755" w:name="bookmark755"/>
                      <w:bookmarkEnd w:id="755"/>
                      <w:r>
                        <w:rPr>
                          <w:color w:val="000000"/>
                          <w:spacing w:val="0"/>
                          <w:w w:val="100"/>
                          <w:position w:val="0"/>
                          <w:sz w:val="24"/>
                          <w:szCs w:val="24"/>
                        </w:rPr>
                        <w:t>在内部估值专家协助下，验证管理层公 允价值评估的合理性；</w:t>
                      </w:r>
                    </w:p>
                    <w:p>
                      <w:pPr>
                        <w:pStyle w:val="Style72"/>
                        <w:keepNext w:val="0"/>
                        <w:keepLines w:val="0"/>
                        <w:widowControl w:val="0"/>
                        <w:numPr>
                          <w:ilvl w:val="0"/>
                          <w:numId w:val="17"/>
                        </w:numPr>
                        <w:shd w:val="clear" w:color="auto" w:fill="auto"/>
                        <w:tabs>
                          <w:tab w:pos="720" w:val="left"/>
                        </w:tabs>
                        <w:bidi w:val="0"/>
                        <w:spacing w:before="0" w:line="331" w:lineRule="exact"/>
                        <w:ind w:right="0" w:hanging="360"/>
                        <w:jc w:val="both"/>
                      </w:pPr>
                      <w:bookmarkStart w:id="756" w:name="bookmark756"/>
                      <w:bookmarkEnd w:id="756"/>
                      <w:r>
                        <w:rPr>
                          <w:color w:val="000000"/>
                          <w:spacing w:val="0"/>
                          <w:w w:val="100"/>
                          <w:position w:val="0"/>
                          <w:sz w:val="24"/>
                          <w:szCs w:val="24"/>
                        </w:rPr>
                        <w:t>对未来现金流量现值和公允价值减去 处置费用后的净额执行了重新计算。</w:t>
                      </w:r>
                    </w:p>
                  </w:txbxContent>
                </v:textbox>
                <w10:wrap anchorx="page"/>
              </v:shape>
            </w:pict>
          </mc:Fallback>
        </mc:AlternateContent>
      </w:r>
    </w:p>
    <w:p>
      <w:pPr>
        <w:widowControl w:val="0"/>
        <w:spacing w:after="279" w:line="1" w:lineRule="exact"/>
      </w:pPr>
    </w:p>
    <w:p>
      <w:pPr>
        <w:pStyle w:val="Style26"/>
        <w:keepNext w:val="0"/>
        <w:keepLines w:val="0"/>
        <w:widowControl w:val="0"/>
        <w:shd w:val="clear" w:color="auto" w:fill="auto"/>
        <w:bidi w:val="0"/>
        <w:spacing w:before="0" w:after="0" w:line="240" w:lineRule="auto"/>
        <w:ind w:left="581" w:right="0" w:firstLine="0"/>
        <w:jc w:val="left"/>
        <w:rPr>
          <w:sz w:val="24"/>
          <w:szCs w:val="24"/>
        </w:rPr>
      </w:pPr>
      <w:r>
        <w:rPr>
          <w:b/>
          <w:bCs/>
          <w:color w:val="000000"/>
          <w:spacing w:val="0"/>
          <w:w w:val="100"/>
          <w:position w:val="0"/>
          <w:sz w:val="24"/>
          <w:szCs w:val="24"/>
        </w:rPr>
        <w:t>四、关键审计事项</w:t>
      </w:r>
      <w:r>
        <w:rPr>
          <w:rFonts w:ascii="Georgia" w:eastAsia="Georgia" w:hAnsi="Georgia" w:cs="Georgia"/>
          <w:b/>
          <w:bCs/>
          <w:color w:val="000000"/>
          <w:spacing w:val="0"/>
          <w:w w:val="100"/>
          <w:position w:val="0"/>
          <w:sz w:val="24"/>
          <w:szCs w:val="24"/>
        </w:rPr>
        <w:t>（</w:t>
      </w:r>
      <w:r>
        <w:rPr>
          <w:b/>
          <w:bCs/>
          <w:color w:val="000000"/>
          <w:spacing w:val="0"/>
          <w:w w:val="100"/>
          <w:position w:val="0"/>
          <w:sz w:val="24"/>
          <w:szCs w:val="24"/>
        </w:rPr>
        <w:t>续</w:t>
      </w:r>
      <w:r>
        <w:rPr>
          <w:rFonts w:ascii="Georgia" w:eastAsia="Georgia" w:hAnsi="Georgia" w:cs="Georgia"/>
          <w:b/>
          <w:bCs/>
          <w:color w:val="000000"/>
          <w:spacing w:val="0"/>
          <w:w w:val="100"/>
          <w:position w:val="0"/>
          <w:sz w:val="24"/>
          <w:szCs w:val="24"/>
        </w:rPr>
        <w:t>）</w:t>
      </w:r>
    </w:p>
    <w:tbl>
      <w:tblPr>
        <w:tblOverlap w:val="never"/>
        <w:jc w:val="center"/>
        <w:tblLayout w:type="fixed"/>
      </w:tblPr>
      <w:tblGrid>
        <w:gridCol w:w="4114"/>
        <w:gridCol w:w="4973"/>
      </w:tblGrid>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关键审计事项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我们在审计中如何应对关键审计事项</w:t>
            </w:r>
          </w:p>
        </w:tc>
      </w:tr>
      <w:tr>
        <w:trPr>
          <w:trHeight w:val="941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tabs>
                <w:tab w:pos="1008" w:val="left"/>
              </w:tabs>
              <w:bidi w:val="0"/>
              <w:spacing w:before="0" w:after="340" w:line="312" w:lineRule="exact"/>
              <w:ind w:left="0" w:right="0" w:firstLine="0"/>
              <w:jc w:val="both"/>
              <w:rPr>
                <w:sz w:val="26"/>
                <w:szCs w:val="26"/>
              </w:rPr>
            </w:pPr>
            <w:r>
              <w:rPr>
                <w:rFonts w:ascii="Georgia" w:eastAsia="Georgia" w:hAnsi="Georgia" w:cs="Georgia"/>
                <w:color w:val="000000"/>
                <w:spacing w:val="0"/>
                <w:w w:val="100"/>
                <w:position w:val="0"/>
                <w:sz w:val="24"/>
                <w:szCs w:val="24"/>
              </w:rPr>
              <w:t>（</w:t>
            </w:r>
            <w:r>
              <w:rPr>
                <w:rFonts w:ascii="SimSun" w:eastAsia="SimSun" w:hAnsi="SimSun" w:cs="SimSun"/>
                <w:color w:val="000000"/>
                <w:spacing w:val="0"/>
                <w:w w:val="100"/>
                <w:position w:val="0"/>
                <w:sz w:val="24"/>
                <w:szCs w:val="24"/>
              </w:rPr>
              <w:t>一</w:t>
            </w:r>
            <w:r>
              <w:rPr>
                <w:rFonts w:ascii="SimSun" w:eastAsia="SimSun" w:hAnsi="SimSun" w:cs="SimSun"/>
                <w:color w:val="000000"/>
                <w:spacing w:val="0"/>
                <w:w w:val="100"/>
                <w:position w:val="0"/>
                <w:sz w:val="26"/>
                <w:szCs w:val="26"/>
              </w:rPr>
              <w:t>）</w:t>
            </w:r>
            <w:r>
              <w:rPr>
                <w:rFonts w:ascii="Georgia" w:eastAsia="Georgia" w:hAnsi="Georgia" w:cs="Georgia"/>
                <w:color w:val="000000"/>
                <w:spacing w:val="0"/>
                <w:w w:val="100"/>
                <w:position w:val="0"/>
                <w:sz w:val="24"/>
                <w:szCs w:val="24"/>
              </w:rPr>
              <w:tab/>
            </w:r>
            <w:r>
              <w:rPr>
                <w:rFonts w:ascii="SimSun" w:eastAsia="SimSun" w:hAnsi="SimSun" w:cs="SimSun"/>
                <w:color w:val="000000"/>
                <w:spacing w:val="0"/>
                <w:w w:val="100"/>
                <w:position w:val="0"/>
                <w:sz w:val="24"/>
                <w:szCs w:val="24"/>
              </w:rPr>
              <w:t>长期资产减值评估</w:t>
            </w:r>
            <w:r>
              <w:rPr>
                <w:rFonts w:ascii="Georgia" w:eastAsia="Georgia" w:hAnsi="Georgia" w:cs="Georgia"/>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6"/>
                <w:szCs w:val="26"/>
              </w:rPr>
              <w:t>）</w:t>
            </w:r>
          </w:p>
          <w:p>
            <w:pPr>
              <w:pStyle w:val="Style29"/>
              <w:keepNext w:val="0"/>
              <w:keepLines w:val="0"/>
              <w:widowControl w:val="0"/>
              <w:shd w:val="clear" w:color="auto" w:fill="auto"/>
              <w:bidi w:val="0"/>
              <w:spacing w:before="0" w:after="340" w:line="312" w:lineRule="exact"/>
              <w:ind w:left="0" w:right="0" w:firstLine="0"/>
              <w:jc w:val="both"/>
              <w:rPr>
                <w:sz w:val="24"/>
                <w:szCs w:val="24"/>
              </w:rPr>
            </w:pPr>
            <w:r>
              <w:rPr>
                <w:rFonts w:ascii="SimSun" w:eastAsia="SimSun" w:hAnsi="SimSun" w:cs="SimSun"/>
                <w:color w:val="000000"/>
                <w:spacing w:val="0"/>
                <w:w w:val="100"/>
                <w:position w:val="0"/>
                <w:sz w:val="24"/>
                <w:szCs w:val="24"/>
              </w:rPr>
              <w:t>管理层于年度终了对商誉进行减值测 试，根据包含商誉的资产组或资产组组 合的可收回金额低于其账面价值的部 分，确认相应的商誉减值准备，其中可 收回金额根据资产组或资产组组合的公 允价值减去处置费用后的净额与资产组 或资产组组合预计未来现金流量的现值 两者之间较高者确定。</w:t>
            </w:r>
          </w:p>
          <w:p>
            <w:pPr>
              <w:pStyle w:val="Style29"/>
              <w:keepNext w:val="0"/>
              <w:keepLines w:val="0"/>
              <w:widowControl w:val="0"/>
              <w:shd w:val="clear" w:color="auto" w:fill="auto"/>
              <w:bidi w:val="0"/>
              <w:spacing w:before="0" w:after="340" w:line="314" w:lineRule="exact"/>
              <w:ind w:left="0" w:right="0" w:firstLine="0"/>
              <w:jc w:val="both"/>
              <w:rPr>
                <w:sz w:val="24"/>
                <w:szCs w:val="24"/>
              </w:rPr>
            </w:pPr>
            <w:r>
              <w:rPr>
                <w:rFonts w:ascii="SimSun" w:eastAsia="SimSun" w:hAnsi="SimSun" w:cs="SimSun"/>
                <w:color w:val="000000"/>
                <w:spacing w:val="0"/>
                <w:w w:val="100"/>
                <w:position w:val="0"/>
                <w:sz w:val="24"/>
                <w:szCs w:val="24"/>
              </w:rPr>
              <w:t>管理层采用预计未来现金流量现值的 方法确定相应资产组可收回金额，在编 制未来现金流量现值时所采用的关键 假设包括：</w:t>
            </w:r>
          </w:p>
          <w:p>
            <w:pPr>
              <w:pStyle w:val="Style29"/>
              <w:keepNext w:val="0"/>
              <w:keepLines w:val="0"/>
              <w:widowControl w:val="0"/>
              <w:shd w:val="clear" w:color="auto" w:fill="auto"/>
              <w:bidi w:val="0"/>
              <w:spacing w:before="0" w:after="40" w:line="312" w:lineRule="exact"/>
              <w:ind w:left="0" w:right="0" w:firstLine="280"/>
              <w:jc w:val="both"/>
              <w:rPr>
                <w:sz w:val="24"/>
                <w:szCs w:val="24"/>
              </w:rPr>
            </w:pPr>
            <w:r>
              <w:rPr>
                <w:rFonts w:ascii="Georgia" w:eastAsia="Georgia" w:hAnsi="Georgia" w:cs="Georgia"/>
                <w:color w:val="000000"/>
                <w:spacing w:val="0"/>
                <w:w w:val="100"/>
                <w:position w:val="0"/>
                <w:sz w:val="24"/>
                <w:szCs w:val="24"/>
              </w:rPr>
              <w:t>-</w:t>
            </w:r>
            <w:r>
              <w:rPr>
                <w:rFonts w:ascii="SimSun" w:eastAsia="SimSun" w:hAnsi="SimSun" w:cs="SimSun"/>
                <w:color w:val="000000"/>
                <w:spacing w:val="0"/>
                <w:w w:val="100"/>
                <w:position w:val="0"/>
                <w:sz w:val="24"/>
                <w:szCs w:val="24"/>
              </w:rPr>
              <w:t>收入增长率</w:t>
            </w:r>
          </w:p>
          <w:p>
            <w:pPr>
              <w:pStyle w:val="Style29"/>
              <w:keepNext w:val="0"/>
              <w:keepLines w:val="0"/>
              <w:widowControl w:val="0"/>
              <w:shd w:val="clear" w:color="auto" w:fill="auto"/>
              <w:bidi w:val="0"/>
              <w:spacing w:before="0" w:after="40" w:line="312" w:lineRule="exact"/>
              <w:ind w:left="0" w:right="0" w:firstLine="280"/>
              <w:jc w:val="both"/>
              <w:rPr>
                <w:sz w:val="24"/>
                <w:szCs w:val="24"/>
              </w:rPr>
            </w:pPr>
            <w:r>
              <w:rPr>
                <w:rFonts w:ascii="Georgia" w:eastAsia="Georgia" w:hAnsi="Georgia" w:cs="Georgia"/>
                <w:color w:val="000000"/>
                <w:spacing w:val="0"/>
                <w:w w:val="100"/>
                <w:position w:val="0"/>
                <w:sz w:val="24"/>
                <w:szCs w:val="24"/>
              </w:rPr>
              <w:t>-</w:t>
            </w:r>
            <w:r>
              <w:rPr>
                <w:rFonts w:ascii="SimSun" w:eastAsia="SimSun" w:hAnsi="SimSun" w:cs="SimSun"/>
                <w:color w:val="000000"/>
                <w:spacing w:val="0"/>
                <w:w w:val="100"/>
                <w:position w:val="0"/>
                <w:sz w:val="24"/>
                <w:szCs w:val="24"/>
              </w:rPr>
              <w:t>预测期及稳定阶段的毛利率</w:t>
            </w:r>
          </w:p>
          <w:p>
            <w:pPr>
              <w:pStyle w:val="Style29"/>
              <w:keepNext w:val="0"/>
              <w:keepLines w:val="0"/>
              <w:widowControl w:val="0"/>
              <w:shd w:val="clear" w:color="auto" w:fill="auto"/>
              <w:bidi w:val="0"/>
              <w:spacing w:before="0" w:after="40" w:line="312" w:lineRule="exact"/>
              <w:ind w:left="0" w:right="0" w:firstLine="280"/>
              <w:jc w:val="both"/>
              <w:rPr>
                <w:sz w:val="24"/>
                <w:szCs w:val="24"/>
              </w:rPr>
            </w:pPr>
            <w:r>
              <w:rPr>
                <w:rFonts w:ascii="Georgia" w:eastAsia="Georgia" w:hAnsi="Georgia" w:cs="Georgia"/>
                <w:color w:val="000000"/>
                <w:spacing w:val="0"/>
                <w:w w:val="100"/>
                <w:position w:val="0"/>
                <w:sz w:val="24"/>
                <w:szCs w:val="24"/>
              </w:rPr>
              <w:t>-</w:t>
            </w:r>
            <w:r>
              <w:rPr>
                <w:rFonts w:ascii="SimSun" w:eastAsia="SimSun" w:hAnsi="SimSun" w:cs="SimSun"/>
                <w:color w:val="000000"/>
                <w:spacing w:val="0"/>
                <w:w w:val="100"/>
                <w:position w:val="0"/>
                <w:sz w:val="24"/>
                <w:szCs w:val="24"/>
              </w:rPr>
              <w:t>永续增长率</w:t>
            </w:r>
          </w:p>
          <w:p>
            <w:pPr>
              <w:pStyle w:val="Style29"/>
              <w:keepNext w:val="0"/>
              <w:keepLines w:val="0"/>
              <w:widowControl w:val="0"/>
              <w:shd w:val="clear" w:color="auto" w:fill="auto"/>
              <w:bidi w:val="0"/>
              <w:spacing w:before="0" w:after="640" w:line="312" w:lineRule="exact"/>
              <w:ind w:left="0" w:right="0" w:firstLine="280"/>
              <w:jc w:val="both"/>
              <w:rPr>
                <w:sz w:val="24"/>
                <w:szCs w:val="24"/>
              </w:rPr>
            </w:pPr>
            <w:r>
              <w:rPr>
                <w:rFonts w:ascii="Georgia" w:eastAsia="Georgia" w:hAnsi="Georgia" w:cs="Georgia"/>
                <w:color w:val="000000"/>
                <w:spacing w:val="0"/>
                <w:w w:val="100"/>
                <w:position w:val="0"/>
                <w:sz w:val="24"/>
                <w:szCs w:val="24"/>
              </w:rPr>
              <w:t>-</w:t>
            </w:r>
            <w:r>
              <w:rPr>
                <w:rFonts w:ascii="SimSun" w:eastAsia="SimSun" w:hAnsi="SimSun" w:cs="SimSun"/>
                <w:color w:val="000000"/>
                <w:spacing w:val="0"/>
                <w:w w:val="100"/>
                <w:position w:val="0"/>
                <w:sz w:val="24"/>
                <w:szCs w:val="24"/>
              </w:rPr>
              <w:t>税前折现率</w:t>
            </w:r>
          </w:p>
          <w:p>
            <w:pPr>
              <w:pStyle w:val="Style29"/>
              <w:keepNext w:val="0"/>
              <w:keepLines w:val="0"/>
              <w:widowControl w:val="0"/>
              <w:shd w:val="clear" w:color="auto" w:fill="auto"/>
              <w:bidi w:val="0"/>
              <w:spacing w:before="0" w:after="340" w:line="311" w:lineRule="exact"/>
              <w:ind w:left="0" w:right="0" w:firstLine="0"/>
              <w:jc w:val="both"/>
              <w:rPr>
                <w:sz w:val="24"/>
                <w:szCs w:val="24"/>
              </w:rPr>
            </w:pPr>
            <w:r>
              <w:rPr>
                <w:rFonts w:ascii="SimSun" w:eastAsia="SimSun" w:hAnsi="SimSun" w:cs="SimSun"/>
                <w:color w:val="000000"/>
                <w:spacing w:val="0"/>
                <w:w w:val="100"/>
                <w:position w:val="0"/>
                <w:sz w:val="24"/>
                <w:szCs w:val="24"/>
              </w:rPr>
              <w:t>由于上述长期资产金额重大，且长期资 产减值评估涉及对所运用的关键假设 做出重大的判断，因此长期资产减值评 估是我们在审计中重点关注的事项，我 们将长期资产减值评估识别为关键审 计事项。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340" w:line="313" w:lineRule="exact"/>
              <w:ind w:left="0" w:right="0" w:firstLine="0"/>
              <w:jc w:val="left"/>
              <w:rPr>
                <w:sz w:val="24"/>
                <w:szCs w:val="24"/>
              </w:rPr>
            </w:pPr>
            <w:r>
              <w:rPr>
                <w:rFonts w:ascii="SimSun" w:eastAsia="SimSun" w:hAnsi="SimSun" w:cs="SimSun"/>
                <w:color w:val="000000"/>
                <w:spacing w:val="0"/>
                <w:w w:val="100"/>
                <w:position w:val="0"/>
                <w:sz w:val="24"/>
                <w:szCs w:val="24"/>
              </w:rPr>
              <w:t>我们对商誉减值评估的审计程序包括：</w:t>
            </w:r>
          </w:p>
          <w:p>
            <w:pPr>
              <w:pStyle w:val="Style29"/>
              <w:keepNext w:val="0"/>
              <w:keepLines w:val="0"/>
              <w:widowControl w:val="0"/>
              <w:shd w:val="clear" w:color="auto" w:fill="auto"/>
              <w:bidi w:val="0"/>
              <w:spacing w:before="0" w:after="340" w:line="313"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了解管理层关于商誉减值准备相关内部 控制和评估流程，通过考虑估计不确定性 的程度和其他固有风险因素的水平如其 复杂性、主观性、变化和对管理层偏向的 敏感度，评估了重大错报的固有风险，并 测试了关键控制执行的有效性；</w:t>
            </w:r>
          </w:p>
          <w:p>
            <w:pPr>
              <w:pStyle w:val="Style29"/>
              <w:keepNext w:val="0"/>
              <w:keepLines w:val="0"/>
              <w:widowControl w:val="0"/>
              <w:shd w:val="clear" w:color="auto" w:fill="auto"/>
              <w:bidi w:val="0"/>
              <w:spacing w:before="0" w:after="340" w:line="293"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评估商誉是否按照合理的方法分摊至相 关资产组或资产组组合；</w:t>
            </w:r>
          </w:p>
          <w:p>
            <w:pPr>
              <w:pStyle w:val="Style29"/>
              <w:keepNext w:val="0"/>
              <w:keepLines w:val="0"/>
              <w:widowControl w:val="0"/>
              <w:numPr>
                <w:ilvl w:val="0"/>
                <w:numId w:val="19"/>
              </w:numPr>
              <w:shd w:val="clear" w:color="auto" w:fill="auto"/>
              <w:tabs>
                <w:tab w:pos="720" w:val="left"/>
              </w:tabs>
              <w:bidi w:val="0"/>
              <w:spacing w:before="0" w:after="340" w:line="316" w:lineRule="exact"/>
              <w:ind w:left="720" w:right="0" w:hanging="360"/>
              <w:jc w:val="both"/>
              <w:rPr>
                <w:sz w:val="24"/>
                <w:szCs w:val="24"/>
              </w:rPr>
            </w:pPr>
            <w:r>
              <w:rPr>
                <w:rFonts w:ascii="SimSun" w:eastAsia="SimSun" w:hAnsi="SimSun" w:cs="SimSun"/>
                <w:color w:val="000000"/>
                <w:spacing w:val="0"/>
                <w:w w:val="100"/>
                <w:position w:val="0"/>
                <w:sz w:val="24"/>
                <w:szCs w:val="24"/>
              </w:rPr>
              <w:t>将管理层编制的相关商誉所在的资产组 或资产组组合</w:t>
            </w:r>
            <w:r>
              <w:rPr>
                <w:rFonts w:ascii="Georgia" w:eastAsia="Georgia" w:hAnsi="Georgia" w:cs="Georgia"/>
                <w:color w:val="000000"/>
                <w:spacing w:val="0"/>
                <w:w w:val="100"/>
                <w:position w:val="0"/>
                <w:sz w:val="24"/>
                <w:szCs w:val="24"/>
              </w:rPr>
              <w:t>2020</w:t>
            </w:r>
            <w:r>
              <w:rPr>
                <w:rFonts w:ascii="SimSun" w:eastAsia="SimSun" w:hAnsi="SimSun" w:cs="SimSun"/>
                <w:color w:val="000000"/>
                <w:spacing w:val="0"/>
                <w:w w:val="100"/>
                <w:position w:val="0"/>
                <w:sz w:val="24"/>
                <w:szCs w:val="24"/>
              </w:rPr>
              <w:t xml:space="preserve">年度的盈利预测与 </w:t>
            </w:r>
            <w:r>
              <w:rPr>
                <w:rFonts w:ascii="Georgia" w:eastAsia="Georgia" w:hAnsi="Georgia" w:cs="Georgia"/>
                <w:color w:val="000000"/>
                <w:spacing w:val="0"/>
                <w:w w:val="100"/>
                <w:position w:val="0"/>
                <w:sz w:val="24"/>
                <w:szCs w:val="24"/>
              </w:rPr>
              <w:t>2021</w:t>
            </w:r>
            <w:r>
              <w:rPr>
                <w:rFonts w:ascii="SimSun" w:eastAsia="SimSun" w:hAnsi="SimSun" w:cs="SimSun"/>
                <w:color w:val="000000"/>
                <w:spacing w:val="0"/>
                <w:w w:val="100"/>
                <w:position w:val="0"/>
                <w:sz w:val="24"/>
                <w:szCs w:val="24"/>
              </w:rPr>
              <w:t>年度实际运营结果进行比较，以评 价管理层对未来现金流量的预测编制是 否存在偏向性；</w:t>
            </w:r>
          </w:p>
          <w:p>
            <w:pPr>
              <w:pStyle w:val="Style29"/>
              <w:keepNext w:val="0"/>
              <w:keepLines w:val="0"/>
              <w:widowControl w:val="0"/>
              <w:numPr>
                <w:ilvl w:val="0"/>
                <w:numId w:val="19"/>
              </w:numPr>
              <w:shd w:val="clear" w:color="auto" w:fill="auto"/>
              <w:tabs>
                <w:tab w:pos="720" w:val="left"/>
              </w:tabs>
              <w:bidi w:val="0"/>
              <w:spacing w:before="0" w:after="340" w:line="310" w:lineRule="exact"/>
              <w:ind w:left="720" w:right="0" w:hanging="360"/>
              <w:jc w:val="both"/>
              <w:rPr>
                <w:sz w:val="24"/>
                <w:szCs w:val="24"/>
              </w:rPr>
            </w:pPr>
            <w:r>
              <w:rPr>
                <w:rFonts w:ascii="SimSun" w:eastAsia="SimSun" w:hAnsi="SimSun" w:cs="SimSun"/>
                <w:color w:val="000000"/>
                <w:spacing w:val="0"/>
                <w:w w:val="100"/>
                <w:position w:val="0"/>
                <w:sz w:val="24"/>
                <w:szCs w:val="24"/>
              </w:rPr>
              <w:t>评估了未来现金流量现值计算中使用的 预测期的收入增长率、毛利率以及稳定阶 段的毛利率，将其与过去若干年的历史收 入增长率和以前年度的实际毛利率进行 比较分析，并在评估中考虑市场趋势；</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581" w:right="0" w:firstLine="0"/>
        <w:jc w:val="left"/>
        <w:rPr>
          <w:sz w:val="24"/>
          <w:szCs w:val="24"/>
        </w:rPr>
      </w:pPr>
      <w:r>
        <w:rPr>
          <w:b/>
          <w:bCs/>
          <w:color w:val="000000"/>
          <w:spacing w:val="0"/>
          <w:w w:val="100"/>
          <w:position w:val="0"/>
          <w:sz w:val="24"/>
          <w:szCs w:val="24"/>
        </w:rPr>
        <w:t>四、关键审计事项</w:t>
      </w:r>
      <w:r>
        <w:rPr>
          <w:rFonts w:ascii="Georgia" w:eastAsia="Georgia" w:hAnsi="Georgia" w:cs="Georgia"/>
          <w:b/>
          <w:bCs/>
          <w:color w:val="000000"/>
          <w:spacing w:val="0"/>
          <w:w w:val="100"/>
          <w:position w:val="0"/>
          <w:sz w:val="24"/>
          <w:szCs w:val="24"/>
        </w:rPr>
        <w:t>（</w:t>
      </w:r>
      <w:r>
        <w:rPr>
          <w:b/>
          <w:bCs/>
          <w:color w:val="000000"/>
          <w:spacing w:val="0"/>
          <w:w w:val="100"/>
          <w:position w:val="0"/>
          <w:sz w:val="24"/>
          <w:szCs w:val="24"/>
        </w:rPr>
        <w:t>续</w:t>
      </w:r>
      <w:r>
        <w:rPr>
          <w:rFonts w:ascii="Georgia" w:eastAsia="Georgia" w:hAnsi="Georgia" w:cs="Georgia"/>
          <w:b/>
          <w:bCs/>
          <w:color w:val="000000"/>
          <w:spacing w:val="0"/>
          <w:w w:val="100"/>
          <w:position w:val="0"/>
          <w:sz w:val="24"/>
          <w:szCs w:val="24"/>
        </w:rPr>
        <w:t>）</w:t>
      </w:r>
    </w:p>
    <w:tbl>
      <w:tblPr>
        <w:tblOverlap w:val="never"/>
        <w:jc w:val="center"/>
        <w:tblLayout w:type="fixed"/>
      </w:tblPr>
      <w:tblGrid>
        <w:gridCol w:w="4114"/>
        <w:gridCol w:w="4973"/>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关键审计事项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我们在审计中如何应对关键审计事项</w:t>
            </w:r>
          </w:p>
        </w:tc>
      </w:tr>
      <w:tr>
        <w:trPr>
          <w:trHeight w:val="734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340" w:line="311"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基于对苏宁易购业务和所处行业的了解， 在内部估值专家的协助下，评估了未来现 金流量现值计算中使用的折现率和永续 增长率的合理性，其中对于折现率执行了 验证性分析，对于永续增长率将其与中国 消费者物价指数以及中国长期经济发展 指标等公开市场数据进行了比较；</w:t>
            </w:r>
          </w:p>
          <w:p>
            <w:pPr>
              <w:pStyle w:val="Style29"/>
              <w:keepNext w:val="0"/>
              <w:keepLines w:val="0"/>
              <w:widowControl w:val="0"/>
              <w:shd w:val="clear" w:color="auto" w:fill="auto"/>
              <w:bidi w:val="0"/>
              <w:spacing w:before="0" w:after="340" w:line="312"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对减值评估中采用的收入增长率、毛利 率、折现率等经营和财务假设执行敏感性 分析，考虑这些参数和假设在合理变动 时，对减值测试结果的潜在影响；</w:t>
            </w:r>
          </w:p>
          <w:p>
            <w:pPr>
              <w:pStyle w:val="Style29"/>
              <w:keepNext w:val="0"/>
              <w:keepLines w:val="0"/>
              <w:widowControl w:val="0"/>
              <w:shd w:val="clear" w:color="auto" w:fill="auto"/>
              <w:bidi w:val="0"/>
              <w:spacing w:before="0" w:after="340" w:line="298"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在内部估值专家协助下，验证管理层公允 价值评估的合理性；</w:t>
            </w:r>
          </w:p>
          <w:p>
            <w:pPr>
              <w:pStyle w:val="Style29"/>
              <w:keepNext w:val="0"/>
              <w:keepLines w:val="0"/>
              <w:widowControl w:val="0"/>
              <w:shd w:val="clear" w:color="auto" w:fill="auto"/>
              <w:bidi w:val="0"/>
              <w:spacing w:before="0" w:after="340" w:line="312"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对未来现金流量现值和公允价值减去处 置费用后的净额执行了重新计算。</w:t>
            </w:r>
          </w:p>
          <w:p>
            <w:pPr>
              <w:pStyle w:val="Style29"/>
              <w:keepNext w:val="0"/>
              <w:keepLines w:val="0"/>
              <w:widowControl w:val="0"/>
              <w:shd w:val="clear" w:color="auto" w:fill="auto"/>
              <w:bidi w:val="0"/>
              <w:spacing w:before="0" w:after="340" w:line="315" w:lineRule="exact"/>
              <w:ind w:left="0" w:right="0" w:firstLine="0"/>
              <w:jc w:val="both"/>
              <w:rPr>
                <w:sz w:val="24"/>
                <w:szCs w:val="24"/>
              </w:rPr>
            </w:pPr>
            <w:r>
              <w:rPr>
                <w:rFonts w:ascii="SimSun" w:eastAsia="SimSun" w:hAnsi="SimSun" w:cs="SimSun"/>
                <w:color w:val="000000"/>
                <w:spacing w:val="0"/>
                <w:w w:val="100"/>
                <w:position w:val="0"/>
                <w:sz w:val="24"/>
                <w:szCs w:val="24"/>
              </w:rPr>
              <w:t>基于上述程序结果，我们发现管理层在对包括使 用权资产、无形资产、商誉、在建工程、长期待 摊费用、固定资产和投资性房地产在内的长期资 产减值评估中所采用的关键假设是可接受的。</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581" w:right="0" w:firstLine="0"/>
        <w:jc w:val="left"/>
        <w:rPr>
          <w:sz w:val="24"/>
          <w:szCs w:val="24"/>
        </w:rPr>
      </w:pPr>
      <w:r>
        <w:rPr>
          <w:b/>
          <w:bCs/>
          <w:color w:val="000000"/>
          <w:spacing w:val="0"/>
          <w:w w:val="100"/>
          <w:position w:val="0"/>
          <w:sz w:val="24"/>
          <w:szCs w:val="24"/>
        </w:rPr>
        <w:t>四、关键审计事项</w:t>
      </w:r>
      <w:r>
        <w:rPr>
          <w:rFonts w:ascii="Georgia" w:eastAsia="Georgia" w:hAnsi="Georgia" w:cs="Georgia"/>
          <w:b/>
          <w:bCs/>
          <w:color w:val="000000"/>
          <w:spacing w:val="0"/>
          <w:w w:val="100"/>
          <w:position w:val="0"/>
          <w:sz w:val="24"/>
          <w:szCs w:val="24"/>
        </w:rPr>
        <w:t>（</w:t>
      </w:r>
      <w:r>
        <w:rPr>
          <w:b/>
          <w:bCs/>
          <w:color w:val="000000"/>
          <w:spacing w:val="0"/>
          <w:w w:val="100"/>
          <w:position w:val="0"/>
          <w:sz w:val="24"/>
          <w:szCs w:val="24"/>
        </w:rPr>
        <w:t>续</w:t>
      </w:r>
      <w:r>
        <w:rPr>
          <w:rFonts w:ascii="Georgia" w:eastAsia="Georgia" w:hAnsi="Georgia" w:cs="Georgia"/>
          <w:b/>
          <w:bCs/>
          <w:color w:val="000000"/>
          <w:spacing w:val="0"/>
          <w:w w:val="100"/>
          <w:position w:val="0"/>
          <w:sz w:val="24"/>
          <w:szCs w:val="24"/>
        </w:rPr>
        <w:t>）</w:t>
      </w:r>
    </w:p>
    <w:tbl>
      <w:tblPr>
        <w:tblOverlap w:val="never"/>
        <w:jc w:val="center"/>
        <w:tblLayout w:type="fixed"/>
      </w:tblPr>
      <w:tblGrid>
        <w:gridCol w:w="4114"/>
        <w:gridCol w:w="4978"/>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关键审计事项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我们在审计中如何应对关键审计事项</w:t>
            </w:r>
          </w:p>
        </w:tc>
      </w:tr>
      <w:tr>
        <w:trPr>
          <w:trHeight w:val="961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340" w:line="312" w:lineRule="exact"/>
              <w:ind w:left="720" w:right="0" w:hanging="720"/>
              <w:jc w:val="both"/>
              <w:rPr>
                <w:sz w:val="24"/>
                <w:szCs w:val="24"/>
              </w:rPr>
            </w:pPr>
            <w:r>
              <w:rPr>
                <w:rFonts w:ascii="Georgia" w:eastAsia="Georgia" w:hAnsi="Georgia" w:cs="Georgia"/>
                <w:color w:val="000000"/>
                <w:spacing w:val="0"/>
                <w:w w:val="100"/>
                <w:position w:val="0"/>
                <w:sz w:val="24"/>
                <w:szCs w:val="24"/>
              </w:rPr>
              <w:t>（</w:t>
            </w:r>
            <w:r>
              <w:rPr>
                <w:rFonts w:ascii="SimSun" w:eastAsia="SimSun" w:hAnsi="SimSun" w:cs="SimSun"/>
                <w:color w:val="000000"/>
                <w:spacing w:val="0"/>
                <w:w w:val="100"/>
                <w:position w:val="0"/>
                <w:sz w:val="24"/>
                <w:szCs w:val="24"/>
              </w:rPr>
              <w:t>二</w:t>
            </w:r>
            <w:r>
              <w:rPr>
                <w:rFonts w:ascii="SimSun" w:eastAsia="SimSun" w:hAnsi="SimSun" w:cs="SimSun"/>
                <w:color w:val="000000"/>
                <w:spacing w:val="0"/>
                <w:w w:val="100"/>
                <w:position w:val="0"/>
                <w:sz w:val="26"/>
                <w:szCs w:val="26"/>
              </w:rPr>
              <w:t>）</w:t>
            </w:r>
            <w:r>
              <w:rPr>
                <w:rFonts w:ascii="SimSun" w:eastAsia="SimSun" w:hAnsi="SimSun" w:cs="SimSun"/>
                <w:color w:val="000000"/>
                <w:spacing w:val="0"/>
                <w:w w:val="100"/>
                <w:position w:val="0"/>
                <w:sz w:val="24"/>
                <w:szCs w:val="24"/>
              </w:rPr>
              <w:t>与可抵扣亏损相关的递延所得 税资产的确认</w:t>
            </w:r>
          </w:p>
          <w:p>
            <w:pPr>
              <w:pStyle w:val="Style29"/>
              <w:keepNext w:val="0"/>
              <w:keepLines w:val="0"/>
              <w:widowControl w:val="0"/>
              <w:shd w:val="clear" w:color="auto" w:fill="auto"/>
              <w:bidi w:val="0"/>
              <w:spacing w:before="0" w:after="340" w:line="302" w:lineRule="exact"/>
              <w:ind w:left="0" w:right="0" w:firstLine="0"/>
              <w:jc w:val="both"/>
              <w:rPr>
                <w:sz w:val="24"/>
                <w:szCs w:val="24"/>
              </w:rPr>
            </w:pPr>
            <w:r>
              <w:rPr>
                <w:rFonts w:ascii="SimSun" w:eastAsia="SimSun" w:hAnsi="SimSun" w:cs="SimSun"/>
                <w:color w:val="000000"/>
                <w:spacing w:val="0"/>
                <w:w w:val="100"/>
                <w:position w:val="0"/>
                <w:sz w:val="24"/>
                <w:szCs w:val="24"/>
              </w:rPr>
              <w:t>参见财务报表附注二</w:t>
            </w:r>
            <w:r>
              <w:rPr>
                <w:rFonts w:ascii="Georgia" w:eastAsia="Georgia" w:hAnsi="Georgia" w:cs="Georgia"/>
                <w:color w:val="000000"/>
                <w:spacing w:val="0"/>
                <w:w w:val="100"/>
                <w:position w:val="0"/>
                <w:sz w:val="24"/>
                <w:szCs w:val="24"/>
              </w:rPr>
              <w:t>（24）</w:t>
            </w: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6"/>
                <w:szCs w:val="26"/>
              </w:rPr>
              <w:t>（</w:t>
            </w:r>
            <w:r>
              <w:rPr>
                <w:rFonts w:ascii="Georgia" w:eastAsia="Georgia" w:hAnsi="Georgia" w:cs="Georgia"/>
                <w:color w:val="000000"/>
                <w:spacing w:val="0"/>
                <w:w w:val="100"/>
                <w:position w:val="0"/>
                <w:sz w:val="24"/>
                <w:szCs w:val="24"/>
              </w:rPr>
              <w:t>29</w:t>
            </w:r>
            <w:r>
              <w:rPr>
                <w:rFonts w:ascii="SimSun" w:eastAsia="SimSun" w:hAnsi="SimSun" w:cs="SimSun"/>
                <w:color w:val="000000"/>
                <w:spacing w:val="0"/>
                <w:w w:val="100"/>
                <w:position w:val="0"/>
                <w:sz w:val="26"/>
                <w:szCs w:val="26"/>
              </w:rPr>
              <w:t>）</w:t>
            </w:r>
            <w:r>
              <w:rPr>
                <w:rFonts w:ascii="Georgia" w:eastAsia="Georgia" w:hAnsi="Georgia" w:cs="Georgia"/>
                <w:color w:val="000000"/>
                <w:spacing w:val="0"/>
                <w:w w:val="100"/>
                <w:position w:val="0"/>
                <w:sz w:val="24"/>
                <w:szCs w:val="24"/>
              </w:rPr>
              <w:t xml:space="preserve">（b）（v） </w:t>
            </w:r>
            <w:r>
              <w:rPr>
                <w:rFonts w:ascii="SimSun" w:eastAsia="SimSun" w:hAnsi="SimSun" w:cs="SimSun"/>
                <w:color w:val="000000"/>
                <w:spacing w:val="0"/>
                <w:w w:val="100"/>
                <w:position w:val="0"/>
                <w:sz w:val="24"/>
                <w:szCs w:val="24"/>
              </w:rPr>
              <w:t>和附注四</w:t>
            </w:r>
            <w:r>
              <w:rPr>
                <w:rFonts w:ascii="Georgia" w:eastAsia="Georgia" w:hAnsi="Georgia" w:cs="Georgia"/>
                <w:color w:val="000000"/>
                <w:spacing w:val="0"/>
                <w:w w:val="100"/>
                <w:position w:val="0"/>
                <w:sz w:val="24"/>
                <w:szCs w:val="24"/>
              </w:rPr>
              <w:t>（22）</w:t>
            </w:r>
            <w:r>
              <w:rPr>
                <w:rFonts w:ascii="SimSun" w:eastAsia="SimSun" w:hAnsi="SimSun" w:cs="SimSun"/>
                <w:color w:val="000000"/>
                <w:spacing w:val="0"/>
                <w:w w:val="100"/>
                <w:position w:val="0"/>
                <w:sz w:val="24"/>
                <w:szCs w:val="24"/>
              </w:rPr>
              <w:t>。</w:t>
            </w:r>
          </w:p>
          <w:p>
            <w:pPr>
              <w:pStyle w:val="Style29"/>
              <w:keepNext w:val="0"/>
              <w:keepLines w:val="0"/>
              <w:widowControl w:val="0"/>
              <w:shd w:val="clear" w:color="auto" w:fill="auto"/>
              <w:bidi w:val="0"/>
              <w:spacing w:before="0" w:after="340" w:line="311" w:lineRule="exact"/>
              <w:ind w:left="0" w:right="0" w:firstLine="0"/>
              <w:jc w:val="both"/>
              <w:rPr>
                <w:sz w:val="24"/>
                <w:szCs w:val="24"/>
              </w:rPr>
            </w:pPr>
            <w:r>
              <w:rPr>
                <w:rFonts w:ascii="SimSun" w:eastAsia="SimSun" w:hAnsi="SimSun" w:cs="SimSun"/>
                <w:color w:val="000000"/>
                <w:spacing w:val="0"/>
                <w:w w:val="100"/>
                <w:position w:val="0"/>
                <w:sz w:val="24"/>
                <w:szCs w:val="24"/>
              </w:rPr>
              <w:t>苏宁易购于</w:t>
            </w:r>
            <w:r>
              <w:rPr>
                <w:rFonts w:ascii="Georgia" w:eastAsia="Georgia" w:hAnsi="Georgia" w:cs="Georgia"/>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Georgia" w:eastAsia="Georgia" w:hAnsi="Georgia" w:cs="Georgia"/>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Georgia" w:eastAsia="Georgia" w:hAnsi="Georgia" w:cs="Georgia"/>
                <w:color w:val="000000"/>
                <w:spacing w:val="0"/>
                <w:w w:val="100"/>
                <w:position w:val="0"/>
                <w:sz w:val="24"/>
                <w:szCs w:val="24"/>
              </w:rPr>
              <w:t>31</w:t>
            </w:r>
            <w:r>
              <w:rPr>
                <w:rFonts w:ascii="SimSun" w:eastAsia="SimSun" w:hAnsi="SimSun" w:cs="SimSun"/>
                <w:color w:val="000000"/>
                <w:spacing w:val="0"/>
                <w:w w:val="100"/>
                <w:position w:val="0"/>
                <w:sz w:val="24"/>
                <w:szCs w:val="24"/>
              </w:rPr>
              <w:t>日基于可抵 扣税务亏损确认的递延所得税资产金 额约人民币</w:t>
            </w:r>
            <w:r>
              <w:rPr>
                <w:rFonts w:ascii="Georgia" w:eastAsia="Georgia" w:hAnsi="Georgia" w:cs="Georgia"/>
                <w:color w:val="000000"/>
                <w:spacing w:val="0"/>
                <w:w w:val="100"/>
                <w:position w:val="0"/>
                <w:sz w:val="24"/>
                <w:szCs w:val="24"/>
              </w:rPr>
              <w:t>62.4</w:t>
            </w:r>
            <w:r>
              <w:rPr>
                <w:rFonts w:ascii="Georgia" w:eastAsia="Georgia" w:hAnsi="Georgia" w:cs="Georgia"/>
                <w:color w:val="000000"/>
                <w:spacing w:val="0"/>
                <w:w w:val="100"/>
                <w:position w:val="0"/>
                <w:sz w:val="24"/>
                <w:szCs w:val="24"/>
              </w:rPr>
              <w:t>2</w:t>
            </w:r>
            <w:r>
              <w:rPr>
                <w:rFonts w:ascii="SimSun" w:eastAsia="SimSun" w:hAnsi="SimSun" w:cs="SimSun"/>
                <w:color w:val="000000"/>
                <w:spacing w:val="0"/>
                <w:w w:val="100"/>
                <w:position w:val="0"/>
                <w:sz w:val="24"/>
                <w:szCs w:val="24"/>
              </w:rPr>
              <w:t>亿元，管理层认为这 些可抵扣税务亏损很可能通过集团内 相关企业生产经营活动和可预见的企 业重组方案取得的未来应纳税所得额 及以前期间产生的应纳税暂时性差异 在未来期间转回将增加的应纳税所得 额而使用。</w:t>
            </w:r>
          </w:p>
          <w:p>
            <w:pPr>
              <w:pStyle w:val="Style29"/>
              <w:keepNext w:val="0"/>
              <w:keepLines w:val="0"/>
              <w:widowControl w:val="0"/>
              <w:shd w:val="clear" w:color="auto" w:fill="auto"/>
              <w:bidi w:val="0"/>
              <w:spacing w:before="0" w:after="340" w:line="309" w:lineRule="exact"/>
              <w:ind w:left="0" w:right="0" w:firstLine="0"/>
              <w:jc w:val="both"/>
              <w:rPr>
                <w:sz w:val="24"/>
                <w:szCs w:val="24"/>
              </w:rPr>
            </w:pPr>
            <w:r>
              <w:rPr>
                <w:rFonts w:ascii="SimSun" w:eastAsia="SimSun" w:hAnsi="SimSun" w:cs="SimSun"/>
                <w:color w:val="000000"/>
                <w:spacing w:val="0"/>
                <w:w w:val="100"/>
                <w:position w:val="0"/>
                <w:sz w:val="24"/>
                <w:szCs w:val="24"/>
              </w:rPr>
              <w:t>此外，于</w:t>
            </w:r>
            <w:r>
              <w:rPr>
                <w:rFonts w:ascii="Georgia" w:eastAsia="Georgia" w:hAnsi="Georgia" w:cs="Georgia"/>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Georgia" w:eastAsia="Georgia" w:hAnsi="Georgia" w:cs="Georgia"/>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Georgia" w:eastAsia="Georgia" w:hAnsi="Georgia" w:cs="Georgia"/>
                <w:color w:val="000000"/>
                <w:spacing w:val="0"/>
                <w:w w:val="100"/>
                <w:position w:val="0"/>
                <w:sz w:val="24"/>
                <w:szCs w:val="24"/>
              </w:rPr>
              <w:t>31</w:t>
            </w:r>
            <w:r>
              <w:rPr>
                <w:rFonts w:ascii="SimSun" w:eastAsia="SimSun" w:hAnsi="SimSun" w:cs="SimSun"/>
                <w:color w:val="000000"/>
                <w:spacing w:val="0"/>
                <w:w w:val="100"/>
                <w:position w:val="0"/>
                <w:sz w:val="24"/>
                <w:szCs w:val="24"/>
              </w:rPr>
              <w:t>日，苏宁易购并 未就可抵扣亏损约人民币</w:t>
            </w:r>
            <w:r>
              <w:rPr>
                <w:rFonts w:ascii="Georgia" w:eastAsia="Georgia" w:hAnsi="Georgia" w:cs="Georgia"/>
                <w:color w:val="000000"/>
                <w:spacing w:val="0"/>
                <w:w w:val="100"/>
                <w:position w:val="0"/>
                <w:sz w:val="24"/>
                <w:szCs w:val="24"/>
              </w:rPr>
              <w:t>137.90</w:t>
            </w:r>
            <w:r>
              <w:rPr>
                <w:rFonts w:ascii="SimSun" w:eastAsia="SimSun" w:hAnsi="SimSun" w:cs="SimSun"/>
                <w:color w:val="000000"/>
                <w:spacing w:val="0"/>
                <w:w w:val="100"/>
                <w:position w:val="0"/>
                <w:sz w:val="24"/>
                <w:szCs w:val="24"/>
              </w:rPr>
              <w:t>亿元 确认递延所得税资产约人民币</w:t>
            </w:r>
            <w:r>
              <w:rPr>
                <w:rFonts w:ascii="Georgia" w:eastAsia="Georgia" w:hAnsi="Georgia" w:cs="Georgia"/>
                <w:color w:val="000000"/>
                <w:spacing w:val="0"/>
                <w:w w:val="100"/>
                <w:position w:val="0"/>
                <w:sz w:val="24"/>
                <w:szCs w:val="24"/>
              </w:rPr>
              <w:t>31.54</w:t>
            </w:r>
            <w:r>
              <w:rPr>
                <w:rFonts w:ascii="SimSun" w:eastAsia="SimSun" w:hAnsi="SimSun" w:cs="SimSun"/>
                <w:color w:val="000000"/>
                <w:spacing w:val="0"/>
                <w:w w:val="100"/>
                <w:position w:val="0"/>
                <w:sz w:val="24"/>
                <w:szCs w:val="24"/>
              </w:rPr>
              <w:t>亿 元。</w:t>
            </w:r>
          </w:p>
          <w:p>
            <w:pPr>
              <w:pStyle w:val="Style29"/>
              <w:keepNext w:val="0"/>
              <w:keepLines w:val="0"/>
              <w:widowControl w:val="0"/>
              <w:shd w:val="clear" w:color="auto" w:fill="auto"/>
              <w:bidi w:val="0"/>
              <w:spacing w:before="0" w:after="340" w:line="312" w:lineRule="exact"/>
              <w:ind w:left="0" w:right="0" w:firstLine="0"/>
              <w:jc w:val="both"/>
              <w:rPr>
                <w:sz w:val="24"/>
                <w:szCs w:val="24"/>
              </w:rPr>
            </w:pPr>
            <w:r>
              <w:rPr>
                <w:rFonts w:ascii="SimSun" w:eastAsia="SimSun" w:hAnsi="SimSun" w:cs="SimSun"/>
                <w:color w:val="000000"/>
                <w:spacing w:val="0"/>
                <w:w w:val="100"/>
                <w:position w:val="0"/>
                <w:sz w:val="24"/>
                <w:szCs w:val="24"/>
              </w:rPr>
              <w:t>递延所得税资产的确认依赖于管理层 的重大判断，管理层在做出判断时需评 估未来是否可以取得足够的应纳税所 得额，以及未来产生上述应纳税所得额 的可能性。以盈利预测为基础预计未来 应纳税所得额的过程中采用的关键假 设主要包括收入增长率和毛利率。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340" w:line="312" w:lineRule="exact"/>
              <w:ind w:left="0" w:right="0" w:firstLine="0"/>
              <w:jc w:val="both"/>
              <w:rPr>
                <w:sz w:val="24"/>
                <w:szCs w:val="24"/>
              </w:rPr>
            </w:pPr>
            <w:r>
              <w:rPr>
                <w:rFonts w:ascii="SimSun" w:eastAsia="SimSun" w:hAnsi="SimSun" w:cs="SimSun"/>
                <w:color w:val="000000"/>
                <w:spacing w:val="0"/>
                <w:w w:val="100"/>
                <w:position w:val="0"/>
                <w:sz w:val="24"/>
                <w:szCs w:val="24"/>
              </w:rPr>
              <w:t>我们对根据可抵扣亏损确认的递延所得税资产 执行的审计程序包括：</w:t>
            </w:r>
          </w:p>
          <w:p>
            <w:pPr>
              <w:pStyle w:val="Style29"/>
              <w:keepNext w:val="0"/>
              <w:keepLines w:val="0"/>
              <w:widowControl w:val="0"/>
              <w:shd w:val="clear" w:color="auto" w:fill="auto"/>
              <w:bidi w:val="0"/>
              <w:spacing w:before="0" w:after="340" w:line="312"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了解管理层关于递延所得税资产相关内 部控制和评估流程，通过考虑估计不确定 性的程度和其他固有风险因素的水平如 其复杂性、主观性、变化和对管理层偏向 的敏感度，评估了重大错报的固有风险， 并测试了关键控制执行的有效性；</w:t>
            </w:r>
          </w:p>
          <w:p>
            <w:pPr>
              <w:pStyle w:val="Style29"/>
              <w:keepNext w:val="0"/>
              <w:keepLines w:val="0"/>
              <w:widowControl w:val="0"/>
              <w:shd w:val="clear" w:color="auto" w:fill="auto"/>
              <w:bidi w:val="0"/>
              <w:spacing w:before="0" w:after="340" w:line="311"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将上年管理层在对应纳税所得额的预测 结果与本年实际应纳税所得额进行比较， 以考虑管理层所作预测结果的历史准确 性，并评价管理层对包括收入增长率和毛 利率在内的关键假设指标的选择是否有 管理层偏向的迹象；</w:t>
            </w:r>
          </w:p>
          <w:p>
            <w:pPr>
              <w:pStyle w:val="Style29"/>
              <w:keepNext w:val="0"/>
              <w:keepLines w:val="0"/>
              <w:widowControl w:val="0"/>
              <w:shd w:val="clear" w:color="auto" w:fill="auto"/>
              <w:bidi w:val="0"/>
              <w:spacing w:before="0" w:after="340" w:line="308"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通过分析比较预测的收入增长率和毛利 率与苏宁易购集团内相关子公司的历史 收入增长率和毛利率以及行业发展趋势， 对收入增长率和毛利率的合理性进行评 估；</w:t>
            </w:r>
          </w:p>
          <w:p>
            <w:pPr>
              <w:pStyle w:val="Style29"/>
              <w:keepNext w:val="0"/>
              <w:keepLines w:val="0"/>
              <w:widowControl w:val="0"/>
              <w:shd w:val="clear" w:color="auto" w:fill="auto"/>
              <w:bidi w:val="0"/>
              <w:spacing w:before="0" w:after="340" w:line="298"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在内部税务专家的协助下，评估管理层可 预见的企业重组方案的合理性；</w:t>
            </w:r>
          </w:p>
          <w:p>
            <w:pPr>
              <w:pStyle w:val="Style29"/>
              <w:keepNext w:val="0"/>
              <w:keepLines w:val="0"/>
              <w:widowControl w:val="0"/>
              <w:shd w:val="clear" w:color="auto" w:fill="auto"/>
              <w:bidi w:val="0"/>
              <w:spacing w:before="0" w:after="340" w:line="312" w:lineRule="exact"/>
              <w:ind w:left="720" w:right="0" w:hanging="360"/>
              <w:jc w:val="both"/>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对可抵扣亏损确认的递延所得税资产执 行重新计算；</w:t>
            </w:r>
          </w:p>
        </w:tc>
      </w:tr>
    </w:tbl>
    <w:p>
      <w:pPr>
        <w:spacing w:lineRule="exact" w:line="1"/>
        <w:rPr>
          <w:sz w:val="2"/>
          <w:szCs w:val="2"/>
        </w:rPr>
      </w:pPr>
      <w:r>
        <w:br w:type="page"/>
      </w:r>
    </w:p>
    <w:p>
      <w:pPr>
        <w:pStyle w:val="Style26"/>
        <w:keepNext w:val="0"/>
        <w:keepLines w:val="0"/>
        <w:widowControl w:val="0"/>
        <w:shd w:val="clear" w:color="auto" w:fill="auto"/>
        <w:tabs>
          <w:tab w:pos="1522" w:val="left"/>
        </w:tabs>
        <w:bidi w:val="0"/>
        <w:spacing w:before="0" w:after="0" w:line="240" w:lineRule="auto"/>
        <w:ind w:left="581" w:right="0" w:firstLine="0"/>
        <w:jc w:val="left"/>
        <w:rPr>
          <w:sz w:val="24"/>
          <w:szCs w:val="24"/>
        </w:rPr>
      </w:pPr>
      <w:r>
        <w:rPr>
          <w:b/>
          <w:bCs/>
          <w:color w:val="000000"/>
          <w:spacing w:val="0"/>
          <w:w w:val="100"/>
          <w:position w:val="0"/>
          <w:sz w:val="24"/>
          <w:szCs w:val="24"/>
        </w:rPr>
        <w:t>四、</w:t>
        <w:tab/>
        <w:t>关键审计事项</w:t>
      </w:r>
      <w:r>
        <w:rPr>
          <w:rFonts w:ascii="Georgia" w:eastAsia="Georgia" w:hAnsi="Georgia" w:cs="Georgia"/>
          <w:b/>
          <w:bCs/>
          <w:color w:val="000000"/>
          <w:spacing w:val="0"/>
          <w:w w:val="100"/>
          <w:position w:val="0"/>
          <w:sz w:val="24"/>
          <w:szCs w:val="24"/>
        </w:rPr>
        <w:t>（</w:t>
      </w:r>
      <w:r>
        <w:rPr>
          <w:b/>
          <w:bCs/>
          <w:color w:val="000000"/>
          <w:spacing w:val="0"/>
          <w:w w:val="100"/>
          <w:position w:val="0"/>
          <w:sz w:val="24"/>
          <w:szCs w:val="24"/>
        </w:rPr>
        <w:t>续</w:t>
      </w:r>
      <w:r>
        <w:rPr>
          <w:rFonts w:ascii="Georgia" w:eastAsia="Georgia" w:hAnsi="Georgia" w:cs="Georgia"/>
          <w:b/>
          <w:bCs/>
          <w:color w:val="000000"/>
          <w:spacing w:val="0"/>
          <w:w w:val="100"/>
          <w:position w:val="0"/>
          <w:sz w:val="24"/>
          <w:szCs w:val="24"/>
        </w:rPr>
        <w:t>）</w:t>
      </w:r>
    </w:p>
    <w:tbl>
      <w:tblPr>
        <w:tblOverlap w:val="never"/>
        <w:jc w:val="center"/>
        <w:tblLayout w:type="fixed"/>
      </w:tblPr>
      <w:tblGrid>
        <w:gridCol w:w="4114"/>
        <w:gridCol w:w="4978"/>
      </w:tblGrid>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关键审计事项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我们在审计中如何应对关键审计事项</w:t>
            </w:r>
          </w:p>
        </w:tc>
      </w:tr>
      <w:tr>
        <w:trPr>
          <w:trHeight w:val="388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60" w:line="312" w:lineRule="exact"/>
              <w:ind w:left="720" w:right="0" w:hanging="720"/>
              <w:jc w:val="both"/>
              <w:rPr>
                <w:sz w:val="26"/>
                <w:szCs w:val="26"/>
              </w:rPr>
            </w:pPr>
            <w:r>
              <w:rPr>
                <w:rFonts w:ascii="Georgia" w:eastAsia="Georgia" w:hAnsi="Georgia" w:cs="Georgia"/>
                <w:color w:val="000000"/>
                <w:spacing w:val="0"/>
                <w:w w:val="100"/>
                <w:position w:val="0"/>
                <w:sz w:val="24"/>
                <w:szCs w:val="24"/>
              </w:rPr>
              <w:t>（</w:t>
            </w:r>
            <w:r>
              <w:rPr>
                <w:rFonts w:ascii="SimSun" w:eastAsia="SimSun" w:hAnsi="SimSun" w:cs="SimSun"/>
                <w:color w:val="000000"/>
                <w:spacing w:val="0"/>
                <w:w w:val="100"/>
                <w:position w:val="0"/>
                <w:sz w:val="24"/>
                <w:szCs w:val="24"/>
              </w:rPr>
              <w:t>二</w:t>
            </w:r>
            <w:r>
              <w:rPr>
                <w:rFonts w:ascii="SimSun" w:eastAsia="SimSun" w:hAnsi="SimSun" w:cs="SimSun"/>
                <w:color w:val="000000"/>
                <w:spacing w:val="0"/>
                <w:w w:val="100"/>
                <w:position w:val="0"/>
                <w:sz w:val="26"/>
                <w:szCs w:val="26"/>
              </w:rPr>
              <w:t>）</w:t>
            </w:r>
            <w:r>
              <w:rPr>
                <w:rFonts w:ascii="SimSun" w:eastAsia="SimSun" w:hAnsi="SimSun" w:cs="SimSun"/>
                <w:color w:val="000000"/>
                <w:spacing w:val="0"/>
                <w:w w:val="100"/>
                <w:position w:val="0"/>
                <w:sz w:val="24"/>
                <w:szCs w:val="24"/>
              </w:rPr>
              <w:t>与可抵扣亏损相关的递延所得 税资产的确认</w:t>
            </w:r>
            <w:r>
              <w:rPr>
                <w:rFonts w:ascii="Georgia" w:eastAsia="Georgia" w:hAnsi="Georgia" w:cs="Georgia"/>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6"/>
                <w:szCs w:val="26"/>
              </w:rPr>
              <w:t>）</w:t>
            </w:r>
          </w:p>
          <w:p>
            <w:pPr>
              <w:pStyle w:val="Style29"/>
              <w:keepNext w:val="0"/>
              <w:keepLines w:val="0"/>
              <w:widowControl w:val="0"/>
              <w:shd w:val="clear" w:color="auto" w:fill="auto"/>
              <w:bidi w:val="0"/>
              <w:spacing w:before="0" w:after="0" w:line="311" w:lineRule="exact"/>
              <w:ind w:left="0" w:right="0" w:firstLine="0"/>
              <w:jc w:val="both"/>
              <w:rPr>
                <w:sz w:val="24"/>
                <w:szCs w:val="24"/>
              </w:rPr>
            </w:pPr>
            <w:r>
              <w:rPr>
                <w:rFonts w:ascii="SimSun" w:eastAsia="SimSun" w:hAnsi="SimSun" w:cs="SimSun"/>
                <w:color w:val="000000"/>
                <w:spacing w:val="0"/>
                <w:w w:val="100"/>
                <w:position w:val="0"/>
                <w:sz w:val="24"/>
                <w:szCs w:val="24"/>
              </w:rPr>
              <w:t>由于与可抵扣亏损相关的递延所得税 资产的确认对财务报表的重要程度，以 及在预测未来应纳税所得额时涉及管 理层重大判断和估计，因此我们将其识 别为关键审计事项。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300" w:after="340" w:line="310" w:lineRule="exact"/>
              <w:ind w:left="720" w:right="0" w:hanging="360"/>
              <w:jc w:val="left"/>
              <w:rPr>
                <w:sz w:val="24"/>
                <w:szCs w:val="24"/>
              </w:rPr>
            </w:pP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检查苏宁易购在财务报表中有关估计已 确认和未确认与可抵扣亏损相关的递延 所得税资产余额时所作判断的披露。</w:t>
            </w:r>
          </w:p>
          <w:p>
            <w:pPr>
              <w:pStyle w:val="Style29"/>
              <w:keepNext w:val="0"/>
              <w:keepLines w:val="0"/>
              <w:widowControl w:val="0"/>
              <w:shd w:val="clear" w:color="auto" w:fill="auto"/>
              <w:bidi w:val="0"/>
              <w:spacing w:before="0" w:after="0" w:line="314" w:lineRule="exact"/>
              <w:ind w:left="0" w:right="0" w:firstLine="0"/>
              <w:jc w:val="both"/>
              <w:rPr>
                <w:sz w:val="24"/>
                <w:szCs w:val="24"/>
              </w:rPr>
            </w:pPr>
            <w:r>
              <w:rPr>
                <w:rFonts w:ascii="SimSun" w:eastAsia="SimSun" w:hAnsi="SimSun" w:cs="SimSun"/>
                <w:color w:val="000000"/>
                <w:spacing w:val="0"/>
                <w:w w:val="100"/>
                <w:position w:val="0"/>
                <w:sz w:val="24"/>
                <w:szCs w:val="24"/>
              </w:rPr>
              <w:t>基于上述程序结果，我们发现管理层在确认与可 抵扣亏损相关的递延所得税资产中作出的判断 是可接受的。</w:t>
            </w:r>
          </w:p>
        </w:tc>
      </w:tr>
    </w:tbl>
    <w:p>
      <w:pPr>
        <w:sectPr>
          <w:footnotePr>
            <w:pos w:val="pageBottom"/>
            <w:numFmt w:val="decimal"/>
            <w:numStart w:val="1"/>
            <w:numRestart w:val="continuous"/>
            <w15:footnoteColumns w:val="1"/>
          </w:footnotePr>
          <w:pgSz w:w="11900" w:h="16840"/>
          <w:pgMar w:top="3661" w:right="1270" w:bottom="2239" w:left="1538" w:header="0" w:footer="3" w:gutter="0"/>
          <w:cols w:space="720"/>
          <w:noEndnote/>
          <w:rtlGutter w:val="0"/>
          <w:docGrid w:linePitch="360"/>
        </w:sectPr>
      </w:pPr>
    </w:p>
    <w:p>
      <w:pPr>
        <w:pStyle w:val="Style72"/>
        <w:keepNext w:val="0"/>
        <w:keepLines w:val="0"/>
        <w:widowControl w:val="0"/>
        <w:shd w:val="clear" w:color="auto" w:fill="auto"/>
        <w:bidi w:val="0"/>
        <w:spacing w:before="0" w:after="240" w:line="314" w:lineRule="exact"/>
        <w:ind w:left="0" w:right="0" w:firstLine="440"/>
        <w:jc w:val="both"/>
      </w:pPr>
      <w:bookmarkStart w:id="758" w:name="bookmark758"/>
      <w:r>
        <w:rPr>
          <w:b/>
          <w:bCs/>
          <w:color w:val="000000"/>
          <w:spacing w:val="0"/>
          <w:w w:val="100"/>
          <w:position w:val="0"/>
          <w:sz w:val="24"/>
          <w:szCs w:val="24"/>
        </w:rPr>
        <w:t>五</w:t>
      </w:r>
      <w:bookmarkEnd w:id="758"/>
      <w:r>
        <w:rPr>
          <w:b/>
          <w:bCs/>
          <w:color w:val="000000"/>
          <w:spacing w:val="0"/>
          <w:w w:val="100"/>
          <w:position w:val="0"/>
          <w:sz w:val="24"/>
          <w:szCs w:val="24"/>
        </w:rPr>
        <w:t>、其他信息</w:t>
      </w:r>
    </w:p>
    <w:p>
      <w:pPr>
        <w:pStyle w:val="Style72"/>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苏宁易购管理层对其他信息负责。其他信息包括苏宁易购</w:t>
      </w:r>
      <w:r>
        <w:rPr>
          <w:rFonts w:ascii="Georgia" w:eastAsia="Georgia" w:hAnsi="Georgia" w:cs="Georgia"/>
          <w:color w:val="000000"/>
          <w:spacing w:val="0"/>
          <w:w w:val="100"/>
          <w:position w:val="0"/>
          <w:sz w:val="24"/>
          <w:szCs w:val="24"/>
        </w:rPr>
        <w:t>2021</w:t>
      </w:r>
      <w:r>
        <w:rPr>
          <w:color w:val="000000"/>
          <w:spacing w:val="0"/>
          <w:w w:val="100"/>
          <w:position w:val="0"/>
          <w:sz w:val="24"/>
          <w:szCs w:val="24"/>
        </w:rPr>
        <w:t>年年度报告中涵盖的信 息，但不包括财务报表和我们的审计报告。</w:t>
      </w:r>
    </w:p>
    <w:p>
      <w:pPr>
        <w:pStyle w:val="Style72"/>
        <w:keepNext w:val="0"/>
        <w:keepLines w:val="0"/>
        <w:widowControl w:val="0"/>
        <w:shd w:val="clear" w:color="auto" w:fill="auto"/>
        <w:bidi w:val="0"/>
        <w:spacing w:before="0" w:line="302" w:lineRule="exact"/>
        <w:ind w:left="0" w:right="0" w:firstLine="480"/>
        <w:jc w:val="both"/>
      </w:pPr>
      <w:r>
        <w:rPr>
          <w:color w:val="000000"/>
          <w:spacing w:val="0"/>
          <w:w w:val="100"/>
          <w:position w:val="0"/>
          <w:sz w:val="24"/>
          <w:szCs w:val="24"/>
        </w:rPr>
        <w:t>我们对财务报表发表的审计意见不涵盖其他信息，我们也不对其他信息发表任何形式的 鉴证结论。</w:t>
      </w:r>
    </w:p>
    <w:p>
      <w:pPr>
        <w:pStyle w:val="Style72"/>
        <w:keepNext w:val="0"/>
        <w:keepLines w:val="0"/>
        <w:widowControl w:val="0"/>
        <w:shd w:val="clear" w:color="auto" w:fill="auto"/>
        <w:bidi w:val="0"/>
        <w:spacing w:before="0" w:line="309" w:lineRule="exact"/>
        <w:ind w:left="0" w:right="0" w:firstLine="480"/>
        <w:jc w:val="both"/>
      </w:pPr>
      <w:r>
        <w:rPr>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 基于我们已经执行的工作，如果我们确定其他信息存在重大错报，我们应当报告该事实。在 这方面，我们无任何事项需要报告。</w:t>
      </w:r>
    </w:p>
    <w:p>
      <w:pPr>
        <w:pStyle w:val="Style72"/>
        <w:keepNext w:val="0"/>
        <w:keepLines w:val="0"/>
        <w:widowControl w:val="0"/>
        <w:shd w:val="clear" w:color="auto" w:fill="auto"/>
        <w:tabs>
          <w:tab w:pos="1366" w:val="left"/>
        </w:tabs>
        <w:bidi w:val="0"/>
        <w:spacing w:before="0" w:line="314" w:lineRule="exact"/>
        <w:ind w:left="0" w:right="0" w:firstLine="440"/>
        <w:jc w:val="both"/>
      </w:pPr>
      <w:bookmarkStart w:id="759" w:name="bookmark759"/>
      <w:r>
        <w:rPr>
          <w:b/>
          <w:bCs/>
          <w:color w:val="000000"/>
          <w:spacing w:val="0"/>
          <w:w w:val="100"/>
          <w:position w:val="0"/>
          <w:sz w:val="24"/>
          <w:szCs w:val="24"/>
        </w:rPr>
        <w:t>六</w:t>
      </w:r>
      <w:bookmarkEnd w:id="759"/>
      <w:r>
        <w:rPr>
          <w:b/>
          <w:bCs/>
          <w:color w:val="000000"/>
          <w:spacing w:val="0"/>
          <w:w w:val="100"/>
          <w:position w:val="0"/>
          <w:sz w:val="24"/>
          <w:szCs w:val="24"/>
        </w:rPr>
        <w:t>、</w:t>
        <w:tab/>
        <w:t>管理层和审计委员会对财务报表的责任</w:t>
      </w:r>
    </w:p>
    <w:p>
      <w:pPr>
        <w:pStyle w:val="Style72"/>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苏宁易购管理层负责按照企业会计准则的规定编制财务报表，使其实现公允反映，并设 计、执行和维护必要的内部控制，以使财务报表不存在由于舞弊或错误导致的重大错报。</w:t>
      </w:r>
    </w:p>
    <w:p>
      <w:pPr>
        <w:pStyle w:val="Style72"/>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在编制财务报表时，管理层负责评估苏宁易购的持续经营能力，披露与持续经营相关的 事项</w:t>
      </w:r>
      <w:r>
        <w:rPr>
          <w:rFonts w:ascii="Georgia" w:eastAsia="Georgia" w:hAnsi="Georgia" w:cs="Georgia"/>
          <w:color w:val="000000"/>
          <w:spacing w:val="0"/>
          <w:w w:val="100"/>
          <w:position w:val="0"/>
          <w:sz w:val="24"/>
          <w:szCs w:val="24"/>
        </w:rPr>
        <w:t>（</w:t>
      </w:r>
      <w:r>
        <w:rPr>
          <w:color w:val="000000"/>
          <w:spacing w:val="0"/>
          <w:w w:val="100"/>
          <w:position w:val="0"/>
          <w:sz w:val="24"/>
          <w:szCs w:val="24"/>
        </w:rPr>
        <w:t>如适用</w:t>
      </w:r>
      <w:r>
        <w:rPr>
          <w:rFonts w:ascii="Georgia" w:eastAsia="Georgia" w:hAnsi="Georgia" w:cs="Georgia"/>
          <w:color w:val="000000"/>
          <w:spacing w:val="0"/>
          <w:w w:val="100"/>
          <w:position w:val="0"/>
          <w:sz w:val="24"/>
          <w:szCs w:val="24"/>
        </w:rPr>
        <w:t>）</w:t>
      </w:r>
      <w:r>
        <w:rPr>
          <w:color w:val="000000"/>
          <w:spacing w:val="0"/>
          <w:w w:val="100"/>
          <w:position w:val="0"/>
          <w:sz w:val="24"/>
          <w:szCs w:val="24"/>
        </w:rPr>
        <w:t>，并运用持续经营假设，除非管理层计划清算苏宁易购、终止运营或别无其他 现实的选择。</w:t>
      </w:r>
    </w:p>
    <w:p>
      <w:pPr>
        <w:pStyle w:val="Style72"/>
        <w:keepNext w:val="0"/>
        <w:keepLines w:val="0"/>
        <w:widowControl w:val="0"/>
        <w:shd w:val="clear" w:color="auto" w:fill="auto"/>
        <w:bidi w:val="0"/>
        <w:spacing w:before="0" w:line="314" w:lineRule="exact"/>
        <w:ind w:left="0" w:right="0" w:firstLine="440"/>
        <w:jc w:val="both"/>
        <w:sectPr>
          <w:footnotePr>
            <w:pos w:val="pageBottom"/>
            <w:numFmt w:val="decimal"/>
            <w:numStart w:val="1"/>
            <w:numRestart w:val="continuous"/>
            <w15:footnoteColumns w:val="1"/>
          </w:footnotePr>
          <w:pgSz w:w="11900" w:h="16840"/>
          <w:pgMar w:top="3346" w:right="1114" w:bottom="3346" w:left="1109" w:header="0" w:footer="3" w:gutter="0"/>
          <w:cols w:space="720"/>
          <w:noEndnote/>
          <w:rtlGutter w:val="0"/>
          <w:docGrid w:linePitch="360"/>
        </w:sectPr>
      </w:pPr>
      <w:r>
        <w:rPr>
          <w:color w:val="000000"/>
          <w:spacing w:val="0"/>
          <w:w w:val="100"/>
          <w:position w:val="0"/>
          <w:sz w:val="24"/>
          <w:szCs w:val="24"/>
        </w:rPr>
        <w:t>审计委员会负责监督苏宁易购的财务报告过程。</w:t>
      </w:r>
    </w:p>
    <w:p>
      <w:pPr>
        <w:pStyle w:val="Style72"/>
        <w:keepNext w:val="0"/>
        <w:keepLines w:val="0"/>
        <w:widowControl w:val="0"/>
        <w:shd w:val="clear" w:color="auto" w:fill="auto"/>
        <w:bidi w:val="0"/>
        <w:spacing w:before="0" w:after="260" w:line="314" w:lineRule="exact"/>
        <w:ind w:left="0" w:right="0" w:firstLine="500"/>
        <w:jc w:val="both"/>
      </w:pPr>
      <w:bookmarkStart w:id="760" w:name="bookmark760"/>
      <w:r>
        <w:rPr>
          <w:b/>
          <w:bCs/>
          <w:color w:val="000000"/>
          <w:spacing w:val="0"/>
          <w:w w:val="100"/>
          <w:position w:val="0"/>
          <w:sz w:val="24"/>
          <w:szCs w:val="24"/>
        </w:rPr>
        <w:t>七</w:t>
      </w:r>
      <w:bookmarkEnd w:id="760"/>
      <w:r>
        <w:rPr>
          <w:b/>
          <w:bCs/>
          <w:color w:val="000000"/>
          <w:spacing w:val="0"/>
          <w:w w:val="100"/>
          <w:position w:val="0"/>
          <w:sz w:val="24"/>
          <w:szCs w:val="24"/>
        </w:rPr>
        <w:t>、注册会计师对财务报表审计的责任</w:t>
      </w:r>
    </w:p>
    <w:p>
      <w:pPr>
        <w:pStyle w:val="Style72"/>
        <w:keepNext w:val="0"/>
        <w:keepLines w:val="0"/>
        <w:widowControl w:val="0"/>
        <w:shd w:val="clear" w:color="auto" w:fill="auto"/>
        <w:bidi w:val="0"/>
        <w:spacing w:before="0" w:line="311" w:lineRule="exact"/>
        <w:ind w:left="0" w:right="0" w:firstLine="500"/>
        <w:jc w:val="both"/>
      </w:pPr>
      <w:r>
        <w:rPr>
          <w:color w:val="000000"/>
          <w:spacing w:val="0"/>
          <w:w w:val="100"/>
          <w:position w:val="0"/>
          <w:sz w:val="24"/>
          <w:szCs w:val="24"/>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72"/>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在按照审计准则执行审计工作的过程中，我们运用职业判断，并保持职业怀疑。同时， 我们也执行以下工作：</w:t>
      </w:r>
    </w:p>
    <w:p>
      <w:pPr>
        <w:pStyle w:val="Style72"/>
        <w:keepNext w:val="0"/>
        <w:keepLines w:val="0"/>
        <w:widowControl w:val="0"/>
        <w:shd w:val="clear" w:color="auto" w:fill="auto"/>
        <w:tabs>
          <w:tab w:pos="1259" w:val="left"/>
        </w:tabs>
        <w:bidi w:val="0"/>
        <w:spacing w:before="0" w:line="310" w:lineRule="exact"/>
        <w:ind w:left="0" w:right="0" w:firstLine="500"/>
        <w:jc w:val="both"/>
      </w:pPr>
      <w:bookmarkStart w:id="761" w:name="bookmark761"/>
      <w:r>
        <w:rPr>
          <w:rFonts w:ascii="Georgia" w:eastAsia="Georgia" w:hAnsi="Georgia" w:cs="Georgia"/>
          <w:color w:val="000000"/>
          <w:spacing w:val="0"/>
          <w:w w:val="100"/>
          <w:position w:val="0"/>
          <w:sz w:val="24"/>
          <w:szCs w:val="24"/>
        </w:rPr>
        <w:t>（</w:t>
      </w:r>
      <w:bookmarkEnd w:id="761"/>
      <w:r>
        <w:rPr>
          <w:color w:val="000000"/>
          <w:spacing w:val="0"/>
          <w:w w:val="100"/>
          <w:position w:val="0"/>
          <w:sz w:val="24"/>
          <w:szCs w:val="24"/>
        </w:rPr>
        <w:t>一</w:t>
      </w:r>
      <w:r>
        <w:rPr>
          <w:color w:val="000000"/>
          <w:spacing w:val="0"/>
          <w:w w:val="100"/>
          <w:position w:val="0"/>
          <w:sz w:val="26"/>
          <w:szCs w:val="26"/>
        </w:rPr>
        <w:t>）</w:t>
      </w:r>
      <w:r>
        <w:rPr>
          <w:rFonts w:ascii="Georgia" w:eastAsia="Georgia" w:hAnsi="Georgia" w:cs="Georgia"/>
          <w:color w:val="000000"/>
          <w:spacing w:val="0"/>
          <w:w w:val="100"/>
          <w:position w:val="0"/>
          <w:sz w:val="24"/>
          <w:szCs w:val="24"/>
        </w:rPr>
        <w:tab/>
      </w:r>
      <w:r>
        <w:rPr>
          <w:color w:val="000000"/>
          <w:spacing w:val="0"/>
          <w:w w:val="100"/>
          <w:position w:val="0"/>
          <w:sz w:val="24"/>
          <w:szCs w:val="24"/>
        </w:rPr>
        <w:t>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Style72"/>
        <w:keepNext w:val="0"/>
        <w:keepLines w:val="0"/>
        <w:widowControl w:val="0"/>
        <w:shd w:val="clear" w:color="auto" w:fill="auto"/>
        <w:tabs>
          <w:tab w:pos="1259" w:val="left"/>
        </w:tabs>
        <w:bidi w:val="0"/>
        <w:spacing w:before="0" w:line="314" w:lineRule="exact"/>
        <w:ind w:left="0" w:right="0" w:firstLine="500"/>
        <w:jc w:val="both"/>
      </w:pPr>
      <w:bookmarkStart w:id="762" w:name="bookmark762"/>
      <w:r>
        <w:rPr>
          <w:rFonts w:ascii="Georgia" w:eastAsia="Georgia" w:hAnsi="Georgia" w:cs="Georgia"/>
          <w:color w:val="000000"/>
          <w:spacing w:val="0"/>
          <w:w w:val="100"/>
          <w:position w:val="0"/>
          <w:sz w:val="24"/>
          <w:szCs w:val="24"/>
        </w:rPr>
        <w:t>（</w:t>
      </w:r>
      <w:bookmarkEnd w:id="762"/>
      <w:r>
        <w:rPr>
          <w:color w:val="000000"/>
          <w:spacing w:val="0"/>
          <w:w w:val="100"/>
          <w:position w:val="0"/>
          <w:sz w:val="24"/>
          <w:szCs w:val="24"/>
        </w:rPr>
        <w:t>二</w:t>
      </w:r>
      <w:r>
        <w:rPr>
          <w:color w:val="000000"/>
          <w:spacing w:val="0"/>
          <w:w w:val="100"/>
          <w:position w:val="0"/>
          <w:sz w:val="26"/>
          <w:szCs w:val="26"/>
        </w:rPr>
        <w:t>）</w:t>
      </w:r>
      <w:r>
        <w:rPr>
          <w:rFonts w:ascii="Georgia" w:eastAsia="Georgia" w:hAnsi="Georgia" w:cs="Georgia"/>
          <w:color w:val="000000"/>
          <w:spacing w:val="0"/>
          <w:w w:val="100"/>
          <w:position w:val="0"/>
          <w:sz w:val="24"/>
          <w:szCs w:val="24"/>
        </w:rPr>
        <w:tab/>
      </w:r>
      <w:r>
        <w:rPr>
          <w:color w:val="000000"/>
          <w:spacing w:val="0"/>
          <w:w w:val="100"/>
          <w:position w:val="0"/>
          <w:sz w:val="24"/>
          <w:szCs w:val="24"/>
        </w:rPr>
        <w:t>了解与审计相关的内部控制，以设计恰当的审计程序。</w:t>
      </w:r>
    </w:p>
    <w:p>
      <w:pPr>
        <w:pStyle w:val="Style72"/>
        <w:keepNext w:val="0"/>
        <w:keepLines w:val="0"/>
        <w:widowControl w:val="0"/>
        <w:shd w:val="clear" w:color="auto" w:fill="auto"/>
        <w:tabs>
          <w:tab w:pos="1259" w:val="left"/>
        </w:tabs>
        <w:bidi w:val="0"/>
        <w:spacing w:before="0" w:line="314" w:lineRule="exact"/>
        <w:ind w:left="0" w:right="0" w:firstLine="500"/>
        <w:jc w:val="both"/>
      </w:pPr>
      <w:bookmarkStart w:id="763" w:name="bookmark763"/>
      <w:r>
        <w:rPr>
          <w:rFonts w:ascii="Georgia" w:eastAsia="Georgia" w:hAnsi="Georgia" w:cs="Georgia"/>
          <w:color w:val="000000"/>
          <w:spacing w:val="0"/>
          <w:w w:val="100"/>
          <w:position w:val="0"/>
          <w:sz w:val="24"/>
          <w:szCs w:val="24"/>
        </w:rPr>
        <w:t>（</w:t>
      </w:r>
      <w:bookmarkEnd w:id="763"/>
      <w:r>
        <w:rPr>
          <w:color w:val="000000"/>
          <w:spacing w:val="0"/>
          <w:w w:val="100"/>
          <w:position w:val="0"/>
          <w:sz w:val="24"/>
          <w:szCs w:val="24"/>
        </w:rPr>
        <w:t>三</w:t>
      </w:r>
      <w:r>
        <w:rPr>
          <w:color w:val="000000"/>
          <w:spacing w:val="0"/>
          <w:w w:val="100"/>
          <w:position w:val="0"/>
          <w:sz w:val="26"/>
          <w:szCs w:val="26"/>
        </w:rPr>
        <w:t>）</w:t>
      </w:r>
      <w:r>
        <w:rPr>
          <w:rFonts w:ascii="Georgia" w:eastAsia="Georgia" w:hAnsi="Georgia" w:cs="Georgia"/>
          <w:color w:val="000000"/>
          <w:spacing w:val="0"/>
          <w:w w:val="100"/>
          <w:position w:val="0"/>
          <w:sz w:val="24"/>
          <w:szCs w:val="24"/>
        </w:rPr>
        <w:tab/>
      </w:r>
      <w:r>
        <w:rPr>
          <w:color w:val="000000"/>
          <w:spacing w:val="0"/>
          <w:w w:val="100"/>
          <w:position w:val="0"/>
          <w:sz w:val="24"/>
          <w:szCs w:val="24"/>
        </w:rPr>
        <w:t>评价管理层选用会计政策的恰当性和作出会计估计及相关披露的合理性。</w:t>
      </w:r>
    </w:p>
    <w:p>
      <w:pPr>
        <w:pStyle w:val="Style72"/>
        <w:keepNext w:val="0"/>
        <w:keepLines w:val="0"/>
        <w:widowControl w:val="0"/>
        <w:shd w:val="clear" w:color="auto" w:fill="auto"/>
        <w:tabs>
          <w:tab w:pos="1259" w:val="left"/>
        </w:tabs>
        <w:bidi w:val="0"/>
        <w:spacing w:before="0" w:line="317" w:lineRule="exact"/>
        <w:ind w:left="0" w:right="0" w:firstLine="500"/>
        <w:jc w:val="both"/>
        <w:sectPr>
          <w:footnotePr>
            <w:pos w:val="pageBottom"/>
            <w:numFmt w:val="decimal"/>
            <w:numStart w:val="1"/>
            <w:numRestart w:val="continuous"/>
            <w15:footnoteColumns w:val="1"/>
          </w:footnotePr>
          <w:pgSz w:w="11900" w:h="16840"/>
          <w:pgMar w:top="3654" w:right="1114" w:bottom="3654" w:left="1109" w:header="0" w:footer="3" w:gutter="0"/>
          <w:cols w:space="720"/>
          <w:noEndnote/>
          <w:rtlGutter w:val="0"/>
          <w:docGrid w:linePitch="360"/>
        </w:sectPr>
      </w:pPr>
      <w:bookmarkStart w:id="764" w:name="bookmark764"/>
      <w:r>
        <w:rPr>
          <w:rFonts w:ascii="Georgia" w:eastAsia="Georgia" w:hAnsi="Georgia" w:cs="Georgia"/>
          <w:color w:val="000000"/>
          <w:spacing w:val="0"/>
          <w:w w:val="100"/>
          <w:position w:val="0"/>
          <w:sz w:val="24"/>
          <w:szCs w:val="24"/>
        </w:rPr>
        <w:t>（</w:t>
      </w:r>
      <w:bookmarkEnd w:id="764"/>
      <w:r>
        <w:rPr>
          <w:color w:val="000000"/>
          <w:spacing w:val="0"/>
          <w:w w:val="100"/>
          <w:position w:val="0"/>
          <w:sz w:val="24"/>
          <w:szCs w:val="24"/>
        </w:rPr>
        <w:t>四</w:t>
      </w:r>
      <w:r>
        <w:rPr>
          <w:color w:val="000000"/>
          <w:spacing w:val="0"/>
          <w:w w:val="100"/>
          <w:position w:val="0"/>
          <w:sz w:val="26"/>
          <w:szCs w:val="26"/>
        </w:rPr>
        <w:t>）</w:t>
      </w:r>
      <w:r>
        <w:rPr>
          <w:rFonts w:ascii="Georgia" w:eastAsia="Georgia" w:hAnsi="Georgia" w:cs="Georgia"/>
          <w:color w:val="000000"/>
          <w:spacing w:val="0"/>
          <w:w w:val="100"/>
          <w:position w:val="0"/>
          <w:sz w:val="24"/>
          <w:szCs w:val="24"/>
        </w:rPr>
        <w:tab/>
      </w:r>
      <w:r>
        <w:rPr>
          <w:color w:val="000000"/>
          <w:spacing w:val="0"/>
          <w:w w:val="100"/>
          <w:position w:val="0"/>
          <w:sz w:val="24"/>
          <w:szCs w:val="24"/>
        </w:rPr>
        <w:t>对管理层使用持续经营假设的恰当性得出结论。同时，根据获取的审计证据，就 可能导致对苏宁易购持续经营能力产生重大疑虑的事项或情况是否存在重大不确定性得出结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论基于截至审计报告日可获得的信息。然而，未来的事项或情况可能导致苏宁易购不能持续 经营。</w:t>
      </w:r>
    </w:p>
    <w:p>
      <w:pPr>
        <w:widowControl w:val="0"/>
        <w:spacing w:before="114" w:after="114" w:line="240" w:lineRule="exact"/>
        <w:rPr>
          <w:sz w:val="19"/>
          <w:szCs w:val="19"/>
        </w:rPr>
      </w:pPr>
    </w:p>
    <w:p>
      <w:pPr>
        <w:widowControl w:val="0"/>
        <w:spacing w:line="1" w:lineRule="exact"/>
        <w:sectPr>
          <w:footnotePr>
            <w:pos w:val="pageBottom"/>
            <w:numFmt w:val="decimal"/>
            <w:numStart w:val="1"/>
            <w:numRestart w:val="continuous"/>
            <w15:footnoteColumns w:val="1"/>
          </w:footnotePr>
          <w:pgSz w:w="11900" w:h="16840"/>
          <w:pgMar w:top="2065" w:right="956" w:bottom="2227" w:left="1147" w:header="0" w:footer="3" w:gutter="0"/>
          <w:cols w:space="720"/>
          <w:noEndnote/>
          <w:rtlGutter w:val="0"/>
          <w:docGrid w:linePitch="360"/>
        </w:sectPr>
      </w:pPr>
    </w:p>
    <w:p>
      <w:pPr>
        <w:pStyle w:val="Style72"/>
        <w:keepNext w:val="0"/>
        <w:keepLines w:val="0"/>
        <w:widowControl w:val="0"/>
        <w:shd w:val="clear" w:color="auto" w:fill="auto"/>
        <w:bidi w:val="0"/>
        <w:spacing w:before="0" w:after="300" w:line="311" w:lineRule="exact"/>
        <w:ind w:left="0" w:right="0" w:firstLine="500"/>
        <w:jc w:val="both"/>
        <w:rPr>
          <w:sz w:val="26"/>
          <w:szCs w:val="26"/>
        </w:rPr>
      </w:pPr>
      <w:bookmarkStart w:id="765" w:name="bookmark765"/>
      <w:r>
        <w:rPr>
          <w:b/>
          <w:bCs/>
          <w:color w:val="000000"/>
          <w:spacing w:val="0"/>
          <w:w w:val="100"/>
          <w:position w:val="0"/>
          <w:sz w:val="24"/>
          <w:szCs w:val="24"/>
        </w:rPr>
        <w:t>七</w:t>
      </w:r>
      <w:bookmarkEnd w:id="765"/>
      <w:r>
        <w:rPr>
          <w:b/>
          <w:bCs/>
          <w:color w:val="000000"/>
          <w:spacing w:val="0"/>
          <w:w w:val="100"/>
          <w:position w:val="0"/>
          <w:sz w:val="24"/>
          <w:szCs w:val="24"/>
        </w:rPr>
        <w:t>、注册会计师对财务报表审计的责任</w:t>
      </w:r>
      <w:r>
        <w:rPr>
          <w:rFonts w:ascii="Georgia" w:eastAsia="Georgia" w:hAnsi="Georgia" w:cs="Georgia"/>
          <w:b/>
          <w:bCs/>
          <w:color w:val="000000"/>
          <w:spacing w:val="0"/>
          <w:w w:val="100"/>
          <w:position w:val="0"/>
          <w:sz w:val="24"/>
          <w:szCs w:val="24"/>
        </w:rPr>
        <w:t>（</w:t>
      </w:r>
      <w:r>
        <w:rPr>
          <w:b/>
          <w:bCs/>
          <w:color w:val="000000"/>
          <w:spacing w:val="0"/>
          <w:w w:val="100"/>
          <w:position w:val="0"/>
          <w:sz w:val="24"/>
          <w:szCs w:val="24"/>
        </w:rPr>
        <w:t>续</w:t>
      </w:r>
      <w:r>
        <w:rPr>
          <w:b/>
          <w:bCs/>
          <w:color w:val="000000"/>
          <w:spacing w:val="0"/>
          <w:w w:val="100"/>
          <w:position w:val="0"/>
          <w:sz w:val="26"/>
          <w:szCs w:val="26"/>
        </w:rPr>
        <w:t>）</w:t>
      </w:r>
    </w:p>
    <w:p>
      <w:pPr>
        <w:pStyle w:val="Style72"/>
        <w:keepNext w:val="0"/>
        <w:keepLines w:val="0"/>
        <w:widowControl w:val="0"/>
        <w:shd w:val="clear" w:color="auto" w:fill="auto"/>
        <w:tabs>
          <w:tab w:pos="1224" w:val="left"/>
        </w:tabs>
        <w:bidi w:val="0"/>
        <w:spacing w:before="0" w:after="360" w:line="317" w:lineRule="exact"/>
        <w:ind w:left="0" w:right="0" w:firstLine="500"/>
        <w:jc w:val="both"/>
      </w:pPr>
      <w:bookmarkStart w:id="766" w:name="bookmark766"/>
      <w:r>
        <w:rPr>
          <w:rFonts w:ascii="Georgia" w:eastAsia="Georgia" w:hAnsi="Georgia" w:cs="Georgia"/>
          <w:color w:val="000000"/>
          <w:spacing w:val="0"/>
          <w:w w:val="100"/>
          <w:position w:val="0"/>
          <w:sz w:val="24"/>
          <w:szCs w:val="24"/>
        </w:rPr>
        <w:t>（</w:t>
      </w:r>
      <w:bookmarkEnd w:id="766"/>
      <w:r>
        <w:rPr>
          <w:color w:val="000000"/>
          <w:spacing w:val="0"/>
          <w:w w:val="100"/>
          <w:position w:val="0"/>
          <w:sz w:val="24"/>
          <w:szCs w:val="24"/>
        </w:rPr>
        <w:t>五</w:t>
      </w:r>
      <w:r>
        <w:rPr>
          <w:color w:val="000000"/>
          <w:spacing w:val="0"/>
          <w:w w:val="100"/>
          <w:position w:val="0"/>
          <w:sz w:val="26"/>
          <w:szCs w:val="26"/>
        </w:rPr>
        <w:t>）</w:t>
      </w:r>
      <w:r>
        <w:rPr>
          <w:rFonts w:ascii="Georgia" w:eastAsia="Georgia" w:hAnsi="Georgia" w:cs="Georgia"/>
          <w:color w:val="000000"/>
          <w:spacing w:val="0"/>
          <w:w w:val="100"/>
          <w:position w:val="0"/>
          <w:sz w:val="24"/>
          <w:szCs w:val="24"/>
        </w:rPr>
        <w:tab/>
      </w:r>
      <w:r>
        <w:rPr>
          <w:color w:val="000000"/>
          <w:spacing w:val="0"/>
          <w:w w:val="100"/>
          <w:position w:val="0"/>
          <w:sz w:val="24"/>
          <w:szCs w:val="24"/>
        </w:rPr>
        <w:t>评价财务报表的总体列报</w:t>
      </w:r>
      <w:r>
        <w:rPr>
          <w:rFonts w:ascii="Georgia" w:eastAsia="Georgia" w:hAnsi="Georgia" w:cs="Georgia"/>
          <w:color w:val="000000"/>
          <w:spacing w:val="0"/>
          <w:w w:val="100"/>
          <w:position w:val="0"/>
          <w:sz w:val="24"/>
          <w:szCs w:val="24"/>
        </w:rPr>
        <w:t>（</w:t>
      </w:r>
      <w:r>
        <w:rPr>
          <w:color w:val="000000"/>
          <w:spacing w:val="0"/>
          <w:w w:val="100"/>
          <w:position w:val="0"/>
          <w:sz w:val="24"/>
          <w:szCs w:val="24"/>
        </w:rPr>
        <w:t>包括披露</w:t>
      </w:r>
      <w:r>
        <w:rPr>
          <w:rFonts w:ascii="Georgia" w:eastAsia="Georgia" w:hAnsi="Georgia" w:cs="Georgia"/>
          <w:color w:val="000000"/>
          <w:spacing w:val="0"/>
          <w:w w:val="100"/>
          <w:position w:val="0"/>
          <w:sz w:val="24"/>
          <w:szCs w:val="24"/>
        </w:rPr>
        <w:t>）</w:t>
      </w:r>
      <w:r>
        <w:rPr>
          <w:color w:val="000000"/>
          <w:spacing w:val="0"/>
          <w:w w:val="100"/>
          <w:position w:val="0"/>
          <w:sz w:val="24"/>
          <w:szCs w:val="24"/>
        </w:rPr>
        <w:t>、结构和内容，并评价财务报表是否公允反 映相关交易和事项。</w:t>
      </w:r>
    </w:p>
    <w:p>
      <w:pPr>
        <w:pStyle w:val="Style72"/>
        <w:keepNext w:val="0"/>
        <w:keepLines w:val="0"/>
        <w:widowControl w:val="0"/>
        <w:shd w:val="clear" w:color="auto" w:fill="auto"/>
        <w:tabs>
          <w:tab w:pos="1224" w:val="left"/>
        </w:tabs>
        <w:bidi w:val="0"/>
        <w:spacing w:before="0" w:after="300" w:line="307" w:lineRule="exact"/>
        <w:ind w:left="0" w:right="0" w:firstLine="500"/>
        <w:jc w:val="both"/>
      </w:pPr>
      <w:bookmarkStart w:id="767" w:name="bookmark767"/>
      <w:r>
        <w:rPr>
          <w:rFonts w:ascii="Georgia" w:eastAsia="Georgia" w:hAnsi="Georgia" w:cs="Georgia"/>
          <w:color w:val="000000"/>
          <w:spacing w:val="0"/>
          <w:w w:val="100"/>
          <w:position w:val="0"/>
          <w:sz w:val="24"/>
          <w:szCs w:val="24"/>
        </w:rPr>
        <w:t>（</w:t>
      </w:r>
      <w:bookmarkEnd w:id="767"/>
      <w:r>
        <w:rPr>
          <w:color w:val="000000"/>
          <w:spacing w:val="0"/>
          <w:w w:val="100"/>
          <w:position w:val="0"/>
          <w:sz w:val="24"/>
          <w:szCs w:val="24"/>
        </w:rPr>
        <w:t>六</w:t>
      </w:r>
      <w:r>
        <w:rPr>
          <w:color w:val="000000"/>
          <w:spacing w:val="0"/>
          <w:w w:val="100"/>
          <w:position w:val="0"/>
          <w:sz w:val="26"/>
          <w:szCs w:val="26"/>
        </w:rPr>
        <w:t>）</w:t>
      </w:r>
      <w:r>
        <w:rPr>
          <w:rFonts w:ascii="Georgia" w:eastAsia="Georgia" w:hAnsi="Georgia" w:cs="Georgia"/>
          <w:color w:val="000000"/>
          <w:spacing w:val="0"/>
          <w:w w:val="100"/>
          <w:position w:val="0"/>
          <w:sz w:val="24"/>
          <w:szCs w:val="24"/>
        </w:rPr>
        <w:tab/>
      </w:r>
      <w:r>
        <w:rPr>
          <w:color w:val="000000"/>
          <w:spacing w:val="0"/>
          <w:w w:val="100"/>
          <w:position w:val="0"/>
          <w:sz w:val="24"/>
          <w:szCs w:val="24"/>
        </w:rPr>
        <w:t>就苏宁易购中实体或业务活动的财务信息获取充分、适当的审计证据，以对合并 财务报表发表审计意见。我们负责指导、监督和执行集团审计，并对审计意见承担全部责任。</w:t>
      </w:r>
    </w:p>
    <w:p>
      <w:pPr>
        <w:pStyle w:val="Style72"/>
        <w:keepNext w:val="0"/>
        <w:keepLines w:val="0"/>
        <w:widowControl w:val="0"/>
        <w:shd w:val="clear" w:color="auto" w:fill="auto"/>
        <w:bidi w:val="0"/>
        <w:spacing w:before="0" w:after="240" w:line="312" w:lineRule="exact"/>
        <w:ind w:left="0" w:right="0" w:firstLine="500"/>
        <w:jc w:val="both"/>
      </w:pPr>
      <w:r>
        <w:rPr>
          <w:color w:val="000000"/>
          <w:spacing w:val="0"/>
          <w:w w:val="100"/>
          <w:position w:val="0"/>
          <w:sz w:val="24"/>
          <w:szCs w:val="24"/>
        </w:rPr>
        <w:t>我们与审计委员会就计划的审计范围、时间安排和重大审计发现等事项进行沟通，包括 沟通我们在审计中识别出的值得关注的内部控制缺陷。</w:t>
      </w:r>
    </w:p>
    <w:p>
      <w:pPr>
        <w:pStyle w:val="Style72"/>
        <w:keepNext w:val="0"/>
        <w:keepLines w:val="0"/>
        <w:widowControl w:val="0"/>
        <w:shd w:val="clear" w:color="auto" w:fill="auto"/>
        <w:bidi w:val="0"/>
        <w:spacing w:before="0" w:after="240" w:line="317" w:lineRule="exact"/>
        <w:ind w:left="0" w:right="0" w:firstLine="500"/>
        <w:jc w:val="both"/>
      </w:pPr>
      <w:r>
        <w:rPr>
          <w:color w:val="000000"/>
          <w:spacing w:val="0"/>
          <w:w w:val="100"/>
          <w:position w:val="0"/>
          <w:sz w:val="24"/>
          <w:szCs w:val="24"/>
        </w:rPr>
        <w:t>我们还就已遵守与独立性相关的职业道德要求向审计委员会提供声明，并与审计委员会 沟通可能被合理认为影响我们独立性的所有关系和其他事项，以及相关的防范措施</w:t>
      </w:r>
      <w:r>
        <w:rPr>
          <w:rFonts w:ascii="Georgia" w:eastAsia="Georgia" w:hAnsi="Georgia" w:cs="Georgia"/>
          <w:color w:val="000000"/>
          <w:spacing w:val="0"/>
          <w:w w:val="100"/>
          <w:position w:val="0"/>
          <w:sz w:val="24"/>
          <w:szCs w:val="24"/>
        </w:rPr>
        <w:t>（</w:t>
      </w:r>
      <w:r>
        <w:rPr>
          <w:color w:val="000000"/>
          <w:spacing w:val="0"/>
          <w:w w:val="100"/>
          <w:position w:val="0"/>
          <w:sz w:val="24"/>
          <w:szCs w:val="24"/>
        </w:rPr>
        <w:t>如适用</w:t>
      </w:r>
      <w:r>
        <w:rPr>
          <w:rFonts w:ascii="Georgia" w:eastAsia="Georgia" w:hAnsi="Georgia" w:cs="Georgia"/>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从与审计委员会沟通过的事项中，我们确定哪些事项对本期财务报表审计最为重要，因 而构成关键审计事项。我们在审计报告中描述这些事项，除非法律法规禁止公开披露这些事 项，或在极少数情形下，如果合理预期在审计报告中沟通某事项造成的负面后果超过在公众 利益方面产生的益处，我们确定不应在审计报告中沟通该事项。</w:t>
      </w:r>
    </w:p>
    <w:p>
      <w:pPr>
        <w:widowControl w:val="0"/>
        <w:spacing w:line="1" w:lineRule="exact"/>
      </w:pPr>
      <w:r>
        <mc:AlternateContent>
          <mc:Choice Requires="wps">
            <w:drawing>
              <wp:anchor distT="762000" distB="158750" distL="0" distR="0" simplePos="0" relativeHeight="125829380" behindDoc="0" locked="0" layoutInCell="1" allowOverlap="1">
                <wp:simplePos x="0" y="0"/>
                <wp:positionH relativeFrom="page">
                  <wp:posOffset>728345</wp:posOffset>
                </wp:positionH>
                <wp:positionV relativeFrom="paragraph">
                  <wp:posOffset>762000</wp:posOffset>
                </wp:positionV>
                <wp:extent cx="1969135" cy="435610"/>
                <wp:wrapTopAndBottom/>
                <wp:docPr id="8" name="Shape 8"/>
                <a:graphic xmlns:a="http://schemas.openxmlformats.org/drawingml/2006/main">
                  <a:graphicData uri="http://schemas.microsoft.com/office/word/2010/wordprocessingShape">
                    <wps:wsp>
                      <wps:cNvSpPr txBox="1"/>
                      <wps:spPr>
                        <a:xfrm>
                          <a:ext cx="1969135" cy="435610"/>
                        </a:xfrm>
                        <a:prstGeom prst="rect"/>
                        <a:noFill/>
                      </wps:spPr>
                      <wps:txbx>
                        <w:txbxContent>
                          <w:p>
                            <w:pPr>
                              <w:pStyle w:val="Style7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普华永道中天</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会计师事务所</w:t>
                            </w:r>
                            <w:r>
                              <w:rPr>
                                <w:rFonts w:ascii="Georgia" w:eastAsia="Georgia" w:hAnsi="Georgia" w:cs="Georgia"/>
                                <w:color w:val="000000"/>
                                <w:spacing w:val="0"/>
                                <w:w w:val="100"/>
                                <w:position w:val="0"/>
                                <w:sz w:val="24"/>
                                <w:szCs w:val="24"/>
                              </w:rPr>
                              <w:t>（</w:t>
                            </w:r>
                            <w:r>
                              <w:rPr>
                                <w:color w:val="000000"/>
                                <w:spacing w:val="0"/>
                                <w:w w:val="100"/>
                                <w:position w:val="0"/>
                                <w:sz w:val="24"/>
                                <w:szCs w:val="24"/>
                              </w:rPr>
                              <w:t>特殊普通合伙</w:t>
                            </w:r>
                            <w:r>
                              <w:rPr>
                                <w:rFonts w:ascii="Georgia" w:eastAsia="Georgia" w:hAnsi="Georgia" w:cs="Georgia"/>
                                <w:color w:val="000000"/>
                                <w:spacing w:val="0"/>
                                <w:w w:val="100"/>
                                <w:position w:val="0"/>
                                <w:sz w:val="24"/>
                                <w:szCs w:val="24"/>
                              </w:rPr>
                              <w:t>）</w:t>
                            </w:r>
                          </w:p>
                        </w:txbxContent>
                      </wps:txbx>
                      <wps:bodyPr lIns="0" tIns="0" rIns="0" bIns="0">
                        <a:noAutoFit/>
                      </wps:bodyPr>
                    </wps:wsp>
                  </a:graphicData>
                </a:graphic>
              </wp:anchor>
            </w:drawing>
          </mc:Choice>
          <mc:Fallback>
            <w:pict>
              <v:shape id="_x0000_s1034" type="#_x0000_t202" style="position:absolute;margin-left:57.350000000000001pt;margin-top:60.pt;width:155.05000000000001pt;height:34.300000000000004pt;z-index:-125829373;mso-wrap-distance-left:0;mso-wrap-distance-top:60.pt;mso-wrap-distance-right:0;mso-wrap-distance-bottom:12.5pt;mso-position-horizontal-relative:page" filled="f" stroked="f">
                <v:textbox inset="0,0,0,0">
                  <w:txbxContent>
                    <w:p>
                      <w:pPr>
                        <w:pStyle w:val="Style7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普华永道中天</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会计师事务所</w:t>
                      </w:r>
                      <w:r>
                        <w:rPr>
                          <w:rFonts w:ascii="Georgia" w:eastAsia="Georgia" w:hAnsi="Georgia" w:cs="Georgia"/>
                          <w:color w:val="000000"/>
                          <w:spacing w:val="0"/>
                          <w:w w:val="100"/>
                          <w:position w:val="0"/>
                          <w:sz w:val="24"/>
                          <w:szCs w:val="24"/>
                        </w:rPr>
                        <w:t>（</w:t>
                      </w:r>
                      <w:r>
                        <w:rPr>
                          <w:color w:val="000000"/>
                          <w:spacing w:val="0"/>
                          <w:w w:val="100"/>
                          <w:position w:val="0"/>
                          <w:sz w:val="24"/>
                          <w:szCs w:val="24"/>
                        </w:rPr>
                        <w:t>特殊普通合伙</w:t>
                      </w:r>
                      <w:r>
                        <w:rPr>
                          <w:rFonts w:ascii="Georgia" w:eastAsia="Georgia" w:hAnsi="Georgia" w:cs="Georgia"/>
                          <w:color w:val="000000"/>
                          <w:spacing w:val="0"/>
                          <w:w w:val="100"/>
                          <w:position w:val="0"/>
                          <w:sz w:val="24"/>
                          <w:szCs w:val="24"/>
                        </w:rPr>
                        <w:t>）</w:t>
                      </w:r>
                    </w:p>
                  </w:txbxContent>
                </v:textbox>
                <w10:wrap type="topAndBottom" anchorx="page"/>
              </v:shape>
            </w:pict>
          </mc:Fallback>
        </mc:AlternateContent>
      </w:r>
      <w:r>
        <mc:AlternateContent>
          <mc:Choice Requires="wps">
            <w:drawing>
              <wp:anchor distT="969010" distB="0" distL="0" distR="0" simplePos="0" relativeHeight="125829382" behindDoc="0" locked="0" layoutInCell="1" allowOverlap="1">
                <wp:simplePos x="0" y="0"/>
                <wp:positionH relativeFrom="page">
                  <wp:posOffset>3407410</wp:posOffset>
                </wp:positionH>
                <wp:positionV relativeFrom="paragraph">
                  <wp:posOffset>969010</wp:posOffset>
                </wp:positionV>
                <wp:extent cx="2853055" cy="387350"/>
                <wp:wrapTopAndBottom/>
                <wp:docPr id="10" name="Shape 10"/>
                <a:graphic xmlns:a="http://schemas.openxmlformats.org/drawingml/2006/main">
                  <a:graphicData uri="http://schemas.microsoft.com/office/word/2010/wordprocessingShape">
                    <wps:wsp>
                      <wps:cNvSpPr txBox="1"/>
                      <wps:spPr>
                        <a:xfrm>
                          <a:ext cx="2853055" cy="387350"/>
                        </a:xfrm>
                        <a:prstGeom prst="rect"/>
                        <a:noFill/>
                      </wps:spPr>
                      <wps:txbx>
                        <w:txbxContent>
                          <w:p>
                            <w:pPr>
                              <w:pStyle w:val="Style72"/>
                              <w:keepNext w:val="0"/>
                              <w:keepLines w:val="0"/>
                              <w:widowControl w:val="0"/>
                              <w:shd w:val="clear" w:color="auto" w:fill="auto"/>
                              <w:tabs>
                                <w:tab w:pos="2213" w:val="left"/>
                                <w:tab w:leader="underscore" w:pos="4445" w:val="left"/>
                              </w:tabs>
                              <w:bidi w:val="0"/>
                              <w:spacing w:before="0" w:after="40" w:line="240" w:lineRule="auto"/>
                              <w:ind w:left="0" w:right="0" w:firstLine="0"/>
                              <w:jc w:val="right"/>
                            </w:pPr>
                            <w:r>
                              <w:rPr>
                                <w:color w:val="000000"/>
                                <w:spacing w:val="0"/>
                                <w:w w:val="100"/>
                                <w:position w:val="0"/>
                                <w:sz w:val="24"/>
                                <w:szCs w:val="24"/>
                              </w:rPr>
                              <w:t>注册会计师</w:t>
                              <w:tab/>
                              <w:tab/>
                            </w:r>
                          </w:p>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钱进</w:t>
                            </w:r>
                            <w:r>
                              <w:rPr>
                                <w:color w:val="000000"/>
                                <w:spacing w:val="0"/>
                                <w:w w:val="100"/>
                                <w:position w:val="0"/>
                                <w:sz w:val="26"/>
                                <w:szCs w:val="26"/>
                              </w:rPr>
                              <w:t>（</w:t>
                            </w:r>
                            <w:r>
                              <w:rPr>
                                <w:color w:val="000000"/>
                                <w:spacing w:val="0"/>
                                <w:w w:val="100"/>
                                <w:position w:val="0"/>
                                <w:sz w:val="24"/>
                                <w:szCs w:val="24"/>
                              </w:rPr>
                              <w:t>项目合伙人</w:t>
                            </w:r>
                            <w:r>
                              <w:rPr>
                                <w:rFonts w:ascii="Georgia" w:eastAsia="Georgia" w:hAnsi="Georgia" w:cs="Georgia"/>
                                <w:color w:val="000000"/>
                                <w:spacing w:val="0"/>
                                <w:w w:val="100"/>
                                <w:position w:val="0"/>
                                <w:sz w:val="24"/>
                                <w:szCs w:val="24"/>
                              </w:rPr>
                              <w:t>）</w:t>
                            </w:r>
                          </w:p>
                        </w:txbxContent>
                      </wps:txbx>
                      <wps:bodyPr lIns="0" tIns="0" rIns="0" bIns="0">
                        <a:noAutoFit/>
                      </wps:bodyPr>
                    </wps:wsp>
                  </a:graphicData>
                </a:graphic>
              </wp:anchor>
            </w:drawing>
          </mc:Choice>
          <mc:Fallback>
            <w:pict>
              <v:shape id="_x0000_s1036" type="#_x0000_t202" style="position:absolute;margin-left:268.30000000000001pt;margin-top:76.299999999999997pt;width:224.65000000000001pt;height:30.5pt;z-index:-125829371;mso-wrap-distance-left:0;mso-wrap-distance-top:76.299999999999997pt;mso-wrap-distance-right:0;mso-position-horizontal-relative:page" filled="f" stroked="f">
                <v:textbox inset="0,0,0,0">
                  <w:txbxContent>
                    <w:p>
                      <w:pPr>
                        <w:pStyle w:val="Style72"/>
                        <w:keepNext w:val="0"/>
                        <w:keepLines w:val="0"/>
                        <w:widowControl w:val="0"/>
                        <w:shd w:val="clear" w:color="auto" w:fill="auto"/>
                        <w:tabs>
                          <w:tab w:pos="2213" w:val="left"/>
                          <w:tab w:leader="underscore" w:pos="4445" w:val="left"/>
                        </w:tabs>
                        <w:bidi w:val="0"/>
                        <w:spacing w:before="0" w:after="40" w:line="240" w:lineRule="auto"/>
                        <w:ind w:left="0" w:right="0" w:firstLine="0"/>
                        <w:jc w:val="right"/>
                      </w:pPr>
                      <w:r>
                        <w:rPr>
                          <w:color w:val="000000"/>
                          <w:spacing w:val="0"/>
                          <w:w w:val="100"/>
                          <w:position w:val="0"/>
                          <w:sz w:val="24"/>
                          <w:szCs w:val="24"/>
                        </w:rPr>
                        <w:t>注册会计师</w:t>
                        <w:tab/>
                        <w:tab/>
                      </w:r>
                    </w:p>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钱进</w:t>
                      </w:r>
                      <w:r>
                        <w:rPr>
                          <w:color w:val="000000"/>
                          <w:spacing w:val="0"/>
                          <w:w w:val="100"/>
                          <w:position w:val="0"/>
                          <w:sz w:val="26"/>
                          <w:szCs w:val="26"/>
                        </w:rPr>
                        <w:t>（</w:t>
                      </w:r>
                      <w:r>
                        <w:rPr>
                          <w:color w:val="000000"/>
                          <w:spacing w:val="0"/>
                          <w:w w:val="100"/>
                          <w:position w:val="0"/>
                          <w:sz w:val="24"/>
                          <w:szCs w:val="24"/>
                        </w:rPr>
                        <w:t>项目合伙人</w:t>
                      </w:r>
                      <w:r>
                        <w:rPr>
                          <w:rFonts w:ascii="Georgia" w:eastAsia="Georgia" w:hAnsi="Georgia" w:cs="Georgia"/>
                          <w:color w:val="000000"/>
                          <w:spacing w:val="0"/>
                          <w:w w:val="100"/>
                          <w:position w:val="0"/>
                          <w:sz w:val="24"/>
                          <w:szCs w:val="24"/>
                        </w:rPr>
                        <w:t>）</w:t>
                      </w:r>
                    </w:p>
                  </w:txbxContent>
                </v:textbox>
                <w10:wrap type="topAndBottom" anchorx="page"/>
              </v:shape>
            </w:pict>
          </mc:Fallback>
        </mc:AlternateContent>
      </w:r>
    </w:p>
    <w:p>
      <w:pPr>
        <w:pStyle w:val="Style72"/>
        <w:keepNext w:val="0"/>
        <w:keepLines w:val="0"/>
        <w:widowControl w:val="0"/>
        <w:shd w:val="clear" w:color="auto" w:fill="auto"/>
        <w:tabs>
          <w:tab w:pos="4190" w:val="left"/>
        </w:tabs>
        <w:bidi w:val="0"/>
        <w:spacing w:before="0" w:after="0" w:line="240" w:lineRule="auto"/>
        <w:ind w:left="0" w:right="0" w:firstLine="0"/>
        <w:jc w:val="left"/>
      </w:pPr>
      <w:r>
        <w:rPr>
          <w:color w:val="000000"/>
          <w:spacing w:val="0"/>
          <w:w w:val="100"/>
          <w:position w:val="0"/>
          <w:sz w:val="24"/>
          <w:szCs w:val="24"/>
        </w:rPr>
        <w:t>中国</w:t>
      </w:r>
      <w:r>
        <w:rPr>
          <w:rFonts w:ascii="Georgia" w:eastAsia="Georgia" w:hAnsi="Georgia" w:cs="Georgia"/>
          <w:color w:val="000000"/>
          <w:spacing w:val="0"/>
          <w:w w:val="100"/>
          <w:position w:val="0"/>
          <w:sz w:val="24"/>
          <w:szCs w:val="24"/>
        </w:rPr>
        <w:t>.</w:t>
      </w:r>
      <w:r>
        <w:rPr>
          <w:color w:val="000000"/>
          <w:spacing w:val="0"/>
          <w:w w:val="100"/>
          <w:position w:val="0"/>
          <w:sz w:val="24"/>
          <w:szCs w:val="24"/>
        </w:rPr>
        <w:t>上海市</w:t>
        <w:tab/>
        <w:t xml:space="preserve">注册会计师 </w:t>
      </w:r>
    </w:p>
    <w:p>
      <w:pPr>
        <w:pStyle w:val="Style72"/>
        <w:keepNext w:val="0"/>
        <w:keepLines w:val="0"/>
        <w:widowControl w:val="0"/>
        <w:shd w:val="clear" w:color="auto" w:fill="auto"/>
        <w:tabs>
          <w:tab w:pos="7315" w:val="left"/>
        </w:tabs>
        <w:bidi w:val="0"/>
        <w:spacing w:before="0" w:after="0" w:line="240" w:lineRule="auto"/>
        <w:ind w:left="0" w:right="0" w:firstLine="0"/>
        <w:jc w:val="left"/>
      </w:pPr>
      <w:r>
        <w:rPr>
          <w:rFonts w:ascii="Georgia" w:eastAsia="Georgia" w:hAnsi="Georgia" w:cs="Georgia"/>
          <w:color w:val="000000"/>
          <w:spacing w:val="0"/>
          <w:w w:val="100"/>
          <w:position w:val="0"/>
          <w:sz w:val="24"/>
          <w:szCs w:val="24"/>
        </w:rPr>
        <w:t>2022</w:t>
      </w:r>
      <w:r>
        <w:rPr>
          <w:color w:val="000000"/>
          <w:spacing w:val="0"/>
          <w:w w:val="100"/>
          <w:position w:val="0"/>
          <w:sz w:val="24"/>
          <w:szCs w:val="24"/>
        </w:rPr>
        <w:t>年</w:t>
      </w:r>
      <w:r>
        <w:rPr>
          <w:rFonts w:ascii="Georgia" w:eastAsia="Georgia" w:hAnsi="Georgia" w:cs="Georgia"/>
          <w:color w:val="000000"/>
          <w:spacing w:val="0"/>
          <w:w w:val="100"/>
          <w:position w:val="0"/>
          <w:sz w:val="24"/>
          <w:szCs w:val="24"/>
        </w:rPr>
        <w:t>4</w:t>
      </w:r>
      <w:r>
        <w:rPr>
          <w:color w:val="000000"/>
          <w:spacing w:val="0"/>
          <w:w w:val="100"/>
          <w:position w:val="0"/>
          <w:sz w:val="24"/>
          <w:szCs w:val="24"/>
        </w:rPr>
        <w:t>月</w:t>
      </w:r>
      <w:r>
        <w:rPr>
          <w:rFonts w:ascii="Georgia" w:eastAsia="Georgia" w:hAnsi="Georgia" w:cs="Georgia"/>
          <w:color w:val="000000"/>
          <w:spacing w:val="0"/>
          <w:w w:val="100"/>
          <w:position w:val="0"/>
          <w:sz w:val="24"/>
          <w:szCs w:val="24"/>
        </w:rPr>
        <w:t>28</w:t>
      </w:r>
      <w:r>
        <w:rPr>
          <w:color w:val="000000"/>
          <w:spacing w:val="0"/>
          <w:w w:val="100"/>
          <w:position w:val="0"/>
          <w:sz w:val="24"/>
          <w:szCs w:val="24"/>
        </w:rPr>
        <w:t>日</w:t>
        <w:tab/>
        <w:t>莫冰洁</w:t>
      </w:r>
      <w:r>
        <w:br w:type="page"/>
      </w:r>
    </w:p>
    <w:tbl>
      <w:tblPr>
        <w:tblOverlap w:val="never"/>
        <w:jc w:val="center"/>
        <w:tblLayout w:type="fixed"/>
      </w:tblPr>
      <w:tblGrid>
        <w:gridCol w:w="2611"/>
        <w:gridCol w:w="1133"/>
        <w:gridCol w:w="1248"/>
        <w:gridCol w:w="1248"/>
        <w:gridCol w:w="1248"/>
        <w:gridCol w:w="1253"/>
      </w:tblGrid>
      <w:tr>
        <w:trPr>
          <w:trHeight w:val="634" w:hRule="exact"/>
        </w:trPr>
        <w:tc>
          <w:tcPr>
            <w:tcBorders>
              <w:top w:val="single" w:sz="4"/>
              <w:left w:val="single" w:sz="4"/>
            </w:tcBorders>
            <w:shd w:val="clear" w:color="auto" w:fill="FFFFFF"/>
            <w:vAlign w:val="bottom"/>
          </w:tcPr>
          <w:p>
            <w:pPr>
              <w:pStyle w:val="Style29"/>
              <w:keepNext w:val="0"/>
              <w:keepLines w:val="0"/>
              <w:widowControl w:val="0"/>
              <w:shd w:val="clear" w:color="auto" w:fill="auto"/>
              <w:tabs>
                <w:tab w:pos="782" w:val="left"/>
              </w:tabs>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资</w:t>
              <w:tab/>
              <w:t>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 xml:space="preserve">2021 </w:t>
            </w:r>
            <w:r>
              <w:rPr>
                <w:rFonts w:ascii="SimSun" w:eastAsia="SimSun" w:hAnsi="SimSun" w:cs="SimSun"/>
                <w:b/>
                <w:bCs/>
                <w:color w:val="000000"/>
                <w:spacing w:val="0"/>
                <w:w w:val="100"/>
                <w:position w:val="0"/>
                <w:sz w:val="15"/>
                <w:szCs w:val="15"/>
              </w:rPr>
              <w:t>年</w:t>
            </w:r>
          </w:p>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 合并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 xml:space="preserve">2020 </w:t>
            </w:r>
            <w:r>
              <w:rPr>
                <w:rFonts w:ascii="SimSun" w:eastAsia="SimSun" w:hAnsi="SimSun" w:cs="SimSun"/>
                <w:b/>
                <w:bCs/>
                <w:color w:val="000000"/>
                <w:spacing w:val="0"/>
                <w:w w:val="100"/>
                <w:position w:val="0"/>
                <w:sz w:val="15"/>
                <w:szCs w:val="15"/>
              </w:rPr>
              <w:t>年</w:t>
            </w:r>
          </w:p>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 合并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 xml:space="preserve">2021 </w:t>
            </w:r>
            <w:r>
              <w:rPr>
                <w:rFonts w:ascii="SimSun" w:eastAsia="SimSun" w:hAnsi="SimSun" w:cs="SimSun"/>
                <w:b/>
                <w:bCs/>
                <w:color w:val="000000"/>
                <w:spacing w:val="0"/>
                <w:w w:val="100"/>
                <w:position w:val="0"/>
                <w:sz w:val="15"/>
                <w:szCs w:val="15"/>
              </w:rPr>
              <w:t>年</w:t>
            </w:r>
          </w:p>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 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 xml:space="preserve">2020 </w:t>
            </w:r>
            <w:r>
              <w:rPr>
                <w:rFonts w:ascii="SimSun" w:eastAsia="SimSun" w:hAnsi="SimSun" w:cs="SimSun"/>
                <w:b/>
                <w:bCs/>
                <w:color w:val="000000"/>
                <w:spacing w:val="0"/>
                <w:w w:val="100"/>
                <w:position w:val="0"/>
                <w:sz w:val="15"/>
                <w:szCs w:val="15"/>
              </w:rPr>
              <w:t>年</w:t>
            </w:r>
          </w:p>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 公司</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四⑴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17,967,374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25,887,751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12,332,224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12,356,124</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四⑵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14,200,890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15,899,648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1,764,964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2,791,671</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、十六</w:t>
            </w:r>
            <w:r>
              <w:rPr>
                <w:rFonts w:ascii="Arial" w:eastAsia="Arial" w:hAnsi="Arial" w:cs="Arial"/>
                <w:color w:val="000000"/>
                <w:spacing w:val="0"/>
                <w:w w:val="100"/>
                <w:position w:val="0"/>
                <w:sz w:val="16"/>
                <w:szCs w:val="16"/>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98,915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1,696,549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76,289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3,384,471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w:t>
            </w:r>
            <w:r>
              <w:rPr>
                <w:rFonts w:ascii="SimSun" w:eastAsia="SimSun" w:hAnsi="SimSun" w:cs="SimSun"/>
                <w:color w:val="000000"/>
                <w:spacing w:val="0"/>
                <w:w w:val="100"/>
                <w:position w:val="0"/>
                <w:sz w:val="15"/>
                <w:szCs w:val="15"/>
              </w:rPr>
              <w:t>、十六</w:t>
            </w:r>
            <w:r>
              <w:rPr>
                <w:rFonts w:ascii="Arial" w:eastAsia="Arial" w:hAnsi="Arial" w:cs="Arial"/>
                <w:color w:val="000000"/>
                <w:spacing w:val="0"/>
                <w:w w:val="100"/>
                <w:position w:val="0"/>
                <w:sz w:val="16"/>
                <w:szCs w:val="16"/>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5,466,713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7,696,449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97,232,527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109,948,570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20,382,896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24,786,724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38,805,512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32,467,438</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w:t>
            </w:r>
            <w:r>
              <w:rPr>
                <w:rFonts w:ascii="SimSun" w:eastAsia="SimSun" w:hAnsi="SimSun" w:cs="SimSun"/>
                <w:color w:val="000000"/>
                <w:spacing w:val="0"/>
                <w:w w:val="100"/>
                <w:position w:val="0"/>
                <w:sz w:val="15"/>
                <w:szCs w:val="15"/>
              </w:rPr>
              <w:t>、十六</w:t>
            </w:r>
            <w:r>
              <w:rPr>
                <w:rFonts w:ascii="Arial" w:eastAsia="Arial" w:hAnsi="Arial" w:cs="Arial"/>
                <w:color w:val="000000"/>
                <w:spacing w:val="0"/>
                <w:w w:val="100"/>
                <w:position w:val="0"/>
                <w:sz w:val="16"/>
                <w:szCs w:val="16"/>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1,446,460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1,241,863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29,141,207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27,068,577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存货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四⑺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12,289,891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24,251,743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7,468,338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16,054,132</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3,245,080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5,997,641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162,832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1,381,234</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一年内到期的非流动资产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178,285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23,392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10,388</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75,279,333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107,483,606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186,983,893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205,462,605</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长期应收款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1,355,030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926,167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952,186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968,405</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(13)</w:t>
            </w:r>
            <w:r>
              <w:rPr>
                <w:rFonts w:ascii="SimSun" w:eastAsia="SimSun" w:hAnsi="SimSun" w:cs="SimSun"/>
                <w:color w:val="000000"/>
                <w:spacing w:val="0"/>
                <w:w w:val="100"/>
                <w:position w:val="0"/>
                <w:sz w:val="15"/>
                <w:szCs w:val="15"/>
              </w:rPr>
              <w:t>、十六</w:t>
            </w:r>
            <w:r>
              <w:rPr>
                <w:rFonts w:ascii="Arial" w:eastAsia="Arial" w:hAnsi="Arial" w:cs="Arial"/>
                <w:color w:val="000000"/>
                <w:spacing w:val="0"/>
                <w:w w:val="100"/>
                <w:position w:val="0"/>
                <w:sz w:val="16"/>
                <w:szCs w:val="16"/>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15,304,488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39,351,953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47,220,774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49,565,907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其他权益工具投资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4,338,200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5,558,069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4,332,025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5,550,363</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其他非流动金融资产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629,977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1,975,740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176,602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1,975,740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7,484,573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6,886,199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779,199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522,113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13,327,550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18,099,415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1,624,776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2,038,845</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3,849,908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3,462,978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9,580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使用权资产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23,552,412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175,012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9,264,229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13,882,029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350,291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333,511</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开发支出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37,710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41,138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3,973</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5,454,650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6,385,345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617,725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1,510,520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4,787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30,465</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9,737,454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5,670,490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846,090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504,847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841,551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107,221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200,369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95,458,753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104,591,594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56,572,992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61,199,271</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170,738,086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212,075,200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243,556,885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266,661,876</w:t>
            </w:r>
          </w:p>
        </w:tc>
      </w:tr>
    </w:tbl>
    <w:p>
      <w:pPr>
        <w:widowControl w:val="0"/>
        <w:spacing w:line="1" w:lineRule="exact"/>
      </w:pPr>
      <w:r>
        <w:br w:type="page"/>
      </w:r>
    </w:p>
    <w:tbl>
      <w:tblPr>
        <w:tblOverlap w:val="never"/>
        <w:jc w:val="center"/>
        <w:tblLayout w:type="fixed"/>
      </w:tblPr>
      <w:tblGrid>
        <w:gridCol w:w="2611"/>
        <w:gridCol w:w="1133"/>
        <w:gridCol w:w="1248"/>
        <w:gridCol w:w="1248"/>
        <w:gridCol w:w="1248"/>
        <w:gridCol w:w="1253"/>
      </w:tblGrid>
      <w:tr>
        <w:trPr>
          <w:trHeight w:val="63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b/>
                <w:bCs/>
                <w:color w:val="000000"/>
                <w:spacing w:val="0"/>
                <w:w w:val="100"/>
                <w:position w:val="0"/>
                <w:sz w:val="15"/>
                <w:szCs w:val="15"/>
              </w:rPr>
              <w:t>负债及 股东权 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 xml:space="preserve">2021 </w:t>
            </w:r>
            <w:r>
              <w:rPr>
                <w:rFonts w:ascii="SimSun" w:eastAsia="SimSun" w:hAnsi="SimSun" w:cs="SimSun"/>
                <w:b/>
                <w:bCs/>
                <w:color w:val="000000"/>
                <w:spacing w:val="0"/>
                <w:w w:val="100"/>
                <w:position w:val="0"/>
                <w:sz w:val="15"/>
                <w:szCs w:val="15"/>
              </w:rPr>
              <w:t>年</w:t>
            </w:r>
          </w:p>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 合并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 xml:space="preserve">2020 </w:t>
            </w:r>
            <w:r>
              <w:rPr>
                <w:rFonts w:ascii="SimSun" w:eastAsia="SimSun" w:hAnsi="SimSun" w:cs="SimSun"/>
                <w:b/>
                <w:bCs/>
                <w:color w:val="000000"/>
                <w:spacing w:val="0"/>
                <w:w w:val="100"/>
                <w:position w:val="0"/>
                <w:sz w:val="15"/>
                <w:szCs w:val="15"/>
              </w:rPr>
              <w:t>年</w:t>
            </w:r>
          </w:p>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 合并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 xml:space="preserve">2021 </w:t>
            </w:r>
            <w:r>
              <w:rPr>
                <w:rFonts w:ascii="SimSun" w:eastAsia="SimSun" w:hAnsi="SimSun" w:cs="SimSun"/>
                <w:b/>
                <w:bCs/>
                <w:color w:val="000000"/>
                <w:spacing w:val="0"/>
                <w:w w:val="100"/>
                <w:position w:val="0"/>
                <w:sz w:val="15"/>
                <w:szCs w:val="15"/>
              </w:rPr>
              <w:t>年</w:t>
            </w:r>
          </w:p>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 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 xml:space="preserve">2020 </w:t>
            </w:r>
            <w:r>
              <w:rPr>
                <w:rFonts w:ascii="SimSun" w:eastAsia="SimSun" w:hAnsi="SimSun" w:cs="SimSun"/>
                <w:b/>
                <w:bCs/>
                <w:color w:val="000000"/>
                <w:spacing w:val="0"/>
                <w:w w:val="100"/>
                <w:position w:val="0"/>
                <w:sz w:val="15"/>
                <w:szCs w:val="15"/>
              </w:rPr>
              <w:t>年</w:t>
            </w:r>
          </w:p>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 公司</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30,094,393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23,745,691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28,630,375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13,330,086</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16,867,504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21,021,224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19,512,115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20,547,201</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20,135,826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31,051,572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69,564,270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83,125,458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488,121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286,609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31,112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35,710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10,058,256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11,518,134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79,405,674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75,641,829</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871,908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942,048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94,584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71,976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1,318,892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900,749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121,108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121,707</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16,454,591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15,800,050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5,306,495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6,632,184</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13,207,884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17,684,600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3,389,282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11,406,698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776,081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1,651,050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30,929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67,117</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110,273,456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124,601,727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206,085,944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210,979,966</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应付债券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533,300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499,777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533,300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499,777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租赁负债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24,375,629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98,731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908,708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986,801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380,000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380,000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634,495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858,156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48,302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49,609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递延所得税负债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2,077,166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6,886,085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1,484,590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906,581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1,410,851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134,238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67,209</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29,435,879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10,641,670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1,194,571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2,481,185</w:t>
            </w: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139,709,335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135,243,397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207,280,515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213,461,151</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9,310,040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9,310,040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9,310,040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9,310,040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33,103,448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33,228,244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36,967,741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37,092,537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(2,009,568)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(2,305,900)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(2,009,568)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(2,305,900)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(2,968,096)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(1,355,258)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(2,012,874)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(1,094,266)</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1,809,757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1,809,757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1,809,757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1,809,757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302,296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136,665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302,296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136,665</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累计亏损</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(7,449,817)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36,033,899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(8,091,022)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8,251,892</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归属于本公司股东权益合计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32,098,060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76,857,447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36,276,370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53,200,725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少数股东权益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六⑴</w:t>
            </w:r>
            <w:r>
              <w:rPr>
                <w:rFonts w:ascii="Arial" w:eastAsia="Arial" w:hAnsi="Arial" w:cs="Arial"/>
                <w:color w:val="000000"/>
                <w:spacing w:val="0"/>
                <w:w w:val="100"/>
                <w:position w:val="0"/>
                <w:sz w:val="16"/>
                <w:szCs w:val="16"/>
              </w:rPr>
              <w:t>(b)</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(1,069,309)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(25,644)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31,028,751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76,831,803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36,276,370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53,200,725</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负债及股东权益总计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170,738,086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212,075,200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243,556,885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266,661,876</w:t>
            </w:r>
          </w:p>
        </w:tc>
      </w:tr>
    </w:tbl>
    <w:p>
      <w:pPr>
        <w:widowControl w:val="0"/>
        <w:spacing w:after="359" w:line="1" w:lineRule="exact"/>
      </w:pP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line="1" w:lineRule="exact"/>
      </w:pPr>
      <w:r>
        <mc:AlternateContent>
          <mc:Choice Requires="wps">
            <w:drawing>
              <wp:anchor distT="114300" distB="3175" distL="0" distR="0" simplePos="0" relativeHeight="125829384" behindDoc="0" locked="0" layoutInCell="1" allowOverlap="1">
                <wp:simplePos x="0" y="0"/>
                <wp:positionH relativeFrom="page">
                  <wp:posOffset>1060450</wp:posOffset>
                </wp:positionH>
                <wp:positionV relativeFrom="paragraph">
                  <wp:posOffset>114300</wp:posOffset>
                </wp:positionV>
                <wp:extent cx="999490" cy="146050"/>
                <wp:wrapTopAndBottom/>
                <wp:docPr id="12" name="Shape 12"/>
                <a:graphic xmlns:a="http://schemas.openxmlformats.org/drawingml/2006/main">
                  <a:graphicData uri="http://schemas.microsoft.com/office/word/2010/wordprocessingShape">
                    <wps:wsp>
                      <wps:cNvSpPr txBox="1"/>
                      <wps:spPr>
                        <a:xfrm>
                          <a:ext cx="999490" cy="1460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企业负责人：任峻</w:t>
                            </w:r>
                          </w:p>
                        </w:txbxContent>
                      </wps:txbx>
                      <wps:bodyPr wrap="none" lIns="0" tIns="0" rIns="0" bIns="0">
                        <a:noAutoFit/>
                      </wps:bodyPr>
                    </wps:wsp>
                  </a:graphicData>
                </a:graphic>
              </wp:anchor>
            </w:drawing>
          </mc:Choice>
          <mc:Fallback>
            <w:pict>
              <v:shape id="_x0000_s1038" type="#_x0000_t202" style="position:absolute;margin-left:83.5pt;margin-top:9.pt;width:78.700000000000003pt;height:11.5pt;z-index:-125829369;mso-wrap-distance-left:0;mso-wrap-distance-top:9.pt;mso-wrap-distance-right:0;mso-wrap-distance-bottom:0.2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企业负责人：任峻</w:t>
                      </w:r>
                    </w:p>
                  </w:txbxContent>
                </v:textbox>
                <w10:wrap type="topAndBottom" anchorx="page"/>
              </v:shape>
            </w:pict>
          </mc:Fallback>
        </mc:AlternateContent>
      </w:r>
      <w:r>
        <mc:AlternateContent>
          <mc:Choice Requires="wps">
            <w:drawing>
              <wp:anchor distT="114300" distB="3175" distL="0" distR="0" simplePos="0" relativeHeight="125829386" behindDoc="0" locked="0" layoutInCell="1" allowOverlap="1">
                <wp:simplePos x="0" y="0"/>
                <wp:positionH relativeFrom="page">
                  <wp:posOffset>2895600</wp:posOffset>
                </wp:positionH>
                <wp:positionV relativeFrom="paragraph">
                  <wp:posOffset>114300</wp:posOffset>
                </wp:positionV>
                <wp:extent cx="1508760" cy="146050"/>
                <wp:wrapTopAndBottom/>
                <wp:docPr id="14" name="Shape 1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主管会计工作的负责人：黄巍</w:t>
                            </w:r>
                          </w:p>
                        </w:txbxContent>
                      </wps:txbx>
                      <wps:bodyPr wrap="none" lIns="0" tIns="0" rIns="0" bIns="0">
                        <a:noAutoFit/>
                      </wps:bodyPr>
                    </wps:wsp>
                  </a:graphicData>
                </a:graphic>
              </wp:anchor>
            </w:drawing>
          </mc:Choice>
          <mc:Fallback>
            <w:pict>
              <v:shape id="_x0000_s1040" type="#_x0000_t202" style="position:absolute;margin-left:228.pt;margin-top:9.pt;width:118.8pt;height:11.5pt;z-index:-125829367;mso-wrap-distance-left:0;mso-wrap-distance-top:9.pt;mso-wrap-distance-right:0;mso-wrap-distance-bottom:0.2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主管会计工作的负责人：黄巍</w:t>
                      </w:r>
                    </w:p>
                  </w:txbxContent>
                </v:textbox>
                <w10:wrap type="topAndBottom" anchorx="page"/>
              </v:shape>
            </w:pict>
          </mc:Fallback>
        </mc:AlternateContent>
      </w:r>
      <w:r>
        <mc:AlternateContent>
          <mc:Choice Requires="wps">
            <w:drawing>
              <wp:anchor distT="114300" distB="0" distL="0" distR="0" simplePos="0" relativeHeight="125829388" behindDoc="0" locked="0" layoutInCell="1" allowOverlap="1">
                <wp:simplePos x="0" y="0"/>
                <wp:positionH relativeFrom="page">
                  <wp:posOffset>5349240</wp:posOffset>
                </wp:positionH>
                <wp:positionV relativeFrom="paragraph">
                  <wp:posOffset>114300</wp:posOffset>
                </wp:positionV>
                <wp:extent cx="1283335" cy="149225"/>
                <wp:wrapTopAndBottom/>
                <wp:docPr id="16" name="Shape 1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会计机构负责人：华志松</w:t>
                            </w:r>
                          </w:p>
                        </w:txbxContent>
                      </wps:txbx>
                      <wps:bodyPr wrap="none" lIns="0" tIns="0" rIns="0" bIns="0">
                        <a:noAutoFit/>
                      </wps:bodyPr>
                    </wps:wsp>
                  </a:graphicData>
                </a:graphic>
              </wp:anchor>
            </w:drawing>
          </mc:Choice>
          <mc:Fallback>
            <w:pict>
              <v:shape id="_x0000_s1042" type="#_x0000_t202" style="position:absolute;margin-left:421.19999999999999pt;margin-top:9.pt;width:101.05pt;height:11.75pt;z-index:-125829365;mso-wrap-distance-left:0;mso-wrap-distance-top:9.pt;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会计机构负责人：华志松</w:t>
                      </w:r>
                    </w:p>
                  </w:txbxContent>
                </v:textbox>
                <w10:wrap type="topAndBottom" anchorx="page"/>
              </v:shape>
            </w:pict>
          </mc:Fallback>
        </mc:AlternateContent>
      </w:r>
      <w:r>
        <w:br w:type="page"/>
      </w:r>
    </w:p>
    <w:tbl>
      <w:tblPr>
        <w:tblOverlap w:val="never"/>
        <w:jc w:val="center"/>
        <w:tblLayout w:type="fixed"/>
      </w:tblPr>
      <w:tblGrid>
        <w:gridCol w:w="3062"/>
        <w:gridCol w:w="1138"/>
        <w:gridCol w:w="1133"/>
        <w:gridCol w:w="1133"/>
        <w:gridCol w:w="1133"/>
        <w:gridCol w:w="1147"/>
      </w:tblGrid>
      <w:tr>
        <w:trPr>
          <w:trHeight w:val="432" w:hRule="exact"/>
        </w:trPr>
        <w:tc>
          <w:tcPr>
            <w:tcBorders>
              <w:top w:val="single" w:sz="4"/>
              <w:left w:val="single" w:sz="4"/>
            </w:tcBorders>
            <w:shd w:val="clear" w:color="auto" w:fill="FFFFFF"/>
            <w:vAlign w:val="bottom"/>
          </w:tcPr>
          <w:p>
            <w:pPr>
              <w:pStyle w:val="Style29"/>
              <w:keepNext w:val="0"/>
              <w:keepLines w:val="0"/>
              <w:widowControl w:val="0"/>
              <w:shd w:val="clear" w:color="auto" w:fill="auto"/>
              <w:tabs>
                <w:tab w:pos="816" w:val="left"/>
              </w:tabs>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项</w:t>
              <w:tab/>
              <w:t>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2021</w:t>
            </w:r>
            <w:r>
              <w:rPr>
                <w:rFonts w:ascii="SimSun" w:eastAsia="SimSun" w:hAnsi="SimSun" w:cs="SimSun"/>
                <w:b/>
                <w:bCs/>
                <w:color w:val="000000"/>
                <w:spacing w:val="0"/>
                <w:w w:val="100"/>
                <w:position w:val="0"/>
                <w:sz w:val="15"/>
                <w:szCs w:val="15"/>
              </w:rPr>
              <w:t>年度 合并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2020</w:t>
            </w:r>
            <w:r>
              <w:rPr>
                <w:rFonts w:ascii="SimSun" w:eastAsia="SimSun" w:hAnsi="SimSun" w:cs="SimSun"/>
                <w:b/>
                <w:bCs/>
                <w:color w:val="000000"/>
                <w:spacing w:val="0"/>
                <w:w w:val="100"/>
                <w:position w:val="0"/>
                <w:sz w:val="15"/>
                <w:szCs w:val="15"/>
              </w:rPr>
              <w:t>年度 合并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2021</w:t>
            </w:r>
            <w:r>
              <w:rPr>
                <w:rFonts w:ascii="SimSun" w:eastAsia="SimSun" w:hAnsi="SimSun" w:cs="SimSun"/>
                <w:b/>
                <w:bCs/>
                <w:color w:val="000000"/>
                <w:spacing w:val="0"/>
                <w:w w:val="100"/>
                <w:position w:val="0"/>
                <w:sz w:val="15"/>
                <w:szCs w:val="15"/>
              </w:rPr>
              <w:t>年度 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right"/>
              <w:rPr>
                <w:sz w:val="15"/>
                <w:szCs w:val="15"/>
              </w:rPr>
            </w:pPr>
            <w:r>
              <w:rPr>
                <w:rFonts w:ascii="Arial" w:eastAsia="Arial" w:hAnsi="Arial" w:cs="Arial"/>
                <w:color w:val="000000"/>
                <w:spacing w:val="0"/>
                <w:w w:val="100"/>
                <w:position w:val="0"/>
                <w:sz w:val="16"/>
                <w:szCs w:val="16"/>
              </w:rPr>
              <w:t>2020</w:t>
            </w:r>
            <w:r>
              <w:rPr>
                <w:rFonts w:ascii="SimSun" w:eastAsia="SimSun" w:hAnsi="SimSun" w:cs="SimSun"/>
                <w:b/>
                <w:bCs/>
                <w:color w:val="000000"/>
                <w:spacing w:val="0"/>
                <w:w w:val="100"/>
                <w:position w:val="0"/>
                <w:sz w:val="15"/>
                <w:szCs w:val="15"/>
              </w:rPr>
              <w:t>年度 公司</w:t>
            </w: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一、营业收入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（46）</w:t>
            </w:r>
            <w:r>
              <w:rPr>
                <w:rFonts w:ascii="SimSun" w:eastAsia="SimSun" w:hAnsi="SimSun" w:cs="SimSun"/>
                <w:color w:val="000000"/>
                <w:spacing w:val="0"/>
                <w:w w:val="100"/>
                <w:position w:val="0"/>
                <w:sz w:val="15"/>
                <w:szCs w:val="15"/>
              </w:rPr>
              <w:t>、十六</w:t>
            </w:r>
            <w:r>
              <w:rPr>
                <w:rFonts w:ascii="Arial" w:eastAsia="Arial" w:hAnsi="Arial" w:cs="Arial"/>
                <w:color w:val="000000"/>
                <w:spacing w:val="0"/>
                <w:w w:val="100"/>
                <w:position w:val="0"/>
                <w:sz w:val="16"/>
                <w:szCs w:val="16"/>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138,904,337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252,295,666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95,277,139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171,495,259</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减：营业成本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（46）</w:t>
            </w:r>
            <w:r>
              <w:rPr>
                <w:rFonts w:ascii="SimSun" w:eastAsia="SimSun" w:hAnsi="SimSun" w:cs="SimSun"/>
                <w:color w:val="000000"/>
                <w:spacing w:val="0"/>
                <w:w w:val="100"/>
                <w:position w:val="0"/>
                <w:sz w:val="15"/>
                <w:szCs w:val="15"/>
              </w:rPr>
              <w:t>、十六</w:t>
            </w:r>
            <w:r>
              <w:rPr>
                <w:rFonts w:ascii="Arial" w:eastAsia="Arial" w:hAnsi="Arial" w:cs="Arial"/>
                <w:color w:val="000000"/>
                <w:spacing w:val="0"/>
                <w:w w:val="100"/>
                <w:position w:val="0"/>
                <w:sz w:val="16"/>
                <w:szCs w:val="16"/>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(129,738,157)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(224,577,397)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(94,901,511)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(163,974,211)</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税金及附加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(658,598)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(972,775)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(73,880)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(55,129)</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(19,919,713)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(25,676,511)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(3,457,355)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(5,236,334)</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(4,151,839)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(4,659,720)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(1,289,405)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(1,364,514)</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研发费用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(1,911,560)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(2,263,933)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(88,042)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(434,451)</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财务费用净额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(3,622,162)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(1,965,424)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(757,788)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(1,156,007)</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5"/>
                <w:szCs w:val="15"/>
              </w:rPr>
            </w:pPr>
            <w:r>
              <w:rPr>
                <w:rFonts w:ascii="SimSun" w:eastAsia="SimSun" w:hAnsi="SimSun" w:cs="SimSun"/>
                <w:color w:val="000000"/>
                <w:spacing w:val="0"/>
                <w:w w:val="100"/>
                <w:position w:val="0"/>
                <w:sz w:val="15"/>
                <w:szCs w:val="15"/>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(3,684,532)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(2,137,715)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(981,742)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(1,553,744)</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5"/>
                <w:szCs w:val="15"/>
              </w:rPr>
            </w:pPr>
            <w:r>
              <w:rPr>
                <w:rFonts w:ascii="SimSun" w:eastAsia="SimSun" w:hAnsi="SimSun" w:cs="SimSun"/>
                <w:color w:val="000000"/>
                <w:spacing w:val="0"/>
                <w:w w:val="100"/>
                <w:position w:val="0"/>
                <w:sz w:val="15"/>
                <w:szCs w:val="15"/>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300,378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562,209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217,270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248,603</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加：投资</w:t>
            </w:r>
            <w:r>
              <w:rPr>
                <w:rFonts w:ascii="SimSun" w:eastAsia="SimSun" w:hAnsi="SimSun" w:cs="SimSun"/>
                <w:b/>
                <w:bCs/>
                <w:color w:val="000000"/>
                <w:spacing w:val="0"/>
                <w:w w:val="100"/>
                <w:position w:val="0"/>
                <w:sz w:val="15"/>
                <w:szCs w:val="15"/>
              </w:rPr>
              <w:t>（</w:t>
            </w:r>
            <w:r>
              <w:rPr>
                <w:rFonts w:ascii="SimSun" w:eastAsia="SimSun" w:hAnsi="SimSun" w:cs="SimSun"/>
                <w:color w:val="000000"/>
                <w:spacing w:val="0"/>
                <w:w w:val="100"/>
                <w:position w:val="0"/>
                <w:sz w:val="15"/>
                <w:szCs w:val="15"/>
              </w:rPr>
              <w:t>损失</w:t>
            </w:r>
            <w:r>
              <w:rPr>
                <w:rFonts w:ascii="SimSun" w:eastAsia="SimSun" w:hAnsi="SimSun" w:cs="SimSun"/>
                <w:b/>
                <w:bCs/>
                <w:color w:val="000000"/>
                <w:spacing w:val="0"/>
                <w:w w:val="100"/>
                <w:position w:val="0"/>
                <w:sz w:val="15"/>
                <w:szCs w:val="15"/>
              </w:rPr>
              <w:t>）/</w:t>
            </w:r>
            <w:r>
              <w:rPr>
                <w:rFonts w:ascii="SimSun" w:eastAsia="SimSun" w:hAnsi="SimSun" w:cs="SimSun"/>
                <w:color w:val="000000"/>
                <w:spacing w:val="0"/>
                <w:w w:val="100"/>
                <w:position w:val="0"/>
                <w:sz w:val="15"/>
                <w:szCs w:val="15"/>
              </w:rPr>
              <w:t>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（56）</w:t>
            </w:r>
            <w:r>
              <w:rPr>
                <w:rFonts w:ascii="SimSun" w:eastAsia="SimSun" w:hAnsi="SimSun" w:cs="SimSun"/>
                <w:color w:val="000000"/>
                <w:spacing w:val="0"/>
                <w:w w:val="100"/>
                <w:position w:val="0"/>
                <w:sz w:val="15"/>
                <w:szCs w:val="15"/>
              </w:rPr>
              <w:t>、十六</w:t>
            </w:r>
            <w:r>
              <w:rPr>
                <w:rFonts w:ascii="Arial" w:eastAsia="Arial" w:hAnsi="Arial" w:cs="Arial"/>
                <w:color w:val="000000"/>
                <w:spacing w:val="0"/>
                <w:w w:val="100"/>
                <w:position w:val="0"/>
                <w:sz w:val="16"/>
                <w:szCs w:val="16"/>
              </w:rPr>
              <w:t>（6）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(11,686,618)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2,213,662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(2,490,123)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1,825,076</w:t>
            </w:r>
          </w:p>
        </w:tc>
      </w:tr>
      <w:tr>
        <w:trPr>
          <w:trHeight w:val="40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11" w:lineRule="exact"/>
              <w:ind w:left="1440" w:right="0" w:hanging="640"/>
              <w:jc w:val="left"/>
              <w:rPr>
                <w:sz w:val="15"/>
                <w:szCs w:val="15"/>
              </w:rPr>
            </w:pPr>
            <w:r>
              <w:rPr>
                <w:rFonts w:ascii="SimSun" w:eastAsia="SimSun" w:hAnsi="SimSun" w:cs="SimSun"/>
                <w:color w:val="000000"/>
                <w:spacing w:val="0"/>
                <w:w w:val="100"/>
                <w:position w:val="0"/>
                <w:sz w:val="15"/>
                <w:szCs w:val="15"/>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(14,033,112)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14,118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(3,402,426)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743,780</w:t>
            </w:r>
          </w:p>
        </w:tc>
      </w:tr>
      <w:tr>
        <w:trPr>
          <w:trHeight w:val="41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92" w:lineRule="exact"/>
              <w:ind w:left="620" w:right="0" w:firstLine="660"/>
              <w:jc w:val="left"/>
              <w:rPr>
                <w:sz w:val="15"/>
                <w:szCs w:val="15"/>
              </w:rPr>
            </w:pPr>
            <w:r>
              <w:rPr>
                <w:rFonts w:ascii="SimSun" w:eastAsia="SimSun" w:hAnsi="SimSun" w:cs="SimSun"/>
                <w:color w:val="000000"/>
                <w:spacing w:val="0"/>
                <w:w w:val="100"/>
                <w:position w:val="0"/>
                <w:sz w:val="15"/>
                <w:szCs w:val="15"/>
              </w:rPr>
              <w:t>以摊余成本计量的金融资 产终止确认损益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(15,794)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(76,286)</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公允价值变动</w:t>
            </w:r>
            <w:r>
              <w:rPr>
                <w:rFonts w:ascii="SimSun" w:eastAsia="SimSun" w:hAnsi="SimSun" w:cs="SimSun"/>
                <w:b/>
                <w:bCs/>
                <w:color w:val="000000"/>
                <w:spacing w:val="0"/>
                <w:w w:val="100"/>
                <w:position w:val="0"/>
                <w:sz w:val="15"/>
                <w:szCs w:val="15"/>
              </w:rPr>
              <w:t>（</w:t>
            </w:r>
            <w:r>
              <w:rPr>
                <w:rFonts w:ascii="SimSun" w:eastAsia="SimSun" w:hAnsi="SimSun" w:cs="SimSun"/>
                <w:color w:val="000000"/>
                <w:spacing w:val="0"/>
                <w:w w:val="100"/>
                <w:position w:val="0"/>
                <w:sz w:val="15"/>
                <w:szCs w:val="15"/>
              </w:rPr>
              <w:t>损失</w:t>
            </w:r>
            <w:r>
              <w:rPr>
                <w:rFonts w:ascii="SimSun" w:eastAsia="SimSun" w:hAnsi="SimSun" w:cs="SimSun"/>
                <w:b/>
                <w:bCs/>
                <w:color w:val="000000"/>
                <w:spacing w:val="0"/>
                <w:w w:val="100"/>
                <w:position w:val="0"/>
                <w:sz w:val="15"/>
                <w:szCs w:val="15"/>
              </w:rPr>
              <w:t>）/</w:t>
            </w:r>
            <w:r>
              <w:rPr>
                <w:rFonts w:ascii="SimSun" w:eastAsia="SimSun" w:hAnsi="SimSun" w:cs="SimSun"/>
                <w:color w:val="000000"/>
                <w:spacing w:val="0"/>
                <w:w w:val="100"/>
                <w:position w:val="0"/>
                <w:sz w:val="15"/>
                <w:szCs w:val="15"/>
              </w:rPr>
              <w:t>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(124,363)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467,280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(290,604)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(61,352)</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信用减值</w:t>
            </w:r>
            <w:r>
              <w:rPr>
                <w:rFonts w:ascii="SimSun" w:eastAsia="SimSun" w:hAnsi="SimSun" w:cs="SimSun"/>
                <w:b/>
                <w:bCs/>
                <w:color w:val="000000"/>
                <w:spacing w:val="0"/>
                <w:w w:val="100"/>
                <w:position w:val="0"/>
                <w:sz w:val="15"/>
                <w:szCs w:val="15"/>
              </w:rPr>
              <w:t>（</w:t>
            </w:r>
            <w:r>
              <w:rPr>
                <w:rFonts w:ascii="SimSun" w:eastAsia="SimSun" w:hAnsi="SimSun" w:cs="SimSun"/>
                <w:color w:val="000000"/>
                <w:spacing w:val="0"/>
                <w:w w:val="100"/>
                <w:position w:val="0"/>
                <w:sz w:val="15"/>
                <w:szCs w:val="15"/>
              </w:rPr>
              <w:t>损失</w:t>
            </w:r>
            <w:r>
              <w:rPr>
                <w:rFonts w:ascii="SimSun" w:eastAsia="SimSun" w:hAnsi="SimSun" w:cs="SimSun"/>
                <w:b/>
                <w:bCs/>
                <w:color w:val="000000"/>
                <w:spacing w:val="0"/>
                <w:w w:val="100"/>
                <w:position w:val="0"/>
                <w:sz w:val="15"/>
                <w:szCs w:val="15"/>
              </w:rPr>
              <w:t>）/</w:t>
            </w:r>
            <w:r>
              <w:rPr>
                <w:rFonts w:ascii="SimSun" w:eastAsia="SimSun" w:hAnsi="SimSun" w:cs="SimSun"/>
                <w:color w:val="000000"/>
                <w:spacing w:val="0"/>
                <w:w w:val="100"/>
                <w:position w:val="0"/>
                <w:sz w:val="15"/>
                <w:szCs w:val="15"/>
              </w:rPr>
              <w:t>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(23)</w:t>
            </w: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(2,831,436)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(411,638)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(482,337)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4,861</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资产减值损失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(23)</w:t>
            </w: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(16,385,309)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(2,187,961)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(9,917,281)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(396,644)</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资产处置收益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99,161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35,646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126,668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17,747</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其他收益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351,223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839,297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55,050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110,684</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二、营业（亏损）/利润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(51,675,034)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(6,863,808)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(18,289,469)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774,985</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5"/>
                <w:szCs w:val="15"/>
              </w:rPr>
            </w:pPr>
            <w:r>
              <w:rPr>
                <w:rFonts w:ascii="SimSun" w:eastAsia="SimSun" w:hAnsi="SimSun" w:cs="SimSun"/>
                <w:color w:val="000000"/>
                <w:spacing w:val="0"/>
                <w:w w:val="100"/>
                <w:position w:val="0"/>
                <w:sz w:val="15"/>
                <w:szCs w:val="15"/>
              </w:rPr>
              <w:t>加：营业外收入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443,114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425,075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122,784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29,677</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5"/>
                <w:szCs w:val="15"/>
              </w:rPr>
            </w:pPr>
            <w:r>
              <w:rPr>
                <w:rFonts w:ascii="SimSun" w:eastAsia="SimSun" w:hAnsi="SimSun" w:cs="SimSun"/>
                <w:color w:val="000000"/>
                <w:spacing w:val="0"/>
                <w:w w:val="100"/>
                <w:position w:val="0"/>
                <w:sz w:val="15"/>
                <w:szCs w:val="15"/>
              </w:rPr>
              <w:t>减：营业外支出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(841,491)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(461,908)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(42,055)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(96,246)</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三、（亏损）俐润总额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(52,073,411)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(6,900,641)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(18,208,740)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708,416</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5"/>
                <w:szCs w:val="15"/>
              </w:rPr>
            </w:pPr>
            <w:r>
              <w:rPr>
                <w:rFonts w:ascii="SimSun" w:eastAsia="SimSun" w:hAnsi="SimSun" w:cs="SimSun"/>
                <w:color w:val="000000"/>
                <w:spacing w:val="0"/>
                <w:w w:val="100"/>
                <w:position w:val="0"/>
                <w:sz w:val="15"/>
                <w:szCs w:val="15"/>
              </w:rPr>
              <w:t>减：所得税费用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7,894,050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1,542,775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2,026,073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121,160</w:t>
            </w: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四、净（亏损）俐润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(44,179,361)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(5,357,866)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(16,182,667)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829,576</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归属于本公司股东的净</w:t>
            </w:r>
            <w:r>
              <w:rPr>
                <w:rFonts w:ascii="SimSun" w:eastAsia="SimSun" w:hAnsi="SimSun" w:cs="SimSun"/>
                <w:b/>
                <w:bCs/>
                <w:color w:val="000000"/>
                <w:spacing w:val="0"/>
                <w:w w:val="100"/>
                <w:position w:val="0"/>
                <w:sz w:val="15"/>
                <w:szCs w:val="15"/>
              </w:rPr>
              <w:t>（</w:t>
            </w:r>
            <w:r>
              <w:rPr>
                <w:rFonts w:ascii="SimSun" w:eastAsia="SimSun" w:hAnsi="SimSun" w:cs="SimSun"/>
                <w:color w:val="000000"/>
                <w:spacing w:val="0"/>
                <w:w w:val="100"/>
                <w:position w:val="0"/>
                <w:sz w:val="15"/>
                <w:szCs w:val="15"/>
              </w:rPr>
              <w:t>亏损</w:t>
            </w:r>
            <w:r>
              <w:rPr>
                <w:rFonts w:ascii="SimSun" w:eastAsia="SimSun" w:hAnsi="SimSun" w:cs="SimSun"/>
                <w:b/>
                <w:bCs/>
                <w:color w:val="000000"/>
                <w:spacing w:val="0"/>
                <w:w w:val="100"/>
                <w:position w:val="0"/>
                <w:sz w:val="15"/>
                <w:szCs w:val="15"/>
              </w:rPr>
              <w:t>）/</w:t>
            </w:r>
            <w:r>
              <w:rPr>
                <w:rFonts w:ascii="SimSun" w:eastAsia="SimSun" w:hAnsi="SimSun" w:cs="SimSun"/>
                <w:color w:val="000000"/>
                <w:spacing w:val="0"/>
                <w:w w:val="100"/>
                <w:position w:val="0"/>
                <w:sz w:val="15"/>
                <w:szCs w:val="15"/>
              </w:rPr>
              <w:t>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(43,264,609)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(4,274,696)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(16,182,667)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829,576</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少数股东损益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六⑴</w:t>
            </w:r>
            <w:r>
              <w:rPr>
                <w:rFonts w:ascii="Arial" w:eastAsia="Arial" w:hAnsi="Arial" w:cs="Arial"/>
                <w:color w:val="000000"/>
                <w:spacing w:val="0"/>
                <w:w w:val="100"/>
                <w:position w:val="0"/>
                <w:sz w:val="16"/>
                <w:szCs w:val="16"/>
              </w:rPr>
              <w:t>(b)</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(914,752)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(1,083,170)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五、其他综合收益的税后净额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(1,666,277)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(1,652,226)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(913,224)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(476,229)</w:t>
            </w:r>
          </w:p>
        </w:tc>
      </w:tr>
      <w:tr>
        <w:trPr>
          <w:trHeight w:val="40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5"/>
                <w:szCs w:val="15"/>
              </w:rPr>
            </w:pPr>
            <w:r>
              <w:rPr>
                <w:rFonts w:ascii="SimSun" w:eastAsia="SimSun" w:hAnsi="SimSun" w:cs="SimSun"/>
                <w:color w:val="000000"/>
                <w:spacing w:val="0"/>
                <w:w w:val="100"/>
                <w:position w:val="0"/>
                <w:sz w:val="15"/>
                <w:szCs w:val="15"/>
              </w:rPr>
              <w:t>归属于本公司股东的其他综合收益的</w:t>
            </w:r>
          </w:p>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(1,666,314)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(1,652,332)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(913,224)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(476,229)</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(642,054)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(1,160,456)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(18,168)</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(18,168)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(18,168)</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4,607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(643,443)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(1,146,895)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(1,024,260)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(491,876)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(913,753)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(458,061)</w:t>
            </w:r>
          </w:p>
        </w:tc>
      </w:tr>
      <w:tr>
        <w:trPr>
          <w:trHeight w:val="40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11" w:lineRule="exact"/>
              <w:ind w:left="800" w:right="0" w:hanging="160"/>
              <w:jc w:val="left"/>
              <w:rPr>
                <w:sz w:val="15"/>
                <w:szCs w:val="15"/>
              </w:rPr>
            </w:pPr>
            <w:r>
              <w:rPr>
                <w:rFonts w:ascii="SimSun" w:eastAsia="SimSun" w:hAnsi="SimSun" w:cs="SimSun"/>
                <w:color w:val="000000"/>
                <w:spacing w:val="0"/>
                <w:w w:val="100"/>
                <w:position w:val="0"/>
                <w:sz w:val="15"/>
                <w:szCs w:val="15"/>
              </w:rPr>
              <w:t>权益法下不能转损益的其他综合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(1,024,260)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(491,876)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(913,753)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(458,061)</w:t>
            </w:r>
          </w:p>
        </w:tc>
      </w:tr>
      <w:tr>
        <w:trPr>
          <w:trHeight w:val="40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归属于少数股东的其他综合收益的税后</w:t>
            </w:r>
          </w:p>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(45,845,638)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(7,010,092)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(17,095,891)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353,347</w:t>
            </w: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归属于本公司股东的综合收益总额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(44,930,923)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(5,927,028)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(17,095,891)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353,347</w:t>
            </w:r>
          </w:p>
        </w:tc>
      </w:tr>
      <w:tr>
        <w:trPr>
          <w:trHeight w:val="2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(914,715)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(1,083,064)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基本每股收益</w:t>
            </w:r>
            <w:r>
              <w:rPr>
                <w:rFonts w:ascii="SimSun" w:eastAsia="SimSun" w:hAnsi="SimSun" w:cs="SimSun"/>
                <w:b/>
                <w:bCs/>
                <w:color w:val="000000"/>
                <w:spacing w:val="0"/>
                <w:w w:val="100"/>
                <w:position w:val="0"/>
                <w:sz w:val="15"/>
                <w:szCs w:val="15"/>
              </w:rPr>
              <w:t>（</w:t>
            </w:r>
            <w:r>
              <w:rPr>
                <w:rFonts w:ascii="SimSun" w:eastAsia="SimSun" w:hAnsi="SimSun" w:cs="SimSun"/>
                <w:color w:val="000000"/>
                <w:spacing w:val="0"/>
                <w:w w:val="100"/>
                <w:position w:val="0"/>
                <w:sz w:val="15"/>
                <w:szCs w:val="15"/>
              </w:rPr>
              <w:t>人民币元</w:t>
            </w:r>
            <w:r>
              <w:rPr>
                <w:rFonts w:ascii="SimSun" w:eastAsia="SimSun" w:hAnsi="SimSun" w:cs="SimSun"/>
                <w:b/>
                <w:bCs/>
                <w:color w:val="000000"/>
                <w:spacing w:val="0"/>
                <w:w w:val="100"/>
                <w:position w:val="0"/>
                <w:sz w:val="15"/>
                <w:szCs w:val="15"/>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不适用</w:t>
            </w:r>
          </w:p>
        </w:tc>
      </w:tr>
      <w:tr>
        <w:trPr>
          <w:trHeight w:val="22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稀释每股收益</w:t>
            </w:r>
            <w:r>
              <w:rPr>
                <w:rFonts w:ascii="SimSun" w:eastAsia="SimSun" w:hAnsi="SimSun" w:cs="SimSun"/>
                <w:b/>
                <w:bCs/>
                <w:color w:val="000000"/>
                <w:spacing w:val="0"/>
                <w:w w:val="100"/>
                <w:position w:val="0"/>
                <w:sz w:val="15"/>
                <w:szCs w:val="15"/>
              </w:rPr>
              <w:t>（</w:t>
            </w:r>
            <w:r>
              <w:rPr>
                <w:rFonts w:ascii="SimSun" w:eastAsia="SimSun" w:hAnsi="SimSun" w:cs="SimSun"/>
                <w:color w:val="000000"/>
                <w:spacing w:val="0"/>
                <w:w w:val="100"/>
                <w:position w:val="0"/>
                <w:sz w:val="15"/>
                <w:szCs w:val="15"/>
              </w:rPr>
              <w:t>人民币元</w:t>
            </w:r>
            <w:r>
              <w:rPr>
                <w:rFonts w:ascii="SimSun" w:eastAsia="SimSun" w:hAnsi="SimSun" w:cs="SimSun"/>
                <w:b/>
                <w:bCs/>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不适用</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mc:AlternateContent>
          <mc:Choice Requires="wps">
            <w:drawing>
              <wp:anchor distT="114300" distB="3175" distL="114300" distR="4628515" simplePos="0" relativeHeight="125829390" behindDoc="0" locked="0" layoutInCell="1" allowOverlap="1">
                <wp:simplePos x="0" y="0"/>
                <wp:positionH relativeFrom="page">
                  <wp:posOffset>1059180</wp:posOffset>
                </wp:positionH>
                <wp:positionV relativeFrom="margin">
                  <wp:posOffset>8150225</wp:posOffset>
                </wp:positionV>
                <wp:extent cx="941705" cy="146050"/>
                <wp:wrapTopAndBottom/>
                <wp:docPr id="18" name="Shape 18"/>
                <a:graphic xmlns:a="http://schemas.openxmlformats.org/drawingml/2006/main">
                  <a:graphicData uri="http://schemas.microsoft.com/office/word/2010/wordprocessingShape">
                    <wps:wsp>
                      <wps:cNvSpPr txBox="1"/>
                      <wps:spPr>
                        <a:xfrm>
                          <a:ext cx="941705" cy="1460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企业负责人：任峻</w:t>
                            </w:r>
                          </w:p>
                        </w:txbxContent>
                      </wps:txbx>
                      <wps:bodyPr wrap="none" lIns="0" tIns="0" rIns="0" bIns="0">
                        <a:noAutoFit/>
                      </wps:bodyPr>
                    </wps:wsp>
                  </a:graphicData>
                </a:graphic>
              </wp:anchor>
            </w:drawing>
          </mc:Choice>
          <mc:Fallback>
            <w:pict>
              <v:shape id="_x0000_s1044" type="#_x0000_t202" style="position:absolute;margin-left:83.400000000000006pt;margin-top:641.75pt;width:74.150000000000006pt;height:11.5pt;z-index:-125829363;mso-wrap-distance-left:9.pt;mso-wrap-distance-top:9.pt;mso-wrap-distance-right:364.44999999999999pt;mso-wrap-distance-bottom:0.25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企业负责人：任峻</w:t>
                      </w:r>
                    </w:p>
                  </w:txbxContent>
                </v:textbox>
                <w10:wrap type="topAndBottom" anchorx="page" anchory="margin"/>
              </v:shape>
            </w:pict>
          </mc:Fallback>
        </mc:AlternateContent>
      </w:r>
      <w:r>
        <mc:AlternateContent>
          <mc:Choice Requires="wps">
            <w:drawing>
              <wp:anchor distT="114300" distB="3175" distL="1891030" distR="2284730" simplePos="0" relativeHeight="125829392" behindDoc="0" locked="0" layoutInCell="1" allowOverlap="1">
                <wp:simplePos x="0" y="0"/>
                <wp:positionH relativeFrom="page">
                  <wp:posOffset>2835910</wp:posOffset>
                </wp:positionH>
                <wp:positionV relativeFrom="margin">
                  <wp:posOffset>8150225</wp:posOffset>
                </wp:positionV>
                <wp:extent cx="1508760" cy="146050"/>
                <wp:wrapTopAndBottom/>
                <wp:docPr id="20" name="Shape 2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主管会计工作的负责人：黄巍</w:t>
                            </w:r>
                          </w:p>
                        </w:txbxContent>
                      </wps:txbx>
                      <wps:bodyPr wrap="none" lIns="0" tIns="0" rIns="0" bIns="0">
                        <a:noAutoFit/>
                      </wps:bodyPr>
                    </wps:wsp>
                  </a:graphicData>
                </a:graphic>
              </wp:anchor>
            </w:drawing>
          </mc:Choice>
          <mc:Fallback>
            <w:pict>
              <v:shape id="_x0000_s1046" type="#_x0000_t202" style="position:absolute;margin-left:223.30000000000001pt;margin-top:641.75pt;width:118.8pt;height:11.5pt;z-index:-125829361;mso-wrap-distance-left:148.90000000000001pt;mso-wrap-distance-top:9.pt;mso-wrap-distance-right:179.90000000000001pt;mso-wrap-distance-bottom:0.25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主管会计工作的负责人：黄巍</w:t>
                      </w:r>
                    </w:p>
                  </w:txbxContent>
                </v:textbox>
                <w10:wrap type="topAndBottom" anchorx="page" anchory="margin"/>
              </v:shape>
            </w:pict>
          </mc:Fallback>
        </mc:AlternateContent>
      </w:r>
      <w:r>
        <mc:AlternateContent>
          <mc:Choice Requires="wps">
            <w:drawing>
              <wp:anchor distT="114300" distB="0" distL="4286885" distR="114300" simplePos="0" relativeHeight="125829394" behindDoc="0" locked="0" layoutInCell="1" allowOverlap="1">
                <wp:simplePos x="0" y="0"/>
                <wp:positionH relativeFrom="page">
                  <wp:posOffset>5231765</wp:posOffset>
                </wp:positionH>
                <wp:positionV relativeFrom="margin">
                  <wp:posOffset>8150225</wp:posOffset>
                </wp:positionV>
                <wp:extent cx="1283335" cy="149225"/>
                <wp:wrapTopAndBottom/>
                <wp:docPr id="22" name="Shape 2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会计机构负责人：华志松</w:t>
                            </w:r>
                          </w:p>
                        </w:txbxContent>
                      </wps:txbx>
                      <wps:bodyPr wrap="none" lIns="0" tIns="0" rIns="0" bIns="0">
                        <a:noAutoFit/>
                      </wps:bodyPr>
                    </wps:wsp>
                  </a:graphicData>
                </a:graphic>
              </wp:anchor>
            </w:drawing>
          </mc:Choice>
          <mc:Fallback>
            <w:pict>
              <v:shape id="_x0000_s1048" type="#_x0000_t202" style="position:absolute;margin-left:411.94999999999999pt;margin-top:641.75pt;width:101.05pt;height:11.75pt;z-index:-125829359;mso-wrap-distance-left:337.55000000000001pt;mso-wrap-distance-top:9.pt;mso-wrap-distance-right:9.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会计机构负责人：华志松</w:t>
                      </w:r>
                    </w:p>
                  </w:txbxContent>
                </v:textbox>
                <w10:wrap type="topAndBottom" anchorx="page" anchory="margin"/>
              </v:shape>
            </w:pict>
          </mc:Fallback>
        </mc:AlternateContent>
      </w:r>
      <w:r>
        <w:rPr>
          <w:color w:val="000000"/>
          <w:spacing w:val="0"/>
          <w:w w:val="100"/>
          <w:position w:val="0"/>
          <w:sz w:val="18"/>
          <w:szCs w:val="18"/>
        </w:rPr>
        <w:t>后附财务报表附注为财务报表的组成部分。</w:t>
      </w:r>
    </w:p>
    <w:p>
      <w:pPr>
        <w:widowControl w:val="0"/>
        <w:spacing w:line="1" w:lineRule="exact"/>
      </w:pPr>
      <w:r>
        <w:br w:type="page"/>
      </w:r>
    </w:p>
    <w:tbl>
      <w:tblPr>
        <w:tblOverlap w:val="never"/>
        <w:jc w:val="center"/>
        <w:tblLayout w:type="fixed"/>
      </w:tblPr>
      <w:tblGrid>
        <w:gridCol w:w="3370"/>
        <w:gridCol w:w="850"/>
        <w:gridCol w:w="1133"/>
        <w:gridCol w:w="1138"/>
        <w:gridCol w:w="1133"/>
        <w:gridCol w:w="1142"/>
      </w:tblGrid>
      <w:tr>
        <w:trPr>
          <w:trHeight w:val="432" w:hRule="exact"/>
        </w:trPr>
        <w:tc>
          <w:tcPr>
            <w:tcBorders>
              <w:top w:val="single" w:sz="4"/>
              <w:left w:val="single" w:sz="4"/>
            </w:tcBorders>
            <w:shd w:val="clear" w:color="auto" w:fill="FFFFFF"/>
            <w:vAlign w:val="bottom"/>
          </w:tcPr>
          <w:p>
            <w:pPr>
              <w:pStyle w:val="Style29"/>
              <w:keepNext w:val="0"/>
              <w:keepLines w:val="0"/>
              <w:widowControl w:val="0"/>
              <w:shd w:val="clear" w:color="auto" w:fill="auto"/>
              <w:tabs>
                <w:tab w:pos="816" w:val="left"/>
              </w:tabs>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项</w:t>
              <w:tab/>
              <w:t>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right"/>
              <w:rPr>
                <w:sz w:val="15"/>
                <w:szCs w:val="15"/>
              </w:rPr>
            </w:pPr>
            <w:r>
              <w:rPr>
                <w:rFonts w:ascii="Arial" w:eastAsia="Arial" w:hAnsi="Arial" w:cs="Arial"/>
                <w:color w:val="000000"/>
                <w:spacing w:val="0"/>
                <w:w w:val="100"/>
                <w:position w:val="0"/>
                <w:sz w:val="16"/>
                <w:szCs w:val="16"/>
              </w:rPr>
              <w:t>2021</w:t>
            </w:r>
            <w:r>
              <w:rPr>
                <w:rFonts w:ascii="SimSun" w:eastAsia="SimSun" w:hAnsi="SimSun" w:cs="SimSun"/>
                <w:b/>
                <w:bCs/>
                <w:color w:val="000000"/>
                <w:spacing w:val="0"/>
                <w:w w:val="100"/>
                <w:position w:val="0"/>
                <w:sz w:val="15"/>
                <w:szCs w:val="15"/>
              </w:rPr>
              <w:t>年度 合并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right"/>
              <w:rPr>
                <w:sz w:val="15"/>
                <w:szCs w:val="15"/>
              </w:rPr>
            </w:pPr>
            <w:r>
              <w:rPr>
                <w:rFonts w:ascii="Arial" w:eastAsia="Arial" w:hAnsi="Arial" w:cs="Arial"/>
                <w:color w:val="000000"/>
                <w:spacing w:val="0"/>
                <w:w w:val="100"/>
                <w:position w:val="0"/>
                <w:sz w:val="16"/>
                <w:szCs w:val="16"/>
              </w:rPr>
              <w:t>2020</w:t>
            </w:r>
            <w:r>
              <w:rPr>
                <w:rFonts w:ascii="SimSun" w:eastAsia="SimSun" w:hAnsi="SimSun" w:cs="SimSun"/>
                <w:b/>
                <w:bCs/>
                <w:color w:val="000000"/>
                <w:spacing w:val="0"/>
                <w:w w:val="100"/>
                <w:position w:val="0"/>
                <w:sz w:val="15"/>
                <w:szCs w:val="15"/>
              </w:rPr>
              <w:t>年度 合并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720" w:right="0" w:hanging="400"/>
              <w:jc w:val="left"/>
              <w:rPr>
                <w:sz w:val="15"/>
                <w:szCs w:val="15"/>
              </w:rPr>
            </w:pPr>
            <w:r>
              <w:rPr>
                <w:rFonts w:ascii="Arial" w:eastAsia="Arial" w:hAnsi="Arial" w:cs="Arial"/>
                <w:color w:val="000000"/>
                <w:spacing w:val="0"/>
                <w:w w:val="100"/>
                <w:position w:val="0"/>
                <w:sz w:val="16"/>
                <w:szCs w:val="16"/>
              </w:rPr>
              <w:t>2021</w:t>
            </w:r>
            <w:r>
              <w:rPr>
                <w:rFonts w:ascii="SimSun" w:eastAsia="SimSun" w:hAnsi="SimSun" w:cs="SimSun"/>
                <w:b/>
                <w:bCs/>
                <w:color w:val="000000"/>
                <w:spacing w:val="0"/>
                <w:w w:val="100"/>
                <w:position w:val="0"/>
                <w:sz w:val="15"/>
                <w:szCs w:val="15"/>
              </w:rPr>
              <w:t>年度 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right"/>
              <w:rPr>
                <w:sz w:val="15"/>
                <w:szCs w:val="15"/>
              </w:rPr>
            </w:pPr>
            <w:r>
              <w:rPr>
                <w:rFonts w:ascii="Arial" w:eastAsia="Arial" w:hAnsi="Arial" w:cs="Arial"/>
                <w:color w:val="000000"/>
                <w:spacing w:val="0"/>
                <w:w w:val="100"/>
                <w:position w:val="0"/>
                <w:sz w:val="16"/>
                <w:szCs w:val="16"/>
              </w:rPr>
              <w:t>2020</w:t>
            </w:r>
            <w:r>
              <w:rPr>
                <w:rFonts w:ascii="SimSun" w:eastAsia="SimSun" w:hAnsi="SimSun" w:cs="SimSun"/>
                <w:b/>
                <w:bCs/>
                <w:color w:val="000000"/>
                <w:spacing w:val="0"/>
                <w:w w:val="100"/>
                <w:position w:val="0"/>
                <w:sz w:val="15"/>
                <w:szCs w:val="15"/>
              </w:rPr>
              <w:t>年度 公司</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223,263,218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303,799,735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73,901,779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170,515,312</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收到其他与经营活动有关的现金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(63)(a)</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2,124,872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3,013,867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32,262,175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23,760,016</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5"/>
                <w:szCs w:val="15"/>
              </w:rPr>
            </w:pPr>
            <w:r>
              <w:rPr>
                <w:rFonts w:ascii="SimSun" w:eastAsia="SimSun" w:hAnsi="SimSun" w:cs="SimSun"/>
                <w:b/>
                <w:bCs/>
                <w:color w:val="000000"/>
                <w:spacing w:val="0"/>
                <w:w w:val="100"/>
                <w:position w:val="0"/>
                <w:sz w:val="15"/>
                <w:szCs w:val="15"/>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225,388,090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306,813,602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106,163,954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194,275,328</w:t>
            </w:r>
          </w:p>
        </w:tc>
      </w:tr>
      <w:tr>
        <w:trPr>
          <w:trHeight w:val="22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(204,429,327)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(270,819,558)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(90,984,670)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(156,239,981)</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(9,081,843)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(12,082,019)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(943,276)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(1,116,455)</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(1,709,799)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(4,159,064)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(106,770)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(342,270)</w:t>
            </w:r>
          </w:p>
        </w:tc>
      </w:tr>
      <w:tr>
        <w:trPr>
          <w:trHeight w:val="22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支付其他与经营活动有关的现金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(63)(b)</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(16,597,348)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(21,374,807)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(19,111,968)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(35,817,908)</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5"/>
                <w:szCs w:val="15"/>
              </w:rPr>
            </w:pPr>
            <w:r>
              <w:rPr>
                <w:rFonts w:ascii="SimSun" w:eastAsia="SimSun" w:hAnsi="SimSun" w:cs="SimSun"/>
                <w:b/>
                <w:bCs/>
                <w:color w:val="000000"/>
                <w:spacing w:val="0"/>
                <w:w w:val="100"/>
                <w:position w:val="0"/>
                <w:sz w:val="15"/>
                <w:szCs w:val="15"/>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(231,818,317)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(308,435,448)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(111,146,684)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(193,516,614)</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b/>
                <w:bCs/>
                <w:color w:val="000000"/>
                <w:spacing w:val="0"/>
                <w:w w:val="100"/>
                <w:position w:val="0"/>
                <w:sz w:val="15"/>
                <w:szCs w:val="15"/>
              </w:rPr>
              <w:t>经营活动</w:t>
            </w:r>
            <w:r>
              <w:rPr>
                <w:rFonts w:ascii="Arial" w:eastAsia="Arial" w:hAnsi="Arial" w:cs="Arial"/>
                <w:color w:val="000000"/>
                <w:spacing w:val="0"/>
                <w:w w:val="100"/>
                <w:position w:val="0"/>
                <w:sz w:val="16"/>
                <w:szCs w:val="16"/>
              </w:rPr>
              <w:t>（</w:t>
            </w:r>
            <w:r>
              <w:rPr>
                <w:rFonts w:ascii="SimSun" w:eastAsia="SimSun" w:hAnsi="SimSun" w:cs="SimSun"/>
                <w:b/>
                <w:bCs/>
                <w:color w:val="000000"/>
                <w:spacing w:val="0"/>
                <w:w w:val="100"/>
                <w:position w:val="0"/>
                <w:sz w:val="15"/>
                <w:szCs w:val="15"/>
              </w:rPr>
              <w:t>使用</w:t>
            </w:r>
            <w:r>
              <w:rPr>
                <w:rFonts w:ascii="Arial" w:eastAsia="Arial" w:hAnsi="Arial" w:cs="Arial"/>
                <w:color w:val="000000"/>
                <w:spacing w:val="0"/>
                <w:w w:val="100"/>
                <w:position w:val="0"/>
                <w:sz w:val="16"/>
                <w:szCs w:val="16"/>
              </w:rPr>
              <w:t>）/</w:t>
            </w:r>
            <w:r>
              <w:rPr>
                <w:rFonts w:ascii="SimSun" w:eastAsia="SimSun" w:hAnsi="SimSun" w:cs="SimSun"/>
                <w:b/>
                <w:bCs/>
                <w:color w:val="000000"/>
                <w:spacing w:val="0"/>
                <w:w w:val="100"/>
                <w:position w:val="0"/>
                <w:sz w:val="15"/>
                <w:szCs w:val="15"/>
              </w:rPr>
              <w:t>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(64)(a)</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(6,430,227)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(1,621,846)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(4,982,730)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758,714</w:t>
            </w:r>
          </w:p>
        </w:tc>
      </w:tr>
      <w:tr>
        <w:trPr>
          <w:trHeight w:val="1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7,603,014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39,488,493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2,918,816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35,354,221</w:t>
            </w:r>
          </w:p>
        </w:tc>
      </w:tr>
      <w:tr>
        <w:trPr>
          <w:trHeight w:val="22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430,866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2,379,951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24,484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866,117</w:t>
            </w:r>
          </w:p>
        </w:tc>
      </w:tr>
      <w:tr>
        <w:trPr>
          <w:trHeight w:val="4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06" w:lineRule="exact"/>
              <w:ind w:left="480" w:right="0" w:hanging="160"/>
              <w:jc w:val="both"/>
              <w:rPr>
                <w:sz w:val="15"/>
                <w:szCs w:val="15"/>
              </w:rPr>
            </w:pPr>
            <w:r>
              <w:rPr>
                <w:rFonts w:ascii="SimSun" w:eastAsia="SimSun" w:hAnsi="SimSun" w:cs="SimSun"/>
                <w:color w:val="000000"/>
                <w:spacing w:val="0"/>
                <w:w w:val="100"/>
                <w:position w:val="0"/>
                <w:sz w:val="15"/>
                <w:szCs w:val="15"/>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382,066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134,951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106,505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24,008</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处置子公司所收到的现金净额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(64)(b)</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4,976,284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1,721,506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177,558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200,000</w:t>
            </w:r>
          </w:p>
        </w:tc>
      </w:tr>
      <w:tr>
        <w:trPr>
          <w:trHeight w:val="22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5"/>
                <w:szCs w:val="15"/>
              </w:rPr>
            </w:pPr>
            <w:r>
              <w:rPr>
                <w:rFonts w:ascii="SimSun" w:eastAsia="SimSun" w:hAnsi="SimSun" w:cs="SimSun"/>
                <w:b/>
                <w:bCs/>
                <w:color w:val="000000"/>
                <w:spacing w:val="0"/>
                <w:w w:val="100"/>
                <w:position w:val="0"/>
                <w:sz w:val="15"/>
                <w:szCs w:val="15"/>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13,392,230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43,724,901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3,227,363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36,444,346</w:t>
            </w:r>
          </w:p>
        </w:tc>
      </w:tr>
      <w:tr>
        <w:trPr>
          <w:trHeight w:val="4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购建固定资产、无形资产和其他长期资产支</w:t>
            </w:r>
          </w:p>
          <w:p>
            <w:pPr>
              <w:pStyle w:val="Style29"/>
              <w:keepNext w:val="0"/>
              <w:keepLines w:val="0"/>
              <w:widowControl w:val="0"/>
              <w:shd w:val="clear" w:color="auto" w:fill="auto"/>
              <w:bidi w:val="0"/>
              <w:spacing w:before="0" w:after="0" w:line="240" w:lineRule="auto"/>
              <w:ind w:left="0" w:right="0" w:firstLine="480"/>
              <w:jc w:val="both"/>
              <w:rPr>
                <w:sz w:val="15"/>
                <w:szCs w:val="15"/>
              </w:rPr>
            </w:pPr>
            <w:r>
              <w:rPr>
                <w:rFonts w:ascii="SimSun" w:eastAsia="SimSun" w:hAnsi="SimSun" w:cs="SimSun"/>
                <w:color w:val="000000"/>
                <w:spacing w:val="0"/>
                <w:w w:val="100"/>
                <w:position w:val="0"/>
                <w:sz w:val="15"/>
                <w:szCs w:val="15"/>
              </w:rPr>
              <w:t>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(2,762,850)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(5,767,084)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(196,668)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(124,565)</w:t>
            </w:r>
          </w:p>
        </w:tc>
      </w:tr>
      <w:tr>
        <w:trPr>
          <w:trHeight w:val="22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(5,317,400)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(33,313,138)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(8,038,380)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(27,189,943)</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取得子公司支付的现金净额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(64)(b)</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(15,900)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(67,409)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(637,574)</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5"/>
                <w:szCs w:val="15"/>
              </w:rPr>
            </w:pPr>
            <w:r>
              <w:rPr>
                <w:rFonts w:ascii="SimSun" w:eastAsia="SimSun" w:hAnsi="SimSun" w:cs="SimSun"/>
                <w:b/>
                <w:bCs/>
                <w:color w:val="000000"/>
                <w:spacing w:val="0"/>
                <w:w w:val="100"/>
                <w:position w:val="0"/>
                <w:sz w:val="15"/>
                <w:szCs w:val="15"/>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(8,096,150)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(39,147,631)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(8,235,048)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(27,952,082)</w:t>
            </w:r>
          </w:p>
        </w:tc>
      </w:tr>
      <w:tr>
        <w:trPr>
          <w:trHeight w:val="22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b/>
                <w:bCs/>
                <w:color w:val="000000"/>
                <w:spacing w:val="0"/>
                <w:w w:val="100"/>
                <w:position w:val="0"/>
                <w:sz w:val="15"/>
                <w:szCs w:val="15"/>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5,296,080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4,577,270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(5,007,685)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8,492,264</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06" w:lineRule="exact"/>
              <w:ind w:left="1140" w:right="0" w:hanging="640"/>
              <w:jc w:val="left"/>
              <w:rPr>
                <w:sz w:val="15"/>
                <w:szCs w:val="15"/>
              </w:rPr>
            </w:pPr>
            <w:r>
              <w:rPr>
                <w:rFonts w:ascii="SimSun" w:eastAsia="SimSun" w:hAnsi="SimSun" w:cs="SimSun"/>
                <w:color w:val="000000"/>
                <w:spacing w:val="0"/>
                <w:w w:val="100"/>
                <w:position w:val="0"/>
                <w:sz w:val="15"/>
                <w:szCs w:val="15"/>
              </w:rPr>
              <w:t>其中：子公司吸收少数股东投资收到的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58,269,231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53,545,974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48,241,542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22,903,093</w:t>
            </w:r>
          </w:p>
        </w:tc>
      </w:tr>
      <w:tr>
        <w:trPr>
          <w:trHeight w:val="22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499,700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499,700</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收到其他与筹资活动有关的现金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(63)(c)</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10,442,710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15,222,895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1,023,500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2,036,858</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5"/>
                <w:szCs w:val="15"/>
              </w:rPr>
            </w:pPr>
            <w:r>
              <w:rPr>
                <w:rFonts w:ascii="SimSun" w:eastAsia="SimSun" w:hAnsi="SimSun" w:cs="SimSun"/>
                <w:b/>
                <w:bCs/>
                <w:color w:val="000000"/>
                <w:spacing w:val="0"/>
                <w:w w:val="100"/>
                <w:position w:val="0"/>
                <w:sz w:val="15"/>
                <w:szCs w:val="15"/>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68,712,041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69,271,569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49,265,042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25,439,651</w:t>
            </w:r>
          </w:p>
        </w:tc>
      </w:tr>
      <w:tr>
        <w:trPr>
          <w:trHeight w:val="22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(56,013,093)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(57,748,399)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(39,938,515)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(34,439,073)</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(1,593,031)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(2,700,801)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(1,020,435)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(1,992,538)</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16" w:lineRule="exact"/>
              <w:ind w:left="1140" w:right="0" w:hanging="640"/>
              <w:jc w:val="left"/>
              <w:rPr>
                <w:sz w:val="15"/>
                <w:szCs w:val="15"/>
              </w:rPr>
            </w:pPr>
            <w:r>
              <w:rPr>
                <w:rFonts w:ascii="SimSun" w:eastAsia="SimSun" w:hAnsi="SimSun" w:cs="SimSun"/>
                <w:color w:val="000000"/>
                <w:spacing w:val="0"/>
                <w:w w:val="100"/>
                <w:position w:val="0"/>
                <w:sz w:val="15"/>
                <w:szCs w:val="15"/>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(26,150)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(30,870)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支付其他与筹资活动有关的现金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(63)(d)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(17,205,503)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(18,063,437)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(4,507,583)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(767,483)</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5"/>
                <w:szCs w:val="15"/>
              </w:rPr>
            </w:pPr>
            <w:r>
              <w:rPr>
                <w:rFonts w:ascii="SimSun" w:eastAsia="SimSun" w:hAnsi="SimSun" w:cs="SimSun"/>
                <w:b/>
                <w:bCs/>
                <w:color w:val="000000"/>
                <w:spacing w:val="0"/>
                <w:w w:val="100"/>
                <w:position w:val="0"/>
                <w:sz w:val="15"/>
                <w:szCs w:val="15"/>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(74,811,627)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(78,512,637)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(45,466,533)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(37,199,094)</w:t>
            </w:r>
          </w:p>
        </w:tc>
      </w:tr>
      <w:tr>
        <w:trPr>
          <w:trHeight w:val="22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b/>
                <w:bCs/>
                <w:color w:val="000000"/>
                <w:spacing w:val="0"/>
                <w:w w:val="100"/>
                <w:position w:val="0"/>
                <w:sz w:val="15"/>
                <w:szCs w:val="15"/>
              </w:rPr>
              <w:t>筹资活动</w:t>
            </w:r>
            <w:r>
              <w:rPr>
                <w:rFonts w:ascii="Arial" w:eastAsia="Arial" w:hAnsi="Arial" w:cs="Arial"/>
                <w:color w:val="000000"/>
                <w:spacing w:val="0"/>
                <w:w w:val="100"/>
                <w:position w:val="0"/>
                <w:sz w:val="16"/>
                <w:szCs w:val="16"/>
              </w:rPr>
              <w:t>（</w:t>
            </w:r>
            <w:r>
              <w:rPr>
                <w:rFonts w:ascii="SimSun" w:eastAsia="SimSun" w:hAnsi="SimSun" w:cs="SimSun"/>
                <w:b/>
                <w:bCs/>
                <w:color w:val="000000"/>
                <w:spacing w:val="0"/>
                <w:w w:val="100"/>
                <w:position w:val="0"/>
                <w:sz w:val="15"/>
                <w:szCs w:val="15"/>
              </w:rPr>
              <w:t>使用</w:t>
            </w:r>
            <w:r>
              <w:rPr>
                <w:rFonts w:ascii="Arial" w:eastAsia="Arial" w:hAnsi="Arial" w:cs="Arial"/>
                <w:color w:val="000000"/>
                <w:spacing w:val="0"/>
                <w:w w:val="100"/>
                <w:position w:val="0"/>
                <w:sz w:val="16"/>
                <w:szCs w:val="16"/>
              </w:rPr>
              <w:t>）/</w:t>
            </w:r>
            <w:r>
              <w:rPr>
                <w:rFonts w:ascii="SimSun" w:eastAsia="SimSun" w:hAnsi="SimSun" w:cs="SimSun"/>
                <w:b/>
                <w:bCs/>
                <w:color w:val="000000"/>
                <w:spacing w:val="0"/>
                <w:w w:val="100"/>
                <w:position w:val="0"/>
                <w:sz w:val="15"/>
                <w:szCs w:val="15"/>
              </w:rPr>
              <w:t>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(6,099,586)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(9,241,068)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3,798,509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(11,759,443)</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(167,886)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(70,386)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1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五、现金及现金等价物净减少额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(64)(a)</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(7,401,619)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(6,356,030)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(6,195,091)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(2,508,465)</w:t>
            </w:r>
          </w:p>
        </w:tc>
      </w:tr>
      <w:tr>
        <w:trPr>
          <w:trHeight w:val="21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力加年初现金及现金等价物余额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(64)(a)</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11,563,877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17,919,907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8,490,870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10,999,335</w:t>
            </w:r>
          </w:p>
        </w:tc>
      </w:tr>
      <w:tr>
        <w:trPr>
          <w:trHeight w:val="1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六、年末现金及现金等价物余额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(64)(c)</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4,162,258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11,563,877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2,295,779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8,490,870</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sectPr>
          <w:footnotePr>
            <w:pos w:val="pageBottom"/>
            <w:numFmt w:val="decimal"/>
            <w:numStart w:val="1"/>
            <w:numRestart w:val="continuous"/>
            <w15:footnoteColumns w:val="1"/>
          </w:footnotePr>
          <w:type w:val="continuous"/>
          <w:pgSz w:w="11900" w:h="16840"/>
          <w:pgMar w:top="2065" w:right="956" w:bottom="2227" w:left="1147" w:header="0" w:footer="3" w:gutter="0"/>
          <w:cols w:space="720"/>
          <w:noEndnote/>
          <w:rtlGutter w:val="0"/>
          <w:docGrid w:linePitch="360"/>
        </w:sectPr>
      </w:pPr>
      <w:r>
        <w:rPr>
          <w:color w:val="000000"/>
          <w:spacing w:val="0"/>
          <w:w w:val="100"/>
          <w:position w:val="0"/>
          <w:sz w:val="18"/>
          <w:szCs w:val="18"/>
        </w:rPr>
        <w:t>后附财务报表附注为财务报表的组成部分。</w:t>
      </w:r>
    </w:p>
    <w:p>
      <w:pPr>
        <w:widowControl w:val="0"/>
        <w:spacing w:line="239"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1900" w:h="16840"/>
          <w:pgMar w:top="1702" w:right="0" w:bottom="987" w:left="0" w:header="0" w:footer="3" w:gutter="0"/>
          <w:cols w:space="720"/>
          <w:noEndnote/>
          <w:rtlGutter w:val="0"/>
          <w:docGrid w:linePitch="360"/>
        </w:sectPr>
      </w:pPr>
    </w:p>
    <w:p>
      <w:pPr>
        <w:pStyle w:val="Style55"/>
        <w:keepNext w:val="0"/>
        <w:keepLines w:val="0"/>
        <w:framePr w:w="1483" w:h="230" w:wrap="none" w:vAnchor="text" w:hAnchor="page" w:x="1659" w:y="21"/>
        <w:widowControl w:val="0"/>
        <w:shd w:val="clear" w:color="auto" w:fill="auto"/>
        <w:bidi w:val="0"/>
        <w:spacing w:before="0" w:after="0" w:line="240" w:lineRule="auto"/>
        <w:ind w:left="0" w:right="0" w:firstLine="0"/>
        <w:jc w:val="left"/>
      </w:pPr>
      <w:r>
        <w:rPr>
          <w:color w:val="000000"/>
          <w:spacing w:val="0"/>
          <w:w w:val="100"/>
          <w:position w:val="0"/>
        </w:rPr>
        <w:t>企业负责人：任峻</w:t>
      </w:r>
    </w:p>
    <w:p>
      <w:pPr>
        <w:pStyle w:val="Style55"/>
        <w:keepNext w:val="0"/>
        <w:keepLines w:val="0"/>
        <w:framePr w:w="2371" w:h="230" w:wrap="none" w:vAnchor="text" w:hAnchor="page" w:x="4371" w:y="21"/>
        <w:widowControl w:val="0"/>
        <w:shd w:val="clear" w:color="auto" w:fill="auto"/>
        <w:bidi w:val="0"/>
        <w:spacing w:before="0" w:after="0" w:line="240" w:lineRule="auto"/>
        <w:ind w:left="0" w:right="0" w:firstLine="0"/>
        <w:jc w:val="left"/>
      </w:pPr>
      <w:r>
        <w:rPr>
          <w:color w:val="000000"/>
          <w:spacing w:val="0"/>
          <w:w w:val="100"/>
          <w:position w:val="0"/>
        </w:rPr>
        <w:t>主管会计工作的负责人：黄巍</w:t>
      </w:r>
    </w:p>
    <w:p>
      <w:pPr>
        <w:pStyle w:val="Style55"/>
        <w:keepNext w:val="0"/>
        <w:keepLines w:val="0"/>
        <w:framePr w:w="2021" w:h="235" w:wrap="none" w:vAnchor="text" w:hAnchor="page" w:x="8322" w:y="21"/>
        <w:widowControl w:val="0"/>
        <w:shd w:val="clear" w:color="auto" w:fill="auto"/>
        <w:bidi w:val="0"/>
        <w:spacing w:before="0" w:after="0" w:line="240" w:lineRule="auto"/>
        <w:ind w:left="0" w:right="0" w:firstLine="0"/>
        <w:jc w:val="left"/>
      </w:pPr>
      <w:r>
        <w:rPr>
          <w:color w:val="000000"/>
          <w:spacing w:val="0"/>
          <w:w w:val="100"/>
          <w:position w:val="0"/>
        </w:rPr>
        <w:t>会计机构负责人：华志松</w:t>
      </w:r>
    </w:p>
    <w:p>
      <w:pPr>
        <w:widowControl w:val="0"/>
        <w:spacing w:after="234"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1702" w:right="1422" w:bottom="987" w:left="1704" w:header="0" w:footer="3" w:gutter="0"/>
          <w:cols w:space="720"/>
          <w:noEndnote/>
          <w:rtlGutter w:val="0"/>
          <w:docGrid w:linePitch="360"/>
        </w:sectPr>
      </w:pPr>
    </w:p>
    <w:tbl>
      <w:tblPr>
        <w:tblOverlap w:val="never"/>
        <w:jc w:val="center"/>
        <w:tblLayout w:type="fixed"/>
      </w:tblPr>
      <w:tblGrid>
        <w:gridCol w:w="2611"/>
        <w:gridCol w:w="850"/>
        <w:gridCol w:w="1133"/>
        <w:gridCol w:w="1138"/>
        <w:gridCol w:w="1133"/>
        <w:gridCol w:w="1133"/>
        <w:gridCol w:w="1133"/>
        <w:gridCol w:w="1138"/>
        <w:gridCol w:w="1133"/>
        <w:gridCol w:w="1133"/>
        <w:gridCol w:w="1142"/>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tabs>
                <w:tab w:pos="816" w:val="left"/>
              </w:tabs>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项</w:t>
              <w:tab/>
              <w:t>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附注</w:t>
            </w:r>
          </w:p>
        </w:tc>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归属于本公司股东权益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少数股东权益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股东权益合计</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一般风险准备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2019</w:t>
            </w:r>
            <w:r>
              <w:rPr>
                <w:rFonts w:ascii="SimSun" w:eastAsia="SimSun" w:hAnsi="SimSun" w:cs="SimSun"/>
                <w:b/>
                <w:bCs/>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9,310,040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37,249,004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(1,899,961)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197,575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1,748,672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38,699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41,277,886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(777,102)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87,144,813</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会计政策变更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二</w:t>
            </w:r>
            <w:r>
              <w:rPr>
                <w:rFonts w:ascii="Arial" w:eastAsia="Arial" w:hAnsi="Arial" w:cs="Arial"/>
                <w:color w:val="000000"/>
                <w:spacing w:val="0"/>
                <w:w w:val="100"/>
                <w:position w:val="0"/>
                <w:sz w:val="16"/>
                <w:szCs w:val="16"/>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(21,873)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(230,990)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(252,863)</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b/>
                <w:bCs/>
                <w:color w:val="000000"/>
                <w:spacing w:val="0"/>
                <w:w w:val="100"/>
                <w:position w:val="0"/>
                <w:sz w:val="15"/>
                <w:szCs w:val="15"/>
              </w:rPr>
              <w:t>年</w:t>
            </w:r>
            <w:r>
              <w:rPr>
                <w:rFonts w:ascii="Arial" w:eastAsia="Arial" w:hAnsi="Arial" w:cs="Arial"/>
                <w:color w:val="000000"/>
                <w:spacing w:val="0"/>
                <w:w w:val="100"/>
                <w:position w:val="0"/>
                <w:sz w:val="16"/>
                <w:szCs w:val="16"/>
              </w:rPr>
              <w:t>1</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1</w:t>
            </w:r>
            <w:r>
              <w:rPr>
                <w:rFonts w:ascii="SimSun" w:eastAsia="SimSun" w:hAnsi="SimSun" w:cs="SimSun"/>
                <w:b/>
                <w:bCs/>
                <w:color w:val="000000"/>
                <w:spacing w:val="0"/>
                <w:w w:val="100"/>
                <w:position w:val="0"/>
                <w:sz w:val="15"/>
                <w:szCs w:val="15"/>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9,310,040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37,249,004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(1,899,961)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197,575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1,726,799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38,699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41,046,896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(777,102)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86,891,950</w:t>
            </w: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b/>
                <w:bCs/>
                <w:color w:val="000000"/>
                <w:spacing w:val="0"/>
                <w:w w:val="100"/>
                <w:position w:val="0"/>
                <w:sz w:val="15"/>
                <w:szCs w:val="15"/>
              </w:rPr>
              <w:t>年度增减变动额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净亏损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(4,274,696)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(1,083,170)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(5,357,866)</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(1,652,332)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(1,652,226)</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综合收益总额合计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(1,652,332)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(4,274,696)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(1,083,064)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(7,010,092)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少数股东增加资本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3,000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购买少数股东股权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(3,962,392)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1,862,392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(2,100,000)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股票回购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(707,032)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(707,032)</w:t>
            </w:r>
          </w:p>
        </w:tc>
      </w:tr>
      <w:tr>
        <w:trPr>
          <w:trHeight w:val="42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股份支付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(41)</w:t>
            </w:r>
            <w:r>
              <w:rPr>
                <w:rFonts w:ascii="SimSun" w:eastAsia="SimSun" w:hAnsi="SimSun" w:cs="SimSun"/>
                <w:color w:val="000000"/>
                <w:spacing w:val="0"/>
                <w:w w:val="100"/>
                <w:position w:val="0"/>
                <w:sz w:val="15"/>
                <w:szCs w:val="15"/>
              </w:rPr>
              <w:t>、</w:t>
            </w:r>
          </w:p>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(58,368)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301,093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242,725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82,958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(82,958)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提取一般风险准备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97,966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(97,966)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对股东的分配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(457,878)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(30,870)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(488,748)</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其他综合收益结转留存收益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99,499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(99,499)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b/>
                <w:bCs/>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9,310,040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33,228,244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(2,305,900)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(1,355,258)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1,809,757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136,665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36,033,899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(25,644)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76,831,803</w:t>
            </w:r>
          </w:p>
        </w:tc>
      </w:tr>
    </w:tbl>
    <w:p>
      <w:pPr>
        <w:sectPr>
          <w:footnotePr>
            <w:pos w:val="pageBottom"/>
            <w:numFmt w:val="decimal"/>
            <w:numStart w:val="1"/>
            <w:numRestart w:val="continuous"/>
            <w15:footnoteColumns w:val="1"/>
          </w:footnotePr>
          <w:pgSz w:w="16840" w:h="11900" w:orient="landscape"/>
          <w:pgMar w:top="1820" w:right="1444" w:bottom="1820" w:left="1722" w:header="0" w:footer="3" w:gutter="0"/>
          <w:cols w:space="720"/>
          <w:noEndnote/>
          <w:rtlGutter w:val="0"/>
          <w:docGrid w:linePitch="360"/>
        </w:sectPr>
      </w:pPr>
    </w:p>
    <w:p>
      <w:pPr>
        <w:pStyle w:val="Style7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苏宁易购集团股份有限公司</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年度合并股东权益变动表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55"/>
        <w:keepNext w:val="0"/>
        <w:keepLines w:val="0"/>
        <w:widowControl w:val="0"/>
        <w:shd w:val="clear" w:color="auto" w:fill="auto"/>
        <w:bidi w:val="0"/>
        <w:spacing w:before="0" w:after="200" w:line="240" w:lineRule="auto"/>
        <w:ind w:left="0" w:right="0" w:firstLine="0"/>
        <w:jc w:val="left"/>
        <w:rPr>
          <w:sz w:val="22"/>
          <w:szCs w:val="22"/>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color w:val="000000"/>
          <w:spacing w:val="0"/>
          <w:w w:val="100"/>
          <w:position w:val="0"/>
          <w:sz w:val="22"/>
          <w:szCs w:val="22"/>
        </w:rPr>
        <w:t>）</w:t>
      </w:r>
    </w:p>
    <w:p>
      <w:pPr>
        <w:widowControl w:val="0"/>
        <w:spacing w:line="1" w:lineRule="exact"/>
      </w:pPr>
      <w:r>
        <mc:AlternateContent>
          <mc:Choice Requires="wps">
            <w:drawing>
              <wp:anchor distT="63500" distB="3175" distL="0" distR="0" simplePos="0" relativeHeight="125829396" behindDoc="0" locked="0" layoutInCell="1" allowOverlap="1">
                <wp:simplePos x="0" y="0"/>
                <wp:positionH relativeFrom="page">
                  <wp:posOffset>1087120</wp:posOffset>
                </wp:positionH>
                <wp:positionV relativeFrom="paragraph">
                  <wp:posOffset>63500</wp:posOffset>
                </wp:positionV>
                <wp:extent cx="948055" cy="146050"/>
                <wp:wrapTopAndBottom/>
                <wp:docPr id="24" name="Shape 24"/>
                <a:graphic xmlns:a="http://schemas.openxmlformats.org/drawingml/2006/main">
                  <a:graphicData uri="http://schemas.microsoft.com/office/word/2010/wordprocessingShape">
                    <wps:wsp>
                      <wps:cNvSpPr txBox="1"/>
                      <wps:spPr>
                        <a:xfrm>
                          <a:ext cx="948055" cy="1460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企业负责人：任峻</w:t>
                            </w:r>
                          </w:p>
                        </w:txbxContent>
                      </wps:txbx>
                      <wps:bodyPr wrap="none" lIns="0" tIns="0" rIns="0" bIns="0">
                        <a:noAutoFit/>
                      </wps:bodyPr>
                    </wps:wsp>
                  </a:graphicData>
                </a:graphic>
              </wp:anchor>
            </w:drawing>
          </mc:Choice>
          <mc:Fallback>
            <w:pict>
              <v:shape id="_x0000_s1050" type="#_x0000_t202" style="position:absolute;margin-left:85.600000000000009pt;margin-top:5.pt;width:74.650000000000006pt;height:11.5pt;z-index:-125829357;mso-wrap-distance-left:0;mso-wrap-distance-top:5.pt;mso-wrap-distance-right:0;mso-wrap-distance-bottom:0.2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企业负责人：任峻</w:t>
                      </w:r>
                    </w:p>
                  </w:txbxContent>
                </v:textbox>
                <w10:wrap type="topAndBottom" anchorx="page"/>
              </v:shape>
            </w:pict>
          </mc:Fallback>
        </mc:AlternateContent>
      </w:r>
      <w:r>
        <mc:AlternateContent>
          <mc:Choice Requires="wps">
            <w:drawing>
              <wp:anchor distT="63500" distB="3175" distL="0" distR="0" simplePos="0" relativeHeight="125829398" behindDoc="0" locked="0" layoutInCell="1" allowOverlap="1">
                <wp:simplePos x="0" y="0"/>
                <wp:positionH relativeFrom="page">
                  <wp:posOffset>4275455</wp:posOffset>
                </wp:positionH>
                <wp:positionV relativeFrom="paragraph">
                  <wp:posOffset>63500</wp:posOffset>
                </wp:positionV>
                <wp:extent cx="1517650" cy="146050"/>
                <wp:wrapTopAndBottom/>
                <wp:docPr id="26" name="Shape 26"/>
                <a:graphic xmlns:a="http://schemas.openxmlformats.org/drawingml/2006/main">
                  <a:graphicData uri="http://schemas.microsoft.com/office/word/2010/wordprocessingShape">
                    <wps:wsp>
                      <wps:cNvSpPr txBox="1"/>
                      <wps:spPr>
                        <a:xfrm>
                          <a:ext cx="1517650" cy="1460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主管会计工作的负责人：黄巍</w:t>
                            </w:r>
                          </w:p>
                        </w:txbxContent>
                      </wps:txbx>
                      <wps:bodyPr wrap="none" lIns="0" tIns="0" rIns="0" bIns="0">
                        <a:noAutoFit/>
                      </wps:bodyPr>
                    </wps:wsp>
                  </a:graphicData>
                </a:graphic>
              </wp:anchor>
            </w:drawing>
          </mc:Choice>
          <mc:Fallback>
            <w:pict>
              <v:shape id="_x0000_s1052" type="#_x0000_t202" style="position:absolute;margin-left:336.65000000000003pt;margin-top:5.pt;width:119.5pt;height:11.5pt;z-index:-125829355;mso-wrap-distance-left:0;mso-wrap-distance-top:5.pt;mso-wrap-distance-right:0;mso-wrap-distance-bottom:0.2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主管会计工作的负责人：黄巍</w:t>
                      </w:r>
                    </w:p>
                  </w:txbxContent>
                </v:textbox>
                <w10:wrap type="topAndBottom" anchorx="page"/>
              </v:shape>
            </w:pict>
          </mc:Fallback>
        </mc:AlternateContent>
      </w:r>
      <w:r>
        <mc:AlternateContent>
          <mc:Choice Requires="wps">
            <w:drawing>
              <wp:anchor distT="63500" distB="0" distL="0" distR="0" simplePos="0" relativeHeight="125829400" behindDoc="0" locked="0" layoutInCell="1" allowOverlap="1">
                <wp:simplePos x="0" y="0"/>
                <wp:positionH relativeFrom="page">
                  <wp:posOffset>8493760</wp:posOffset>
                </wp:positionH>
                <wp:positionV relativeFrom="paragraph">
                  <wp:posOffset>63500</wp:posOffset>
                </wp:positionV>
                <wp:extent cx="1298575" cy="149225"/>
                <wp:wrapTopAndBottom/>
                <wp:docPr id="28" name="Shape 28"/>
                <a:graphic xmlns:a="http://schemas.openxmlformats.org/drawingml/2006/main">
                  <a:graphicData uri="http://schemas.microsoft.com/office/word/2010/wordprocessingShape">
                    <wps:wsp>
                      <wps:cNvSpPr txBox="1"/>
                      <wps:spPr>
                        <a:xfrm>
                          <a:ext cx="1298575" cy="14922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会计机构负责人：华志松</w:t>
                            </w:r>
                          </w:p>
                        </w:txbxContent>
                      </wps:txbx>
                      <wps:bodyPr wrap="none" lIns="0" tIns="0" rIns="0" bIns="0">
                        <a:noAutoFit/>
                      </wps:bodyPr>
                    </wps:wsp>
                  </a:graphicData>
                </a:graphic>
              </wp:anchor>
            </w:drawing>
          </mc:Choice>
          <mc:Fallback>
            <w:pict>
              <v:shape id="_x0000_s1054" type="#_x0000_t202" style="position:absolute;margin-left:668.80000000000007pt;margin-top:5.pt;width:102.25pt;height:11.75pt;z-index:-125829353;mso-wrap-distance-left:0;mso-wrap-distance-top:5.pt;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会计机构负责人：华志松</w:t>
                      </w:r>
                    </w:p>
                  </w:txbxContent>
                </v:textbox>
                <w10:wrap type="topAndBottom" anchorx="page"/>
              </v:shape>
            </w:pict>
          </mc:Fallback>
        </mc:AlternateContent>
      </w:r>
    </w:p>
    <w:tbl>
      <w:tblPr>
        <w:tblOverlap w:val="never"/>
        <w:jc w:val="center"/>
        <w:tblLayout w:type="fixed"/>
      </w:tblPr>
      <w:tblGrid>
        <w:gridCol w:w="2611"/>
        <w:gridCol w:w="850"/>
        <w:gridCol w:w="1133"/>
        <w:gridCol w:w="1138"/>
        <w:gridCol w:w="1133"/>
        <w:gridCol w:w="1133"/>
        <w:gridCol w:w="1133"/>
        <w:gridCol w:w="1138"/>
        <w:gridCol w:w="1133"/>
        <w:gridCol w:w="1133"/>
        <w:gridCol w:w="1142"/>
      </w:tblGrid>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tabs>
                <w:tab w:pos="816" w:val="left"/>
              </w:tabs>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项</w:t>
              <w:tab/>
              <w:t>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附注</w:t>
            </w:r>
          </w:p>
        </w:tc>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归属于本公司股东权益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少数股东权益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股东权益合计</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b/>
                <w:bCs/>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5"/>
                <w:szCs w:val="15"/>
              </w:rPr>
            </w:pPr>
            <w:r>
              <w:rPr>
                <w:rFonts w:ascii="SimSun" w:eastAsia="SimSun" w:hAnsi="SimSun" w:cs="SimSun"/>
                <w:b/>
                <w:bCs/>
                <w:color w:val="000000"/>
                <w:spacing w:val="0"/>
                <w:w w:val="100"/>
                <w:position w:val="0"/>
                <w:sz w:val="15"/>
                <w:szCs w:val="15"/>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一般风险准备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b/>
                <w:bCs/>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9,310,040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33,228,244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(2,305,900)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(1,355,258)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1,809,757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136,665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36,033,899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(25,644)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76,831,803</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2021</w:t>
            </w:r>
            <w:r>
              <w:rPr>
                <w:rFonts w:ascii="SimSun" w:eastAsia="SimSun" w:hAnsi="SimSun" w:cs="SimSun"/>
                <w:b/>
                <w:bCs/>
                <w:color w:val="000000"/>
                <w:spacing w:val="0"/>
                <w:w w:val="100"/>
                <w:position w:val="0"/>
                <w:sz w:val="15"/>
                <w:szCs w:val="15"/>
              </w:rPr>
              <w:t>年度增减变动额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净亏损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(43,264,609)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(914,752)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(44,179,361)</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(1,666,314)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(1,666,277)</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综合收益总额合计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(1,666,314)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(43,264,609)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(914,715)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(45,845,638)</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少数股东增加资本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r>
      <w:tr>
        <w:trPr>
          <w:trHeight w:val="42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股份支付计入股东权益的金额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(41)</w:t>
            </w:r>
            <w:r>
              <w:rPr>
                <w:rFonts w:ascii="SimSun" w:eastAsia="SimSun" w:hAnsi="SimSun" w:cs="SimSun"/>
                <w:color w:val="000000"/>
                <w:spacing w:val="0"/>
                <w:w w:val="100"/>
                <w:position w:val="0"/>
                <w:sz w:val="15"/>
                <w:szCs w:val="15"/>
              </w:rPr>
              <w:t>、</w:t>
            </w:r>
          </w:p>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(124,796)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296,332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171,536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提取一般风险准备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165,631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(165,631)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对股东的分配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(129,050)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(129,050)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53,476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(53,476)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2021</w:t>
            </w:r>
            <w:r>
              <w:rPr>
                <w:rFonts w:ascii="SimSun" w:eastAsia="SimSun" w:hAnsi="SimSun" w:cs="SimSun"/>
                <w:b/>
                <w:bCs/>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9,310,040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33,103,448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(2,009,568)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(2,968,096)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1,809,757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302,296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(7,449,817)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(1,069,309)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31,028,751</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sectPr>
          <w:footnotePr>
            <w:pos w:val="pageBottom"/>
            <w:numFmt w:val="decimal"/>
            <w:numStart w:val="1"/>
            <w:numRestart w:val="continuous"/>
            <w15:footnoteColumns w:val="1"/>
          </w:footnotePr>
          <w:pgSz w:w="16840" w:h="11900" w:orient="landscape"/>
          <w:pgMar w:top="730" w:right="1443" w:bottom="879" w:left="1707" w:header="0" w:footer="3" w:gutter="0"/>
          <w:cols w:space="720"/>
          <w:noEndnote/>
          <w:rtlGutter w:val="0"/>
          <w:docGrid w:linePitch="360"/>
        </w:sectPr>
      </w:pPr>
      <w:r>
        <w:rPr>
          <w:color w:val="000000"/>
          <w:spacing w:val="0"/>
          <w:w w:val="100"/>
          <w:position w:val="0"/>
          <w:sz w:val="18"/>
          <w:szCs w:val="18"/>
        </w:rPr>
        <w:t>后附财务报表附注为财务报表的组成部分。</w:t>
      </w:r>
    </w:p>
    <w:tbl>
      <w:tblPr>
        <w:tblOverlap w:val="never"/>
        <w:jc w:val="center"/>
        <w:tblLayout w:type="fixed"/>
      </w:tblPr>
      <w:tblGrid>
        <w:gridCol w:w="2837"/>
        <w:gridCol w:w="850"/>
        <w:gridCol w:w="1248"/>
        <w:gridCol w:w="1248"/>
        <w:gridCol w:w="1248"/>
        <w:gridCol w:w="1248"/>
        <w:gridCol w:w="1243"/>
        <w:gridCol w:w="1248"/>
        <w:gridCol w:w="1248"/>
        <w:gridCol w:w="1258"/>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一般风险准备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未分配利润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股东权益合计</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2019</w:t>
            </w:r>
            <w:r>
              <w:rPr>
                <w:rFonts w:ascii="SimSun" w:eastAsia="SimSun" w:hAnsi="SimSun" w:cs="SimSun"/>
                <w:b/>
                <w:bCs/>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9,310,040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37,150,905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(1,899,961)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(618,037)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1,748,672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38,699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8,257,969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53,988,287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会计政策变更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二</w:t>
            </w:r>
            <w:r>
              <w:rPr>
                <w:rFonts w:ascii="Arial" w:eastAsia="Arial" w:hAnsi="Arial" w:cs="Arial"/>
                <w:color w:val="000000"/>
                <w:spacing w:val="0"/>
                <w:w w:val="100"/>
                <w:position w:val="0"/>
                <w:sz w:val="16"/>
                <w:szCs w:val="16"/>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(21,873)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(196,851)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(218,724)</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b/>
                <w:bCs/>
                <w:color w:val="000000"/>
                <w:spacing w:val="0"/>
                <w:w w:val="100"/>
                <w:position w:val="0"/>
                <w:sz w:val="15"/>
                <w:szCs w:val="15"/>
              </w:rPr>
              <w:t>年</w:t>
            </w:r>
            <w:r>
              <w:rPr>
                <w:rFonts w:ascii="Arial" w:eastAsia="Arial" w:hAnsi="Arial" w:cs="Arial"/>
                <w:color w:val="000000"/>
                <w:spacing w:val="0"/>
                <w:w w:val="100"/>
                <w:position w:val="0"/>
                <w:sz w:val="16"/>
                <w:szCs w:val="16"/>
              </w:rPr>
              <w:t>1</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1</w:t>
            </w:r>
            <w:r>
              <w:rPr>
                <w:rFonts w:ascii="SimSun" w:eastAsia="SimSun" w:hAnsi="SimSun" w:cs="SimSun"/>
                <w:b/>
                <w:bCs/>
                <w:color w:val="000000"/>
                <w:spacing w:val="0"/>
                <w:w w:val="100"/>
                <w:position w:val="0"/>
                <w:sz w:val="15"/>
                <w:szCs w:val="15"/>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9,310,040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37,150,905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(1,899,961)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(618,037)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1,726,799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38,699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8,061,118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53,769,563</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b/>
                <w:bCs/>
                <w:color w:val="000000"/>
                <w:spacing w:val="0"/>
                <w:w w:val="100"/>
                <w:position w:val="0"/>
                <w:sz w:val="15"/>
                <w:szCs w:val="15"/>
              </w:rPr>
              <w:t>年度增减变动额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829,576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829,576</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(476,229)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(476,229)</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综合收益总额合计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(476,229)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829,576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353,347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股份支付计入股东权益的金额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(41)</w:t>
            </w:r>
            <w:r>
              <w:rPr>
                <w:rFonts w:ascii="SimSun" w:eastAsia="SimSun" w:hAnsi="SimSun" w:cs="SimSun"/>
                <w:color w:val="000000"/>
                <w:spacing w:val="0"/>
                <w:w w:val="100"/>
                <w:position w:val="0"/>
                <w:sz w:val="15"/>
                <w:szCs w:val="15"/>
              </w:rPr>
              <w:t>、</w:t>
            </w:r>
          </w:p>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(58,368)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301,093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242,725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股票回购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(707,032)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(707,032)</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82,958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(82,958)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提取一般风险准备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97,966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(97,966)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对股东的分配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(457,878)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(457,878)</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b/>
                <w:bCs/>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9,310,040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37,092,537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(2,305,900)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(1,094,266)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1,809,757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136,665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8,251,892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53,200,725</w:t>
            </w:r>
          </w:p>
        </w:tc>
      </w:tr>
    </w:tbl>
    <w:p>
      <w:pPr>
        <w:sectPr>
          <w:footnotePr>
            <w:pos w:val="pageBottom"/>
            <w:numFmt w:val="decimal"/>
            <w:numStart w:val="1"/>
            <w:numRestart w:val="continuous"/>
            <w15:footnoteColumns w:val="1"/>
          </w:footnotePr>
          <w:pgSz w:w="16840" w:h="11900" w:orient="landscape"/>
          <w:pgMar w:top="1848" w:right="1444" w:bottom="1848" w:left="1722" w:header="0" w:footer="3" w:gutter="0"/>
          <w:cols w:space="720"/>
          <w:noEndnote/>
          <w:rtlGutter w:val="0"/>
          <w:docGrid w:linePitch="360"/>
        </w:sectPr>
      </w:pPr>
    </w:p>
    <w:p>
      <w:pPr>
        <w:pStyle w:val="Style7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苏宁易购集团股份有限公司</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年度公司股东权益变动表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55"/>
        <w:keepNext w:val="0"/>
        <w:keepLines w:val="0"/>
        <w:widowControl w:val="0"/>
        <w:shd w:val="clear" w:color="auto" w:fill="auto"/>
        <w:bidi w:val="0"/>
        <w:spacing w:before="0" w:after="200" w:line="240" w:lineRule="auto"/>
        <w:ind w:left="0" w:right="0" w:firstLine="0"/>
        <w:jc w:val="left"/>
        <w:rPr>
          <w:sz w:val="22"/>
          <w:szCs w:val="22"/>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color w:val="000000"/>
          <w:spacing w:val="0"/>
          <w:w w:val="100"/>
          <w:position w:val="0"/>
          <w:sz w:val="22"/>
          <w:szCs w:val="22"/>
        </w:rPr>
        <w:t>）</w:t>
      </w:r>
    </w:p>
    <w:tbl>
      <w:tblPr>
        <w:tblOverlap w:val="never"/>
        <w:jc w:val="center"/>
        <w:tblLayout w:type="fixed"/>
      </w:tblPr>
      <w:tblGrid>
        <w:gridCol w:w="2837"/>
        <w:gridCol w:w="850"/>
        <w:gridCol w:w="1248"/>
        <w:gridCol w:w="1248"/>
        <w:gridCol w:w="1248"/>
        <w:gridCol w:w="1248"/>
        <w:gridCol w:w="1243"/>
        <w:gridCol w:w="1248"/>
        <w:gridCol w:w="1248"/>
        <w:gridCol w:w="1258"/>
      </w:tblGrid>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一般风险准备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未分配利润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股东权益合计</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b/>
                <w:bCs/>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9,310,040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37,092,537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(2,305,900)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(1,094,266)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1,809,757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136,665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8,251,892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53,200,725</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2021</w:t>
            </w:r>
            <w:r>
              <w:rPr>
                <w:rFonts w:ascii="SimSun" w:eastAsia="SimSun" w:hAnsi="SimSun" w:cs="SimSun"/>
                <w:b/>
                <w:bCs/>
                <w:color w:val="000000"/>
                <w:spacing w:val="0"/>
                <w:w w:val="100"/>
                <w:position w:val="0"/>
                <w:sz w:val="15"/>
                <w:szCs w:val="15"/>
              </w:rPr>
              <w:t>年度增减变动额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(16,182,667)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(16,182,667)</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(913,224)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(913,224)</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综合收益总额合计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(913,224)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(16,182,667)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(17,095,891)</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股份支付</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(41)</w:t>
            </w:r>
            <w:r>
              <w:rPr>
                <w:rFonts w:ascii="SimSun" w:eastAsia="SimSun" w:hAnsi="SimSun" w:cs="SimSun"/>
                <w:color w:val="000000"/>
                <w:spacing w:val="0"/>
                <w:w w:val="100"/>
                <w:position w:val="0"/>
                <w:sz w:val="15"/>
                <w:szCs w:val="15"/>
              </w:rPr>
              <w:t>、</w:t>
            </w:r>
          </w:p>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(124,796)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296,332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171,536</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提取一般风险准备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5"/>
                <w:szCs w:val="15"/>
              </w:rPr>
              <w:t>四</w:t>
            </w:r>
            <w:r>
              <w:rPr>
                <w:rFonts w:ascii="Arial" w:eastAsia="Arial" w:hAnsi="Arial" w:cs="Arial"/>
                <w:color w:val="000000"/>
                <w:spacing w:val="0"/>
                <w:w w:val="100"/>
                <w:position w:val="0"/>
                <w:sz w:val="16"/>
                <w:szCs w:val="16"/>
              </w:rPr>
              <w:t>(45)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165,631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(165,631)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2021</w:t>
            </w:r>
            <w:r>
              <w:rPr>
                <w:rFonts w:ascii="SimSun" w:eastAsia="SimSun" w:hAnsi="SimSun" w:cs="SimSun"/>
                <w:b/>
                <w:bCs/>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b/>
                <w:bCs/>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b/>
                <w:bCs/>
                <w:color w:val="000000"/>
                <w:spacing w:val="0"/>
                <w:w w:val="100"/>
                <w:position w:val="0"/>
                <w:sz w:val="15"/>
                <w:szCs w:val="15"/>
              </w:rPr>
              <w:t>日年末余额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9,310,040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36,967,741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(2,009,568)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(2,012,874)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1,809,757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302,296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(8,091,022)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36,276,370</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sectPr>
          <w:footnotePr>
            <w:pos w:val="pageBottom"/>
            <w:numFmt w:val="decimal"/>
            <w:numStart w:val="1"/>
            <w:numRestart w:val="continuous"/>
            <w15:footnoteColumns w:val="1"/>
          </w:footnotePr>
          <w:pgSz w:w="16840" w:h="11900" w:orient="landscape"/>
          <w:pgMar w:top="730" w:right="1443" w:bottom="4413" w:left="1707" w:header="0" w:footer="3" w:gutter="0"/>
          <w:cols w:space="720"/>
          <w:noEndnote/>
          <w:rtlGutter w:val="0"/>
          <w:docGrid w:linePitch="360"/>
        </w:sectPr>
      </w:pPr>
      <w:r>
        <w:rPr>
          <w:color w:val="000000"/>
          <w:spacing w:val="0"/>
          <w:w w:val="100"/>
          <w:position w:val="0"/>
          <w:sz w:val="18"/>
          <w:szCs w:val="18"/>
        </w:rPr>
        <w:t>后附财务报表附注为财务报表的组成部分。</w:t>
      </w:r>
    </w:p>
    <w:p>
      <w:pPr>
        <w:widowControl w:val="0"/>
        <w:spacing w:line="159" w:lineRule="exact"/>
        <w:rPr>
          <w:sz w:val="13"/>
          <w:szCs w:val="13"/>
        </w:rPr>
      </w:pPr>
    </w:p>
    <w:p>
      <w:pPr>
        <w:widowControl w:val="0"/>
        <w:spacing w:line="1" w:lineRule="exact"/>
        <w:sectPr>
          <w:footnotePr>
            <w:pos w:val="pageBottom"/>
            <w:numFmt w:val="decimal"/>
            <w:numStart w:val="1"/>
            <w:numRestart w:val="continuous"/>
            <w15:footnoteColumns w:val="1"/>
          </w:footnotePr>
          <w:type w:val="continuous"/>
          <w:pgSz w:w="16840" w:h="11900" w:orient="landscape"/>
          <w:pgMar w:top="730" w:right="0" w:bottom="779" w:left="0" w:header="0" w:footer="3" w:gutter="0"/>
          <w:cols w:space="720"/>
          <w:noEndnote/>
          <w:rtlGutter w:val="0"/>
          <w:docGrid w:linePitch="360"/>
        </w:sectPr>
      </w:pPr>
    </w:p>
    <w:p>
      <w:pPr>
        <w:pStyle w:val="Style55"/>
        <w:keepNext w:val="0"/>
        <w:keepLines w:val="0"/>
        <w:framePr w:w="1483" w:h="230" w:wrap="none" w:vAnchor="text" w:hAnchor="page" w:x="1713" w:y="21"/>
        <w:widowControl w:val="0"/>
        <w:shd w:val="clear" w:color="auto" w:fill="auto"/>
        <w:bidi w:val="0"/>
        <w:spacing w:before="0" w:after="0" w:line="240" w:lineRule="auto"/>
        <w:ind w:left="0" w:right="0" w:firstLine="0"/>
        <w:jc w:val="left"/>
      </w:pPr>
      <w:r>
        <w:rPr>
          <w:color w:val="000000"/>
          <w:spacing w:val="0"/>
          <w:w w:val="100"/>
          <w:position w:val="0"/>
        </w:rPr>
        <w:t>企业负责人：任峻</w:t>
      </w:r>
    </w:p>
    <w:p>
      <w:pPr>
        <w:pStyle w:val="Style55"/>
        <w:keepNext w:val="0"/>
        <w:keepLines w:val="0"/>
        <w:framePr w:w="2371" w:h="230" w:wrap="none" w:vAnchor="text" w:hAnchor="page" w:x="5505" w:y="21"/>
        <w:widowControl w:val="0"/>
        <w:shd w:val="clear" w:color="auto" w:fill="auto"/>
        <w:bidi w:val="0"/>
        <w:spacing w:before="0" w:after="0" w:line="240" w:lineRule="auto"/>
        <w:ind w:left="0" w:right="0" w:firstLine="0"/>
        <w:jc w:val="left"/>
      </w:pPr>
      <w:r>
        <w:rPr>
          <w:color w:val="000000"/>
          <w:spacing w:val="0"/>
          <w:w w:val="100"/>
          <w:position w:val="0"/>
        </w:rPr>
        <w:t>主管会计工作的负责人：黄巍</w:t>
      </w:r>
    </w:p>
    <w:p>
      <w:pPr>
        <w:pStyle w:val="Style55"/>
        <w:keepNext w:val="0"/>
        <w:keepLines w:val="0"/>
        <w:framePr w:w="2021" w:h="235" w:wrap="none" w:vAnchor="text" w:hAnchor="page" w:x="12609" w:y="21"/>
        <w:widowControl w:val="0"/>
        <w:shd w:val="clear" w:color="auto" w:fill="auto"/>
        <w:bidi w:val="0"/>
        <w:spacing w:before="0" w:after="0" w:line="240" w:lineRule="auto"/>
        <w:ind w:left="0" w:right="0" w:firstLine="0"/>
        <w:jc w:val="left"/>
      </w:pPr>
      <w:r>
        <w:rPr>
          <w:color w:val="000000"/>
          <w:spacing w:val="0"/>
          <w:w w:val="100"/>
          <w:position w:val="0"/>
        </w:rPr>
        <w:t>会计机构负责人：华志松</w:t>
      </w:r>
    </w:p>
    <w:p>
      <w:pPr>
        <w:widowControl w:val="0"/>
        <w:spacing w:after="234" w:line="1" w:lineRule="exact"/>
      </w:pPr>
    </w:p>
    <w:p>
      <w:pPr>
        <w:widowControl w:val="0"/>
        <w:spacing w:line="1" w:lineRule="exact"/>
        <w:sectPr>
          <w:footnotePr>
            <w:pos w:val="pageBottom"/>
            <w:numFmt w:val="decimal"/>
            <w:numStart w:val="1"/>
            <w:numRestart w:val="continuous"/>
            <w15:footnoteColumns w:val="1"/>
          </w:footnotePr>
          <w:type w:val="continuous"/>
          <w:pgSz w:w="16840" w:h="11900" w:orient="landscape"/>
          <w:pgMar w:top="730" w:right="1443" w:bottom="779" w:left="1707" w:header="0" w:footer="3" w:gutter="0"/>
          <w:cols w:space="720"/>
          <w:noEndnote/>
          <w:rtlGutter w:val="0"/>
          <w:docGrid w:linePitch="360"/>
        </w:sectPr>
      </w:pPr>
    </w:p>
    <w:p>
      <w:pPr>
        <w:pStyle w:val="Style72"/>
        <w:keepNext w:val="0"/>
        <w:keepLines w:val="0"/>
        <w:widowControl w:val="0"/>
        <w:shd w:val="clear" w:color="auto" w:fill="auto"/>
        <w:tabs>
          <w:tab w:pos="667" w:val="left"/>
        </w:tabs>
        <w:bidi w:val="0"/>
        <w:spacing w:before="0" w:after="260" w:line="240" w:lineRule="auto"/>
        <w:ind w:left="0" w:right="0" w:firstLine="0"/>
        <w:jc w:val="both"/>
      </w:pPr>
      <w:r>
        <w:rPr>
          <w:b/>
          <w:bCs/>
          <w:color w:val="000000"/>
          <w:spacing w:val="0"/>
          <w:w w:val="100"/>
          <w:position w:val="0"/>
          <w:sz w:val="24"/>
          <w:szCs w:val="24"/>
        </w:rPr>
        <w:t>—</w:t>
        <w:tab/>
        <w:t>公司基本情况</w:t>
      </w:r>
    </w:p>
    <w:p>
      <w:pPr>
        <w:pStyle w:val="Style72"/>
        <w:keepNext w:val="0"/>
        <w:keepLines w:val="0"/>
        <w:widowControl w:val="0"/>
        <w:shd w:val="clear" w:color="auto" w:fill="auto"/>
        <w:bidi w:val="0"/>
        <w:spacing w:before="0" w:after="260"/>
        <w:ind w:right="0" w:firstLine="0"/>
        <w:jc w:val="both"/>
      </w:pPr>
      <w:r>
        <w:rPr>
          <w:color w:val="000000"/>
          <w:spacing w:val="0"/>
          <w:w w:val="100"/>
          <w:position w:val="0"/>
          <w:sz w:val="24"/>
          <w:szCs w:val="24"/>
        </w:rPr>
        <w:t>苏宁易购集团股份有限公司</w:t>
      </w:r>
      <w:r>
        <w:rPr>
          <w:rFonts w:ascii="Arial" w:eastAsia="Arial" w:hAnsi="Arial" w:cs="Arial"/>
          <w:color w:val="000000"/>
          <w:spacing w:val="0"/>
          <w:w w:val="100"/>
          <w:position w:val="0"/>
          <w:sz w:val="24"/>
          <w:szCs w:val="24"/>
        </w:rPr>
        <w:t>（</w:t>
      </w:r>
      <w:r>
        <w:rPr>
          <w:color w:val="000000"/>
          <w:spacing w:val="0"/>
          <w:w w:val="100"/>
          <w:position w:val="0"/>
          <w:sz w:val="24"/>
          <w:szCs w:val="24"/>
        </w:rPr>
        <w:t>以下简称</w:t>
      </w:r>
      <w:r>
        <w:rPr>
          <w:rFonts w:ascii="Arial" w:eastAsia="Arial" w:hAnsi="Arial" w:cs="Arial"/>
          <w:color w:val="000000"/>
          <w:spacing w:val="0"/>
          <w:w w:val="100"/>
          <w:position w:val="0"/>
          <w:sz w:val="24"/>
          <w:szCs w:val="24"/>
        </w:rPr>
        <w:t>“</w:t>
      </w:r>
      <w:r>
        <w:rPr>
          <w:color w:val="000000"/>
          <w:spacing w:val="0"/>
          <w:w w:val="100"/>
          <w:position w:val="0"/>
          <w:sz w:val="24"/>
          <w:szCs w:val="24"/>
        </w:rPr>
        <w:t>本公司</w:t>
      </w:r>
      <w:r>
        <w:rPr>
          <w:rFonts w:ascii="Arial" w:eastAsia="Arial" w:hAnsi="Arial" w:cs="Arial"/>
          <w:color w:val="000000"/>
          <w:spacing w:val="0"/>
          <w:w w:val="100"/>
          <w:position w:val="0"/>
          <w:sz w:val="24"/>
          <w:szCs w:val="24"/>
        </w:rPr>
        <w:t>”）</w:t>
      </w:r>
      <w:r>
        <w:rPr>
          <w:color w:val="000000"/>
          <w:spacing w:val="0"/>
          <w:w w:val="100"/>
          <w:position w:val="0"/>
          <w:sz w:val="24"/>
          <w:szCs w:val="24"/>
        </w:rPr>
        <w:t>的前身系于</w:t>
      </w:r>
      <w:r>
        <w:rPr>
          <w:rFonts w:ascii="Arial" w:eastAsia="Arial" w:hAnsi="Arial" w:cs="Arial"/>
          <w:color w:val="000000"/>
          <w:spacing w:val="0"/>
          <w:w w:val="100"/>
          <w:position w:val="0"/>
          <w:sz w:val="24"/>
          <w:szCs w:val="24"/>
        </w:rPr>
        <w:t>1996</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15</w:t>
      </w:r>
      <w:r>
        <w:rPr>
          <w:color w:val="000000"/>
          <w:spacing w:val="0"/>
          <w:w w:val="100"/>
          <w:position w:val="0"/>
          <w:sz w:val="24"/>
          <w:szCs w:val="24"/>
        </w:rPr>
        <w:t>日 在中华人民共和国江苏省南京市注册成立的江苏苏宁交家电有限公司，成立 时的注册资本为人民币</w:t>
      </w:r>
      <w:r>
        <w:rPr>
          <w:rFonts w:ascii="Arial" w:eastAsia="Arial" w:hAnsi="Arial" w:cs="Arial"/>
          <w:color w:val="000000"/>
          <w:spacing w:val="0"/>
          <w:w w:val="100"/>
          <w:position w:val="0"/>
          <w:sz w:val="24"/>
          <w:szCs w:val="24"/>
        </w:rPr>
        <w:t>120</w:t>
      </w:r>
      <w:r>
        <w:rPr>
          <w:color w:val="000000"/>
          <w:spacing w:val="0"/>
          <w:w w:val="100"/>
          <w:position w:val="0"/>
          <w:sz w:val="24"/>
          <w:szCs w:val="24"/>
        </w:rPr>
        <w:t>万元。于</w:t>
      </w:r>
      <w:r>
        <w:rPr>
          <w:rFonts w:ascii="Arial" w:eastAsia="Arial" w:hAnsi="Arial" w:cs="Arial"/>
          <w:color w:val="000000"/>
          <w:spacing w:val="0"/>
          <w:w w:val="100"/>
          <w:position w:val="0"/>
          <w:sz w:val="24"/>
          <w:szCs w:val="24"/>
        </w:rPr>
        <w:t>2000</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日，经江苏省工商行政 管理局批准更名为江苏苏宁交家电集团有限公司。于</w:t>
      </w:r>
      <w:r>
        <w:rPr>
          <w:rFonts w:ascii="Arial" w:eastAsia="Arial" w:hAnsi="Arial" w:cs="Arial"/>
          <w:color w:val="000000"/>
          <w:spacing w:val="0"/>
          <w:w w:val="100"/>
          <w:position w:val="0"/>
          <w:sz w:val="24"/>
          <w:szCs w:val="24"/>
        </w:rPr>
        <w:t>2000</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日经国 家工商行政管理局批准更名为苏宁交家电</w:t>
      </w:r>
      <w:r>
        <w:rPr>
          <w:rFonts w:ascii="Arial" w:eastAsia="Arial" w:hAnsi="Arial" w:cs="Arial"/>
          <w:color w:val="000000"/>
          <w:spacing w:val="0"/>
          <w:w w:val="100"/>
          <w:position w:val="0"/>
          <w:sz w:val="24"/>
          <w:szCs w:val="24"/>
        </w:rPr>
        <w:t>（</w:t>
      </w:r>
      <w:r>
        <w:rPr>
          <w:color w:val="000000"/>
          <w:spacing w:val="0"/>
          <w:w w:val="100"/>
          <w:position w:val="0"/>
          <w:sz w:val="24"/>
          <w:szCs w:val="24"/>
        </w:rPr>
        <w:t>集团</w:t>
      </w:r>
      <w:r>
        <w:rPr>
          <w:rFonts w:ascii="Arial" w:eastAsia="Arial" w:hAnsi="Arial" w:cs="Arial"/>
          <w:color w:val="000000"/>
          <w:spacing w:val="0"/>
          <w:w w:val="100"/>
          <w:position w:val="0"/>
          <w:sz w:val="24"/>
          <w:szCs w:val="24"/>
        </w:rPr>
        <w:t>）</w:t>
      </w:r>
      <w:r>
        <w:rPr>
          <w:color w:val="000000"/>
          <w:spacing w:val="0"/>
          <w:w w:val="100"/>
          <w:position w:val="0"/>
          <w:sz w:val="24"/>
          <w:szCs w:val="24"/>
        </w:rPr>
        <w:t>有限公司。于</w:t>
      </w:r>
      <w:r>
        <w:rPr>
          <w:rFonts w:ascii="Arial" w:eastAsia="Arial" w:hAnsi="Arial" w:cs="Arial"/>
          <w:color w:val="000000"/>
          <w:spacing w:val="0"/>
          <w:w w:val="100"/>
          <w:position w:val="0"/>
          <w:sz w:val="24"/>
          <w:szCs w:val="24"/>
        </w:rPr>
        <w:t>2001</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 xml:space="preserve">28 </w:t>
      </w:r>
      <w:r>
        <w:rPr>
          <w:color w:val="000000"/>
          <w:spacing w:val="0"/>
          <w:w w:val="100"/>
          <w:position w:val="0"/>
          <w:sz w:val="24"/>
          <w:szCs w:val="24"/>
        </w:rPr>
        <w:t>日，经江苏省人民政府苏政复</w:t>
      </w:r>
      <w:r>
        <w:rPr>
          <w:rFonts w:ascii="Arial" w:eastAsia="Arial" w:hAnsi="Arial" w:cs="Arial"/>
          <w:color w:val="000000"/>
          <w:spacing w:val="0"/>
          <w:w w:val="100"/>
          <w:position w:val="0"/>
          <w:sz w:val="24"/>
          <w:szCs w:val="24"/>
        </w:rPr>
        <w:t>[</w:t>
      </w:r>
      <w:r>
        <w:rPr>
          <w:rFonts w:ascii="Arial" w:eastAsia="Arial" w:hAnsi="Arial" w:cs="Arial"/>
          <w:color w:val="000000"/>
          <w:spacing w:val="0"/>
          <w:w w:val="100"/>
          <w:position w:val="0"/>
          <w:sz w:val="24"/>
          <w:szCs w:val="24"/>
        </w:rPr>
        <w:t>2001]109</w:t>
      </w:r>
      <w:r>
        <w:rPr>
          <w:color w:val="000000"/>
          <w:spacing w:val="0"/>
          <w:w w:val="100"/>
          <w:position w:val="0"/>
          <w:sz w:val="24"/>
          <w:szCs w:val="24"/>
        </w:rPr>
        <w:t>号文批准，以苏宁交家电</w:t>
      </w:r>
      <w:r>
        <w:rPr>
          <w:rFonts w:ascii="Arial" w:eastAsia="Arial" w:hAnsi="Arial" w:cs="Arial"/>
          <w:color w:val="000000"/>
          <w:spacing w:val="0"/>
          <w:w w:val="100"/>
          <w:position w:val="0"/>
          <w:sz w:val="24"/>
          <w:szCs w:val="24"/>
        </w:rPr>
        <w:t>（</w:t>
      </w:r>
      <w:r>
        <w:rPr>
          <w:color w:val="000000"/>
          <w:spacing w:val="0"/>
          <w:w w:val="100"/>
          <w:position w:val="0"/>
          <w:sz w:val="24"/>
          <w:szCs w:val="24"/>
        </w:rPr>
        <w:t>集团</w:t>
      </w:r>
      <w:r>
        <w:rPr>
          <w:rFonts w:ascii="Arial" w:eastAsia="Arial" w:hAnsi="Arial" w:cs="Arial"/>
          <w:color w:val="000000"/>
          <w:spacing w:val="0"/>
          <w:w w:val="100"/>
          <w:position w:val="0"/>
          <w:sz w:val="24"/>
          <w:szCs w:val="24"/>
        </w:rPr>
        <w:t>）</w:t>
      </w:r>
      <w:r>
        <w:rPr>
          <w:color w:val="000000"/>
          <w:spacing w:val="0"/>
          <w:w w:val="100"/>
          <w:position w:val="0"/>
          <w:sz w:val="24"/>
          <w:szCs w:val="24"/>
        </w:rPr>
        <w:t>有限 公司于</w:t>
      </w:r>
      <w:r>
        <w:rPr>
          <w:rFonts w:ascii="Arial" w:eastAsia="Arial" w:hAnsi="Arial" w:cs="Arial"/>
          <w:color w:val="000000"/>
          <w:spacing w:val="0"/>
          <w:w w:val="100"/>
          <w:position w:val="0"/>
          <w:sz w:val="24"/>
          <w:szCs w:val="24"/>
        </w:rPr>
        <w:t>2000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日的净资产整体变更为苏宁电器连锁集团股份有限 公司，股本总额为人民币</w:t>
      </w:r>
      <w:r>
        <w:rPr>
          <w:rFonts w:ascii="Arial" w:eastAsia="Arial" w:hAnsi="Arial" w:cs="Arial"/>
          <w:color w:val="000000"/>
          <w:spacing w:val="0"/>
          <w:w w:val="100"/>
          <w:position w:val="0"/>
          <w:sz w:val="24"/>
          <w:szCs w:val="24"/>
        </w:rPr>
        <w:t>68,160,000</w:t>
      </w:r>
      <w:r>
        <w:rPr>
          <w:color w:val="000000"/>
          <w:spacing w:val="0"/>
          <w:w w:val="100"/>
          <w:position w:val="0"/>
          <w:sz w:val="24"/>
          <w:szCs w:val="24"/>
        </w:rPr>
        <w:t>元，于</w:t>
      </w:r>
      <w:r>
        <w:rPr>
          <w:rFonts w:ascii="Arial" w:eastAsia="Arial" w:hAnsi="Arial" w:cs="Arial"/>
          <w:color w:val="000000"/>
          <w:spacing w:val="0"/>
          <w:w w:val="100"/>
          <w:position w:val="0"/>
          <w:sz w:val="24"/>
          <w:szCs w:val="24"/>
        </w:rPr>
        <w:t>2001</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29</w:t>
      </w:r>
      <w:r>
        <w:rPr>
          <w:color w:val="000000"/>
          <w:spacing w:val="0"/>
          <w:w w:val="100"/>
          <w:position w:val="0"/>
          <w:sz w:val="24"/>
          <w:szCs w:val="24"/>
        </w:rPr>
        <w:t>日领取营业执照。 此后，根据</w:t>
      </w:r>
      <w:r>
        <w:rPr>
          <w:rFonts w:ascii="Arial" w:eastAsia="Arial" w:hAnsi="Arial" w:cs="Arial"/>
          <w:color w:val="000000"/>
          <w:spacing w:val="0"/>
          <w:w w:val="100"/>
          <w:position w:val="0"/>
          <w:sz w:val="24"/>
          <w:szCs w:val="24"/>
        </w:rPr>
        <w:t>2005</w:t>
      </w:r>
      <w:r>
        <w:rPr>
          <w:color w:val="000000"/>
          <w:spacing w:val="0"/>
          <w:w w:val="100"/>
          <w:position w:val="0"/>
          <w:sz w:val="24"/>
          <w:szCs w:val="24"/>
        </w:rPr>
        <w:t>年第二次临时股东大会决议，本公司更名为苏宁电器股份有 限公司。根据</w:t>
      </w:r>
      <w:r>
        <w:rPr>
          <w:rFonts w:ascii="Arial" w:eastAsia="Arial" w:hAnsi="Arial" w:cs="Arial"/>
          <w:color w:val="000000"/>
          <w:spacing w:val="0"/>
          <w:w w:val="100"/>
          <w:position w:val="0"/>
          <w:sz w:val="24"/>
          <w:szCs w:val="24"/>
        </w:rPr>
        <w:t>2013</w:t>
      </w:r>
      <w:r>
        <w:rPr>
          <w:color w:val="000000"/>
          <w:spacing w:val="0"/>
          <w:w w:val="100"/>
          <w:position w:val="0"/>
          <w:sz w:val="24"/>
          <w:szCs w:val="24"/>
        </w:rPr>
        <w:t>年第一次临时股东大会决议，本公司更名为苏宁云商集团 股份有限公司。根据</w:t>
      </w:r>
      <w:r>
        <w:rPr>
          <w:rFonts w:ascii="Arial" w:eastAsia="Arial" w:hAnsi="Arial" w:cs="Arial"/>
          <w:color w:val="000000"/>
          <w:spacing w:val="0"/>
          <w:w w:val="100"/>
          <w:position w:val="0"/>
          <w:sz w:val="24"/>
          <w:szCs w:val="24"/>
        </w:rPr>
        <w:t>2018</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月召开的</w:t>
      </w:r>
      <w:r>
        <w:rPr>
          <w:rFonts w:ascii="Arial" w:eastAsia="Arial" w:hAnsi="Arial" w:cs="Arial"/>
          <w:color w:val="000000"/>
          <w:spacing w:val="0"/>
          <w:w w:val="100"/>
          <w:position w:val="0"/>
          <w:sz w:val="24"/>
          <w:szCs w:val="24"/>
        </w:rPr>
        <w:t>2018</w:t>
      </w:r>
      <w:r>
        <w:rPr>
          <w:color w:val="000000"/>
          <w:spacing w:val="0"/>
          <w:w w:val="100"/>
          <w:position w:val="0"/>
          <w:sz w:val="24"/>
          <w:szCs w:val="24"/>
        </w:rPr>
        <w:t>年第二次临时股东大会决议， 本公司更名为苏宁易购集团股份有限公司，并于</w:t>
      </w:r>
      <w:r>
        <w:rPr>
          <w:rFonts w:ascii="Arial" w:eastAsia="Arial" w:hAnsi="Arial" w:cs="Arial"/>
          <w:color w:val="000000"/>
          <w:spacing w:val="0"/>
          <w:w w:val="100"/>
          <w:position w:val="0"/>
          <w:sz w:val="24"/>
          <w:szCs w:val="24"/>
        </w:rPr>
        <w:t>2018</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月取得变更后的营 业执照。本公司总部地址为中华人民共和国江苏省南京市。</w:t>
      </w:r>
    </w:p>
    <w:p>
      <w:pPr>
        <w:pStyle w:val="Style72"/>
        <w:keepNext w:val="0"/>
        <w:keepLines w:val="0"/>
        <w:widowControl w:val="0"/>
        <w:shd w:val="clear" w:color="auto" w:fill="auto"/>
        <w:bidi w:val="0"/>
        <w:spacing w:before="0" w:after="260" w:line="314" w:lineRule="exact"/>
        <w:ind w:right="0" w:firstLine="0"/>
        <w:jc w:val="both"/>
      </w:pPr>
      <w:r>
        <w:rPr>
          <w:color w:val="000000"/>
          <w:spacing w:val="0"/>
          <w:w w:val="100"/>
          <w:position w:val="0"/>
          <w:sz w:val="24"/>
          <w:szCs w:val="24"/>
        </w:rPr>
        <w:t>经中国证券监督管理委员会证监发行字</w:t>
      </w:r>
      <w:r>
        <w:rPr>
          <w:rFonts w:ascii="Arial" w:eastAsia="Arial" w:hAnsi="Arial" w:cs="Arial"/>
          <w:color w:val="000000"/>
          <w:spacing w:val="0"/>
          <w:w w:val="100"/>
          <w:position w:val="0"/>
          <w:sz w:val="24"/>
          <w:szCs w:val="24"/>
        </w:rPr>
        <w:t>[2004]97</w:t>
      </w:r>
      <w:r>
        <w:rPr>
          <w:color w:val="000000"/>
          <w:spacing w:val="0"/>
          <w:w w:val="100"/>
          <w:position w:val="0"/>
          <w:sz w:val="24"/>
          <w:szCs w:val="24"/>
        </w:rPr>
        <w:t>号文</w:t>
      </w:r>
      <w:r>
        <w:rPr>
          <w:rFonts w:ascii="Arial" w:eastAsia="Arial" w:hAnsi="Arial" w:cs="Arial"/>
          <w:color w:val="000000"/>
          <w:spacing w:val="0"/>
          <w:w w:val="100"/>
          <w:position w:val="0"/>
          <w:sz w:val="24"/>
          <w:szCs w:val="24"/>
        </w:rPr>
        <w:t>“</w:t>
      </w:r>
      <w:r>
        <w:rPr>
          <w:color w:val="000000"/>
          <w:spacing w:val="0"/>
          <w:w w:val="100"/>
          <w:position w:val="0"/>
          <w:sz w:val="24"/>
          <w:szCs w:val="24"/>
        </w:rPr>
        <w:t>关于核准苏宁电器连锁 集团股份有限公司公开发行股票的通知</w:t>
      </w:r>
      <w:r>
        <w:rPr>
          <w:rFonts w:ascii="Arial" w:eastAsia="Arial" w:hAnsi="Arial" w:cs="Arial"/>
          <w:color w:val="000000"/>
          <w:spacing w:val="0"/>
          <w:w w:val="100"/>
          <w:position w:val="0"/>
          <w:sz w:val="24"/>
          <w:szCs w:val="24"/>
        </w:rPr>
        <w:t>”</w:t>
      </w:r>
      <w:r>
        <w:rPr>
          <w:color w:val="000000"/>
          <w:spacing w:val="0"/>
          <w:w w:val="100"/>
          <w:position w:val="0"/>
          <w:sz w:val="24"/>
          <w:szCs w:val="24"/>
        </w:rPr>
        <w:t>批准，本公司于</w:t>
      </w:r>
      <w:r>
        <w:rPr>
          <w:rFonts w:ascii="Arial" w:eastAsia="Arial" w:hAnsi="Arial" w:cs="Arial"/>
          <w:color w:val="000000"/>
          <w:spacing w:val="0"/>
          <w:w w:val="100"/>
          <w:position w:val="0"/>
          <w:sz w:val="24"/>
          <w:szCs w:val="24"/>
        </w:rPr>
        <w:t>2004</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7</w:t>
      </w:r>
      <w:r>
        <w:rPr>
          <w:color w:val="000000"/>
          <w:spacing w:val="0"/>
          <w:w w:val="100"/>
          <w:position w:val="0"/>
          <w:sz w:val="24"/>
          <w:szCs w:val="24"/>
        </w:rPr>
        <w:t xml:space="preserve">日向 境内投资者发行了 </w:t>
      </w:r>
      <w:r>
        <w:rPr>
          <w:rFonts w:ascii="Arial" w:eastAsia="Arial" w:hAnsi="Arial" w:cs="Arial"/>
          <w:color w:val="000000"/>
          <w:spacing w:val="0"/>
          <w:w w:val="100"/>
          <w:position w:val="0"/>
          <w:sz w:val="24"/>
          <w:szCs w:val="24"/>
        </w:rPr>
        <w:t>2,500</w:t>
      </w:r>
      <w:r>
        <w:rPr>
          <w:color w:val="000000"/>
          <w:spacing w:val="0"/>
          <w:w w:val="100"/>
          <w:position w:val="0"/>
          <w:sz w:val="24"/>
          <w:szCs w:val="24"/>
        </w:rPr>
        <w:t>万股人民币普通股</w:t>
      </w:r>
      <w:r>
        <w:rPr>
          <w:rFonts w:ascii="Arial" w:eastAsia="Arial" w:hAnsi="Arial" w:cs="Arial"/>
          <w:color w:val="000000"/>
          <w:spacing w:val="0"/>
          <w:w w:val="100"/>
          <w:position w:val="0"/>
          <w:sz w:val="24"/>
          <w:szCs w:val="24"/>
        </w:rPr>
        <w:t>（</w:t>
      </w:r>
      <w:r>
        <w:rPr>
          <w:color w:val="000000"/>
          <w:spacing w:val="0"/>
          <w:w w:val="100"/>
          <w:position w:val="0"/>
          <w:sz w:val="24"/>
          <w:szCs w:val="24"/>
        </w:rPr>
        <w:t>以下称为</w:t>
      </w:r>
      <w:r>
        <w:rPr>
          <w:rFonts w:ascii="Arial" w:eastAsia="Arial" w:hAnsi="Arial" w:cs="Arial"/>
          <w:color w:val="000000"/>
          <w:spacing w:val="0"/>
          <w:w w:val="100"/>
          <w:position w:val="0"/>
          <w:sz w:val="24"/>
          <w:szCs w:val="24"/>
        </w:rPr>
        <w:t>“A</w:t>
      </w:r>
      <w:r>
        <w:rPr>
          <w:color w:val="000000"/>
          <w:spacing w:val="0"/>
          <w:w w:val="100"/>
          <w:position w:val="0"/>
          <w:sz w:val="24"/>
          <w:szCs w:val="24"/>
        </w:rPr>
        <w:t>股</w:t>
      </w:r>
      <w:r>
        <w:rPr>
          <w:rFonts w:ascii="Arial" w:eastAsia="Arial" w:hAnsi="Arial" w:cs="Arial"/>
          <w:color w:val="000000"/>
          <w:spacing w:val="0"/>
          <w:w w:val="100"/>
          <w:position w:val="0"/>
          <w:sz w:val="24"/>
          <w:szCs w:val="24"/>
        </w:rPr>
        <w:t>”）</w:t>
      </w:r>
      <w:r>
        <w:rPr>
          <w:color w:val="000000"/>
          <w:spacing w:val="0"/>
          <w:w w:val="100"/>
          <w:position w:val="0"/>
          <w:sz w:val="24"/>
          <w:szCs w:val="24"/>
        </w:rPr>
        <w:t>，每股面值人民 币</w:t>
      </w:r>
      <w:r>
        <w:rPr>
          <w:rFonts w:ascii="Arial" w:eastAsia="Arial" w:hAnsi="Arial" w:cs="Arial"/>
          <w:color w:val="000000"/>
          <w:spacing w:val="0"/>
          <w:w w:val="100"/>
          <w:position w:val="0"/>
          <w:sz w:val="24"/>
          <w:szCs w:val="24"/>
        </w:rPr>
        <w:t>1</w:t>
      </w:r>
      <w:r>
        <w:rPr>
          <w:color w:val="000000"/>
          <w:spacing w:val="0"/>
          <w:w w:val="100"/>
          <w:position w:val="0"/>
          <w:sz w:val="24"/>
          <w:szCs w:val="24"/>
        </w:rPr>
        <w:t>元，每股发行价为人民币</w:t>
      </w:r>
      <w:r>
        <w:rPr>
          <w:rFonts w:ascii="Arial" w:eastAsia="Arial" w:hAnsi="Arial" w:cs="Arial"/>
          <w:color w:val="000000"/>
          <w:spacing w:val="0"/>
          <w:w w:val="100"/>
          <w:position w:val="0"/>
          <w:sz w:val="24"/>
          <w:szCs w:val="24"/>
        </w:rPr>
        <w:t>16.33</w:t>
      </w:r>
      <w:r>
        <w:rPr>
          <w:color w:val="000000"/>
          <w:spacing w:val="0"/>
          <w:w w:val="100"/>
          <w:position w:val="0"/>
          <w:sz w:val="24"/>
          <w:szCs w:val="24"/>
        </w:rPr>
        <w:t>元，发行后总股本增至人民币</w:t>
      </w:r>
      <w:r>
        <w:rPr>
          <w:rFonts w:ascii="Arial" w:eastAsia="Arial" w:hAnsi="Arial" w:cs="Arial"/>
          <w:color w:val="000000"/>
          <w:spacing w:val="0"/>
          <w:w w:val="100"/>
          <w:position w:val="0"/>
          <w:sz w:val="24"/>
          <w:szCs w:val="24"/>
        </w:rPr>
        <w:t xml:space="preserve">93,160,000 </w:t>
      </w:r>
      <w:r>
        <w:rPr>
          <w:color w:val="000000"/>
          <w:spacing w:val="0"/>
          <w:w w:val="100"/>
          <w:position w:val="0"/>
          <w:sz w:val="24"/>
          <w:szCs w:val="24"/>
        </w:rPr>
        <w:t>元，本公司发行的</w:t>
      </w:r>
      <w:r>
        <w:rPr>
          <w:rFonts w:ascii="Arial" w:eastAsia="Arial" w:hAnsi="Arial" w:cs="Arial"/>
          <w:color w:val="000000"/>
          <w:spacing w:val="0"/>
          <w:w w:val="100"/>
          <w:position w:val="0"/>
          <w:sz w:val="24"/>
          <w:szCs w:val="24"/>
        </w:rPr>
        <w:t>A</w:t>
      </w:r>
      <w:r>
        <w:rPr>
          <w:color w:val="000000"/>
          <w:spacing w:val="0"/>
          <w:w w:val="100"/>
          <w:position w:val="0"/>
          <w:sz w:val="24"/>
          <w:szCs w:val="24"/>
        </w:rPr>
        <w:t>股于</w:t>
      </w:r>
      <w:r>
        <w:rPr>
          <w:rFonts w:ascii="Arial" w:eastAsia="Arial" w:hAnsi="Arial" w:cs="Arial"/>
          <w:color w:val="000000"/>
          <w:spacing w:val="0"/>
          <w:w w:val="100"/>
          <w:position w:val="0"/>
          <w:sz w:val="24"/>
          <w:szCs w:val="24"/>
        </w:rPr>
        <w:t>2004</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21</w:t>
      </w:r>
      <w:r>
        <w:rPr>
          <w:color w:val="000000"/>
          <w:spacing w:val="0"/>
          <w:w w:val="100"/>
          <w:position w:val="0"/>
          <w:sz w:val="24"/>
          <w:szCs w:val="24"/>
        </w:rPr>
        <w:t>日在深圳证券交易所中小企业板块 挂牌上市交易。</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经于</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22</w:t>
      </w:r>
      <w:r>
        <w:rPr>
          <w:color w:val="000000"/>
          <w:spacing w:val="0"/>
          <w:w w:val="100"/>
          <w:position w:val="0"/>
          <w:sz w:val="24"/>
          <w:szCs w:val="24"/>
        </w:rPr>
        <w:t>日召开的</w:t>
      </w:r>
      <w:r>
        <w:rPr>
          <w:rFonts w:ascii="Arial" w:eastAsia="Arial" w:hAnsi="Arial" w:cs="Arial"/>
          <w:color w:val="000000"/>
          <w:spacing w:val="0"/>
          <w:w w:val="100"/>
          <w:position w:val="0"/>
          <w:sz w:val="24"/>
          <w:szCs w:val="24"/>
        </w:rPr>
        <w:t>2004</w:t>
      </w:r>
      <w:r>
        <w:rPr>
          <w:color w:val="000000"/>
          <w:spacing w:val="0"/>
          <w:w w:val="100"/>
          <w:position w:val="0"/>
          <w:sz w:val="24"/>
          <w:szCs w:val="24"/>
        </w:rPr>
        <w:t>年年度股东大会通过，本公司以资本公 积转增股本人民币</w:t>
      </w:r>
      <w:r>
        <w:rPr>
          <w:rFonts w:ascii="Arial" w:eastAsia="Arial" w:hAnsi="Arial" w:cs="Arial"/>
          <w:color w:val="000000"/>
          <w:spacing w:val="0"/>
          <w:w w:val="100"/>
          <w:position w:val="0"/>
          <w:sz w:val="24"/>
          <w:szCs w:val="24"/>
        </w:rPr>
        <w:t>93,160,000</w:t>
      </w:r>
      <w:r>
        <w:rPr>
          <w:color w:val="000000"/>
          <w:spacing w:val="0"/>
          <w:w w:val="100"/>
          <w:position w:val="0"/>
          <w:sz w:val="24"/>
          <w:szCs w:val="24"/>
        </w:rPr>
        <w:t xml:space="preserve">元。经此次转增后，股本总额变更为人民币 </w:t>
      </w:r>
      <w:r>
        <w:rPr>
          <w:rFonts w:ascii="Arial" w:eastAsia="Arial" w:hAnsi="Arial" w:cs="Arial"/>
          <w:color w:val="000000"/>
          <w:spacing w:val="0"/>
          <w:w w:val="100"/>
          <w:position w:val="0"/>
          <w:sz w:val="24"/>
          <w:szCs w:val="24"/>
        </w:rPr>
        <w:t xml:space="preserve">186,320,000 </w:t>
      </w:r>
      <w:r>
        <w:rPr>
          <w:color w:val="000000"/>
          <w:spacing w:val="0"/>
          <w:w w:val="100"/>
          <w:position w:val="0"/>
          <w:sz w:val="24"/>
          <w:szCs w:val="24"/>
        </w:rPr>
        <w:t>元。</w:t>
      </w:r>
    </w:p>
    <w:p>
      <w:pPr>
        <w:pStyle w:val="Style72"/>
        <w:keepNext w:val="0"/>
        <w:keepLines w:val="0"/>
        <w:widowControl w:val="0"/>
        <w:shd w:val="clear" w:color="auto" w:fill="auto"/>
        <w:bidi w:val="0"/>
        <w:spacing w:before="0" w:after="260" w:line="314" w:lineRule="exact"/>
        <w:ind w:right="0" w:firstLine="0"/>
        <w:jc w:val="both"/>
      </w:pPr>
      <w:r>
        <w:rPr>
          <w:color w:val="000000"/>
          <w:spacing w:val="0"/>
          <w:w w:val="100"/>
          <w:position w:val="0"/>
          <w:sz w:val="24"/>
          <w:szCs w:val="24"/>
        </w:rPr>
        <w:t>经于</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29</w:t>
      </w:r>
      <w:r>
        <w:rPr>
          <w:color w:val="000000"/>
          <w:spacing w:val="0"/>
          <w:w w:val="100"/>
          <w:position w:val="0"/>
          <w:sz w:val="24"/>
          <w:szCs w:val="24"/>
        </w:rPr>
        <w:t>日召开的</w:t>
      </w:r>
      <w:r>
        <w:rPr>
          <w:rFonts w:ascii="Arial" w:eastAsia="Arial" w:hAnsi="Arial" w:cs="Arial"/>
          <w:color w:val="000000"/>
          <w:spacing w:val="0"/>
          <w:w w:val="100"/>
          <w:position w:val="0"/>
          <w:sz w:val="24"/>
          <w:szCs w:val="24"/>
        </w:rPr>
        <w:t>2005</w:t>
      </w:r>
      <w:r>
        <w:rPr>
          <w:color w:val="000000"/>
          <w:spacing w:val="0"/>
          <w:w w:val="100"/>
          <w:position w:val="0"/>
          <w:sz w:val="24"/>
          <w:szCs w:val="24"/>
        </w:rPr>
        <w:t>年第二次临时股东大会决议通过，本公 司以资本公积转增股本人民币</w:t>
      </w:r>
      <w:r>
        <w:rPr>
          <w:rFonts w:ascii="Arial" w:eastAsia="Arial" w:hAnsi="Arial" w:cs="Arial"/>
          <w:color w:val="000000"/>
          <w:spacing w:val="0"/>
          <w:w w:val="100"/>
          <w:position w:val="0"/>
          <w:sz w:val="24"/>
          <w:szCs w:val="24"/>
        </w:rPr>
        <w:t>149,056,000</w:t>
      </w:r>
      <w:r>
        <w:rPr>
          <w:color w:val="000000"/>
          <w:spacing w:val="0"/>
          <w:w w:val="100"/>
          <w:position w:val="0"/>
          <w:sz w:val="24"/>
          <w:szCs w:val="24"/>
        </w:rPr>
        <w:t>元。经此次转增后，股本总额变 更为人民币</w:t>
      </w:r>
      <w:r>
        <w:rPr>
          <w:rFonts w:ascii="Arial" w:eastAsia="Arial" w:hAnsi="Arial" w:cs="Arial"/>
          <w:color w:val="000000"/>
          <w:spacing w:val="0"/>
          <w:w w:val="100"/>
          <w:position w:val="0"/>
          <w:sz w:val="24"/>
          <w:szCs w:val="24"/>
        </w:rPr>
        <w:t>335,376,000</w:t>
      </w:r>
      <w:r>
        <w:rPr>
          <w:color w:val="000000"/>
          <w:spacing w:val="0"/>
          <w:w w:val="100"/>
          <w:position w:val="0"/>
          <w:sz w:val="24"/>
          <w:szCs w:val="24"/>
        </w:rPr>
        <w:t>元。</w:t>
      </w:r>
    </w:p>
    <w:p>
      <w:pPr>
        <w:pStyle w:val="Style72"/>
        <w:keepNext w:val="0"/>
        <w:keepLines w:val="0"/>
        <w:widowControl w:val="0"/>
        <w:shd w:val="clear" w:color="auto" w:fill="auto"/>
        <w:bidi w:val="0"/>
        <w:spacing w:before="0" w:after="260" w:line="309" w:lineRule="exact"/>
        <w:ind w:right="0" w:firstLine="0"/>
        <w:jc w:val="both"/>
      </w:pPr>
      <w:r>
        <w:rPr>
          <w:color w:val="000000"/>
          <w:spacing w:val="0"/>
          <w:w w:val="100"/>
          <w:position w:val="0"/>
          <w:sz w:val="24"/>
          <w:szCs w:val="24"/>
        </w:rPr>
        <w:t>经中国证券监督管理委员会证监发行字</w:t>
      </w:r>
      <w:r>
        <w:rPr>
          <w:rFonts w:ascii="Arial" w:eastAsia="Arial" w:hAnsi="Arial" w:cs="Arial"/>
          <w:color w:val="000000"/>
          <w:spacing w:val="0"/>
          <w:w w:val="100"/>
          <w:position w:val="0"/>
          <w:sz w:val="24"/>
          <w:szCs w:val="24"/>
        </w:rPr>
        <w:t>[2006]21</w:t>
      </w:r>
      <w:r>
        <w:rPr>
          <w:color w:val="000000"/>
          <w:spacing w:val="0"/>
          <w:w w:val="100"/>
          <w:position w:val="0"/>
          <w:sz w:val="24"/>
          <w:szCs w:val="24"/>
        </w:rPr>
        <w:t>号文</w:t>
      </w:r>
      <w:r>
        <w:rPr>
          <w:rFonts w:ascii="Arial" w:eastAsia="Arial" w:hAnsi="Arial" w:cs="Arial"/>
          <w:color w:val="000000"/>
          <w:spacing w:val="0"/>
          <w:w w:val="100"/>
          <w:position w:val="0"/>
          <w:sz w:val="24"/>
          <w:szCs w:val="24"/>
        </w:rPr>
        <w:t>“</w:t>
      </w:r>
      <w:r>
        <w:rPr>
          <w:color w:val="000000"/>
          <w:spacing w:val="0"/>
          <w:w w:val="100"/>
          <w:position w:val="0"/>
          <w:sz w:val="24"/>
          <w:szCs w:val="24"/>
        </w:rPr>
        <w:t>关于核准苏宁电器股份 有限公司非公开发行股票的通知</w:t>
      </w:r>
      <w:r>
        <w:rPr>
          <w:rFonts w:ascii="Arial" w:eastAsia="Arial" w:hAnsi="Arial" w:cs="Arial"/>
          <w:color w:val="000000"/>
          <w:spacing w:val="0"/>
          <w:w w:val="100"/>
          <w:position w:val="0"/>
          <w:sz w:val="24"/>
          <w:szCs w:val="24"/>
        </w:rPr>
        <w:t>”</w:t>
      </w:r>
      <w:r>
        <w:rPr>
          <w:color w:val="000000"/>
          <w:spacing w:val="0"/>
          <w:w w:val="100"/>
          <w:position w:val="0"/>
          <w:sz w:val="24"/>
          <w:szCs w:val="24"/>
        </w:rPr>
        <w:t>批准，本公司于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20</w:t>
      </w:r>
      <w:r>
        <w:rPr>
          <w:color w:val="000000"/>
          <w:spacing w:val="0"/>
          <w:w w:val="100"/>
          <w:position w:val="0"/>
          <w:sz w:val="24"/>
          <w:szCs w:val="24"/>
        </w:rPr>
        <w:t>日向特定投 资者非公开发行</w:t>
      </w:r>
      <w:r>
        <w:rPr>
          <w:rFonts w:ascii="Arial" w:eastAsia="Arial" w:hAnsi="Arial" w:cs="Arial"/>
          <w:color w:val="000000"/>
          <w:spacing w:val="0"/>
          <w:w w:val="100"/>
          <w:position w:val="0"/>
          <w:sz w:val="24"/>
          <w:szCs w:val="24"/>
        </w:rPr>
        <w:t>2,500</w:t>
      </w:r>
      <w:r>
        <w:rPr>
          <w:color w:val="000000"/>
          <w:spacing w:val="0"/>
          <w:w w:val="100"/>
          <w:position w:val="0"/>
          <w:sz w:val="24"/>
          <w:szCs w:val="24"/>
        </w:rPr>
        <w:t>万</w:t>
      </w:r>
      <w:r>
        <w:rPr>
          <w:rFonts w:ascii="Arial" w:eastAsia="Arial" w:hAnsi="Arial" w:cs="Arial"/>
          <w:color w:val="000000"/>
          <w:spacing w:val="0"/>
          <w:w w:val="100"/>
          <w:position w:val="0"/>
          <w:sz w:val="24"/>
          <w:szCs w:val="24"/>
        </w:rPr>
        <w:t>A</w:t>
      </w:r>
      <w:r>
        <w:rPr>
          <w:color w:val="000000"/>
          <w:spacing w:val="0"/>
          <w:w w:val="100"/>
          <w:position w:val="0"/>
          <w:sz w:val="24"/>
          <w:szCs w:val="24"/>
        </w:rPr>
        <w:t>股，每股面值人民币</w:t>
      </w:r>
      <w:r>
        <w:rPr>
          <w:rFonts w:ascii="Arial" w:eastAsia="Arial" w:hAnsi="Arial" w:cs="Arial"/>
          <w:color w:val="000000"/>
          <w:spacing w:val="0"/>
          <w:w w:val="100"/>
          <w:position w:val="0"/>
          <w:sz w:val="24"/>
          <w:szCs w:val="24"/>
        </w:rPr>
        <w:t>1</w:t>
      </w:r>
      <w:r>
        <w:rPr>
          <w:color w:val="000000"/>
          <w:spacing w:val="0"/>
          <w:w w:val="100"/>
          <w:position w:val="0"/>
          <w:sz w:val="24"/>
          <w:szCs w:val="24"/>
        </w:rPr>
        <w:t xml:space="preserve">元，每股发行价为人民币 </w:t>
      </w:r>
      <w:r>
        <w:rPr>
          <w:rFonts w:ascii="Arial" w:eastAsia="Arial" w:hAnsi="Arial" w:cs="Arial"/>
          <w:color w:val="000000"/>
          <w:spacing w:val="0"/>
          <w:w w:val="100"/>
          <w:position w:val="0"/>
          <w:sz w:val="24"/>
          <w:szCs w:val="24"/>
        </w:rPr>
        <w:t>48</w:t>
      </w:r>
      <w:r>
        <w:rPr>
          <w:color w:val="000000"/>
          <w:spacing w:val="0"/>
          <w:w w:val="100"/>
          <w:position w:val="0"/>
          <w:sz w:val="24"/>
          <w:szCs w:val="24"/>
        </w:rPr>
        <w:t>元，股本总额变更为人民币</w:t>
      </w:r>
      <w:r>
        <w:rPr>
          <w:rFonts w:ascii="Arial" w:eastAsia="Arial" w:hAnsi="Arial" w:cs="Arial"/>
          <w:color w:val="000000"/>
          <w:spacing w:val="0"/>
          <w:w w:val="100"/>
          <w:position w:val="0"/>
          <w:sz w:val="24"/>
          <w:szCs w:val="24"/>
        </w:rPr>
        <w:t>360,376,000</w:t>
      </w:r>
      <w:r>
        <w:rPr>
          <w:color w:val="000000"/>
          <w:spacing w:val="0"/>
          <w:w w:val="100"/>
          <w:position w:val="0"/>
          <w:sz w:val="24"/>
          <w:szCs w:val="24"/>
        </w:rPr>
        <w:t>元。</w:t>
      </w:r>
    </w:p>
    <w:p>
      <w:pPr>
        <w:pStyle w:val="Style72"/>
        <w:keepNext w:val="0"/>
        <w:keepLines w:val="0"/>
        <w:widowControl w:val="0"/>
        <w:shd w:val="clear" w:color="auto" w:fill="auto"/>
        <w:bidi w:val="0"/>
        <w:spacing w:before="0" w:after="260" w:line="314" w:lineRule="exact"/>
        <w:ind w:right="0" w:firstLine="0"/>
        <w:jc w:val="both"/>
      </w:pPr>
      <w:r>
        <w:rPr>
          <w:color w:val="000000"/>
          <w:spacing w:val="0"/>
          <w:w w:val="100"/>
          <w:position w:val="0"/>
          <w:sz w:val="24"/>
          <w:szCs w:val="24"/>
        </w:rPr>
        <w:t>经于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13</w:t>
      </w:r>
      <w:r>
        <w:rPr>
          <w:color w:val="000000"/>
          <w:spacing w:val="0"/>
          <w:w w:val="100"/>
          <w:position w:val="0"/>
          <w:sz w:val="24"/>
          <w:szCs w:val="24"/>
        </w:rPr>
        <w:t>日召开的</w:t>
      </w:r>
      <w:r>
        <w:rPr>
          <w:rFonts w:ascii="Arial" w:eastAsia="Arial" w:hAnsi="Arial" w:cs="Arial"/>
          <w:color w:val="000000"/>
          <w:spacing w:val="0"/>
          <w:w w:val="100"/>
          <w:position w:val="0"/>
          <w:sz w:val="24"/>
          <w:szCs w:val="24"/>
        </w:rPr>
        <w:t>2006</w:t>
      </w:r>
      <w:r>
        <w:rPr>
          <w:color w:val="000000"/>
          <w:spacing w:val="0"/>
          <w:w w:val="100"/>
          <w:position w:val="0"/>
          <w:sz w:val="24"/>
          <w:szCs w:val="24"/>
        </w:rPr>
        <w:t>年第二次临时股东大会决议通过，本公 司以资本公积转增股本人民币</w:t>
      </w:r>
      <w:r>
        <w:rPr>
          <w:rFonts w:ascii="Arial" w:eastAsia="Arial" w:hAnsi="Arial" w:cs="Arial"/>
          <w:color w:val="000000"/>
          <w:spacing w:val="0"/>
          <w:w w:val="100"/>
          <w:position w:val="0"/>
          <w:sz w:val="24"/>
          <w:szCs w:val="24"/>
        </w:rPr>
        <w:t>360,376,000</w:t>
      </w:r>
      <w:r>
        <w:rPr>
          <w:color w:val="000000"/>
          <w:spacing w:val="0"/>
          <w:w w:val="100"/>
          <w:position w:val="0"/>
          <w:sz w:val="24"/>
          <w:szCs w:val="24"/>
        </w:rPr>
        <w:t>元。经此次转增后，股本总额变 更为人民币</w:t>
      </w:r>
      <w:r>
        <w:rPr>
          <w:rFonts w:ascii="Arial" w:eastAsia="Arial" w:hAnsi="Arial" w:cs="Arial"/>
          <w:color w:val="000000"/>
          <w:spacing w:val="0"/>
          <w:w w:val="100"/>
          <w:position w:val="0"/>
          <w:sz w:val="24"/>
          <w:szCs w:val="24"/>
        </w:rPr>
        <w:t>720,752,000</w:t>
      </w:r>
      <w:r>
        <w:rPr>
          <w:color w:val="000000"/>
          <w:spacing w:val="0"/>
          <w:w w:val="100"/>
          <w:position w:val="0"/>
          <w:sz w:val="24"/>
          <w:szCs w:val="24"/>
        </w:rPr>
        <w:t>元。</w:t>
      </w:r>
    </w:p>
    <w:p>
      <w:pPr>
        <w:pStyle w:val="Style72"/>
        <w:keepNext w:val="0"/>
        <w:keepLines w:val="0"/>
        <w:widowControl w:val="0"/>
        <w:shd w:val="clear" w:color="auto" w:fill="auto"/>
        <w:tabs>
          <w:tab w:pos="696" w:val="left"/>
        </w:tabs>
        <w:bidi w:val="0"/>
        <w:spacing w:before="0" w:after="260" w:line="240" w:lineRule="auto"/>
        <w:ind w:left="0" w:right="0" w:firstLine="0"/>
        <w:jc w:val="both"/>
        <w:rPr>
          <w:sz w:val="28"/>
          <w:szCs w:val="28"/>
        </w:rPr>
      </w:pPr>
      <w:r>
        <w:rPr>
          <w:b/>
          <w:bCs/>
          <w:color w:val="000000"/>
          <w:spacing w:val="0"/>
          <w:w w:val="100"/>
          <w:position w:val="0"/>
          <w:sz w:val="24"/>
          <w:szCs w:val="24"/>
        </w:rPr>
        <w:t>-</w:t>
        <w:tab/>
        <w:t>公司基本情况</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60" w:line="310" w:lineRule="exact"/>
        <w:ind w:right="0" w:firstLine="0"/>
        <w:jc w:val="both"/>
      </w:pPr>
      <w:r>
        <w:rPr>
          <w:color w:val="000000"/>
          <w:spacing w:val="0"/>
          <w:w w:val="100"/>
          <w:position w:val="0"/>
          <w:sz w:val="24"/>
          <w:szCs w:val="24"/>
        </w:rPr>
        <w:t>经于</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日召开的</w:t>
      </w:r>
      <w:r>
        <w:rPr>
          <w:rFonts w:ascii="Arial" w:eastAsia="Arial" w:hAnsi="Arial" w:cs="Arial"/>
          <w:color w:val="000000"/>
          <w:spacing w:val="0"/>
          <w:w w:val="100"/>
          <w:position w:val="0"/>
          <w:sz w:val="24"/>
          <w:szCs w:val="24"/>
        </w:rPr>
        <w:t>2006</w:t>
      </w:r>
      <w:r>
        <w:rPr>
          <w:color w:val="000000"/>
          <w:spacing w:val="0"/>
          <w:w w:val="100"/>
          <w:position w:val="0"/>
          <w:sz w:val="24"/>
          <w:szCs w:val="24"/>
        </w:rPr>
        <w:t>年年度股东大会决议通过，本公司以资 本公积转增股本人民币</w:t>
      </w:r>
      <w:r>
        <w:rPr>
          <w:rFonts w:ascii="Arial" w:eastAsia="Arial" w:hAnsi="Arial" w:cs="Arial"/>
          <w:color w:val="000000"/>
          <w:spacing w:val="0"/>
          <w:w w:val="100"/>
          <w:position w:val="0"/>
          <w:sz w:val="24"/>
          <w:szCs w:val="24"/>
        </w:rPr>
        <w:t>720,752,000</w:t>
      </w:r>
      <w:r>
        <w:rPr>
          <w:color w:val="000000"/>
          <w:spacing w:val="0"/>
          <w:w w:val="100"/>
          <w:position w:val="0"/>
          <w:sz w:val="24"/>
          <w:szCs w:val="24"/>
        </w:rPr>
        <w:t xml:space="preserve">元。经此次转增后，股本总额变更为人 民币 </w:t>
      </w:r>
      <w:r>
        <w:rPr>
          <w:rFonts w:ascii="Arial" w:eastAsia="Arial" w:hAnsi="Arial" w:cs="Arial"/>
          <w:color w:val="000000"/>
          <w:spacing w:val="0"/>
          <w:w w:val="100"/>
          <w:position w:val="0"/>
          <w:sz w:val="24"/>
          <w:szCs w:val="24"/>
        </w:rPr>
        <w:t xml:space="preserve">1,441,504,000 </w:t>
      </w:r>
      <w:r>
        <w:rPr>
          <w:color w:val="000000"/>
          <w:spacing w:val="0"/>
          <w:w w:val="100"/>
          <w:position w:val="0"/>
          <w:sz w:val="24"/>
          <w:szCs w:val="24"/>
        </w:rPr>
        <w:t>元。</w:t>
      </w:r>
    </w:p>
    <w:p>
      <w:pPr>
        <w:pStyle w:val="Style72"/>
        <w:keepNext w:val="0"/>
        <w:keepLines w:val="0"/>
        <w:widowControl w:val="0"/>
        <w:shd w:val="clear" w:color="auto" w:fill="auto"/>
        <w:bidi w:val="0"/>
        <w:spacing w:before="0" w:after="260" w:line="309" w:lineRule="exact"/>
        <w:ind w:right="0" w:firstLine="0"/>
        <w:jc w:val="both"/>
      </w:pPr>
      <w:r>
        <w:rPr>
          <w:color w:val="000000"/>
          <w:spacing w:val="0"/>
          <w:w w:val="100"/>
          <w:position w:val="0"/>
          <w:sz w:val="24"/>
          <w:szCs w:val="24"/>
        </w:rPr>
        <w:t>经中国证券监督管理委员会证监许可</w:t>
      </w:r>
      <w:r>
        <w:rPr>
          <w:rFonts w:ascii="Arial" w:eastAsia="Arial" w:hAnsi="Arial" w:cs="Arial"/>
          <w:color w:val="000000"/>
          <w:spacing w:val="0"/>
          <w:w w:val="100"/>
          <w:position w:val="0"/>
          <w:sz w:val="24"/>
          <w:szCs w:val="24"/>
        </w:rPr>
        <w:t>[2008]647</w:t>
      </w:r>
      <w:r>
        <w:rPr>
          <w:color w:val="000000"/>
          <w:spacing w:val="0"/>
          <w:w w:val="100"/>
          <w:position w:val="0"/>
          <w:sz w:val="24"/>
          <w:szCs w:val="24"/>
        </w:rPr>
        <w:t>号文</w:t>
      </w:r>
      <w:r>
        <w:rPr>
          <w:rFonts w:ascii="Arial" w:eastAsia="Arial" w:hAnsi="Arial" w:cs="Arial"/>
          <w:color w:val="000000"/>
          <w:spacing w:val="0"/>
          <w:w w:val="100"/>
          <w:position w:val="0"/>
          <w:sz w:val="24"/>
          <w:szCs w:val="24"/>
        </w:rPr>
        <w:t>“</w:t>
      </w:r>
      <w:r>
        <w:rPr>
          <w:color w:val="000000"/>
          <w:spacing w:val="0"/>
          <w:w w:val="100"/>
          <w:position w:val="0"/>
          <w:sz w:val="24"/>
          <w:szCs w:val="24"/>
        </w:rPr>
        <w:t>关于核准苏宁电器股份 有限公司非公开发行股票的批复</w:t>
      </w:r>
      <w:r>
        <w:rPr>
          <w:rFonts w:ascii="Arial" w:eastAsia="Arial" w:hAnsi="Arial" w:cs="Arial"/>
          <w:color w:val="000000"/>
          <w:spacing w:val="0"/>
          <w:w w:val="100"/>
          <w:position w:val="0"/>
          <w:sz w:val="24"/>
          <w:szCs w:val="24"/>
        </w:rPr>
        <w:t>”</w:t>
      </w:r>
      <w:r>
        <w:rPr>
          <w:color w:val="000000"/>
          <w:spacing w:val="0"/>
          <w:w w:val="100"/>
          <w:position w:val="0"/>
          <w:sz w:val="24"/>
          <w:szCs w:val="24"/>
        </w:rPr>
        <w:t>批准，本公司于</w:t>
      </w:r>
      <w:r>
        <w:rPr>
          <w:rFonts w:ascii="Arial" w:eastAsia="Arial" w:hAnsi="Arial" w:cs="Arial"/>
          <w:color w:val="000000"/>
          <w:spacing w:val="0"/>
          <w:w w:val="100"/>
          <w:position w:val="0"/>
          <w:sz w:val="24"/>
          <w:szCs w:val="24"/>
        </w:rPr>
        <w:t>2008</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16</w:t>
      </w:r>
      <w:r>
        <w:rPr>
          <w:color w:val="000000"/>
          <w:spacing w:val="0"/>
          <w:w w:val="100"/>
          <w:position w:val="0"/>
          <w:sz w:val="24"/>
          <w:szCs w:val="24"/>
        </w:rPr>
        <w:t>日向特定投 资者非公开发行</w:t>
      </w:r>
      <w:r>
        <w:rPr>
          <w:rFonts w:ascii="Arial" w:eastAsia="Arial" w:hAnsi="Arial" w:cs="Arial"/>
          <w:color w:val="000000"/>
          <w:spacing w:val="0"/>
          <w:w w:val="100"/>
          <w:position w:val="0"/>
          <w:sz w:val="24"/>
          <w:szCs w:val="24"/>
        </w:rPr>
        <w:t>5,400</w:t>
      </w:r>
      <w:r>
        <w:rPr>
          <w:color w:val="000000"/>
          <w:spacing w:val="0"/>
          <w:w w:val="100"/>
          <w:position w:val="0"/>
          <w:sz w:val="24"/>
          <w:szCs w:val="24"/>
        </w:rPr>
        <w:t>万</w:t>
      </w:r>
      <w:r>
        <w:rPr>
          <w:rFonts w:ascii="Arial" w:eastAsia="Arial" w:hAnsi="Arial" w:cs="Arial"/>
          <w:color w:val="000000"/>
          <w:spacing w:val="0"/>
          <w:w w:val="100"/>
          <w:position w:val="0"/>
          <w:sz w:val="24"/>
          <w:szCs w:val="24"/>
        </w:rPr>
        <w:t>A</w:t>
      </w:r>
      <w:r>
        <w:rPr>
          <w:color w:val="000000"/>
          <w:spacing w:val="0"/>
          <w:w w:val="100"/>
          <w:position w:val="0"/>
          <w:sz w:val="24"/>
          <w:szCs w:val="24"/>
        </w:rPr>
        <w:t>股，每股面值人民币</w:t>
      </w:r>
      <w:r>
        <w:rPr>
          <w:rFonts w:ascii="Arial" w:eastAsia="Arial" w:hAnsi="Arial" w:cs="Arial"/>
          <w:color w:val="000000"/>
          <w:spacing w:val="0"/>
          <w:w w:val="100"/>
          <w:position w:val="0"/>
          <w:sz w:val="24"/>
          <w:szCs w:val="24"/>
        </w:rPr>
        <w:t>1</w:t>
      </w:r>
      <w:r>
        <w:rPr>
          <w:color w:val="000000"/>
          <w:spacing w:val="0"/>
          <w:w w:val="100"/>
          <w:position w:val="0"/>
          <w:sz w:val="24"/>
          <w:szCs w:val="24"/>
        </w:rPr>
        <w:t xml:space="preserve">元，每股发行价为人民币 </w:t>
      </w:r>
      <w:r>
        <w:rPr>
          <w:rFonts w:ascii="Arial" w:eastAsia="Arial" w:hAnsi="Arial" w:cs="Arial"/>
          <w:color w:val="000000"/>
          <w:spacing w:val="0"/>
          <w:w w:val="100"/>
          <w:position w:val="0"/>
          <w:sz w:val="24"/>
          <w:szCs w:val="24"/>
        </w:rPr>
        <w:t>45</w:t>
      </w:r>
      <w:r>
        <w:rPr>
          <w:color w:val="000000"/>
          <w:spacing w:val="0"/>
          <w:w w:val="100"/>
          <w:position w:val="0"/>
          <w:sz w:val="24"/>
          <w:szCs w:val="24"/>
        </w:rPr>
        <w:t>元，股本总额变更为人民币</w:t>
      </w:r>
      <w:r>
        <w:rPr>
          <w:rFonts w:ascii="Arial" w:eastAsia="Arial" w:hAnsi="Arial" w:cs="Arial"/>
          <w:color w:val="000000"/>
          <w:spacing w:val="0"/>
          <w:w w:val="100"/>
          <w:position w:val="0"/>
          <w:sz w:val="24"/>
          <w:szCs w:val="24"/>
        </w:rPr>
        <w:t>1,495,504,000</w:t>
      </w:r>
      <w:r>
        <w:rPr>
          <w:color w:val="000000"/>
          <w:spacing w:val="0"/>
          <w:w w:val="100"/>
          <w:position w:val="0"/>
          <w:sz w:val="24"/>
          <w:szCs w:val="24"/>
        </w:rPr>
        <w:t>元。</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经于</w:t>
      </w:r>
      <w:r>
        <w:rPr>
          <w:rFonts w:ascii="Arial" w:eastAsia="Arial" w:hAnsi="Arial" w:cs="Arial"/>
          <w:color w:val="000000"/>
          <w:spacing w:val="0"/>
          <w:w w:val="100"/>
          <w:position w:val="0"/>
          <w:sz w:val="24"/>
          <w:szCs w:val="24"/>
        </w:rPr>
        <w:t>2008</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16</w:t>
      </w:r>
      <w:r>
        <w:rPr>
          <w:color w:val="000000"/>
          <w:spacing w:val="0"/>
          <w:w w:val="100"/>
          <w:position w:val="0"/>
          <w:sz w:val="24"/>
          <w:szCs w:val="24"/>
        </w:rPr>
        <w:t>日召开的</w:t>
      </w:r>
      <w:r>
        <w:rPr>
          <w:rFonts w:ascii="Arial" w:eastAsia="Arial" w:hAnsi="Arial" w:cs="Arial"/>
          <w:color w:val="000000"/>
          <w:spacing w:val="0"/>
          <w:w w:val="100"/>
          <w:position w:val="0"/>
          <w:sz w:val="24"/>
          <w:szCs w:val="24"/>
        </w:rPr>
        <w:t>2008</w:t>
      </w:r>
      <w:r>
        <w:rPr>
          <w:color w:val="000000"/>
          <w:spacing w:val="0"/>
          <w:w w:val="100"/>
          <w:position w:val="0"/>
          <w:sz w:val="24"/>
          <w:szCs w:val="24"/>
        </w:rPr>
        <w:t>年第一次临时股东大会决议通过，本公 司以资本公积转增股本人民币</w:t>
      </w:r>
      <w:r>
        <w:rPr>
          <w:rFonts w:ascii="Arial" w:eastAsia="Arial" w:hAnsi="Arial" w:cs="Arial"/>
          <w:color w:val="000000"/>
          <w:spacing w:val="0"/>
          <w:w w:val="100"/>
          <w:position w:val="0"/>
          <w:sz w:val="24"/>
          <w:szCs w:val="24"/>
        </w:rPr>
        <w:t>1,495,504,000</w:t>
      </w:r>
      <w:r>
        <w:rPr>
          <w:color w:val="000000"/>
          <w:spacing w:val="0"/>
          <w:w w:val="100"/>
          <w:position w:val="0"/>
          <w:sz w:val="24"/>
          <w:szCs w:val="24"/>
        </w:rPr>
        <w:t>元。经此次转增后，股本总额变 更为人民币</w:t>
      </w:r>
      <w:r>
        <w:rPr>
          <w:rFonts w:ascii="Arial" w:eastAsia="Arial" w:hAnsi="Arial" w:cs="Arial"/>
          <w:color w:val="000000"/>
          <w:spacing w:val="0"/>
          <w:w w:val="100"/>
          <w:position w:val="0"/>
          <w:sz w:val="24"/>
          <w:szCs w:val="24"/>
        </w:rPr>
        <w:t>2,991,008,000</w:t>
      </w:r>
      <w:r>
        <w:rPr>
          <w:color w:val="000000"/>
          <w:spacing w:val="0"/>
          <w:w w:val="100"/>
          <w:position w:val="0"/>
          <w:sz w:val="24"/>
          <w:szCs w:val="24"/>
        </w:rPr>
        <w:t>元。</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经于</w:t>
      </w:r>
      <w:r>
        <w:rPr>
          <w:rFonts w:ascii="Arial" w:eastAsia="Arial" w:hAnsi="Arial" w:cs="Arial"/>
          <w:color w:val="000000"/>
          <w:spacing w:val="0"/>
          <w:w w:val="100"/>
          <w:position w:val="0"/>
          <w:sz w:val="24"/>
          <w:szCs w:val="24"/>
        </w:rPr>
        <w:t>2009</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日召开的</w:t>
      </w:r>
      <w:r>
        <w:rPr>
          <w:rFonts w:ascii="Arial" w:eastAsia="Arial" w:hAnsi="Arial" w:cs="Arial"/>
          <w:color w:val="000000"/>
          <w:spacing w:val="0"/>
          <w:w w:val="100"/>
          <w:position w:val="0"/>
          <w:sz w:val="24"/>
          <w:szCs w:val="24"/>
        </w:rPr>
        <w:t>2008</w:t>
      </w:r>
      <w:r>
        <w:rPr>
          <w:color w:val="000000"/>
          <w:spacing w:val="0"/>
          <w:w w:val="100"/>
          <w:position w:val="0"/>
          <w:sz w:val="24"/>
          <w:szCs w:val="24"/>
        </w:rPr>
        <w:t>年年度股东大会决议通过，本公司以现 有总股本</w:t>
      </w:r>
      <w:r>
        <w:rPr>
          <w:rFonts w:ascii="Arial" w:eastAsia="Arial" w:hAnsi="Arial" w:cs="Arial"/>
          <w:color w:val="000000"/>
          <w:spacing w:val="0"/>
          <w:w w:val="100"/>
          <w:position w:val="0"/>
          <w:sz w:val="24"/>
          <w:szCs w:val="24"/>
        </w:rPr>
        <w:t>2,991,008,000</w:t>
      </w:r>
      <w:r>
        <w:rPr>
          <w:color w:val="000000"/>
          <w:spacing w:val="0"/>
          <w:w w:val="100"/>
          <w:position w:val="0"/>
          <w:sz w:val="24"/>
          <w:szCs w:val="24"/>
        </w:rPr>
        <w:t>股为基数，向全体股东每</w:t>
      </w:r>
      <w:r>
        <w:rPr>
          <w:rFonts w:ascii="Arial" w:eastAsia="Arial" w:hAnsi="Arial" w:cs="Arial"/>
          <w:color w:val="000000"/>
          <w:spacing w:val="0"/>
          <w:w w:val="100"/>
          <w:position w:val="0"/>
          <w:sz w:val="24"/>
          <w:szCs w:val="24"/>
        </w:rPr>
        <w:t>10</w:t>
      </w:r>
      <w:r>
        <w:rPr>
          <w:color w:val="000000"/>
          <w:spacing w:val="0"/>
          <w:w w:val="100"/>
          <w:position w:val="0"/>
          <w:sz w:val="24"/>
          <w:szCs w:val="24"/>
        </w:rPr>
        <w:t>股送</w:t>
      </w:r>
      <w:r>
        <w:rPr>
          <w:rFonts w:ascii="Arial" w:eastAsia="Arial" w:hAnsi="Arial" w:cs="Arial"/>
          <w:color w:val="000000"/>
          <w:spacing w:val="0"/>
          <w:w w:val="100"/>
          <w:position w:val="0"/>
          <w:sz w:val="24"/>
          <w:szCs w:val="24"/>
        </w:rPr>
        <w:t>2</w:t>
      </w:r>
      <w:r>
        <w:rPr>
          <w:color w:val="000000"/>
          <w:spacing w:val="0"/>
          <w:w w:val="100"/>
          <w:position w:val="0"/>
          <w:sz w:val="24"/>
          <w:szCs w:val="24"/>
        </w:rPr>
        <w:t>股红股并派发现 金红利人民币</w:t>
      </w:r>
      <w:r>
        <w:rPr>
          <w:rFonts w:ascii="Arial" w:eastAsia="Arial" w:hAnsi="Arial" w:cs="Arial"/>
          <w:color w:val="000000"/>
          <w:spacing w:val="0"/>
          <w:w w:val="100"/>
          <w:position w:val="0"/>
          <w:sz w:val="24"/>
          <w:szCs w:val="24"/>
        </w:rPr>
        <w:t>0.3</w:t>
      </w:r>
      <w:r>
        <w:rPr>
          <w:color w:val="000000"/>
          <w:spacing w:val="0"/>
          <w:w w:val="100"/>
          <w:position w:val="0"/>
          <w:sz w:val="24"/>
          <w:szCs w:val="24"/>
        </w:rPr>
        <w:t>元；同时，公司以资本公积金向全体股东每</w:t>
      </w:r>
      <w:r>
        <w:rPr>
          <w:rFonts w:ascii="Arial" w:eastAsia="Arial" w:hAnsi="Arial" w:cs="Arial"/>
          <w:color w:val="000000"/>
          <w:spacing w:val="0"/>
          <w:w w:val="100"/>
          <w:position w:val="0"/>
          <w:sz w:val="24"/>
          <w:szCs w:val="24"/>
        </w:rPr>
        <w:t>10</w:t>
      </w:r>
      <w:r>
        <w:rPr>
          <w:color w:val="000000"/>
          <w:spacing w:val="0"/>
          <w:w w:val="100"/>
          <w:position w:val="0"/>
          <w:sz w:val="24"/>
          <w:szCs w:val="24"/>
        </w:rPr>
        <w:t>股转增</w:t>
      </w:r>
      <w:r>
        <w:rPr>
          <w:rFonts w:ascii="Arial" w:eastAsia="Arial" w:hAnsi="Arial" w:cs="Arial"/>
          <w:color w:val="000000"/>
          <w:spacing w:val="0"/>
          <w:w w:val="100"/>
          <w:position w:val="0"/>
          <w:sz w:val="24"/>
          <w:szCs w:val="24"/>
        </w:rPr>
        <w:t>3</w:t>
      </w:r>
      <w:r>
        <w:rPr>
          <w:color w:val="000000"/>
          <w:spacing w:val="0"/>
          <w:w w:val="100"/>
          <w:position w:val="0"/>
          <w:sz w:val="24"/>
          <w:szCs w:val="24"/>
        </w:rPr>
        <w:t xml:space="preserve">股。 经过此次分红派息以及资本公积金转增股本后，股本总额变更为人民币 </w:t>
      </w:r>
      <w:r>
        <w:rPr>
          <w:rFonts w:ascii="Arial" w:eastAsia="Arial" w:hAnsi="Arial" w:cs="Arial"/>
          <w:color w:val="000000"/>
          <w:spacing w:val="0"/>
          <w:w w:val="100"/>
          <w:position w:val="0"/>
          <w:sz w:val="24"/>
          <w:szCs w:val="24"/>
        </w:rPr>
        <w:t xml:space="preserve">4,486,512,000 </w:t>
      </w:r>
      <w:r>
        <w:rPr>
          <w:color w:val="000000"/>
          <w:spacing w:val="0"/>
          <w:w w:val="100"/>
          <w:position w:val="0"/>
          <w:sz w:val="24"/>
          <w:szCs w:val="24"/>
        </w:rPr>
        <w:t>元。</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经中国证券监督管理委员会证监许可字</w:t>
      </w:r>
      <w:r>
        <w:rPr>
          <w:rFonts w:ascii="Arial" w:eastAsia="Arial" w:hAnsi="Arial" w:cs="Arial"/>
          <w:color w:val="000000"/>
          <w:spacing w:val="0"/>
          <w:w w:val="100"/>
          <w:position w:val="0"/>
          <w:sz w:val="24"/>
          <w:szCs w:val="24"/>
        </w:rPr>
        <w:t>[2009]1351</w:t>
      </w:r>
      <w:r>
        <w:rPr>
          <w:color w:val="000000"/>
          <w:spacing w:val="0"/>
          <w:w w:val="100"/>
          <w:position w:val="0"/>
          <w:sz w:val="24"/>
          <w:szCs w:val="24"/>
        </w:rPr>
        <w:t>号《关于核准苏宁电器股 份有限公司非公开发行股票的批复》批准，本公司于</w:t>
      </w:r>
      <w:r>
        <w:rPr>
          <w:rFonts w:ascii="Arial" w:eastAsia="Arial" w:hAnsi="Arial" w:cs="Arial"/>
          <w:color w:val="000000"/>
          <w:spacing w:val="0"/>
          <w:w w:val="100"/>
          <w:position w:val="0"/>
          <w:sz w:val="24"/>
          <w:szCs w:val="24"/>
        </w:rPr>
        <w:t>2009</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23</w:t>
      </w:r>
      <w:r>
        <w:rPr>
          <w:color w:val="000000"/>
          <w:spacing w:val="0"/>
          <w:w w:val="100"/>
          <w:position w:val="0"/>
          <w:sz w:val="24"/>
          <w:szCs w:val="24"/>
        </w:rPr>
        <w:t>日以 非公开发行股票的方式向证券投资基金等特定投资者发行人民币普通股</w:t>
      </w:r>
      <w:r>
        <w:rPr>
          <w:rFonts w:ascii="Arial" w:eastAsia="Arial" w:hAnsi="Arial" w:cs="Arial"/>
          <w:color w:val="000000"/>
          <w:spacing w:val="0"/>
          <w:w w:val="100"/>
          <w:position w:val="0"/>
          <w:sz w:val="24"/>
          <w:szCs w:val="24"/>
        </w:rPr>
        <w:t xml:space="preserve">（A </w:t>
      </w:r>
      <w:r>
        <w:rPr>
          <w:color w:val="000000"/>
          <w:spacing w:val="0"/>
          <w:w w:val="100"/>
          <w:position w:val="0"/>
          <w:sz w:val="24"/>
          <w:szCs w:val="24"/>
        </w:rPr>
        <w:t>股</w:t>
      </w:r>
      <w:r>
        <w:rPr>
          <w:rFonts w:ascii="Arial" w:eastAsia="Arial" w:hAnsi="Arial" w:cs="Arial"/>
          <w:color w:val="000000"/>
          <w:spacing w:val="0"/>
          <w:w w:val="100"/>
          <w:position w:val="0"/>
          <w:sz w:val="24"/>
          <w:szCs w:val="24"/>
        </w:rPr>
        <w:t>）177,629,244</w:t>
      </w:r>
      <w:r>
        <w:rPr>
          <w:color w:val="000000"/>
          <w:spacing w:val="0"/>
          <w:w w:val="100"/>
          <w:position w:val="0"/>
          <w:sz w:val="24"/>
          <w:szCs w:val="24"/>
        </w:rPr>
        <w:t>股，每股面值人民币</w:t>
      </w:r>
      <w:r>
        <w:rPr>
          <w:rFonts w:ascii="Arial" w:eastAsia="Arial" w:hAnsi="Arial" w:cs="Arial"/>
          <w:color w:val="000000"/>
          <w:spacing w:val="0"/>
          <w:w w:val="100"/>
          <w:position w:val="0"/>
          <w:sz w:val="24"/>
          <w:szCs w:val="24"/>
        </w:rPr>
        <w:t>1</w:t>
      </w:r>
      <w:r>
        <w:rPr>
          <w:color w:val="000000"/>
          <w:spacing w:val="0"/>
          <w:w w:val="100"/>
          <w:position w:val="0"/>
          <w:sz w:val="24"/>
          <w:szCs w:val="24"/>
        </w:rPr>
        <w:t>元，每股发行价为人民币</w:t>
      </w:r>
      <w:r>
        <w:rPr>
          <w:rFonts w:ascii="Arial" w:eastAsia="Arial" w:hAnsi="Arial" w:cs="Arial"/>
          <w:color w:val="000000"/>
          <w:spacing w:val="0"/>
          <w:w w:val="100"/>
          <w:position w:val="0"/>
          <w:sz w:val="24"/>
          <w:szCs w:val="24"/>
        </w:rPr>
        <w:t>17.20</w:t>
      </w:r>
      <w:r>
        <w:rPr>
          <w:color w:val="000000"/>
          <w:spacing w:val="0"/>
          <w:w w:val="100"/>
          <w:position w:val="0"/>
          <w:sz w:val="24"/>
          <w:szCs w:val="24"/>
        </w:rPr>
        <w:t>元， 股本总额变更为人民币</w:t>
      </w:r>
      <w:r>
        <w:rPr>
          <w:rFonts w:ascii="Arial" w:eastAsia="Arial" w:hAnsi="Arial" w:cs="Arial"/>
          <w:color w:val="000000"/>
          <w:spacing w:val="0"/>
          <w:w w:val="100"/>
          <w:position w:val="0"/>
          <w:sz w:val="24"/>
          <w:szCs w:val="24"/>
        </w:rPr>
        <w:t>4,664,141,244</w:t>
      </w:r>
      <w:r>
        <w:rPr>
          <w:color w:val="000000"/>
          <w:spacing w:val="0"/>
          <w:w w:val="100"/>
          <w:position w:val="0"/>
          <w:sz w:val="24"/>
          <w:szCs w:val="24"/>
        </w:rPr>
        <w:t>元。</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经于</w:t>
      </w:r>
      <w:r>
        <w:rPr>
          <w:rFonts w:ascii="Arial" w:eastAsia="Arial" w:hAnsi="Arial" w:cs="Arial"/>
          <w:color w:val="000000"/>
          <w:spacing w:val="0"/>
          <w:w w:val="100"/>
          <w:position w:val="0"/>
          <w:sz w:val="24"/>
          <w:szCs w:val="24"/>
        </w:rPr>
        <w:t>2010</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6</w:t>
      </w:r>
      <w:r>
        <w:rPr>
          <w:color w:val="000000"/>
          <w:spacing w:val="0"/>
          <w:w w:val="100"/>
          <w:position w:val="0"/>
          <w:sz w:val="24"/>
          <w:szCs w:val="24"/>
        </w:rPr>
        <w:t>日召开的</w:t>
      </w:r>
      <w:r>
        <w:rPr>
          <w:rFonts w:ascii="Arial" w:eastAsia="Arial" w:hAnsi="Arial" w:cs="Arial"/>
          <w:color w:val="000000"/>
          <w:spacing w:val="0"/>
          <w:w w:val="100"/>
          <w:position w:val="0"/>
          <w:sz w:val="24"/>
          <w:szCs w:val="24"/>
        </w:rPr>
        <w:t>2009</w:t>
      </w:r>
      <w:r>
        <w:rPr>
          <w:color w:val="000000"/>
          <w:spacing w:val="0"/>
          <w:w w:val="100"/>
          <w:position w:val="0"/>
          <w:sz w:val="24"/>
          <w:szCs w:val="24"/>
        </w:rPr>
        <w:t>年年度股东大会决议通过，本公司以资本 公积转增股本人民币</w:t>
      </w:r>
      <w:r>
        <w:rPr>
          <w:rFonts w:ascii="Arial" w:eastAsia="Arial" w:hAnsi="Arial" w:cs="Arial"/>
          <w:color w:val="000000"/>
          <w:spacing w:val="0"/>
          <w:w w:val="100"/>
          <w:position w:val="0"/>
          <w:sz w:val="24"/>
          <w:szCs w:val="24"/>
        </w:rPr>
        <w:t>2,332,070,622</w:t>
      </w:r>
      <w:r>
        <w:rPr>
          <w:color w:val="000000"/>
          <w:spacing w:val="0"/>
          <w:w w:val="100"/>
          <w:position w:val="0"/>
          <w:sz w:val="24"/>
          <w:szCs w:val="24"/>
        </w:rPr>
        <w:t xml:space="preserve">元。经此次转增后，股本总额变更为人民 币 </w:t>
      </w:r>
      <w:r>
        <w:rPr>
          <w:rFonts w:ascii="Arial" w:eastAsia="Arial" w:hAnsi="Arial" w:cs="Arial"/>
          <w:color w:val="000000"/>
          <w:spacing w:val="0"/>
          <w:w w:val="100"/>
          <w:position w:val="0"/>
          <w:sz w:val="24"/>
          <w:szCs w:val="24"/>
        </w:rPr>
        <w:t xml:space="preserve">6,996,211,866 </w:t>
      </w:r>
      <w:r>
        <w:rPr>
          <w:color w:val="000000"/>
          <w:spacing w:val="0"/>
          <w:w w:val="100"/>
          <w:position w:val="0"/>
          <w:sz w:val="24"/>
          <w:szCs w:val="24"/>
        </w:rPr>
        <w:t>元。</w:t>
      </w:r>
    </w:p>
    <w:p>
      <w:pPr>
        <w:pStyle w:val="Style72"/>
        <w:keepNext w:val="0"/>
        <w:keepLines w:val="0"/>
        <w:widowControl w:val="0"/>
        <w:shd w:val="clear" w:color="auto" w:fill="auto"/>
        <w:bidi w:val="0"/>
        <w:spacing w:before="0" w:after="260" w:line="310" w:lineRule="exact"/>
        <w:ind w:right="0" w:firstLine="0"/>
        <w:jc w:val="both"/>
      </w:pPr>
      <w:r>
        <w:rPr>
          <w:color w:val="000000"/>
          <w:spacing w:val="0"/>
          <w:w w:val="100"/>
          <w:position w:val="0"/>
          <w:sz w:val="24"/>
          <w:szCs w:val="24"/>
        </w:rPr>
        <w:t>经中国证券监督管理委员会证监许可</w:t>
      </w:r>
      <w:r>
        <w:rPr>
          <w:rFonts w:ascii="Arial" w:eastAsia="Arial" w:hAnsi="Arial" w:cs="Arial"/>
          <w:color w:val="000000"/>
          <w:spacing w:val="0"/>
          <w:w w:val="100"/>
          <w:position w:val="0"/>
          <w:sz w:val="24"/>
          <w:szCs w:val="24"/>
        </w:rPr>
        <w:t>[2012]477</w:t>
      </w:r>
      <w:r>
        <w:rPr>
          <w:color w:val="000000"/>
          <w:spacing w:val="0"/>
          <w:w w:val="100"/>
          <w:position w:val="0"/>
          <w:sz w:val="24"/>
          <w:szCs w:val="24"/>
        </w:rPr>
        <w:t>号《关于核准苏宁电器股份有 限公司非公开发行股票的批复》批准，本公司于</w:t>
      </w:r>
      <w:r>
        <w:rPr>
          <w:rFonts w:ascii="Arial" w:eastAsia="Arial" w:hAnsi="Arial" w:cs="Arial"/>
          <w:color w:val="000000"/>
          <w:spacing w:val="0"/>
          <w:w w:val="100"/>
          <w:position w:val="0"/>
          <w:sz w:val="24"/>
          <w:szCs w:val="24"/>
        </w:rPr>
        <w:t>2012</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2</w:t>
      </w:r>
      <w:r>
        <w:rPr>
          <w:color w:val="000000"/>
          <w:spacing w:val="0"/>
          <w:w w:val="100"/>
          <w:position w:val="0"/>
          <w:sz w:val="24"/>
          <w:szCs w:val="24"/>
        </w:rPr>
        <w:t>日以非公开发 行股票的方式向特定投资者发行人民币普通股</w:t>
      </w:r>
      <w:r>
        <w:rPr>
          <w:rFonts w:ascii="Arial" w:eastAsia="Arial" w:hAnsi="Arial" w:cs="Arial"/>
          <w:color w:val="000000"/>
          <w:spacing w:val="0"/>
          <w:w w:val="100"/>
          <w:position w:val="0"/>
          <w:sz w:val="24"/>
          <w:szCs w:val="24"/>
        </w:rPr>
        <w:t xml:space="preserve">（A </w:t>
      </w:r>
      <w:r>
        <w:rPr>
          <w:color w:val="000000"/>
          <w:spacing w:val="0"/>
          <w:w w:val="100"/>
          <w:position w:val="0"/>
          <w:sz w:val="24"/>
          <w:szCs w:val="24"/>
        </w:rPr>
        <w:t>股</w:t>
      </w:r>
      <w:r>
        <w:rPr>
          <w:rFonts w:ascii="Arial" w:eastAsia="Arial" w:hAnsi="Arial" w:cs="Arial"/>
          <w:color w:val="000000"/>
          <w:spacing w:val="0"/>
          <w:w w:val="100"/>
          <w:position w:val="0"/>
          <w:sz w:val="24"/>
          <w:szCs w:val="24"/>
        </w:rPr>
        <w:t>）386,831,284</w:t>
      </w:r>
      <w:r>
        <w:rPr>
          <w:color w:val="000000"/>
          <w:spacing w:val="0"/>
          <w:w w:val="100"/>
          <w:position w:val="0"/>
          <w:sz w:val="24"/>
          <w:szCs w:val="24"/>
        </w:rPr>
        <w:t>股，每股面 值人民币</w:t>
      </w:r>
      <w:r>
        <w:rPr>
          <w:rFonts w:ascii="Arial" w:eastAsia="Arial" w:hAnsi="Arial" w:cs="Arial"/>
          <w:color w:val="000000"/>
          <w:spacing w:val="0"/>
          <w:w w:val="100"/>
          <w:position w:val="0"/>
          <w:sz w:val="24"/>
          <w:szCs w:val="24"/>
        </w:rPr>
        <w:t>1</w:t>
      </w:r>
      <w:r>
        <w:rPr>
          <w:color w:val="000000"/>
          <w:spacing w:val="0"/>
          <w:w w:val="100"/>
          <w:position w:val="0"/>
          <w:sz w:val="24"/>
          <w:szCs w:val="24"/>
        </w:rPr>
        <w:t>元，每股发行价为人民币</w:t>
      </w:r>
      <w:r>
        <w:rPr>
          <w:rFonts w:ascii="Arial" w:eastAsia="Arial" w:hAnsi="Arial" w:cs="Arial"/>
          <w:color w:val="000000"/>
          <w:spacing w:val="0"/>
          <w:w w:val="100"/>
          <w:position w:val="0"/>
          <w:sz w:val="24"/>
          <w:szCs w:val="24"/>
        </w:rPr>
        <w:t>12.15</w:t>
      </w:r>
      <w:r>
        <w:rPr>
          <w:color w:val="000000"/>
          <w:spacing w:val="0"/>
          <w:w w:val="100"/>
          <w:position w:val="0"/>
          <w:sz w:val="24"/>
          <w:szCs w:val="24"/>
        </w:rPr>
        <w:t xml:space="preserve">元，股本总额变更为人民币 </w:t>
      </w:r>
      <w:r>
        <w:rPr>
          <w:rFonts w:ascii="Arial" w:eastAsia="Arial" w:hAnsi="Arial" w:cs="Arial"/>
          <w:color w:val="000000"/>
          <w:spacing w:val="0"/>
          <w:w w:val="100"/>
          <w:position w:val="0"/>
          <w:sz w:val="24"/>
          <w:szCs w:val="24"/>
        </w:rPr>
        <w:t xml:space="preserve">7,383,043,150 </w:t>
      </w:r>
      <w:r>
        <w:rPr>
          <w:color w:val="000000"/>
          <w:spacing w:val="0"/>
          <w:w w:val="100"/>
          <w:position w:val="0"/>
          <w:sz w:val="24"/>
          <w:szCs w:val="24"/>
        </w:rPr>
        <w:t>元。</w:t>
      </w:r>
    </w:p>
    <w:p>
      <w:pPr>
        <w:pStyle w:val="Style72"/>
        <w:keepNext w:val="0"/>
        <w:keepLines w:val="0"/>
        <w:widowControl w:val="0"/>
        <w:shd w:val="clear" w:color="auto" w:fill="auto"/>
        <w:bidi w:val="0"/>
        <w:spacing w:before="0" w:after="260" w:line="310" w:lineRule="exact"/>
        <w:ind w:right="0" w:firstLine="0"/>
        <w:jc w:val="both"/>
      </w:pPr>
      <w:r>
        <w:rPr>
          <w:color w:val="000000"/>
          <w:spacing w:val="0"/>
          <w:w w:val="100"/>
          <w:position w:val="0"/>
          <w:sz w:val="24"/>
          <w:szCs w:val="24"/>
        </w:rPr>
        <w:t>经中国证券监督管理委员会证监许可</w:t>
      </w:r>
      <w:r>
        <w:rPr>
          <w:rFonts w:ascii="Arial" w:eastAsia="Arial" w:hAnsi="Arial" w:cs="Arial"/>
          <w:color w:val="000000"/>
          <w:spacing w:val="0"/>
          <w:w w:val="100"/>
          <w:position w:val="0"/>
          <w:sz w:val="24"/>
          <w:szCs w:val="24"/>
        </w:rPr>
        <w:t>[2016]418</w:t>
      </w:r>
      <w:r>
        <w:rPr>
          <w:color w:val="000000"/>
          <w:spacing w:val="0"/>
          <w:w w:val="100"/>
          <w:position w:val="0"/>
          <w:sz w:val="24"/>
          <w:szCs w:val="24"/>
        </w:rPr>
        <w:t>号《关于核准苏宁云商集团股 份有限公司非公开发行股票的批复》批准，本公司于</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20</w:t>
      </w:r>
      <w:r>
        <w:rPr>
          <w:color w:val="000000"/>
          <w:spacing w:val="0"/>
          <w:w w:val="100"/>
          <w:position w:val="0"/>
          <w:sz w:val="24"/>
          <w:szCs w:val="24"/>
        </w:rPr>
        <w:t>日以非 公开发行股票的方式向特定投资者发行人民币普通股</w:t>
      </w:r>
      <w:r>
        <w:rPr>
          <w:rFonts w:ascii="Arial" w:eastAsia="Arial" w:hAnsi="Arial" w:cs="Arial"/>
          <w:color w:val="000000"/>
          <w:spacing w:val="0"/>
          <w:w w:val="100"/>
          <w:position w:val="0"/>
          <w:sz w:val="24"/>
          <w:szCs w:val="24"/>
        </w:rPr>
        <w:t>（A</w:t>
      </w:r>
      <w:r>
        <w:rPr>
          <w:color w:val="000000"/>
          <w:spacing w:val="0"/>
          <w:w w:val="100"/>
          <w:position w:val="0"/>
          <w:sz w:val="24"/>
          <w:szCs w:val="24"/>
        </w:rPr>
        <w:t>股</w:t>
      </w:r>
      <w:r>
        <w:rPr>
          <w:rFonts w:ascii="Arial" w:eastAsia="Arial" w:hAnsi="Arial" w:cs="Arial"/>
          <w:color w:val="000000"/>
          <w:spacing w:val="0"/>
          <w:w w:val="100"/>
          <w:position w:val="0"/>
          <w:sz w:val="24"/>
          <w:szCs w:val="24"/>
        </w:rPr>
        <w:t xml:space="preserve">）1,926,996,505 </w:t>
      </w:r>
      <w:r>
        <w:rPr>
          <w:color w:val="000000"/>
          <w:spacing w:val="0"/>
          <w:w w:val="100"/>
          <w:position w:val="0"/>
          <w:sz w:val="24"/>
          <w:szCs w:val="24"/>
        </w:rPr>
        <w:t>股，每股面值人民币</w:t>
      </w:r>
      <w:r>
        <w:rPr>
          <w:rFonts w:ascii="Arial" w:eastAsia="Arial" w:hAnsi="Arial" w:cs="Arial"/>
          <w:color w:val="000000"/>
          <w:spacing w:val="0"/>
          <w:w w:val="100"/>
          <w:position w:val="0"/>
          <w:sz w:val="24"/>
          <w:szCs w:val="24"/>
        </w:rPr>
        <w:t>1</w:t>
      </w:r>
      <w:r>
        <w:rPr>
          <w:color w:val="000000"/>
          <w:spacing w:val="0"/>
          <w:w w:val="100"/>
          <w:position w:val="0"/>
          <w:sz w:val="24"/>
          <w:szCs w:val="24"/>
        </w:rPr>
        <w:t>元，每股发行价为人民币</w:t>
      </w:r>
      <w:r>
        <w:rPr>
          <w:rFonts w:ascii="Arial" w:eastAsia="Arial" w:hAnsi="Arial" w:cs="Arial"/>
          <w:color w:val="000000"/>
          <w:spacing w:val="0"/>
          <w:w w:val="100"/>
          <w:position w:val="0"/>
          <w:sz w:val="24"/>
          <w:szCs w:val="24"/>
        </w:rPr>
        <w:t>15.17</w:t>
      </w:r>
      <w:r>
        <w:rPr>
          <w:color w:val="000000"/>
          <w:spacing w:val="0"/>
          <w:w w:val="100"/>
          <w:position w:val="0"/>
          <w:sz w:val="24"/>
          <w:szCs w:val="24"/>
        </w:rPr>
        <w:t>元，股本总额变更为 人民币</w:t>
      </w:r>
      <w:r>
        <w:rPr>
          <w:rFonts w:ascii="Arial" w:eastAsia="Arial" w:hAnsi="Arial" w:cs="Arial"/>
          <w:color w:val="000000"/>
          <w:spacing w:val="0"/>
          <w:w w:val="100"/>
          <w:position w:val="0"/>
          <w:sz w:val="24"/>
          <w:szCs w:val="24"/>
        </w:rPr>
        <w:t>9,310,039,655</w:t>
      </w:r>
      <w:r>
        <w:rPr>
          <w:color w:val="000000"/>
          <w:spacing w:val="0"/>
          <w:w w:val="100"/>
          <w:position w:val="0"/>
          <w:sz w:val="24"/>
          <w:szCs w:val="24"/>
        </w:rPr>
        <w:t>元</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（39））</w:t>
      </w:r>
      <w:r>
        <w:rPr>
          <w:color w:val="000000"/>
          <w:spacing w:val="0"/>
          <w:w w:val="100"/>
          <w:position w:val="0"/>
          <w:sz w:val="24"/>
          <w:szCs w:val="24"/>
        </w:rPr>
        <w:t>。</w:t>
      </w:r>
    </w:p>
    <w:p>
      <w:pPr>
        <w:pStyle w:val="Style72"/>
        <w:keepNext w:val="0"/>
        <w:keepLines w:val="0"/>
        <w:widowControl w:val="0"/>
        <w:shd w:val="clear" w:color="auto" w:fill="auto"/>
        <w:tabs>
          <w:tab w:pos="667" w:val="left"/>
        </w:tabs>
        <w:bidi w:val="0"/>
        <w:spacing w:before="0" w:after="280" w:line="240" w:lineRule="auto"/>
        <w:ind w:left="0" w:right="0" w:firstLine="0"/>
        <w:jc w:val="left"/>
        <w:rPr>
          <w:sz w:val="28"/>
          <w:szCs w:val="28"/>
        </w:rPr>
      </w:pPr>
      <w:r>
        <w:rPr>
          <w:b/>
          <w:bCs/>
          <w:color w:val="000000"/>
          <w:spacing w:val="0"/>
          <w:w w:val="100"/>
          <w:position w:val="0"/>
          <w:sz w:val="24"/>
          <w:szCs w:val="24"/>
        </w:rPr>
        <w:t>-</w:t>
        <w:tab/>
        <w:t>公司基本情况</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311"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2018</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日，本公司第六届董事会第三十五次会议通过《关于回购部 分社会公众股份的预案》，审议通过使用以自有资金、自筹资金及其他筹资方 式以集中竞价交易方式回购公司股份，回购总金额不低于人民币</w:t>
      </w:r>
      <w:r>
        <w:rPr>
          <w:rFonts w:ascii="Arial" w:eastAsia="Arial" w:hAnsi="Arial" w:cs="Arial"/>
          <w:color w:val="000000"/>
          <w:spacing w:val="0"/>
          <w:w w:val="100"/>
          <w:position w:val="0"/>
          <w:sz w:val="24"/>
          <w:szCs w:val="24"/>
        </w:rPr>
        <w:t>5</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含</w:t>
      </w:r>
      <w:r>
        <w:rPr>
          <w:rFonts w:ascii="Arial" w:eastAsia="Arial" w:hAnsi="Arial" w:cs="Arial"/>
          <w:color w:val="000000"/>
          <w:spacing w:val="0"/>
          <w:w w:val="100"/>
          <w:position w:val="0"/>
          <w:sz w:val="24"/>
          <w:szCs w:val="24"/>
        </w:rPr>
        <w:t>）</w:t>
      </w:r>
      <w:r>
        <w:rPr>
          <w:color w:val="000000"/>
          <w:spacing w:val="0"/>
          <w:w w:val="100"/>
          <w:position w:val="0"/>
          <w:sz w:val="24"/>
          <w:szCs w:val="24"/>
        </w:rPr>
        <w:t>且 不超过人民币</w:t>
      </w:r>
      <w:r>
        <w:rPr>
          <w:rFonts w:ascii="Arial" w:eastAsia="Arial" w:hAnsi="Arial" w:cs="Arial"/>
          <w:color w:val="000000"/>
          <w:spacing w:val="0"/>
          <w:w w:val="100"/>
          <w:position w:val="0"/>
          <w:sz w:val="24"/>
          <w:szCs w:val="24"/>
        </w:rPr>
        <w:t>10</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含</w:t>
      </w:r>
      <w:r>
        <w:rPr>
          <w:rFonts w:ascii="Arial" w:eastAsia="Arial" w:hAnsi="Arial" w:cs="Arial"/>
          <w:color w:val="000000"/>
          <w:spacing w:val="0"/>
          <w:w w:val="100"/>
          <w:position w:val="0"/>
          <w:sz w:val="24"/>
          <w:szCs w:val="24"/>
        </w:rPr>
        <w:t>）</w:t>
      </w:r>
      <w:r>
        <w:rPr>
          <w:color w:val="000000"/>
          <w:spacing w:val="0"/>
          <w:w w:val="100"/>
          <w:position w:val="0"/>
          <w:sz w:val="24"/>
          <w:szCs w:val="24"/>
        </w:rPr>
        <w:t>，该次回购股份的用途包括但不限于后续用于员工持 股计划或者股权激励；用于转换上市公司发行的可转换为股票的公司债券； 或为维护公司价值及股东权益所必需等法律法规允许的其他情形。于</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 xml:space="preserve">8 </w:t>
      </w:r>
      <w:r>
        <w:rPr>
          <w:color w:val="000000"/>
          <w:spacing w:val="0"/>
          <w:w w:val="100"/>
          <w:position w:val="0"/>
          <w:sz w:val="24"/>
          <w:szCs w:val="24"/>
        </w:rPr>
        <w:t>月</w:t>
      </w:r>
      <w:r>
        <w:rPr>
          <w:rFonts w:ascii="Arial" w:eastAsia="Arial" w:hAnsi="Arial" w:cs="Arial"/>
          <w:color w:val="000000"/>
          <w:spacing w:val="0"/>
          <w:w w:val="100"/>
          <w:position w:val="0"/>
          <w:sz w:val="24"/>
          <w:szCs w:val="24"/>
        </w:rPr>
        <w:t>12</w:t>
      </w:r>
      <w:r>
        <w:rPr>
          <w:color w:val="000000"/>
          <w:spacing w:val="0"/>
          <w:w w:val="100"/>
          <w:position w:val="0"/>
          <w:sz w:val="24"/>
          <w:szCs w:val="24"/>
        </w:rPr>
        <w:t>日，本公司该次回购股份计划已全部实施完毕，新增回购库存股约人民 币</w:t>
      </w:r>
      <w:r>
        <w:rPr>
          <w:rFonts w:ascii="Arial" w:eastAsia="Arial" w:hAnsi="Arial" w:cs="Arial"/>
          <w:color w:val="000000"/>
          <w:spacing w:val="0"/>
          <w:w w:val="100"/>
          <w:position w:val="0"/>
          <w:sz w:val="24"/>
          <w:szCs w:val="24"/>
        </w:rPr>
        <w:t>9.98</w:t>
      </w:r>
      <w:r>
        <w:rPr>
          <w:color w:val="000000"/>
          <w:spacing w:val="0"/>
          <w:w w:val="100"/>
          <w:position w:val="0"/>
          <w:sz w:val="24"/>
          <w:szCs w:val="24"/>
        </w:rPr>
        <w:t>亿元。</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w:t>
      </w:r>
      <w:r>
        <w:rPr>
          <w:rFonts w:ascii="Arial" w:eastAsia="Arial" w:hAnsi="Arial" w:cs="Arial"/>
          <w:color w:val="000000"/>
          <w:spacing w:val="0"/>
          <w:w w:val="100"/>
          <w:position w:val="0"/>
          <w:sz w:val="24"/>
          <w:szCs w:val="24"/>
        </w:rPr>
        <w:t>15</w:t>
      </w:r>
      <w:r>
        <w:rPr>
          <w:color w:val="000000"/>
          <w:spacing w:val="0"/>
          <w:w w:val="100"/>
          <w:position w:val="0"/>
          <w:sz w:val="24"/>
          <w:szCs w:val="24"/>
        </w:rPr>
        <w:t>日，本公司第六届董事会第四十六次会议通过《关于回购 部分社会公众股份方案的议案》，审议通过使用自有资金以集中竞价交易方式 回购公司股份，回购总金额不低于人民币</w:t>
      </w:r>
      <w:r>
        <w:rPr>
          <w:rFonts w:ascii="Arial" w:eastAsia="Arial" w:hAnsi="Arial" w:cs="Arial"/>
          <w:color w:val="000000"/>
          <w:spacing w:val="0"/>
          <w:w w:val="100"/>
          <w:position w:val="0"/>
          <w:sz w:val="24"/>
          <w:szCs w:val="24"/>
        </w:rPr>
        <w:t>10</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含</w:t>
      </w:r>
      <w:r>
        <w:rPr>
          <w:rFonts w:ascii="Arial" w:eastAsia="Arial" w:hAnsi="Arial" w:cs="Arial"/>
          <w:color w:val="000000"/>
          <w:spacing w:val="0"/>
          <w:w w:val="100"/>
          <w:position w:val="0"/>
          <w:sz w:val="24"/>
          <w:szCs w:val="24"/>
        </w:rPr>
        <w:t>）</w:t>
      </w:r>
      <w:r>
        <w:rPr>
          <w:color w:val="000000"/>
          <w:spacing w:val="0"/>
          <w:w w:val="100"/>
          <w:position w:val="0"/>
          <w:sz w:val="24"/>
          <w:szCs w:val="24"/>
        </w:rPr>
        <w:t>且不超过人民币</w:t>
      </w:r>
      <w:r>
        <w:rPr>
          <w:rFonts w:ascii="Arial" w:eastAsia="Arial" w:hAnsi="Arial" w:cs="Arial"/>
          <w:color w:val="000000"/>
          <w:spacing w:val="0"/>
          <w:w w:val="100"/>
          <w:position w:val="0"/>
          <w:sz w:val="24"/>
          <w:szCs w:val="24"/>
        </w:rPr>
        <w:t>20</w:t>
      </w:r>
      <w:r>
        <w:rPr>
          <w:color w:val="000000"/>
          <w:spacing w:val="0"/>
          <w:w w:val="100"/>
          <w:position w:val="0"/>
          <w:sz w:val="24"/>
          <w:szCs w:val="24"/>
        </w:rPr>
        <w:t xml:space="preserve">亿元 </w:t>
      </w:r>
      <w:r>
        <w:rPr>
          <w:rFonts w:ascii="Arial" w:eastAsia="Arial" w:hAnsi="Arial" w:cs="Arial"/>
          <w:color w:val="000000"/>
          <w:spacing w:val="0"/>
          <w:w w:val="100"/>
          <w:position w:val="0"/>
          <w:sz w:val="24"/>
          <w:szCs w:val="24"/>
        </w:rPr>
        <w:t>（</w:t>
      </w:r>
      <w:r>
        <w:rPr>
          <w:color w:val="000000"/>
          <w:spacing w:val="0"/>
          <w:w w:val="100"/>
          <w:position w:val="0"/>
          <w:sz w:val="24"/>
          <w:szCs w:val="24"/>
        </w:rPr>
        <w:t>含</w:t>
      </w:r>
      <w:r>
        <w:rPr>
          <w:rFonts w:ascii="Arial" w:eastAsia="Arial" w:hAnsi="Arial" w:cs="Arial"/>
          <w:color w:val="000000"/>
          <w:spacing w:val="0"/>
          <w:w w:val="100"/>
          <w:position w:val="0"/>
          <w:sz w:val="24"/>
          <w:szCs w:val="24"/>
        </w:rPr>
        <w:t>）</w:t>
      </w:r>
      <w:r>
        <w:rPr>
          <w:color w:val="000000"/>
          <w:spacing w:val="0"/>
          <w:w w:val="100"/>
          <w:position w:val="0"/>
          <w:sz w:val="24"/>
          <w:szCs w:val="24"/>
        </w:rPr>
        <w:t>。该次回购股份用于员工持股计划或者股权激励。于</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 该次回购股份累计新增回购库存股约人民币</w:t>
      </w:r>
      <w:r>
        <w:rPr>
          <w:rFonts w:ascii="Arial" w:eastAsia="Arial" w:hAnsi="Arial" w:cs="Arial"/>
          <w:color w:val="000000"/>
          <w:spacing w:val="0"/>
          <w:w w:val="100"/>
          <w:position w:val="0"/>
          <w:sz w:val="24"/>
          <w:szCs w:val="24"/>
        </w:rPr>
        <w:t>13.1</w:t>
      </w:r>
      <w:r>
        <w:rPr>
          <w:color w:val="000000"/>
          <w:spacing w:val="0"/>
          <w:w w:val="100"/>
          <w:position w:val="0"/>
          <w:sz w:val="24"/>
          <w:szCs w:val="24"/>
        </w:rPr>
        <w:t>亿元。于</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w:t>
      </w:r>
      <w:r>
        <w:rPr>
          <w:rFonts w:ascii="Arial" w:eastAsia="Arial" w:hAnsi="Arial" w:cs="Arial"/>
          <w:color w:val="000000"/>
          <w:spacing w:val="0"/>
          <w:w w:val="100"/>
          <w:position w:val="0"/>
          <w:sz w:val="24"/>
          <w:szCs w:val="24"/>
        </w:rPr>
        <w:t>6</w:t>
      </w:r>
      <w:r>
        <w:rPr>
          <w:color w:val="000000"/>
          <w:spacing w:val="0"/>
          <w:w w:val="100"/>
          <w:position w:val="0"/>
          <w:sz w:val="24"/>
          <w:szCs w:val="24"/>
        </w:rPr>
        <w:t>日， 本公司该次回购股份计划已全部实施完毕，新增回购库存股约人民币</w:t>
      </w:r>
      <w:r>
        <w:rPr>
          <w:rFonts w:ascii="Arial" w:eastAsia="Arial" w:hAnsi="Arial" w:cs="Arial"/>
          <w:color w:val="000000"/>
          <w:spacing w:val="0"/>
          <w:w w:val="100"/>
          <w:position w:val="0"/>
          <w:sz w:val="24"/>
          <w:szCs w:val="24"/>
        </w:rPr>
        <w:t>7.07</w:t>
      </w:r>
      <w:r>
        <w:rPr>
          <w:color w:val="000000"/>
          <w:spacing w:val="0"/>
          <w:w w:val="100"/>
          <w:position w:val="0"/>
          <w:sz w:val="24"/>
          <w:szCs w:val="24"/>
        </w:rPr>
        <w:t>亿 元。</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本公司及子公司</w:t>
      </w:r>
      <w:r>
        <w:rPr>
          <w:rFonts w:ascii="Arial" w:eastAsia="Arial" w:hAnsi="Arial" w:cs="Arial"/>
          <w:color w:val="000000"/>
          <w:spacing w:val="0"/>
          <w:w w:val="100"/>
          <w:position w:val="0"/>
          <w:sz w:val="24"/>
          <w:szCs w:val="24"/>
        </w:rPr>
        <w:t>（</w:t>
      </w:r>
      <w:r>
        <w:rPr>
          <w:color w:val="000000"/>
          <w:spacing w:val="0"/>
          <w:w w:val="100"/>
          <w:position w:val="0"/>
          <w:sz w:val="24"/>
          <w:szCs w:val="24"/>
        </w:rPr>
        <w:t>以下合称</w:t>
      </w:r>
      <w:r>
        <w:rPr>
          <w:rFonts w:ascii="Arial" w:eastAsia="Arial" w:hAnsi="Arial" w:cs="Arial"/>
          <w:color w:val="000000"/>
          <w:spacing w:val="0"/>
          <w:w w:val="100"/>
          <w:position w:val="0"/>
          <w:sz w:val="24"/>
          <w:szCs w:val="24"/>
        </w:rPr>
        <w:t>“</w:t>
      </w:r>
      <w:r>
        <w:rPr>
          <w:color w:val="000000"/>
          <w:spacing w:val="0"/>
          <w:w w:val="100"/>
          <w:position w:val="0"/>
          <w:sz w:val="24"/>
          <w:szCs w:val="24"/>
        </w:rPr>
        <w:t>本集团</w:t>
      </w:r>
      <w:r>
        <w:rPr>
          <w:rFonts w:ascii="Arial" w:eastAsia="Arial" w:hAnsi="Arial" w:cs="Arial"/>
          <w:color w:val="000000"/>
          <w:spacing w:val="0"/>
          <w:w w:val="100"/>
          <w:position w:val="0"/>
          <w:sz w:val="24"/>
          <w:szCs w:val="24"/>
        </w:rPr>
        <w:t>”）</w:t>
      </w:r>
      <w:r>
        <w:rPr>
          <w:color w:val="000000"/>
          <w:spacing w:val="0"/>
          <w:w w:val="100"/>
          <w:position w:val="0"/>
          <w:sz w:val="24"/>
          <w:szCs w:val="24"/>
        </w:rPr>
        <w:t>主要经营家用电器、电子产品、办公设备、 通讯产品及配件的连锁销售和服务，空调配件的销售，制冷空调设备及家用 电器的安装与维修，计算机软件开发、销售、系统集成，百货、自行车、电 动助力车、摩托车、汽车的连锁销售，实业投资，场地租赁，柜台出租，国 内商品展览服务，企业形象策划，经济信息咨询服务，人才培训，商务代理， 仓储，微型计算机配件、软件的销售，微型计算机的安装及维修，废旧物资 的回收与销售，乐器销售，工艺礼品、纪念品销售，国内贸易，代办</w:t>
      </w:r>
      <w:r>
        <w:rPr>
          <w:rFonts w:ascii="Arial" w:eastAsia="Arial" w:hAnsi="Arial" w:cs="Arial"/>
          <w:color w:val="000000"/>
          <w:spacing w:val="0"/>
          <w:w w:val="100"/>
          <w:position w:val="0"/>
          <w:sz w:val="24"/>
          <w:szCs w:val="24"/>
        </w:rPr>
        <w:t>（</w:t>
      </w:r>
      <w:r>
        <w:rPr>
          <w:color w:val="000000"/>
          <w:spacing w:val="0"/>
          <w:w w:val="100"/>
          <w:position w:val="0"/>
          <w:sz w:val="24"/>
          <w:szCs w:val="24"/>
        </w:rPr>
        <w:t>移动、 电信、联通</w:t>
      </w:r>
      <w:r>
        <w:rPr>
          <w:rFonts w:ascii="Arial" w:eastAsia="Arial" w:hAnsi="Arial" w:cs="Arial"/>
          <w:color w:val="000000"/>
          <w:spacing w:val="0"/>
          <w:w w:val="100"/>
          <w:position w:val="0"/>
          <w:sz w:val="24"/>
          <w:szCs w:val="24"/>
        </w:rPr>
        <w:t>）</w:t>
      </w:r>
      <w:r>
        <w:rPr>
          <w:color w:val="000000"/>
          <w:spacing w:val="0"/>
          <w:w w:val="100"/>
          <w:position w:val="0"/>
          <w:sz w:val="24"/>
          <w:szCs w:val="24"/>
        </w:rPr>
        <w:t>委托的各项业务，移动通讯转售业务，货物运输代理，仓储，装 卸搬运等以及本集团从事的电子商务，保险销售，物流，房地产开发和销售、 各类商品</w:t>
      </w:r>
      <w:r>
        <w:rPr>
          <w:rFonts w:ascii="Arial" w:eastAsia="Arial" w:hAnsi="Arial" w:cs="Arial"/>
          <w:color w:val="000000"/>
          <w:spacing w:val="0"/>
          <w:w w:val="100"/>
          <w:position w:val="0"/>
          <w:sz w:val="24"/>
          <w:szCs w:val="24"/>
        </w:rPr>
        <w:t>（</w:t>
      </w:r>
      <w:r>
        <w:rPr>
          <w:color w:val="000000"/>
          <w:spacing w:val="0"/>
          <w:w w:val="100"/>
          <w:position w:val="0"/>
          <w:sz w:val="24"/>
          <w:szCs w:val="24"/>
        </w:rPr>
        <w:t>包括食品、农副产品、日用百货、针纺织品、家用电器、珠宝首饰、 摩托车，一类医疗器械及部分二类医疗器械等业务的零售和批发及相关配套 服务。</w:t>
      </w:r>
    </w:p>
    <w:p>
      <w:pPr>
        <w:pStyle w:val="Style72"/>
        <w:keepNext w:val="0"/>
        <w:keepLines w:val="0"/>
        <w:widowControl w:val="0"/>
        <w:shd w:val="clear" w:color="auto" w:fill="auto"/>
        <w:bidi w:val="0"/>
        <w:spacing w:before="0" w:after="280" w:line="310" w:lineRule="exact"/>
        <w:ind w:right="0" w:firstLine="0"/>
        <w:jc w:val="both"/>
      </w:pPr>
      <w:r>
        <w:rPr>
          <w:color w:val="000000"/>
          <w:spacing w:val="0"/>
          <w:w w:val="100"/>
          <w:position w:val="0"/>
          <w:sz w:val="24"/>
          <w:szCs w:val="24"/>
        </w:rPr>
        <w:t>本年度新纳入合并范围的子公司主要有四平市苏宁易购商贸有限公司、孝感 苏宁易购商贸有限公司等，详见附注五</w:t>
      </w:r>
      <w:r>
        <w:rPr>
          <w:rFonts w:ascii="Arial" w:eastAsia="Arial" w:hAnsi="Arial" w:cs="Arial"/>
          <w:color w:val="000000"/>
          <w:spacing w:val="0"/>
          <w:w w:val="100"/>
          <w:position w:val="0"/>
          <w:sz w:val="24"/>
          <w:szCs w:val="24"/>
        </w:rPr>
        <w:t>（2）</w:t>
      </w:r>
      <w:r>
        <w:rPr>
          <w:color w:val="000000"/>
          <w:spacing w:val="0"/>
          <w:w w:val="100"/>
          <w:position w:val="0"/>
          <w:sz w:val="24"/>
          <w:szCs w:val="24"/>
        </w:rPr>
        <w:t>，本年度不再纳入合并范围的子公 司详见附注五</w:t>
      </w:r>
      <w:r>
        <w:rPr>
          <w:rFonts w:ascii="Arial" w:eastAsia="Arial" w:hAnsi="Arial" w:cs="Arial"/>
          <w:color w:val="000000"/>
          <w:spacing w:val="0"/>
          <w:w w:val="100"/>
          <w:position w:val="0"/>
          <w:sz w:val="24"/>
          <w:szCs w:val="24"/>
        </w:rPr>
        <w:t>（1）</w:t>
      </w:r>
      <w:r>
        <w:rPr>
          <w:color w:val="000000"/>
          <w:spacing w:val="0"/>
          <w:w w:val="100"/>
          <w:position w:val="0"/>
          <w:sz w:val="24"/>
          <w:szCs w:val="24"/>
        </w:rPr>
        <w:t>。</w:t>
      </w:r>
    </w:p>
    <w:p>
      <w:pPr>
        <w:pStyle w:val="Style72"/>
        <w:keepNext w:val="0"/>
        <w:keepLines w:val="0"/>
        <w:widowControl w:val="0"/>
        <w:shd w:val="clear" w:color="auto" w:fill="auto"/>
        <w:bidi w:val="0"/>
        <w:spacing w:before="0" w:after="280" w:line="312" w:lineRule="exact"/>
        <w:ind w:left="0" w:right="0" w:firstLine="720"/>
        <w:jc w:val="both"/>
      </w:pPr>
      <w:r>
        <w:rPr>
          <w:color w:val="000000"/>
          <w:spacing w:val="0"/>
          <w:w w:val="100"/>
          <w:position w:val="0"/>
          <w:sz w:val="24"/>
          <w:szCs w:val="24"/>
        </w:rPr>
        <w:t>本财务报表由本公司董事会于</w:t>
      </w:r>
      <w:r>
        <w:rPr>
          <w:rFonts w:ascii="Arial" w:eastAsia="Arial" w:hAnsi="Arial" w:cs="Arial"/>
          <w:color w:val="000000"/>
          <w:spacing w:val="0"/>
          <w:w w:val="100"/>
          <w:position w:val="0"/>
          <w:sz w:val="24"/>
          <w:szCs w:val="24"/>
        </w:rPr>
        <w:t>2022</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日批准报出。</w:t>
      </w:r>
    </w:p>
    <w:p>
      <w:pPr>
        <w:pStyle w:val="Style72"/>
        <w:keepNext w:val="0"/>
        <w:keepLines w:val="0"/>
        <w:widowControl w:val="0"/>
        <w:shd w:val="clear" w:color="auto" w:fill="auto"/>
        <w:tabs>
          <w:tab w:pos="662" w:val="left"/>
        </w:tabs>
        <w:bidi w:val="0"/>
        <w:spacing w:before="0" w:after="260" w:line="240" w:lineRule="auto"/>
        <w:ind w:left="0" w:right="0" w:firstLine="0"/>
        <w:jc w:val="left"/>
      </w:pPr>
      <w:r>
        <w:rPr>
          <w:b/>
          <w:bCs/>
          <w:color w:val="000000"/>
          <w:spacing w:val="0"/>
          <w:w w:val="100"/>
          <w:position w:val="0"/>
          <w:sz w:val="24"/>
          <w:szCs w:val="24"/>
        </w:rPr>
        <w:t>二</w:t>
        <w:tab/>
        <w:t>主要会计政策和会计估计</w:t>
      </w:r>
    </w:p>
    <w:p>
      <w:pPr>
        <w:pStyle w:val="Style72"/>
        <w:keepNext w:val="0"/>
        <w:keepLines w:val="0"/>
        <w:widowControl w:val="0"/>
        <w:shd w:val="clear" w:color="auto" w:fill="auto"/>
        <w:bidi w:val="0"/>
        <w:spacing w:before="0" w:after="260" w:line="310" w:lineRule="exact"/>
        <w:ind w:right="0" w:firstLine="0"/>
        <w:jc w:val="both"/>
      </w:pPr>
      <w:r>
        <w:rPr>
          <w:color w:val="000000"/>
          <w:spacing w:val="0"/>
          <w:w w:val="100"/>
          <w:position w:val="0"/>
          <w:sz w:val="24"/>
          <w:szCs w:val="24"/>
        </w:rPr>
        <w:t>本集团根据生产经营特点确定具体会计政策和会计估计，主要体现在企业合 并</w:t>
      </w:r>
      <w:r>
        <w:rPr>
          <w:rFonts w:ascii="Arial" w:eastAsia="Arial" w:hAnsi="Arial" w:cs="Arial"/>
          <w:color w:val="000000"/>
          <w:spacing w:val="0"/>
          <w:w w:val="100"/>
          <w:position w:val="0"/>
          <w:sz w:val="24"/>
          <w:szCs w:val="24"/>
        </w:rPr>
        <w:t>（</w:t>
      </w:r>
      <w:r>
        <w:rPr>
          <w:color w:val="000000"/>
          <w:spacing w:val="0"/>
          <w:w w:val="100"/>
          <w:position w:val="0"/>
          <w:sz w:val="24"/>
          <w:szCs w:val="24"/>
        </w:rPr>
        <w:t>附注二</w:t>
      </w:r>
      <w:r>
        <w:rPr>
          <w:rFonts w:ascii="Arial" w:eastAsia="Arial" w:hAnsi="Arial" w:cs="Arial"/>
          <w:color w:val="000000"/>
          <w:spacing w:val="0"/>
          <w:w w:val="100"/>
          <w:position w:val="0"/>
          <w:sz w:val="24"/>
          <w:szCs w:val="24"/>
        </w:rPr>
        <w:t>（5））</w:t>
      </w:r>
      <w:r>
        <w:rPr>
          <w:color w:val="000000"/>
          <w:spacing w:val="0"/>
          <w:w w:val="100"/>
          <w:position w:val="0"/>
          <w:sz w:val="24"/>
          <w:szCs w:val="24"/>
        </w:rPr>
        <w:t>、金融工具公允价值的确定</w:t>
      </w:r>
      <w:r>
        <w:rPr>
          <w:rFonts w:ascii="Arial" w:eastAsia="Arial" w:hAnsi="Arial" w:cs="Arial"/>
          <w:color w:val="000000"/>
          <w:spacing w:val="0"/>
          <w:w w:val="100"/>
          <w:position w:val="0"/>
          <w:sz w:val="24"/>
          <w:szCs w:val="24"/>
        </w:rPr>
        <w:t>（</w:t>
      </w:r>
      <w:r>
        <w:rPr>
          <w:color w:val="000000"/>
          <w:spacing w:val="0"/>
          <w:w w:val="100"/>
          <w:position w:val="0"/>
          <w:sz w:val="24"/>
          <w:szCs w:val="24"/>
        </w:rPr>
        <w:t>附注二</w:t>
      </w:r>
      <w:r>
        <w:rPr>
          <w:rFonts w:ascii="Arial" w:eastAsia="Arial" w:hAnsi="Arial" w:cs="Arial"/>
          <w:color w:val="000000"/>
          <w:spacing w:val="0"/>
          <w:w w:val="100"/>
          <w:position w:val="0"/>
          <w:sz w:val="24"/>
          <w:szCs w:val="24"/>
        </w:rPr>
        <w:t>（9））</w:t>
      </w:r>
      <w:r>
        <w:rPr>
          <w:color w:val="000000"/>
          <w:spacing w:val="0"/>
          <w:w w:val="100"/>
          <w:position w:val="0"/>
          <w:sz w:val="24"/>
          <w:szCs w:val="24"/>
        </w:rPr>
        <w:t>、存货的计价方法</w:t>
      </w:r>
      <w:r>
        <w:rPr>
          <w:rFonts w:ascii="Arial" w:eastAsia="Arial" w:hAnsi="Arial" w:cs="Arial"/>
          <w:color w:val="000000"/>
          <w:spacing w:val="0"/>
          <w:w w:val="100"/>
          <w:position w:val="0"/>
          <w:sz w:val="24"/>
          <w:szCs w:val="24"/>
        </w:rPr>
        <w:t>（</w:t>
      </w:r>
      <w:r>
        <w:rPr>
          <w:color w:val="000000"/>
          <w:spacing w:val="0"/>
          <w:w w:val="100"/>
          <w:position w:val="0"/>
          <w:sz w:val="24"/>
          <w:szCs w:val="24"/>
        </w:rPr>
        <w:t>附注 二</w:t>
      </w:r>
      <w:r>
        <w:rPr>
          <w:rFonts w:ascii="Arial" w:eastAsia="Arial" w:hAnsi="Arial" w:cs="Arial"/>
          <w:color w:val="000000"/>
          <w:spacing w:val="0"/>
          <w:w w:val="100"/>
          <w:position w:val="0"/>
          <w:sz w:val="24"/>
          <w:szCs w:val="24"/>
        </w:rPr>
        <w:t>（10））</w:t>
      </w:r>
      <w:r>
        <w:rPr>
          <w:color w:val="000000"/>
          <w:spacing w:val="0"/>
          <w:w w:val="100"/>
          <w:position w:val="0"/>
          <w:sz w:val="24"/>
          <w:szCs w:val="24"/>
        </w:rPr>
        <w:t>、投资性房地产的计量模式</w:t>
      </w:r>
      <w:r>
        <w:rPr>
          <w:rFonts w:ascii="Arial" w:eastAsia="Arial" w:hAnsi="Arial" w:cs="Arial"/>
          <w:color w:val="000000"/>
          <w:spacing w:val="0"/>
          <w:w w:val="100"/>
          <w:position w:val="0"/>
          <w:sz w:val="24"/>
          <w:szCs w:val="24"/>
        </w:rPr>
        <w:t>（</w:t>
      </w:r>
      <w:r>
        <w:rPr>
          <w:color w:val="000000"/>
          <w:spacing w:val="0"/>
          <w:w w:val="100"/>
          <w:position w:val="0"/>
          <w:sz w:val="24"/>
          <w:szCs w:val="24"/>
        </w:rPr>
        <w:t>附注二</w:t>
      </w:r>
      <w:r>
        <w:rPr>
          <w:rFonts w:ascii="Arial" w:eastAsia="Arial" w:hAnsi="Arial" w:cs="Arial"/>
          <w:color w:val="000000"/>
          <w:spacing w:val="0"/>
          <w:w w:val="100"/>
          <w:position w:val="0"/>
          <w:sz w:val="24"/>
          <w:szCs w:val="24"/>
        </w:rPr>
        <w:t>（12））</w:t>
      </w:r>
      <w:r>
        <w:rPr>
          <w:color w:val="000000"/>
          <w:spacing w:val="0"/>
          <w:w w:val="100"/>
          <w:position w:val="0"/>
          <w:sz w:val="24"/>
          <w:szCs w:val="24"/>
        </w:rPr>
        <w:t>、固定资产折旧、无形资产和 使用权资产摊销</w:t>
      </w:r>
      <w:r>
        <w:rPr>
          <w:rFonts w:ascii="Arial" w:eastAsia="Arial" w:hAnsi="Arial" w:cs="Arial"/>
          <w:color w:val="000000"/>
          <w:spacing w:val="0"/>
          <w:w w:val="100"/>
          <w:position w:val="0"/>
          <w:sz w:val="24"/>
          <w:szCs w:val="24"/>
        </w:rPr>
        <w:t>（</w:t>
      </w:r>
      <w:r>
        <w:rPr>
          <w:color w:val="000000"/>
          <w:spacing w:val="0"/>
          <w:w w:val="100"/>
          <w:position w:val="0"/>
          <w:sz w:val="24"/>
          <w:szCs w:val="24"/>
        </w:rPr>
        <w:t>附注二</w:t>
      </w:r>
      <w:r>
        <w:rPr>
          <w:rFonts w:ascii="Arial" w:eastAsia="Arial" w:hAnsi="Arial" w:cs="Arial"/>
          <w:color w:val="000000"/>
          <w:spacing w:val="0"/>
          <w:w w:val="100"/>
          <w:position w:val="0"/>
          <w:sz w:val="24"/>
          <w:szCs w:val="24"/>
        </w:rPr>
        <w:t>（13）</w:t>
      </w:r>
      <w:r>
        <w:rPr>
          <w:color w:val="000000"/>
          <w:spacing w:val="0"/>
          <w:w w:val="100"/>
          <w:position w:val="0"/>
          <w:sz w:val="24"/>
          <w:szCs w:val="24"/>
        </w:rPr>
        <w:t>、</w:t>
      </w:r>
      <w:r>
        <w:rPr>
          <w:color w:val="000000"/>
          <w:spacing w:val="0"/>
          <w:w w:val="100"/>
          <w:position w:val="0"/>
          <w:sz w:val="28"/>
          <w:szCs w:val="28"/>
        </w:rPr>
        <w:t>（</w:t>
      </w:r>
      <w:r>
        <w:rPr>
          <w:rFonts w:ascii="Arial" w:eastAsia="Arial" w:hAnsi="Arial" w:cs="Arial"/>
          <w:color w:val="000000"/>
          <w:spacing w:val="0"/>
          <w:w w:val="100"/>
          <w:position w:val="0"/>
          <w:sz w:val="24"/>
          <w:szCs w:val="24"/>
        </w:rPr>
        <w:t>16）</w:t>
      </w:r>
      <w:r>
        <w:rPr>
          <w:color w:val="000000"/>
          <w:spacing w:val="0"/>
          <w:w w:val="100"/>
          <w:position w:val="0"/>
          <w:sz w:val="24"/>
          <w:szCs w:val="24"/>
        </w:rPr>
        <w:t>、</w:t>
      </w:r>
      <w:r>
        <w:rPr>
          <w:color w:val="000000"/>
          <w:spacing w:val="0"/>
          <w:w w:val="100"/>
          <w:position w:val="0"/>
          <w:sz w:val="28"/>
          <w:szCs w:val="28"/>
        </w:rPr>
        <w:t>（</w:t>
      </w:r>
      <w:r>
        <w:rPr>
          <w:rFonts w:ascii="Arial" w:eastAsia="Arial" w:hAnsi="Arial" w:cs="Arial"/>
          <w:color w:val="000000"/>
          <w:spacing w:val="0"/>
          <w:w w:val="100"/>
          <w:position w:val="0"/>
          <w:sz w:val="24"/>
          <w:szCs w:val="24"/>
        </w:rPr>
        <w:t>25））</w:t>
      </w:r>
      <w:r>
        <w:rPr>
          <w:color w:val="000000"/>
          <w:spacing w:val="0"/>
          <w:w w:val="100"/>
          <w:position w:val="0"/>
          <w:sz w:val="24"/>
          <w:szCs w:val="24"/>
        </w:rPr>
        <w:t>、开发支出资本化的判断标准</w:t>
      </w:r>
      <w:r>
        <w:rPr>
          <w:rFonts w:ascii="Arial" w:eastAsia="Arial" w:hAnsi="Arial" w:cs="Arial"/>
          <w:color w:val="000000"/>
          <w:spacing w:val="0"/>
          <w:w w:val="100"/>
          <w:position w:val="0"/>
          <w:sz w:val="24"/>
          <w:szCs w:val="24"/>
        </w:rPr>
        <w:t>（</w:t>
      </w:r>
      <w:r>
        <w:rPr>
          <w:color w:val="000000"/>
          <w:spacing w:val="0"/>
          <w:w w:val="100"/>
          <w:position w:val="0"/>
          <w:sz w:val="24"/>
          <w:szCs w:val="24"/>
        </w:rPr>
        <w:t>附注 二</w:t>
      </w:r>
      <w:r>
        <w:rPr>
          <w:rFonts w:ascii="Arial" w:eastAsia="Arial" w:hAnsi="Arial" w:cs="Arial"/>
          <w:color w:val="000000"/>
          <w:spacing w:val="0"/>
          <w:w w:val="100"/>
          <w:position w:val="0"/>
          <w:sz w:val="24"/>
          <w:szCs w:val="24"/>
        </w:rPr>
        <w:t>（16））</w:t>
      </w:r>
      <w:r>
        <w:rPr>
          <w:color w:val="000000"/>
          <w:spacing w:val="0"/>
          <w:w w:val="100"/>
          <w:position w:val="0"/>
          <w:sz w:val="24"/>
          <w:szCs w:val="24"/>
        </w:rPr>
        <w:t>、长期资产减值</w:t>
      </w:r>
      <w:r>
        <w:rPr>
          <w:rFonts w:ascii="Arial" w:eastAsia="Arial" w:hAnsi="Arial" w:cs="Arial"/>
          <w:color w:val="000000"/>
          <w:spacing w:val="0"/>
          <w:w w:val="100"/>
          <w:position w:val="0"/>
          <w:sz w:val="24"/>
          <w:szCs w:val="24"/>
        </w:rPr>
        <w:t>（</w:t>
      </w:r>
      <w:r>
        <w:rPr>
          <w:color w:val="000000"/>
          <w:spacing w:val="0"/>
          <w:w w:val="100"/>
          <w:position w:val="0"/>
          <w:sz w:val="24"/>
          <w:szCs w:val="24"/>
        </w:rPr>
        <w:t>附注二</w:t>
      </w:r>
      <w:r>
        <w:rPr>
          <w:rFonts w:ascii="Arial" w:eastAsia="Arial" w:hAnsi="Arial" w:cs="Arial"/>
          <w:color w:val="000000"/>
          <w:spacing w:val="0"/>
          <w:w w:val="100"/>
          <w:position w:val="0"/>
          <w:sz w:val="24"/>
          <w:szCs w:val="24"/>
        </w:rPr>
        <w:t>（18））</w:t>
      </w:r>
      <w:r>
        <w:rPr>
          <w:color w:val="000000"/>
          <w:spacing w:val="0"/>
          <w:w w:val="100"/>
          <w:position w:val="0"/>
          <w:sz w:val="24"/>
          <w:szCs w:val="24"/>
        </w:rPr>
        <w:t>、积分计划的确认</w:t>
      </w:r>
      <w:r>
        <w:rPr>
          <w:rFonts w:ascii="Arial" w:eastAsia="Arial" w:hAnsi="Arial" w:cs="Arial"/>
          <w:color w:val="000000"/>
          <w:spacing w:val="0"/>
          <w:w w:val="100"/>
          <w:position w:val="0"/>
          <w:sz w:val="24"/>
          <w:szCs w:val="24"/>
        </w:rPr>
        <w:t>（</w:t>
      </w:r>
      <w:r>
        <w:rPr>
          <w:color w:val="000000"/>
          <w:spacing w:val="0"/>
          <w:w w:val="100"/>
          <w:position w:val="0"/>
          <w:sz w:val="24"/>
          <w:szCs w:val="24"/>
        </w:rPr>
        <w:t>附注二</w:t>
      </w:r>
      <w:r>
        <w:rPr>
          <w:rFonts w:ascii="Arial" w:eastAsia="Arial" w:hAnsi="Arial" w:cs="Arial"/>
          <w:color w:val="000000"/>
          <w:spacing w:val="0"/>
          <w:w w:val="100"/>
          <w:position w:val="0"/>
          <w:sz w:val="24"/>
          <w:szCs w:val="24"/>
        </w:rPr>
        <w:t>（22））</w:t>
      </w:r>
      <w:r>
        <w:rPr>
          <w:color w:val="000000"/>
          <w:spacing w:val="0"/>
          <w:w w:val="100"/>
          <w:position w:val="0"/>
          <w:sz w:val="24"/>
          <w:szCs w:val="24"/>
        </w:rPr>
        <w:t>和收入的 确认时点</w:t>
      </w:r>
      <w:r>
        <w:rPr>
          <w:rFonts w:ascii="Arial" w:eastAsia="Arial" w:hAnsi="Arial" w:cs="Arial"/>
          <w:color w:val="000000"/>
          <w:spacing w:val="0"/>
          <w:w w:val="100"/>
          <w:position w:val="0"/>
          <w:sz w:val="24"/>
          <w:szCs w:val="24"/>
        </w:rPr>
        <w:t>（</w:t>
      </w:r>
      <w:r>
        <w:rPr>
          <w:color w:val="000000"/>
          <w:spacing w:val="0"/>
          <w:w w:val="100"/>
          <w:position w:val="0"/>
          <w:sz w:val="24"/>
          <w:szCs w:val="24"/>
        </w:rPr>
        <w:t>附注二</w:t>
      </w:r>
      <w:r>
        <w:rPr>
          <w:rFonts w:ascii="Arial" w:eastAsia="Arial" w:hAnsi="Arial" w:cs="Arial"/>
          <w:color w:val="000000"/>
          <w:spacing w:val="0"/>
          <w:w w:val="100"/>
          <w:position w:val="0"/>
          <w:sz w:val="24"/>
          <w:szCs w:val="24"/>
        </w:rPr>
        <w:t>（22））</w:t>
      </w:r>
      <w:r>
        <w:rPr>
          <w:color w:val="000000"/>
          <w:spacing w:val="0"/>
          <w:w w:val="100"/>
          <w:position w:val="0"/>
          <w:sz w:val="24"/>
          <w:szCs w:val="24"/>
        </w:rPr>
        <w:t>、递延所得税资产和递延所得税负债</w:t>
      </w:r>
      <w:r>
        <w:rPr>
          <w:rFonts w:ascii="Arial" w:eastAsia="Arial" w:hAnsi="Arial" w:cs="Arial"/>
          <w:color w:val="000000"/>
          <w:spacing w:val="0"/>
          <w:w w:val="100"/>
          <w:position w:val="0"/>
          <w:sz w:val="24"/>
          <w:szCs w:val="24"/>
        </w:rPr>
        <w:t>（</w:t>
      </w:r>
      <w:r>
        <w:rPr>
          <w:color w:val="000000"/>
          <w:spacing w:val="0"/>
          <w:w w:val="100"/>
          <w:position w:val="0"/>
          <w:sz w:val="24"/>
          <w:szCs w:val="24"/>
        </w:rPr>
        <w:t>附注二</w:t>
      </w:r>
      <w:r>
        <w:rPr>
          <w:rFonts w:ascii="Arial" w:eastAsia="Arial" w:hAnsi="Arial" w:cs="Arial"/>
          <w:color w:val="000000"/>
          <w:spacing w:val="0"/>
          <w:w w:val="100"/>
          <w:position w:val="0"/>
          <w:sz w:val="24"/>
          <w:szCs w:val="24"/>
        </w:rPr>
        <w:t>（24））</w:t>
      </w:r>
      <w:r>
        <w:rPr>
          <w:color w:val="000000"/>
          <w:spacing w:val="0"/>
          <w:w w:val="100"/>
          <w:position w:val="0"/>
          <w:sz w:val="24"/>
          <w:szCs w:val="24"/>
        </w:rPr>
        <w:t>等。</w:t>
      </w:r>
    </w:p>
    <w:p>
      <w:pPr>
        <w:pStyle w:val="Style72"/>
        <w:keepNext w:val="0"/>
        <w:keepLines w:val="0"/>
        <w:widowControl w:val="0"/>
        <w:shd w:val="clear" w:color="auto" w:fill="auto"/>
        <w:bidi w:val="0"/>
        <w:spacing w:before="0" w:after="320" w:line="307" w:lineRule="exact"/>
        <w:ind w:right="0" w:firstLine="0"/>
        <w:jc w:val="both"/>
      </w:pPr>
      <w:r>
        <w:rPr>
          <w:color w:val="000000"/>
          <w:spacing w:val="0"/>
          <w:w w:val="100"/>
          <w:position w:val="0"/>
          <w:sz w:val="24"/>
          <w:szCs w:val="24"/>
        </w:rPr>
        <w:t>本集团在确定重要的会计政策时所运用的关键判断、重要会计估计及其关键 假设详见附注二</w:t>
      </w:r>
      <w:r>
        <w:rPr>
          <w:rFonts w:ascii="Arial" w:eastAsia="Arial" w:hAnsi="Arial" w:cs="Arial"/>
          <w:color w:val="000000"/>
          <w:spacing w:val="0"/>
          <w:w w:val="100"/>
          <w:position w:val="0"/>
          <w:sz w:val="24"/>
          <w:szCs w:val="24"/>
        </w:rPr>
        <w:t>（29）</w:t>
      </w:r>
      <w:r>
        <w:rPr>
          <w:color w:val="000000"/>
          <w:spacing w:val="0"/>
          <w:w w:val="100"/>
          <w:position w:val="0"/>
          <w:sz w:val="24"/>
          <w:szCs w:val="24"/>
        </w:rPr>
        <w:t>。</w:t>
      </w:r>
    </w:p>
    <w:p>
      <w:pPr>
        <w:pStyle w:val="Style72"/>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sz w:val="24"/>
          <w:szCs w:val="24"/>
        </w:rPr>
        <w:t xml:space="preserve">（1） </w:t>
      </w:r>
      <w:r>
        <w:rPr>
          <w:b/>
          <w:bCs/>
          <w:color w:val="000000"/>
          <w:spacing w:val="0"/>
          <w:w w:val="100"/>
          <w:position w:val="0"/>
          <w:sz w:val="24"/>
          <w:szCs w:val="24"/>
        </w:rPr>
        <w:t>财务报表的编制基础</w:t>
      </w:r>
    </w:p>
    <w:p>
      <w:pPr>
        <w:pStyle w:val="Style72"/>
        <w:keepNext w:val="0"/>
        <w:keepLines w:val="0"/>
        <w:widowControl w:val="0"/>
        <w:shd w:val="clear" w:color="auto" w:fill="auto"/>
        <w:bidi w:val="0"/>
        <w:spacing w:before="0" w:after="260" w:line="315" w:lineRule="exact"/>
        <w:ind w:right="0" w:firstLine="0"/>
        <w:jc w:val="left"/>
        <w:sectPr>
          <w:footnotePr>
            <w:pos w:val="pageBottom"/>
            <w:numFmt w:val="decimal"/>
            <w:numStart w:val="1"/>
            <w:numRestart w:val="continuous"/>
            <w15:footnoteColumns w:val="1"/>
          </w:footnotePr>
          <w:pgSz w:w="11900" w:h="16840"/>
          <w:pgMar w:top="2338" w:right="1300" w:bottom="1748" w:left="1706" w:header="0" w:footer="3" w:gutter="0"/>
          <w:cols w:space="720"/>
          <w:noEndnote/>
          <w:rtlGutter w:val="0"/>
          <w:docGrid w:linePitch="360"/>
        </w:sectPr>
      </w:pPr>
      <w:r>
        <w:rPr>
          <w:color w:val="000000"/>
          <w:spacing w:val="0"/>
          <w:w w:val="100"/>
          <w:position w:val="0"/>
          <w:sz w:val="24"/>
          <w:szCs w:val="24"/>
        </w:rPr>
        <w:t>本财务报表按照财政部于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15</w:t>
      </w:r>
      <w:r>
        <w:rPr>
          <w:color w:val="000000"/>
          <w:spacing w:val="0"/>
          <w:w w:val="100"/>
          <w:position w:val="0"/>
          <w:sz w:val="24"/>
          <w:szCs w:val="24"/>
        </w:rPr>
        <w:t>日及以后期间颁布的《企业会计准 则一基本准则》、各项具体会计准则及相关规定</w:t>
      </w:r>
      <w:r>
        <w:rPr>
          <w:rFonts w:ascii="Arial" w:eastAsia="Arial" w:hAnsi="Arial" w:cs="Arial"/>
          <w:color w:val="000000"/>
          <w:spacing w:val="0"/>
          <w:w w:val="100"/>
          <w:position w:val="0"/>
          <w:sz w:val="24"/>
          <w:szCs w:val="24"/>
        </w:rPr>
        <w:t>（</w:t>
      </w:r>
      <w:r>
        <w:rPr>
          <w:color w:val="000000"/>
          <w:spacing w:val="0"/>
          <w:w w:val="100"/>
          <w:position w:val="0"/>
          <w:sz w:val="24"/>
          <w:szCs w:val="24"/>
        </w:rPr>
        <w:t>以下合称</w:t>
      </w:r>
      <w:r>
        <w:rPr>
          <w:rFonts w:ascii="Arial" w:eastAsia="Arial" w:hAnsi="Arial" w:cs="Arial"/>
          <w:color w:val="000000"/>
          <w:spacing w:val="0"/>
          <w:w w:val="100"/>
          <w:position w:val="0"/>
          <w:sz w:val="24"/>
          <w:szCs w:val="24"/>
        </w:rPr>
        <w:t>“</w:t>
      </w:r>
      <w:r>
        <w:rPr>
          <w:color w:val="000000"/>
          <w:spacing w:val="0"/>
          <w:w w:val="100"/>
          <w:position w:val="0"/>
          <w:sz w:val="24"/>
          <w:szCs w:val="24"/>
        </w:rPr>
        <w:t>企业会计准则</w:t>
      </w:r>
      <w:r>
        <w:rPr>
          <w:rFonts w:ascii="Arial" w:eastAsia="Arial" w:hAnsi="Arial" w:cs="Arial"/>
          <w:color w:val="000000"/>
          <w:spacing w:val="0"/>
          <w:w w:val="100"/>
          <w:position w:val="0"/>
          <w:sz w:val="24"/>
          <w:szCs w:val="24"/>
        </w:rPr>
        <w:t>”）</w:t>
      </w:r>
      <w:r>
        <w:rPr>
          <w:color w:val="000000"/>
          <w:spacing w:val="0"/>
          <w:w w:val="100"/>
          <w:position w:val="0"/>
          <w:sz w:val="24"/>
          <w:szCs w:val="24"/>
        </w:rPr>
        <w:t>、 以及中国证券监督管理委员会《公开发行证券的公司信息披露编报规则第</w:t>
      </w:r>
      <w:r>
        <w:rPr>
          <w:rFonts w:ascii="Arial" w:eastAsia="Arial" w:hAnsi="Arial" w:cs="Arial"/>
          <w:color w:val="000000"/>
          <w:spacing w:val="0"/>
          <w:w w:val="100"/>
          <w:position w:val="0"/>
          <w:sz w:val="24"/>
          <w:szCs w:val="24"/>
        </w:rPr>
        <w:t xml:space="preserve">15 </w:t>
      </w:r>
      <w:r>
        <w:rPr>
          <w:color w:val="000000"/>
          <w:spacing w:val="0"/>
          <w:w w:val="100"/>
          <w:position w:val="0"/>
          <w:sz w:val="24"/>
          <w:szCs w:val="24"/>
        </w:rPr>
        <w:t>号——财务报告的一般规定》的披露规定编制。</w:t>
      </w:r>
    </w:p>
    <w:p>
      <w:pPr>
        <w:pStyle w:val="Style72"/>
        <w:keepNext w:val="0"/>
        <w:keepLines w:val="0"/>
        <w:widowControl w:val="0"/>
        <w:shd w:val="clear" w:color="auto" w:fill="auto"/>
        <w:tabs>
          <w:tab w:pos="701" w:val="left"/>
        </w:tabs>
        <w:bidi w:val="0"/>
        <w:spacing w:before="0" w:after="32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1" w:val="left"/>
        </w:tabs>
        <w:bidi w:val="0"/>
        <w:spacing w:before="0" w:after="260" w:line="240" w:lineRule="auto"/>
        <w:ind w:left="0" w:right="0" w:firstLine="0"/>
        <w:jc w:val="left"/>
        <w:rPr>
          <w:sz w:val="28"/>
          <w:szCs w:val="28"/>
        </w:rPr>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财务报表的编制基础</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本集团于</w:t>
      </w:r>
      <w:r>
        <w:rPr>
          <w:rFonts w:ascii="Arial" w:eastAsia="Arial" w:hAnsi="Arial" w:cs="Arial"/>
          <w:color w:val="000000"/>
          <w:spacing w:val="0"/>
          <w:w w:val="100"/>
          <w:position w:val="0"/>
          <w:sz w:val="24"/>
          <w:szCs w:val="24"/>
        </w:rPr>
        <w:t>2021</w:t>
      </w:r>
      <w:r>
        <w:rPr>
          <w:color w:val="000000"/>
          <w:spacing w:val="0"/>
          <w:w w:val="100"/>
          <w:position w:val="0"/>
          <w:sz w:val="24"/>
          <w:szCs w:val="24"/>
        </w:rPr>
        <w:t>年度合并净亏损为人民币</w:t>
      </w:r>
      <w:r>
        <w:rPr>
          <w:rFonts w:ascii="Arial" w:eastAsia="Arial" w:hAnsi="Arial" w:cs="Arial"/>
          <w:color w:val="000000"/>
          <w:spacing w:val="0"/>
          <w:w w:val="100"/>
          <w:position w:val="0"/>
          <w:sz w:val="24"/>
          <w:szCs w:val="24"/>
        </w:rPr>
        <w:t>441.79</w:t>
      </w:r>
      <w:r>
        <w:rPr>
          <w:color w:val="000000"/>
          <w:spacing w:val="0"/>
          <w:w w:val="100"/>
          <w:position w:val="0"/>
          <w:sz w:val="24"/>
          <w:szCs w:val="24"/>
        </w:rPr>
        <w:t>亿元，经营活动现金净流出 为人民币</w:t>
      </w:r>
      <w:r>
        <w:rPr>
          <w:rFonts w:ascii="Arial" w:eastAsia="Arial" w:hAnsi="Arial" w:cs="Arial"/>
          <w:color w:val="000000"/>
          <w:spacing w:val="0"/>
          <w:w w:val="100"/>
          <w:position w:val="0"/>
          <w:sz w:val="24"/>
          <w:szCs w:val="24"/>
        </w:rPr>
        <w:t>64.3</w:t>
      </w:r>
      <w:r>
        <w:rPr>
          <w:rFonts w:ascii="Arial" w:eastAsia="Arial" w:hAnsi="Arial" w:cs="Arial"/>
          <w:color w:val="000000"/>
          <w:spacing w:val="0"/>
          <w:w w:val="100"/>
          <w:position w:val="0"/>
          <w:sz w:val="24"/>
          <w:szCs w:val="24"/>
        </w:rPr>
        <w:t>0</w:t>
      </w:r>
      <w:r>
        <w:rPr>
          <w:color w:val="000000"/>
          <w:spacing w:val="0"/>
          <w:w w:val="100"/>
          <w:position w:val="0"/>
          <w:sz w:val="24"/>
          <w:szCs w:val="24"/>
        </w:rPr>
        <w:t>亿元。于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日，本集团流动负债超出流动资 产为人民币</w:t>
      </w:r>
      <w:r>
        <w:rPr>
          <w:rFonts w:ascii="Arial" w:eastAsia="Arial" w:hAnsi="Arial" w:cs="Arial"/>
          <w:color w:val="000000"/>
          <w:spacing w:val="0"/>
          <w:w w:val="100"/>
          <w:position w:val="0"/>
          <w:sz w:val="24"/>
          <w:szCs w:val="24"/>
        </w:rPr>
        <w:t>349.94</w:t>
      </w:r>
      <w:r>
        <w:rPr>
          <w:color w:val="000000"/>
          <w:spacing w:val="0"/>
          <w:w w:val="100"/>
          <w:position w:val="0"/>
          <w:sz w:val="24"/>
          <w:szCs w:val="24"/>
        </w:rPr>
        <w:t>亿元；流动负债中包括的短期借款、一年内到期的长期借 款及将于一年内支付的应付债券余额共计人民币</w:t>
      </w:r>
      <w:r>
        <w:rPr>
          <w:rFonts w:ascii="Arial" w:eastAsia="Arial" w:hAnsi="Arial" w:cs="Arial"/>
          <w:color w:val="000000"/>
          <w:spacing w:val="0"/>
          <w:w w:val="100"/>
          <w:position w:val="0"/>
          <w:sz w:val="24"/>
          <w:szCs w:val="24"/>
        </w:rPr>
        <w:t>364.65</w:t>
      </w:r>
      <w:r>
        <w:rPr>
          <w:color w:val="000000"/>
          <w:spacing w:val="0"/>
          <w:w w:val="100"/>
          <w:position w:val="0"/>
          <w:sz w:val="24"/>
          <w:szCs w:val="24"/>
        </w:rPr>
        <w:t>亿元。本集团于</w:t>
      </w:r>
      <w:r>
        <w:rPr>
          <w:rFonts w:ascii="Arial" w:eastAsia="Arial" w:hAnsi="Arial" w:cs="Arial"/>
          <w:color w:val="000000"/>
          <w:spacing w:val="0"/>
          <w:w w:val="100"/>
          <w:position w:val="0"/>
          <w:sz w:val="24"/>
          <w:szCs w:val="24"/>
        </w:rPr>
        <w:t xml:space="preserve">2021 </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日的现金及现金等价物余额为人民币</w:t>
      </w:r>
      <w:r>
        <w:rPr>
          <w:rFonts w:ascii="Arial" w:eastAsia="Arial" w:hAnsi="Arial" w:cs="Arial"/>
          <w:color w:val="000000"/>
          <w:spacing w:val="0"/>
          <w:w w:val="100"/>
          <w:position w:val="0"/>
          <w:sz w:val="24"/>
          <w:szCs w:val="24"/>
        </w:rPr>
        <w:t>41.6</w:t>
      </w:r>
      <w:r>
        <w:rPr>
          <w:rFonts w:ascii="Arial" w:eastAsia="Arial" w:hAnsi="Arial" w:cs="Arial"/>
          <w:color w:val="000000"/>
          <w:spacing w:val="0"/>
          <w:w w:val="100"/>
          <w:position w:val="0"/>
          <w:sz w:val="24"/>
          <w:szCs w:val="24"/>
        </w:rPr>
        <w:t>2</w:t>
      </w:r>
      <w:r>
        <w:rPr>
          <w:color w:val="000000"/>
          <w:spacing w:val="0"/>
          <w:w w:val="100"/>
          <w:position w:val="0"/>
          <w:sz w:val="24"/>
          <w:szCs w:val="24"/>
        </w:rPr>
        <w:t>亿元，作为长短期借 款质押的受限货币资金余额为人民币</w:t>
      </w:r>
      <w:r>
        <w:rPr>
          <w:rFonts w:ascii="Arial" w:eastAsia="Arial" w:hAnsi="Arial" w:cs="Arial"/>
          <w:color w:val="000000"/>
          <w:spacing w:val="0"/>
          <w:w w:val="100"/>
          <w:position w:val="0"/>
          <w:sz w:val="24"/>
          <w:szCs w:val="24"/>
        </w:rPr>
        <w:t>96.49</w:t>
      </w:r>
      <w:r>
        <w:rPr>
          <w:color w:val="000000"/>
          <w:spacing w:val="0"/>
          <w:w w:val="100"/>
          <w:position w:val="0"/>
          <w:sz w:val="24"/>
          <w:szCs w:val="24"/>
        </w:rPr>
        <w:t>亿元。</w:t>
      </w:r>
    </w:p>
    <w:p>
      <w:pPr>
        <w:pStyle w:val="Style72"/>
        <w:keepNext w:val="0"/>
        <w:keepLines w:val="0"/>
        <w:widowControl w:val="0"/>
        <w:shd w:val="clear" w:color="auto" w:fill="auto"/>
        <w:bidi w:val="0"/>
        <w:spacing w:before="0" w:after="260" w:line="311"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年度，本集团未满足部分借款合同中约定的财务指标要求及未就某项 业务安排按借款合同约定事先取得相关贷款银行同意，该等事项构成本集团 未能履行相关借款协议的某些约定条款，并触发其他若干银行借款合同中的 违约或交叉违约条款</w:t>
      </w:r>
      <w:r>
        <w:rPr>
          <w:rFonts w:ascii="Arial" w:eastAsia="Arial" w:hAnsi="Arial" w:cs="Arial"/>
          <w:color w:val="000000"/>
          <w:spacing w:val="0"/>
          <w:w w:val="100"/>
          <w:position w:val="0"/>
          <w:sz w:val="24"/>
          <w:szCs w:val="24"/>
        </w:rPr>
        <w:t>（</w:t>
      </w:r>
      <w:r>
        <w:rPr>
          <w:color w:val="000000"/>
          <w:spacing w:val="0"/>
          <w:w w:val="100"/>
          <w:position w:val="0"/>
          <w:sz w:val="24"/>
          <w:szCs w:val="24"/>
        </w:rPr>
        <w:t>以下合称“违约事项”</w:t>
      </w:r>
      <w:r>
        <w:rPr>
          <w:color w:val="000000"/>
          <w:spacing w:val="0"/>
          <w:w w:val="100"/>
          <w:position w:val="0"/>
          <w:sz w:val="28"/>
          <w:szCs w:val="28"/>
        </w:rPr>
        <w:t>）</w:t>
      </w:r>
      <w:r>
        <w:rPr>
          <w:color w:val="000000"/>
          <w:spacing w:val="0"/>
          <w:w w:val="100"/>
          <w:position w:val="0"/>
          <w:sz w:val="24"/>
          <w:szCs w:val="24"/>
        </w:rPr>
        <w:t>。该等违约事项导致相关银行及 其他金融机构有权要求本集团提前偿还相关借款全部本金及利息。该等借款 本金及利息于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日之余额共计人民币</w:t>
      </w:r>
      <w:r>
        <w:rPr>
          <w:rFonts w:ascii="Arial" w:eastAsia="Arial" w:hAnsi="Arial" w:cs="Arial"/>
          <w:color w:val="000000"/>
          <w:spacing w:val="0"/>
          <w:w w:val="100"/>
          <w:position w:val="0"/>
          <w:sz w:val="24"/>
          <w:szCs w:val="24"/>
        </w:rPr>
        <w:t>191.05</w:t>
      </w:r>
      <w:r>
        <w:rPr>
          <w:color w:val="000000"/>
          <w:spacing w:val="0"/>
          <w:w w:val="100"/>
          <w:position w:val="0"/>
          <w:sz w:val="24"/>
          <w:szCs w:val="24"/>
        </w:rPr>
        <w:t>亿元，其中包括 短期借款及一年内到期的长期借款本息共计人民币</w:t>
      </w:r>
      <w:r>
        <w:rPr>
          <w:rFonts w:ascii="Arial" w:eastAsia="Arial" w:hAnsi="Arial" w:cs="Arial"/>
          <w:color w:val="000000"/>
          <w:spacing w:val="0"/>
          <w:w w:val="100"/>
          <w:position w:val="0"/>
          <w:sz w:val="24"/>
          <w:szCs w:val="24"/>
        </w:rPr>
        <w:t>182.95</w:t>
      </w:r>
      <w:r>
        <w:rPr>
          <w:color w:val="000000"/>
          <w:spacing w:val="0"/>
          <w:w w:val="100"/>
          <w:position w:val="0"/>
          <w:sz w:val="24"/>
          <w:szCs w:val="24"/>
        </w:rPr>
        <w:t>亿元和原合同约定 到期日为</w:t>
      </w:r>
      <w:r>
        <w:rPr>
          <w:rFonts w:ascii="Arial" w:eastAsia="Arial" w:hAnsi="Arial" w:cs="Arial"/>
          <w:color w:val="000000"/>
          <w:spacing w:val="0"/>
          <w:w w:val="100"/>
          <w:position w:val="0"/>
          <w:sz w:val="24"/>
          <w:szCs w:val="24"/>
        </w:rPr>
        <w:t>2022</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日之后的长期借款本金计人民币</w:t>
      </w:r>
      <w:r>
        <w:rPr>
          <w:rFonts w:ascii="Arial" w:eastAsia="Arial" w:hAnsi="Arial" w:cs="Arial"/>
          <w:color w:val="000000"/>
          <w:spacing w:val="0"/>
          <w:w w:val="100"/>
          <w:position w:val="0"/>
          <w:sz w:val="24"/>
          <w:szCs w:val="24"/>
        </w:rPr>
        <w:t>8.10</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已重分 类为一年内到期的长期借款</w:t>
      </w:r>
      <w:r>
        <w:rPr>
          <w:rFonts w:ascii="Arial" w:eastAsia="Arial" w:hAnsi="Arial" w:cs="Arial"/>
          <w:color w:val="000000"/>
          <w:spacing w:val="0"/>
          <w:w w:val="100"/>
          <w:position w:val="0"/>
          <w:sz w:val="24"/>
          <w:szCs w:val="24"/>
        </w:rPr>
        <w:t>）</w:t>
      </w:r>
      <w:r>
        <w:rPr>
          <w:color w:val="000000"/>
          <w:spacing w:val="0"/>
          <w:w w:val="100"/>
          <w:position w:val="0"/>
          <w:sz w:val="24"/>
          <w:szCs w:val="24"/>
        </w:rPr>
        <w:t>。截至本财务报表报出日，相关银行及其他金融 机构未要求本集团立即还款。此外，于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日，本集团部分应 付款项</w:t>
      </w:r>
      <w:r>
        <w:rPr>
          <w:rFonts w:ascii="Arial" w:eastAsia="Arial" w:hAnsi="Arial" w:cs="Arial"/>
          <w:color w:val="000000"/>
          <w:spacing w:val="0"/>
          <w:w w:val="100"/>
          <w:position w:val="0"/>
          <w:sz w:val="24"/>
          <w:szCs w:val="24"/>
        </w:rPr>
        <w:t>（</w:t>
      </w:r>
      <w:r>
        <w:rPr>
          <w:color w:val="000000"/>
          <w:spacing w:val="0"/>
          <w:w w:val="100"/>
          <w:position w:val="0"/>
          <w:sz w:val="24"/>
          <w:szCs w:val="24"/>
        </w:rPr>
        <w:t>主要包括应付供应商款项、应付票据、应付租赁款、应返还投资款</w:t>
      </w:r>
      <w:r>
        <w:rPr>
          <w:rFonts w:ascii="Arial" w:eastAsia="Arial" w:hAnsi="Arial" w:cs="Arial"/>
          <w:color w:val="000000"/>
          <w:spacing w:val="0"/>
          <w:w w:val="100"/>
          <w:position w:val="0"/>
          <w:sz w:val="24"/>
          <w:szCs w:val="24"/>
        </w:rPr>
        <w:t xml:space="preserve">） </w:t>
      </w:r>
      <w:r>
        <w:rPr>
          <w:color w:val="000000"/>
          <w:spacing w:val="0"/>
          <w:w w:val="100"/>
          <w:position w:val="0"/>
          <w:sz w:val="24"/>
          <w:szCs w:val="24"/>
        </w:rPr>
        <w:t>共约人民币</w:t>
      </w:r>
      <w:r>
        <w:rPr>
          <w:rFonts w:ascii="Arial" w:eastAsia="Arial" w:hAnsi="Arial" w:cs="Arial"/>
          <w:color w:val="000000"/>
          <w:spacing w:val="0"/>
          <w:w w:val="100"/>
          <w:position w:val="0"/>
          <w:sz w:val="24"/>
          <w:szCs w:val="24"/>
        </w:rPr>
        <w:t>328.93</w:t>
      </w:r>
      <w:r>
        <w:rPr>
          <w:color w:val="000000"/>
          <w:spacing w:val="0"/>
          <w:w w:val="100"/>
          <w:position w:val="0"/>
          <w:sz w:val="24"/>
          <w:szCs w:val="24"/>
        </w:rPr>
        <w:t>亿元亦已逾期未支付。</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上述事项或情况均表明可能存在对本集团持续经营能力产生重大疑虑的重大 不确定性。</w:t>
      </w:r>
    </w:p>
    <w:p>
      <w:pPr>
        <w:pStyle w:val="Style72"/>
        <w:keepNext w:val="0"/>
        <w:keepLines w:val="0"/>
        <w:widowControl w:val="0"/>
        <w:shd w:val="clear" w:color="auto" w:fill="auto"/>
        <w:bidi w:val="0"/>
        <w:spacing w:before="0" w:after="260" w:line="310" w:lineRule="exact"/>
        <w:ind w:right="0" w:firstLine="0"/>
        <w:jc w:val="both"/>
      </w:pPr>
      <w:r>
        <w:rPr>
          <w:color w:val="000000"/>
          <w:spacing w:val="0"/>
          <w:w w:val="100"/>
          <w:position w:val="0"/>
          <w:sz w:val="24"/>
          <w:szCs w:val="24"/>
        </w:rPr>
        <w:t>鉴于上述情况，本公司董事会在评估本集团持续经营能力时，已审慎考虑本 集团未来流动资金、经营状况以及可用融资来源。本集团已制订下列计划及 措施以减轻运营资金压力及改善财务状况：</w:t>
      </w:r>
    </w:p>
    <w:p>
      <w:pPr>
        <w:pStyle w:val="Style72"/>
        <w:keepNext w:val="0"/>
        <w:keepLines w:val="0"/>
        <w:widowControl w:val="0"/>
        <w:shd w:val="clear" w:color="auto" w:fill="auto"/>
        <w:bidi w:val="0"/>
        <w:spacing w:before="0" w:after="260" w:line="313" w:lineRule="exact"/>
        <w:ind w:right="0" w:firstLine="0"/>
        <w:jc w:val="both"/>
        <w:sectPr>
          <w:footnotePr>
            <w:pos w:val="pageBottom"/>
            <w:numFmt w:val="decimal"/>
            <w:numStart w:val="1"/>
            <w:numRestart w:val="continuous"/>
            <w15:footnoteColumns w:val="1"/>
          </w:footnotePr>
          <w:pgSz w:w="11900" w:h="16840"/>
          <w:pgMar w:top="2410" w:right="1417" w:bottom="2410" w:left="1709" w:header="0" w:footer="3" w:gutter="0"/>
          <w:cols w:space="720"/>
          <w:noEndnote/>
          <w:rtlGutter w:val="0"/>
          <w:docGrid w:linePitch="360"/>
        </w:sectPr>
      </w:pPr>
      <w:r>
        <w:rPr>
          <w:color w:val="000000"/>
          <w:spacing w:val="0"/>
          <w:w w:val="100"/>
          <w:position w:val="0"/>
          <w:sz w:val="24"/>
          <w:szCs w:val="24"/>
        </w:rPr>
        <w:t>⑴在江苏省政府和南京市政府相关部门（“省市政府”</w:t>
      </w:r>
      <w:r>
        <w:rPr>
          <w:rFonts w:ascii="Arial" w:eastAsia="Arial" w:hAnsi="Arial" w:cs="Arial"/>
          <w:color w:val="000000"/>
          <w:spacing w:val="0"/>
          <w:w w:val="100"/>
          <w:position w:val="0"/>
          <w:sz w:val="24"/>
          <w:szCs w:val="24"/>
        </w:rPr>
        <w:t>）</w:t>
      </w:r>
      <w:r>
        <w:rPr>
          <w:color w:val="000000"/>
          <w:spacing w:val="0"/>
          <w:w w:val="100"/>
          <w:position w:val="0"/>
          <w:sz w:val="24"/>
          <w:szCs w:val="24"/>
        </w:rPr>
        <w:t>的大力推动下，于</w:t>
      </w:r>
      <w:r>
        <w:rPr>
          <w:rFonts w:ascii="Arial" w:eastAsia="Arial" w:hAnsi="Arial" w:cs="Arial"/>
          <w:color w:val="000000"/>
          <w:spacing w:val="0"/>
          <w:w w:val="100"/>
          <w:position w:val="0"/>
          <w:sz w:val="24"/>
          <w:szCs w:val="24"/>
        </w:rPr>
        <w:t xml:space="preserve">2021 </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月成立苏宁联合授信委员会</w:t>
      </w:r>
      <w:r>
        <w:rPr>
          <w:color w:val="000000"/>
          <w:spacing w:val="0"/>
          <w:w w:val="100"/>
          <w:position w:val="0"/>
          <w:sz w:val="28"/>
          <w:szCs w:val="28"/>
        </w:rPr>
        <w:t>（</w:t>
      </w:r>
      <w:r>
        <w:rPr>
          <w:color w:val="000000"/>
          <w:spacing w:val="0"/>
          <w:w w:val="100"/>
          <w:position w:val="0"/>
          <w:sz w:val="24"/>
          <w:szCs w:val="24"/>
        </w:rPr>
        <w:t>“联合授信委”</w:t>
      </w:r>
      <w:r>
        <w:rPr>
          <w:color w:val="000000"/>
          <w:spacing w:val="0"/>
          <w:w w:val="100"/>
          <w:position w:val="0"/>
          <w:sz w:val="28"/>
          <w:szCs w:val="28"/>
        </w:rPr>
        <w:t>）</w:t>
      </w:r>
      <w:r>
        <w:rPr>
          <w:color w:val="000000"/>
          <w:spacing w:val="0"/>
          <w:w w:val="100"/>
          <w:position w:val="0"/>
          <w:sz w:val="24"/>
          <w:szCs w:val="24"/>
        </w:rPr>
        <w:t>。本集团在联合授信委牵头 和支持下有序恢复了与部分主要合作银行的业务往来，稳定了这些主要合作 银行存量非承诺授信规模下的短期融资安排，并将在联合授信委的积极协调 下持续获得业务稳健运营所需的增量授信。</w:t>
      </w:r>
    </w:p>
    <w:p>
      <w:pPr>
        <w:pStyle w:val="Style72"/>
        <w:keepNext w:val="0"/>
        <w:keepLines w:val="0"/>
        <w:widowControl w:val="0"/>
        <w:shd w:val="clear" w:color="auto" w:fill="auto"/>
        <w:tabs>
          <w:tab w:pos="691" w:val="left"/>
        </w:tabs>
        <w:bidi w:val="0"/>
        <w:spacing w:before="0" w:after="32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1" w:val="left"/>
        </w:tabs>
        <w:bidi w:val="0"/>
        <w:spacing w:before="0" w:after="260" w:line="240" w:lineRule="auto"/>
        <w:ind w:left="0" w:right="0" w:firstLine="0"/>
        <w:jc w:val="left"/>
        <w:rPr>
          <w:sz w:val="28"/>
          <w:szCs w:val="28"/>
        </w:rPr>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财务报表的编制基础</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21"/>
        </w:numPr>
        <w:shd w:val="clear" w:color="auto" w:fill="auto"/>
        <w:tabs>
          <w:tab w:pos="1144" w:val="left"/>
        </w:tabs>
        <w:bidi w:val="0"/>
        <w:spacing w:before="0" w:after="260" w:line="310" w:lineRule="exact"/>
        <w:ind w:right="0" w:firstLine="0"/>
        <w:jc w:val="both"/>
      </w:pPr>
      <w:bookmarkStart w:id="768" w:name="bookmark768"/>
      <w:bookmarkEnd w:id="768"/>
      <w:r>
        <w:rPr>
          <w:color w:val="000000"/>
          <w:spacing w:val="0"/>
          <w:w w:val="100"/>
          <w:position w:val="0"/>
          <w:sz w:val="24"/>
          <w:szCs w:val="24"/>
        </w:rPr>
        <w:t>同时，本集团已与相关银行及其他金融机构积极沟通，解释并澄清有关违 约事项的发生缘由，截至本财务报表报出日相关银行并未要求本集团立即偿 还相关借款。本集团相信能够在借款存续期间持续满足续借及新增借款的约 定条款，并且基于与合作银行及金融机构长期的业务合作关系以及省市政府 的大力支持，本集团能够在有需要时续借现有借款及取得新增借款、在存在 上述违约事项的借款存续期间相关银行也不会行使要求本集团提前偿还相 关借款全部本金及利息的权利。</w:t>
      </w:r>
    </w:p>
    <w:p>
      <w:pPr>
        <w:pStyle w:val="Style72"/>
        <w:keepNext w:val="0"/>
        <w:keepLines w:val="0"/>
        <w:widowControl w:val="0"/>
        <w:numPr>
          <w:ilvl w:val="0"/>
          <w:numId w:val="21"/>
        </w:numPr>
        <w:shd w:val="clear" w:color="auto" w:fill="auto"/>
        <w:tabs>
          <w:tab w:pos="1158" w:val="left"/>
        </w:tabs>
        <w:bidi w:val="0"/>
        <w:spacing w:before="0" w:after="260" w:line="312" w:lineRule="exact"/>
        <w:ind w:right="0" w:firstLine="0"/>
        <w:jc w:val="both"/>
      </w:pPr>
      <w:bookmarkStart w:id="769" w:name="bookmark769"/>
      <w:bookmarkEnd w:id="769"/>
      <w:r>
        <w:rPr>
          <w:color w:val="000000"/>
          <w:spacing w:val="0"/>
          <w:w w:val="100"/>
          <w:position w:val="0"/>
          <w:sz w:val="24"/>
          <w:szCs w:val="24"/>
        </w:rPr>
        <w:t>本集团将继续采取积极措施维持业务稳健运营、加快资金回笼、控制经营 开支以改善经营活动现金流。</w:t>
      </w:r>
    </w:p>
    <w:p>
      <w:pPr>
        <w:pStyle w:val="Style72"/>
        <w:keepNext w:val="0"/>
        <w:keepLines w:val="0"/>
        <w:widowControl w:val="0"/>
        <w:numPr>
          <w:ilvl w:val="0"/>
          <w:numId w:val="21"/>
        </w:numPr>
        <w:shd w:val="clear" w:color="auto" w:fill="auto"/>
        <w:tabs>
          <w:tab w:pos="1167" w:val="left"/>
        </w:tabs>
        <w:bidi w:val="0"/>
        <w:spacing w:before="0" w:after="260" w:line="314" w:lineRule="exact"/>
        <w:ind w:right="0" w:firstLine="0"/>
        <w:jc w:val="both"/>
      </w:pPr>
      <w:bookmarkStart w:id="770" w:name="bookmark770"/>
      <w:bookmarkEnd w:id="770"/>
      <w:r>
        <w:rPr>
          <w:color w:val="000000"/>
          <w:spacing w:val="0"/>
          <w:w w:val="100"/>
          <w:position w:val="0"/>
          <w:sz w:val="24"/>
          <w:szCs w:val="24"/>
        </w:rPr>
        <w:t>本集团将持续与相关供应商及其他债权人就逾期应付款项的偿付进行积 极沟通，采取包括与核心品牌供应商开展创新合作模式、提出新的还款安排 并达成和解等多项措施，争取与相关各方对已逾期的应付款项达成延期偿付 安排，以减轻对本集团营运资金及流动性的压力，同时维护和相关各方良好 持续的合作关系以保持业务稳健运营。</w:t>
      </w:r>
    </w:p>
    <w:p>
      <w:pPr>
        <w:pStyle w:val="Style72"/>
        <w:keepNext w:val="0"/>
        <w:keepLines w:val="0"/>
        <w:widowControl w:val="0"/>
        <w:numPr>
          <w:ilvl w:val="0"/>
          <w:numId w:val="21"/>
        </w:numPr>
        <w:shd w:val="clear" w:color="auto" w:fill="auto"/>
        <w:tabs>
          <w:tab w:pos="1172" w:val="left"/>
        </w:tabs>
        <w:bidi w:val="0"/>
        <w:spacing w:before="0" w:after="260" w:line="313" w:lineRule="exact"/>
        <w:ind w:right="0" w:firstLine="0"/>
        <w:jc w:val="both"/>
      </w:pPr>
      <w:bookmarkStart w:id="771" w:name="bookmark771"/>
      <w:bookmarkEnd w:id="771"/>
      <w:r>
        <w:rPr>
          <w:color w:val="000000"/>
          <w:spacing w:val="0"/>
          <w:w w:val="100"/>
          <w:position w:val="0"/>
          <w:sz w:val="24"/>
          <w:szCs w:val="24"/>
        </w:rPr>
        <w:t>本集团计划处置部分土地储备及权益性投资、转让多家持有物流地产项目 的子公司股权以及就集团内优质业务引入战略投资者</w:t>
      </w:r>
      <w:r>
        <w:rPr>
          <w:color w:val="000000"/>
          <w:spacing w:val="0"/>
          <w:w w:val="100"/>
          <w:position w:val="0"/>
          <w:sz w:val="28"/>
          <w:szCs w:val="28"/>
        </w:rPr>
        <w:t>(</w:t>
      </w:r>
      <w:r>
        <w:rPr>
          <w:color w:val="000000"/>
          <w:spacing w:val="0"/>
          <w:w w:val="100"/>
          <w:position w:val="0"/>
          <w:sz w:val="24"/>
          <w:szCs w:val="24"/>
        </w:rPr>
        <w:t>“处置投资及引战交 易”</w:t>
      </w:r>
      <w:r>
        <w:rPr>
          <w:color w:val="000000"/>
          <w:spacing w:val="0"/>
          <w:w w:val="100"/>
          <w:position w:val="0"/>
          <w:sz w:val="28"/>
          <w:szCs w:val="28"/>
        </w:rPr>
        <w:t>)</w:t>
      </w:r>
      <w:r>
        <w:rPr>
          <w:color w:val="000000"/>
          <w:spacing w:val="0"/>
          <w:w w:val="100"/>
          <w:position w:val="0"/>
          <w:sz w:val="24"/>
          <w:szCs w:val="24"/>
        </w:rPr>
        <w:t>。本集团正积极物色相关交易对手，并与已识别的相关交易对手方洽谈 交易的细节安排，包括但不限于签署投资意向书、配合投资方开展尽职调查 工作等。该类处置投资及引战交易预计将于可预见的未来完成并相应增加本 集团现金流入。</w:t>
      </w:r>
    </w:p>
    <w:p>
      <w:pPr>
        <w:pStyle w:val="Style72"/>
        <w:keepNext w:val="0"/>
        <w:keepLines w:val="0"/>
        <w:widowControl w:val="0"/>
        <w:shd w:val="clear" w:color="auto" w:fill="auto"/>
        <w:bidi w:val="0"/>
        <w:spacing w:before="0" w:after="260" w:line="311" w:lineRule="exact"/>
        <w:ind w:right="0" w:firstLine="0"/>
        <w:jc w:val="both"/>
      </w:pPr>
      <w:r>
        <w:rPr>
          <w:color w:val="000000"/>
          <w:spacing w:val="0"/>
          <w:w w:val="100"/>
          <w:position w:val="0"/>
          <w:sz w:val="24"/>
          <w:szCs w:val="24"/>
        </w:rPr>
        <w:t>本公司董事会已审阅管理层编制的本集团现金流量预测，其涵盖期间自本集 团在本财务报表报出日起不少于</w:t>
      </w:r>
      <w:r>
        <w:rPr>
          <w:rFonts w:ascii="Arial" w:eastAsia="Arial" w:hAnsi="Arial" w:cs="Arial"/>
          <w:color w:val="000000"/>
          <w:spacing w:val="0"/>
          <w:w w:val="100"/>
          <w:position w:val="0"/>
          <w:sz w:val="24"/>
          <w:szCs w:val="24"/>
        </w:rPr>
        <w:t>12</w:t>
      </w:r>
      <w:r>
        <w:rPr>
          <w:color w:val="000000"/>
          <w:spacing w:val="0"/>
          <w:w w:val="100"/>
          <w:position w:val="0"/>
          <w:sz w:val="24"/>
          <w:szCs w:val="24"/>
        </w:rPr>
        <w:t>个月的期间。本公司董事会认为本集团将 能够获得足够的营运资金及融资来源以确保本集团于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 xml:space="preserve">日后 </w:t>
      </w:r>
      <w:r>
        <w:rPr>
          <w:rFonts w:ascii="Arial" w:eastAsia="Arial" w:hAnsi="Arial" w:cs="Arial"/>
          <w:color w:val="000000"/>
          <w:spacing w:val="0"/>
          <w:w w:val="100"/>
          <w:position w:val="0"/>
          <w:sz w:val="24"/>
          <w:szCs w:val="24"/>
        </w:rPr>
        <w:t>12</w:t>
      </w:r>
      <w:r>
        <w:rPr>
          <w:color w:val="000000"/>
          <w:spacing w:val="0"/>
          <w:w w:val="100"/>
          <w:position w:val="0"/>
          <w:sz w:val="24"/>
          <w:szCs w:val="24"/>
        </w:rPr>
        <w:t>个月内能够清偿到期的债务。因此，本公司董事会认为采用持续经营基础 编制本公司财务报表是恰当的。</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尽管如此，本集团管理层能否落实上述计划及措施仍存在重大不确定因素。 本集团能否持续经营取决于本集团计划和正在执行的一系列计划和措施的顺 利达成，包括：</w:t>
      </w:r>
    </w:p>
    <w:p>
      <w:pPr>
        <w:pStyle w:val="Style72"/>
        <w:keepNext w:val="0"/>
        <w:keepLines w:val="0"/>
        <w:widowControl w:val="0"/>
        <w:shd w:val="clear" w:color="auto" w:fill="auto"/>
        <w:tabs>
          <w:tab w:pos="701" w:val="left"/>
        </w:tabs>
        <w:bidi w:val="0"/>
        <w:spacing w:before="0" w:after="32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1" w:val="left"/>
        </w:tabs>
        <w:bidi w:val="0"/>
        <w:spacing w:before="0" w:after="260" w:line="240" w:lineRule="auto"/>
        <w:ind w:left="0" w:right="0" w:firstLine="0"/>
        <w:jc w:val="left"/>
        <w:rPr>
          <w:sz w:val="28"/>
          <w:szCs w:val="28"/>
        </w:rPr>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财务报表的编制基础</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23"/>
        </w:numPr>
        <w:shd w:val="clear" w:color="auto" w:fill="auto"/>
        <w:tabs>
          <w:tab w:pos="1161" w:val="left"/>
        </w:tabs>
        <w:bidi w:val="0"/>
        <w:spacing w:before="0" w:after="260" w:line="312" w:lineRule="exact"/>
        <w:ind w:right="0" w:firstLine="0"/>
        <w:jc w:val="both"/>
      </w:pPr>
      <w:bookmarkStart w:id="772" w:name="bookmark772"/>
      <w:bookmarkEnd w:id="772"/>
      <w:r>
        <w:rPr>
          <w:color w:val="000000"/>
          <w:spacing w:val="0"/>
          <w:w w:val="100"/>
          <w:position w:val="0"/>
          <w:sz w:val="24"/>
          <w:szCs w:val="24"/>
        </w:rPr>
        <w:t>本集团是否能够继续得到省市政府的充分支持，并有效协调主要合作银行 以提供维持本集团业务运营所需的融资安排；相关银行是否会在本集团需要 时同意续借现有借款和安排新增借款，是否会在存在违约事项的借款存续期 间行使要求本集团提前偿还相关借款全部本金及利息的权力，以及本集团是 否能够持续满足续借及新增借款的约定条款；</w:t>
      </w:r>
    </w:p>
    <w:p>
      <w:pPr>
        <w:pStyle w:val="Style72"/>
        <w:keepNext w:val="0"/>
        <w:keepLines w:val="0"/>
        <w:widowControl w:val="0"/>
        <w:numPr>
          <w:ilvl w:val="0"/>
          <w:numId w:val="23"/>
        </w:numPr>
        <w:shd w:val="clear" w:color="auto" w:fill="auto"/>
        <w:tabs>
          <w:tab w:pos="1161" w:val="left"/>
        </w:tabs>
        <w:bidi w:val="0"/>
        <w:spacing w:before="0" w:after="260" w:line="322" w:lineRule="exact"/>
        <w:ind w:right="0" w:firstLine="0"/>
        <w:jc w:val="both"/>
      </w:pPr>
      <w:bookmarkStart w:id="773" w:name="bookmark773"/>
      <w:bookmarkEnd w:id="773"/>
      <w:r>
        <w:rPr>
          <w:color w:val="000000"/>
          <w:spacing w:val="0"/>
          <w:w w:val="100"/>
          <w:position w:val="0"/>
          <w:sz w:val="24"/>
          <w:szCs w:val="24"/>
        </w:rPr>
        <w:t>本集团是否能够与相关供应商及其他债权人就逾期应付款项的延期偿付 或还款安排达成和解，并与相关供应商维护良好持续的合作关系；</w:t>
      </w:r>
    </w:p>
    <w:p>
      <w:pPr>
        <w:pStyle w:val="Style72"/>
        <w:keepNext w:val="0"/>
        <w:keepLines w:val="0"/>
        <w:widowControl w:val="0"/>
        <w:numPr>
          <w:ilvl w:val="0"/>
          <w:numId w:val="23"/>
        </w:numPr>
        <w:shd w:val="clear" w:color="auto" w:fill="auto"/>
        <w:tabs>
          <w:tab w:pos="1166" w:val="left"/>
        </w:tabs>
        <w:bidi w:val="0"/>
        <w:spacing w:before="0" w:after="260" w:line="322" w:lineRule="exact"/>
        <w:ind w:right="0" w:firstLine="0"/>
        <w:jc w:val="both"/>
      </w:pPr>
      <w:bookmarkStart w:id="774" w:name="bookmark774"/>
      <w:bookmarkEnd w:id="774"/>
      <w:r>
        <w:rPr>
          <w:color w:val="000000"/>
          <w:spacing w:val="0"/>
          <w:w w:val="100"/>
          <w:position w:val="0"/>
          <w:sz w:val="24"/>
          <w:szCs w:val="24"/>
        </w:rPr>
        <w:t>本集团是否能够保持业务稳健运营，加快资金回笼，实现经营开支的有效 控制，以改善经营活动现金流；</w:t>
      </w:r>
    </w:p>
    <w:p>
      <w:pPr>
        <w:pStyle w:val="Style72"/>
        <w:keepNext w:val="0"/>
        <w:keepLines w:val="0"/>
        <w:widowControl w:val="0"/>
        <w:numPr>
          <w:ilvl w:val="0"/>
          <w:numId w:val="23"/>
        </w:numPr>
        <w:shd w:val="clear" w:color="auto" w:fill="auto"/>
        <w:tabs>
          <w:tab w:pos="1166" w:val="left"/>
        </w:tabs>
        <w:bidi w:val="0"/>
        <w:spacing w:before="0" w:after="260" w:line="319" w:lineRule="exact"/>
        <w:ind w:right="0" w:firstLine="0"/>
        <w:jc w:val="both"/>
      </w:pPr>
      <w:bookmarkStart w:id="775" w:name="bookmark775"/>
      <w:bookmarkEnd w:id="775"/>
      <w:r>
        <w:rPr>
          <w:color w:val="000000"/>
          <w:spacing w:val="0"/>
          <w:w w:val="100"/>
          <w:position w:val="0"/>
          <w:sz w:val="24"/>
          <w:szCs w:val="24"/>
        </w:rPr>
        <w:t>处置投资及引战交易是否能及时确定交易对手方、顺利并及时与交易对手 方就交易的细节安排完成洽谈、按照预期合理价格达成协议并完成交易，且 及时收到相关款项。</w:t>
      </w:r>
    </w:p>
    <w:p>
      <w:pPr>
        <w:pStyle w:val="Style72"/>
        <w:keepNext w:val="0"/>
        <w:keepLines w:val="0"/>
        <w:widowControl w:val="0"/>
        <w:shd w:val="clear" w:color="auto" w:fill="auto"/>
        <w:bidi w:val="0"/>
        <w:spacing w:before="0" w:after="260" w:line="310" w:lineRule="exact"/>
        <w:ind w:right="0" w:firstLine="0"/>
        <w:jc w:val="both"/>
        <w:sectPr>
          <w:footnotePr>
            <w:pos w:val="pageBottom"/>
            <w:numFmt w:val="decimal"/>
            <w:numStart w:val="1"/>
            <w:numRestart w:val="continuous"/>
            <w15:footnoteColumns w:val="1"/>
          </w:footnotePr>
          <w:pgSz w:w="11900" w:h="16840"/>
          <w:pgMar w:top="2410" w:right="1330" w:bottom="3207" w:left="1680" w:header="0" w:footer="3" w:gutter="0"/>
          <w:cols w:space="720"/>
          <w:noEndnote/>
          <w:rtlGutter w:val="0"/>
          <w:docGrid w:linePitch="360"/>
        </w:sectPr>
      </w:pPr>
      <w:r>
        <w:rPr>
          <w:color w:val="000000"/>
          <w:spacing w:val="0"/>
          <w:w w:val="100"/>
          <w:position w:val="0"/>
          <w:sz w:val="24"/>
          <w:szCs w:val="24"/>
        </w:rPr>
        <w:t>倘若本集团无法完成上述计划及措施并保持持续经营，则须对本财务报表作 出调整，将本集团资产的账面价值调整至其可回收金额，确认可能产生的财 务负债，并将非流动资产及非流动负债分别重新分类为流动资产及流动负债。 这些调整的影响并未反映在本财务报表中。</w:t>
      </w:r>
    </w:p>
    <w:p>
      <w:pPr>
        <w:pStyle w:val="Style72"/>
        <w:keepNext w:val="0"/>
        <w:keepLines w:val="0"/>
        <w:widowControl w:val="0"/>
        <w:shd w:val="clear" w:color="auto" w:fill="auto"/>
        <w:tabs>
          <w:tab w:pos="719"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25"/>
        </w:numPr>
        <w:shd w:val="clear" w:color="auto" w:fill="auto"/>
        <w:tabs>
          <w:tab w:pos="719" w:val="left"/>
        </w:tabs>
        <w:bidi w:val="0"/>
        <w:spacing w:before="0" w:after="240" w:line="240" w:lineRule="auto"/>
        <w:ind w:left="0" w:right="0" w:firstLine="0"/>
        <w:jc w:val="left"/>
      </w:pPr>
      <w:bookmarkStart w:id="776" w:name="bookmark776"/>
      <w:bookmarkEnd w:id="776"/>
      <w:r>
        <w:rPr>
          <w:b/>
          <w:bCs/>
          <w:color w:val="000000"/>
          <w:spacing w:val="0"/>
          <w:w w:val="100"/>
          <w:position w:val="0"/>
          <w:sz w:val="24"/>
          <w:szCs w:val="24"/>
        </w:rPr>
        <w:t>遵循企业会计准则的声明</w:t>
      </w:r>
    </w:p>
    <w:p>
      <w:pPr>
        <w:pStyle w:val="Style72"/>
        <w:keepNext w:val="0"/>
        <w:keepLines w:val="0"/>
        <w:widowControl w:val="0"/>
        <w:shd w:val="clear" w:color="auto" w:fill="auto"/>
        <w:bidi w:val="0"/>
        <w:spacing w:before="0" w:after="300" w:line="322" w:lineRule="exact"/>
        <w:ind w:right="0" w:firstLine="0"/>
        <w:jc w:val="both"/>
      </w:pPr>
      <w:r>
        <w:rPr>
          <w:color w:val="000000"/>
          <w:spacing w:val="0"/>
          <w:w w:val="100"/>
          <w:position w:val="0"/>
          <w:sz w:val="24"/>
          <w:szCs w:val="24"/>
        </w:rPr>
        <w:t>本公司</w:t>
      </w:r>
      <w:r>
        <w:rPr>
          <w:rFonts w:ascii="Arial" w:eastAsia="Arial" w:hAnsi="Arial" w:cs="Arial"/>
          <w:color w:val="000000"/>
          <w:spacing w:val="0"/>
          <w:w w:val="100"/>
          <w:position w:val="0"/>
          <w:sz w:val="24"/>
          <w:szCs w:val="24"/>
        </w:rPr>
        <w:t>2021</w:t>
      </w:r>
      <w:r>
        <w:rPr>
          <w:color w:val="000000"/>
          <w:spacing w:val="0"/>
          <w:w w:val="100"/>
          <w:position w:val="0"/>
          <w:sz w:val="24"/>
          <w:szCs w:val="24"/>
        </w:rPr>
        <w:t>年度财务报表符合企业会计准则的要求，真实、完整地反映了本 公司</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日的合并及公司财务状况以及</w:t>
      </w:r>
      <w:r>
        <w:rPr>
          <w:rFonts w:ascii="Arial" w:eastAsia="Arial" w:hAnsi="Arial" w:cs="Arial"/>
          <w:color w:val="000000"/>
          <w:spacing w:val="0"/>
          <w:w w:val="100"/>
          <w:position w:val="0"/>
          <w:sz w:val="24"/>
          <w:szCs w:val="24"/>
        </w:rPr>
        <w:t>2021</w:t>
      </w:r>
      <w:r>
        <w:rPr>
          <w:color w:val="000000"/>
          <w:spacing w:val="0"/>
          <w:w w:val="100"/>
          <w:position w:val="0"/>
          <w:sz w:val="24"/>
          <w:szCs w:val="24"/>
        </w:rPr>
        <w:t>年度的合并及公司 经营成果和现金流量等有关信息。</w:t>
      </w:r>
    </w:p>
    <w:p>
      <w:pPr>
        <w:pStyle w:val="Style72"/>
        <w:keepNext w:val="0"/>
        <w:keepLines w:val="0"/>
        <w:widowControl w:val="0"/>
        <w:numPr>
          <w:ilvl w:val="0"/>
          <w:numId w:val="25"/>
        </w:numPr>
        <w:shd w:val="clear" w:color="auto" w:fill="auto"/>
        <w:tabs>
          <w:tab w:pos="719" w:val="left"/>
        </w:tabs>
        <w:bidi w:val="0"/>
        <w:spacing w:before="0" w:after="240" w:line="240" w:lineRule="auto"/>
        <w:ind w:left="0" w:right="0" w:firstLine="0"/>
        <w:jc w:val="both"/>
      </w:pPr>
      <w:bookmarkStart w:id="777" w:name="bookmark777"/>
      <w:bookmarkEnd w:id="777"/>
      <w:r>
        <w:rPr>
          <w:b/>
          <w:bCs/>
          <w:color w:val="000000"/>
          <w:spacing w:val="0"/>
          <w:w w:val="100"/>
          <w:position w:val="0"/>
          <w:sz w:val="24"/>
          <w:szCs w:val="24"/>
        </w:rPr>
        <w:t>会计年度</w:t>
      </w:r>
    </w:p>
    <w:p>
      <w:pPr>
        <w:pStyle w:val="Style72"/>
        <w:keepNext w:val="0"/>
        <w:keepLines w:val="0"/>
        <w:widowControl w:val="0"/>
        <w:shd w:val="clear" w:color="auto" w:fill="auto"/>
        <w:bidi w:val="0"/>
        <w:spacing w:before="0" w:after="300" w:line="312" w:lineRule="exact"/>
        <w:ind w:left="0" w:right="0" w:firstLine="720"/>
        <w:jc w:val="both"/>
      </w:pPr>
      <w:r>
        <w:rPr>
          <w:color w:val="000000"/>
          <w:spacing w:val="0"/>
          <w:w w:val="100"/>
          <w:position w:val="0"/>
          <w:sz w:val="24"/>
          <w:szCs w:val="24"/>
        </w:rPr>
        <w:t>会计年度为公历</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日起至</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日止。</w:t>
      </w:r>
    </w:p>
    <w:p>
      <w:pPr>
        <w:pStyle w:val="Style72"/>
        <w:keepNext w:val="0"/>
        <w:keepLines w:val="0"/>
        <w:widowControl w:val="0"/>
        <w:numPr>
          <w:ilvl w:val="0"/>
          <w:numId w:val="25"/>
        </w:numPr>
        <w:shd w:val="clear" w:color="auto" w:fill="auto"/>
        <w:tabs>
          <w:tab w:pos="719" w:val="left"/>
        </w:tabs>
        <w:bidi w:val="0"/>
        <w:spacing w:before="0" w:after="240" w:line="240" w:lineRule="auto"/>
        <w:ind w:left="0" w:right="0" w:firstLine="0"/>
        <w:jc w:val="both"/>
      </w:pPr>
      <w:bookmarkStart w:id="778" w:name="bookmark778"/>
      <w:bookmarkEnd w:id="778"/>
      <w:r>
        <w:rPr>
          <w:b/>
          <w:bCs/>
          <w:color w:val="000000"/>
          <w:spacing w:val="0"/>
          <w:w w:val="100"/>
          <w:position w:val="0"/>
          <w:sz w:val="24"/>
          <w:szCs w:val="24"/>
        </w:rPr>
        <w:t>记账本位币</w:t>
      </w:r>
    </w:p>
    <w:p>
      <w:pPr>
        <w:pStyle w:val="Style72"/>
        <w:keepNext w:val="0"/>
        <w:keepLines w:val="0"/>
        <w:widowControl w:val="0"/>
        <w:shd w:val="clear" w:color="auto" w:fill="auto"/>
        <w:bidi w:val="0"/>
        <w:spacing w:before="0" w:after="300" w:line="314" w:lineRule="exact"/>
        <w:ind w:right="0" w:firstLine="0"/>
        <w:jc w:val="both"/>
      </w:pPr>
      <w:r>
        <w:rPr>
          <w:color w:val="000000"/>
          <w:spacing w:val="0"/>
          <w:w w:val="100"/>
          <w:position w:val="0"/>
          <w:sz w:val="24"/>
          <w:szCs w:val="24"/>
        </w:rPr>
        <w:t>本公司记账本位币为人民币。本公司下属子公司根据其经营所处的主要经济 环境确定其记账本位币，本公司在香港和美国经营的子公司的记账本位币分 别为港元和美元。本财务报表以人民币列示。</w:t>
      </w:r>
    </w:p>
    <w:p>
      <w:pPr>
        <w:pStyle w:val="Style72"/>
        <w:keepNext w:val="0"/>
        <w:keepLines w:val="0"/>
        <w:widowControl w:val="0"/>
        <w:numPr>
          <w:ilvl w:val="0"/>
          <w:numId w:val="25"/>
        </w:numPr>
        <w:shd w:val="clear" w:color="auto" w:fill="auto"/>
        <w:tabs>
          <w:tab w:pos="719" w:val="left"/>
        </w:tabs>
        <w:bidi w:val="0"/>
        <w:spacing w:before="0" w:after="300" w:line="240" w:lineRule="auto"/>
        <w:ind w:left="0" w:right="0" w:firstLine="0"/>
        <w:jc w:val="left"/>
      </w:pPr>
      <w:bookmarkStart w:id="779" w:name="bookmark779"/>
      <w:bookmarkEnd w:id="779"/>
      <w:r>
        <w:rPr>
          <w:b/>
          <w:bCs/>
          <w:color w:val="000000"/>
          <w:spacing w:val="0"/>
          <w:w w:val="100"/>
          <w:position w:val="0"/>
          <w:sz w:val="24"/>
          <w:szCs w:val="24"/>
        </w:rPr>
        <w:t>企业合并</w:t>
      </w:r>
    </w:p>
    <w:p>
      <w:pPr>
        <w:pStyle w:val="Style72"/>
        <w:keepNext w:val="0"/>
        <w:keepLines w:val="0"/>
        <w:widowControl w:val="0"/>
        <w:numPr>
          <w:ilvl w:val="0"/>
          <w:numId w:val="27"/>
        </w:numPr>
        <w:shd w:val="clear" w:color="auto" w:fill="auto"/>
        <w:tabs>
          <w:tab w:pos="719" w:val="left"/>
        </w:tabs>
        <w:bidi w:val="0"/>
        <w:spacing w:before="0" w:after="240" w:line="271" w:lineRule="auto"/>
        <w:ind w:left="0" w:right="0" w:firstLine="0"/>
        <w:jc w:val="left"/>
      </w:pPr>
      <w:bookmarkStart w:id="780" w:name="bookmark780"/>
      <w:bookmarkEnd w:id="780"/>
      <w:r>
        <w:rPr>
          <w:color w:val="000000"/>
          <w:spacing w:val="0"/>
          <w:w w:val="100"/>
          <w:position w:val="0"/>
          <w:sz w:val="24"/>
          <w:szCs w:val="24"/>
        </w:rPr>
        <w:t>同一控制下的企业合并</w:t>
      </w:r>
    </w:p>
    <w:p>
      <w:pPr>
        <w:pStyle w:val="Style72"/>
        <w:keepNext w:val="0"/>
        <w:keepLines w:val="0"/>
        <w:widowControl w:val="0"/>
        <w:shd w:val="clear" w:color="auto" w:fill="auto"/>
        <w:bidi w:val="0"/>
        <w:spacing w:before="0" w:after="300" w:line="311" w:lineRule="exact"/>
        <w:ind w:right="0" w:firstLine="0"/>
        <w:jc w:val="both"/>
      </w:pPr>
      <w:r>
        <w:rPr>
          <w:color w:val="000000"/>
          <w:spacing w:val="0"/>
          <w:w w:val="100"/>
          <w:position w:val="0"/>
          <w:sz w:val="24"/>
          <w:szCs w:val="24"/>
        </w:rPr>
        <w:t>本集团支付的合并对价及取得的净资产均按账面价值计量，如被合并方是最 终控制方以前年度从第三方收购来的，则以被合并方的资产、负债</w:t>
      </w:r>
      <w:r>
        <w:rPr>
          <w:rFonts w:ascii="Arial" w:eastAsia="Arial" w:hAnsi="Arial" w:cs="Arial"/>
          <w:color w:val="000000"/>
          <w:spacing w:val="0"/>
          <w:w w:val="100"/>
          <w:position w:val="0"/>
          <w:sz w:val="24"/>
          <w:szCs w:val="24"/>
        </w:rPr>
        <w:t>(</w:t>
      </w:r>
      <w:r>
        <w:rPr>
          <w:color w:val="000000"/>
          <w:spacing w:val="0"/>
          <w:w w:val="100"/>
          <w:position w:val="0"/>
          <w:sz w:val="24"/>
          <w:szCs w:val="24"/>
        </w:rPr>
        <w:t>包括最终 控制方收购被合并方而形成的商誉</w:t>
      </w:r>
      <w:r>
        <w:rPr>
          <w:rFonts w:ascii="Arial" w:eastAsia="Arial" w:hAnsi="Arial" w:cs="Arial"/>
          <w:color w:val="000000"/>
          <w:spacing w:val="0"/>
          <w:w w:val="100"/>
          <w:position w:val="0"/>
          <w:sz w:val="24"/>
          <w:szCs w:val="24"/>
        </w:rPr>
        <w:t>)</w:t>
      </w:r>
      <w:r>
        <w:rPr>
          <w:color w:val="000000"/>
          <w:spacing w:val="0"/>
          <w:w w:val="100"/>
          <w:position w:val="0"/>
          <w:sz w:val="24"/>
          <w:szCs w:val="24"/>
        </w:rPr>
        <w:t>在最终控制方合并财务报表中的账面价值 为基础。本集团取得的净资产账面价值与支付的合并对价账面价值的差额， 调整资本公积</w:t>
      </w:r>
      <w:r>
        <w:rPr>
          <w:rFonts w:ascii="Arial" w:eastAsia="Arial" w:hAnsi="Arial" w:cs="Arial"/>
          <w:color w:val="000000"/>
          <w:spacing w:val="0"/>
          <w:w w:val="100"/>
          <w:position w:val="0"/>
          <w:sz w:val="24"/>
          <w:szCs w:val="24"/>
        </w:rPr>
        <w:t>(</w:t>
      </w:r>
      <w:r>
        <w:rPr>
          <w:color w:val="000000"/>
          <w:spacing w:val="0"/>
          <w:w w:val="100"/>
          <w:position w:val="0"/>
          <w:sz w:val="24"/>
          <w:szCs w:val="24"/>
        </w:rPr>
        <w:t>股本溢价</w:t>
      </w:r>
      <w:r>
        <w:rPr>
          <w:rFonts w:ascii="Arial" w:eastAsia="Arial" w:hAnsi="Arial" w:cs="Arial"/>
          <w:color w:val="000000"/>
          <w:spacing w:val="0"/>
          <w:w w:val="100"/>
          <w:position w:val="0"/>
          <w:sz w:val="24"/>
          <w:szCs w:val="24"/>
        </w:rPr>
        <w:t>)</w:t>
      </w:r>
      <w:r>
        <w:rPr>
          <w:color w:val="000000"/>
          <w:spacing w:val="0"/>
          <w:w w:val="100"/>
          <w:position w:val="0"/>
          <w:sz w:val="24"/>
          <w:szCs w:val="24"/>
        </w:rPr>
        <w:t>；资本公积</w:t>
      </w:r>
      <w:r>
        <w:rPr>
          <w:rFonts w:ascii="Arial" w:eastAsia="Arial" w:hAnsi="Arial" w:cs="Arial"/>
          <w:color w:val="000000"/>
          <w:spacing w:val="0"/>
          <w:w w:val="100"/>
          <w:position w:val="0"/>
          <w:sz w:val="24"/>
          <w:szCs w:val="24"/>
        </w:rPr>
        <w:t>(</w:t>
      </w:r>
      <w:r>
        <w:rPr>
          <w:color w:val="000000"/>
          <w:spacing w:val="0"/>
          <w:w w:val="100"/>
          <w:position w:val="0"/>
          <w:sz w:val="24"/>
          <w:szCs w:val="24"/>
        </w:rPr>
        <w:t>股本溢价</w:t>
      </w:r>
      <w:r>
        <w:rPr>
          <w:rFonts w:ascii="Arial" w:eastAsia="Arial" w:hAnsi="Arial" w:cs="Arial"/>
          <w:color w:val="000000"/>
          <w:spacing w:val="0"/>
          <w:w w:val="100"/>
          <w:position w:val="0"/>
          <w:sz w:val="24"/>
          <w:szCs w:val="24"/>
        </w:rPr>
        <w:t>)</w:t>
      </w:r>
      <w:r>
        <w:rPr>
          <w:color w:val="000000"/>
          <w:spacing w:val="0"/>
          <w:w w:val="100"/>
          <w:position w:val="0"/>
          <w:sz w:val="24"/>
          <w:szCs w:val="24"/>
        </w:rPr>
        <w:t>不足以冲减的，调整留存收益。 为进行企业合并发生的直接相关费用于发生时计入当期损益。为企业合并而 发行权益性证券或债务性证券的交易费用，计入权益性证券或债务性证券的 初始确认金额。</w:t>
      </w:r>
    </w:p>
    <w:p>
      <w:pPr>
        <w:pStyle w:val="Style72"/>
        <w:keepNext w:val="0"/>
        <w:keepLines w:val="0"/>
        <w:widowControl w:val="0"/>
        <w:numPr>
          <w:ilvl w:val="0"/>
          <w:numId w:val="27"/>
        </w:numPr>
        <w:shd w:val="clear" w:color="auto" w:fill="auto"/>
        <w:tabs>
          <w:tab w:pos="719" w:val="left"/>
        </w:tabs>
        <w:bidi w:val="0"/>
        <w:spacing w:before="0" w:after="240" w:line="271" w:lineRule="auto"/>
        <w:ind w:left="0" w:right="0" w:firstLine="0"/>
        <w:jc w:val="left"/>
      </w:pPr>
      <w:bookmarkStart w:id="781" w:name="bookmark781"/>
      <w:bookmarkEnd w:id="781"/>
      <w:r>
        <w:rPr>
          <w:color w:val="000000"/>
          <w:spacing w:val="0"/>
          <w:w w:val="100"/>
          <w:position w:val="0"/>
          <w:sz w:val="24"/>
          <w:szCs w:val="24"/>
        </w:rPr>
        <w:t>非同一控制下的企业合并</w:t>
      </w:r>
    </w:p>
    <w:p>
      <w:pPr>
        <w:pStyle w:val="Style72"/>
        <w:keepNext w:val="0"/>
        <w:keepLines w:val="0"/>
        <w:widowControl w:val="0"/>
        <w:shd w:val="clear" w:color="auto" w:fill="auto"/>
        <w:bidi w:val="0"/>
        <w:spacing w:before="0" w:after="300" w:line="312" w:lineRule="exact"/>
        <w:ind w:right="0" w:firstLine="0"/>
        <w:jc w:val="both"/>
      </w:pPr>
      <w:r>
        <w:rPr>
          <w:color w:val="000000"/>
          <w:spacing w:val="0"/>
          <w:w w:val="100"/>
          <w:position w:val="0"/>
          <w:sz w:val="24"/>
          <w:szCs w:val="24"/>
        </w:rPr>
        <w:t>本集团发生的合并成本及在合并中取得的可辨认净资产按购买日的公允价值 计量。合并成本大于合并中取得的被购买方于购买日可辨认净资产公允价值 份额的差额，确认为商誉；合并成本小于合并中取得的被购买方可辨认净资 产公允价值份额的差额，计入当期损益。为进行企业合并发生的直接相关费 用于发生时计入当期损益。为企业合并而发行权益性证券或债务性证券的交 易费用，计入权益性证券或债务性证券的初始确认金额。</w:t>
      </w:r>
    </w:p>
    <w:p>
      <w:pPr>
        <w:pStyle w:val="Style72"/>
        <w:keepNext w:val="0"/>
        <w:keepLines w:val="0"/>
        <w:widowControl w:val="0"/>
        <w:shd w:val="clear" w:color="auto" w:fill="auto"/>
        <w:tabs>
          <w:tab w:pos="695"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5" w:val="left"/>
        </w:tabs>
        <w:bidi w:val="0"/>
        <w:spacing w:before="0" w:after="240"/>
        <w:ind w:left="0" w:right="0" w:firstLine="0"/>
        <w:jc w:val="left"/>
        <w:rPr>
          <w:sz w:val="28"/>
          <w:szCs w:val="28"/>
        </w:rPr>
      </w:pPr>
      <w:r>
        <w:rPr>
          <w:color w:val="000000"/>
          <w:spacing w:val="0"/>
          <w:w w:val="100"/>
          <w:position w:val="0"/>
          <w:sz w:val="24"/>
          <w:szCs w:val="24"/>
        </w:rPr>
        <w:t>（5）</w:t>
        <w:tab/>
      </w:r>
      <w:r>
        <w:rPr>
          <w:rFonts w:ascii="SimSun" w:eastAsia="SimSun" w:hAnsi="SimSun" w:cs="SimSun"/>
          <w:b/>
          <w:bCs/>
          <w:color w:val="000000"/>
          <w:spacing w:val="0"/>
          <w:w w:val="100"/>
          <w:position w:val="0"/>
          <w:sz w:val="24"/>
          <w:szCs w:val="24"/>
        </w:rPr>
        <w:t>企业合并</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95" w:val="left"/>
        </w:tabs>
        <w:bidi w:val="0"/>
        <w:spacing w:before="0" w:after="240" w:line="271" w:lineRule="auto"/>
        <w:ind w:left="0" w:right="0" w:firstLine="0"/>
        <w:jc w:val="left"/>
        <w:rPr>
          <w:sz w:val="28"/>
          <w:szCs w:val="28"/>
        </w:rPr>
      </w:pPr>
      <w:bookmarkStart w:id="782" w:name="bookmark782"/>
      <w:r>
        <w:rPr>
          <w:rFonts w:ascii="Arial" w:eastAsia="Arial" w:hAnsi="Arial" w:cs="Arial"/>
          <w:color w:val="000000"/>
          <w:spacing w:val="0"/>
          <w:w w:val="100"/>
          <w:position w:val="0"/>
          <w:sz w:val="24"/>
          <w:szCs w:val="24"/>
        </w:rPr>
        <w:t>（</w:t>
      </w:r>
      <w:bookmarkEnd w:id="782"/>
      <w:r>
        <w:rPr>
          <w:rFonts w:ascii="Arial" w:eastAsia="Arial" w:hAnsi="Arial" w:cs="Arial"/>
          <w:color w:val="000000"/>
          <w:spacing w:val="0"/>
          <w:w w:val="100"/>
          <w:position w:val="0"/>
          <w:sz w:val="24"/>
          <w:szCs w:val="24"/>
        </w:rPr>
        <w:t>b）</w:t>
        <w:tab/>
      </w:r>
      <w:r>
        <w:rPr>
          <w:color w:val="000000"/>
          <w:spacing w:val="0"/>
          <w:w w:val="100"/>
          <w:position w:val="0"/>
          <w:sz w:val="24"/>
          <w:szCs w:val="24"/>
        </w:rPr>
        <w:t>非同一控制下的企业合并</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ind w:right="0" w:firstLine="0"/>
        <w:jc w:val="both"/>
      </w:pPr>
      <w:r>
        <w:rPr>
          <w:color w:val="000000"/>
          <w:spacing w:val="0"/>
          <w:w w:val="100"/>
          <w:position w:val="0"/>
          <w:sz w:val="24"/>
          <w:szCs w:val="24"/>
        </w:rPr>
        <w:t>通过多次交易分步实现的非同一控制下企业合并，在合并财务报表中，对于 购买日之前持有的被购买方的股权，按照该股权在购买日的公允价值进行重 新计量。购买日之前持有被购买方的股权涉及权益法核算的</w:t>
      </w:r>
      <w:r>
        <w:rPr>
          <w:color w:val="000000"/>
          <w:spacing w:val="0"/>
          <w:w w:val="100"/>
          <w:position w:val="0"/>
          <w:sz w:val="28"/>
          <w:szCs w:val="28"/>
        </w:rPr>
        <w:t>，</w:t>
      </w:r>
      <w:r>
        <w:rPr>
          <w:color w:val="000000"/>
          <w:spacing w:val="0"/>
          <w:w w:val="100"/>
          <w:position w:val="0"/>
          <w:sz w:val="24"/>
          <w:szCs w:val="24"/>
        </w:rPr>
        <w:t>其公允价值与其 账面价值之间的差额计入当期投资收益，该权益法核算下的其他综合收益以 及除净损益、其他综合收益和利润分配外的其他所有者权益变动的，与其相 关的其他综合收益、其他所有者权益变动应当转为购买日所属当期损益，由 于被投资方重新计量设定受益计划净负债或净资产变动，以及被投资方持有 的分类为以公允价值计量且其变动计入其他综合收益的非交易性权益工具投 资的累计公允价值变动而产生的其他综合收益除外；购买日之前持有的被购 买方的股权分类为以公允价值计量且其变动计入当期损益的金融资产，其公 允价值与账面价值之间的差额转入改按成本法核算的当期投资收益；购买日 之前持有的被购买方的股权分类为以公允价值计量且其变动计入其他综合收 益的非交易性权益工具投资的，其原计入其他综合收益的累计公允价值变动 直接转入留存收益。商誉为购买日原持有股权的公允价值与支付对价的公允 价值之和，与取得的子公司可辨认净资产的公允价值份额之间的差额。</w:t>
      </w:r>
    </w:p>
    <w:p>
      <w:pPr>
        <w:pStyle w:val="Style72"/>
        <w:keepNext w:val="0"/>
        <w:keepLines w:val="0"/>
        <w:widowControl w:val="0"/>
        <w:shd w:val="clear" w:color="auto" w:fill="auto"/>
        <w:tabs>
          <w:tab w:pos="695" w:val="left"/>
        </w:tabs>
        <w:bidi w:val="0"/>
        <w:spacing w:before="0" w:after="240" w:line="271" w:lineRule="auto"/>
        <w:ind w:left="0" w:right="0" w:firstLine="0"/>
        <w:jc w:val="left"/>
      </w:pPr>
      <w:bookmarkStart w:id="783" w:name="bookmark783"/>
      <w:r>
        <w:rPr>
          <w:rFonts w:ascii="Arial" w:eastAsia="Arial" w:hAnsi="Arial" w:cs="Arial"/>
          <w:color w:val="000000"/>
          <w:spacing w:val="0"/>
          <w:w w:val="100"/>
          <w:position w:val="0"/>
          <w:sz w:val="24"/>
          <w:szCs w:val="24"/>
        </w:rPr>
        <w:t>（</w:t>
      </w:r>
      <w:bookmarkEnd w:id="783"/>
      <w:r>
        <w:rPr>
          <w:rFonts w:ascii="Arial" w:eastAsia="Arial" w:hAnsi="Arial" w:cs="Arial"/>
          <w:color w:val="000000"/>
          <w:spacing w:val="0"/>
          <w:w w:val="100"/>
          <w:position w:val="0"/>
          <w:sz w:val="24"/>
          <w:szCs w:val="24"/>
        </w:rPr>
        <w:t>c）</w:t>
        <w:tab/>
      </w:r>
      <w:r>
        <w:rPr>
          <w:color w:val="000000"/>
          <w:spacing w:val="0"/>
          <w:w w:val="100"/>
          <w:position w:val="0"/>
          <w:sz w:val="24"/>
          <w:szCs w:val="24"/>
        </w:rPr>
        <w:t>购买子公司少数股权</w:t>
      </w:r>
    </w:p>
    <w:p>
      <w:pPr>
        <w:pStyle w:val="Style72"/>
        <w:keepNext w:val="0"/>
        <w:keepLines w:val="0"/>
        <w:widowControl w:val="0"/>
        <w:shd w:val="clear" w:color="auto" w:fill="auto"/>
        <w:bidi w:val="0"/>
        <w:spacing w:before="0" w:after="280" w:line="311" w:lineRule="exact"/>
        <w:ind w:right="0" w:firstLine="0"/>
        <w:jc w:val="both"/>
        <w:sectPr>
          <w:footnotePr>
            <w:pos w:val="pageBottom"/>
            <w:numFmt w:val="decimal"/>
            <w:numStart w:val="1"/>
            <w:numRestart w:val="continuous"/>
            <w15:footnoteColumns w:val="1"/>
          </w:footnotePr>
          <w:pgSz w:w="11900" w:h="16840"/>
          <w:pgMar w:top="2338" w:right="1332" w:bottom="2703" w:left="1679" w:header="0" w:footer="3" w:gutter="0"/>
          <w:cols w:space="720"/>
          <w:noEndnote/>
          <w:rtlGutter w:val="0"/>
          <w:docGrid w:linePitch="360"/>
        </w:sectPr>
      </w:pPr>
      <w:r>
        <w:rPr>
          <w:color w:val="000000"/>
          <w:spacing w:val="0"/>
          <w:w w:val="100"/>
          <w:position w:val="0"/>
          <w:sz w:val="24"/>
          <w:szCs w:val="24"/>
        </w:rPr>
        <w:t>在取得对子公司的控制权后，自子公司的少数股东处取得少数股东拥有的对 该子公司全部或部分少数股权，在合并财务报表中，子公司的资产、负债以 购买日或合并日开始持续计算的金额反映。因购买少数股权新增加的长期股 权投资与按照新增持股比例计算应享有子公司自购买日或合并日持续计算的 净资产份额之间的差额调整资本公积，资本公积</w:t>
      </w:r>
      <w:r>
        <w:rPr>
          <w:rFonts w:ascii="Arial" w:eastAsia="Arial" w:hAnsi="Arial" w:cs="Arial"/>
          <w:color w:val="000000"/>
          <w:spacing w:val="0"/>
          <w:w w:val="100"/>
          <w:position w:val="0"/>
          <w:sz w:val="24"/>
          <w:szCs w:val="24"/>
        </w:rPr>
        <w:t>（</w:t>
      </w:r>
      <w:r>
        <w:rPr>
          <w:color w:val="000000"/>
          <w:spacing w:val="0"/>
          <w:w w:val="100"/>
          <w:position w:val="0"/>
          <w:sz w:val="24"/>
          <w:szCs w:val="24"/>
        </w:rPr>
        <w:t>股本溢价</w:t>
      </w:r>
      <w:r>
        <w:rPr>
          <w:rFonts w:ascii="Arial" w:eastAsia="Arial" w:hAnsi="Arial" w:cs="Arial"/>
          <w:color w:val="000000"/>
          <w:spacing w:val="0"/>
          <w:w w:val="100"/>
          <w:position w:val="0"/>
          <w:sz w:val="24"/>
          <w:szCs w:val="24"/>
        </w:rPr>
        <w:t>）</w:t>
      </w:r>
      <w:r>
        <w:rPr>
          <w:color w:val="000000"/>
          <w:spacing w:val="0"/>
          <w:w w:val="100"/>
          <w:position w:val="0"/>
          <w:sz w:val="24"/>
          <w:szCs w:val="24"/>
        </w:rPr>
        <w:t>的金额不足冲减 的，调整留存收益。</w:t>
      </w:r>
    </w:p>
    <w:p>
      <w:pPr>
        <w:pStyle w:val="Style72"/>
        <w:keepNext w:val="0"/>
        <w:keepLines w:val="0"/>
        <w:widowControl w:val="0"/>
        <w:shd w:val="clear" w:color="auto" w:fill="auto"/>
        <w:tabs>
          <w:tab w:pos="695"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numPr>
          <w:ilvl w:val="0"/>
          <w:numId w:val="23"/>
        </w:numPr>
        <w:shd w:val="clear" w:color="auto" w:fill="auto"/>
        <w:tabs>
          <w:tab w:pos="695" w:val="left"/>
        </w:tabs>
        <w:bidi w:val="0"/>
        <w:spacing w:before="0"/>
        <w:ind w:left="0" w:right="0" w:firstLine="0"/>
        <w:jc w:val="left"/>
        <w:rPr>
          <w:sz w:val="28"/>
          <w:szCs w:val="28"/>
        </w:rPr>
      </w:pPr>
      <w:bookmarkStart w:id="784" w:name="bookmark784"/>
      <w:bookmarkEnd w:id="784"/>
      <w:r>
        <w:rPr>
          <w:rFonts w:ascii="SimSun" w:eastAsia="SimSun" w:hAnsi="SimSun" w:cs="SimSun"/>
          <w:b/>
          <w:bCs/>
          <w:color w:val="000000"/>
          <w:spacing w:val="0"/>
          <w:w w:val="100"/>
          <w:position w:val="0"/>
          <w:sz w:val="24"/>
          <w:szCs w:val="24"/>
        </w:rPr>
        <w:t>企业合并</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numPr>
          <w:ilvl w:val="0"/>
          <w:numId w:val="29"/>
        </w:numPr>
        <w:shd w:val="clear" w:color="auto" w:fill="auto"/>
        <w:tabs>
          <w:tab w:pos="695" w:val="left"/>
        </w:tabs>
        <w:bidi w:val="0"/>
        <w:spacing w:before="0" w:after="260" w:line="311" w:lineRule="exact"/>
        <w:ind w:left="0" w:right="0" w:firstLine="0"/>
        <w:jc w:val="left"/>
      </w:pPr>
      <w:bookmarkStart w:id="785" w:name="bookmark785"/>
      <w:bookmarkEnd w:id="785"/>
      <w:r>
        <w:rPr>
          <w:color w:val="000000"/>
          <w:spacing w:val="0"/>
          <w:w w:val="100"/>
          <w:position w:val="0"/>
          <w:sz w:val="24"/>
          <w:szCs w:val="24"/>
        </w:rPr>
        <w:t>因子公司的少数股东增资而稀释母公司拥有的股权比例</w:t>
      </w:r>
    </w:p>
    <w:p>
      <w:pPr>
        <w:pStyle w:val="Style72"/>
        <w:keepNext w:val="0"/>
        <w:keepLines w:val="0"/>
        <w:widowControl w:val="0"/>
        <w:shd w:val="clear" w:color="auto" w:fill="auto"/>
        <w:bidi w:val="0"/>
        <w:spacing w:before="0" w:after="300" w:line="311" w:lineRule="exact"/>
        <w:ind w:right="0" w:firstLine="0"/>
        <w:jc w:val="both"/>
      </w:pPr>
      <w:r>
        <w:rPr>
          <w:color w:val="000000"/>
          <w:spacing w:val="0"/>
          <w:w w:val="100"/>
          <w:position w:val="0"/>
          <w:sz w:val="24"/>
          <w:szCs w:val="24"/>
        </w:rPr>
        <w:t>子公司的其他股东对子公司进行增资，由此稀释了母公司对子公司的股权比 例，在这种情况下，应当按照增资前的母公司股权比例计算其在增资前子公 司账面净资产中的份额，该份额与增资后按母公司持股比例计算的在增资后 子公司账面净资产份额之间的差额计入资本公积，资本公积不足冲减的，调 整留存收益。</w:t>
      </w:r>
    </w:p>
    <w:p>
      <w:pPr>
        <w:pStyle w:val="Style72"/>
        <w:keepNext w:val="0"/>
        <w:keepLines w:val="0"/>
        <w:widowControl w:val="0"/>
        <w:numPr>
          <w:ilvl w:val="0"/>
          <w:numId w:val="23"/>
        </w:numPr>
        <w:shd w:val="clear" w:color="auto" w:fill="auto"/>
        <w:tabs>
          <w:tab w:pos="695" w:val="left"/>
        </w:tabs>
        <w:bidi w:val="0"/>
        <w:spacing w:before="0" w:after="260" w:line="240" w:lineRule="auto"/>
        <w:ind w:left="0" w:right="0" w:firstLine="0"/>
        <w:jc w:val="left"/>
      </w:pPr>
      <w:bookmarkStart w:id="786" w:name="bookmark786"/>
      <w:bookmarkEnd w:id="786"/>
      <w:r>
        <w:rPr>
          <w:b/>
          <w:bCs/>
          <w:color w:val="000000"/>
          <w:spacing w:val="0"/>
          <w:w w:val="100"/>
          <w:position w:val="0"/>
          <w:sz w:val="24"/>
          <w:szCs w:val="24"/>
        </w:rPr>
        <w:t>合并财务报表的编制方法</w:t>
      </w:r>
    </w:p>
    <w:p>
      <w:pPr>
        <w:pStyle w:val="Style72"/>
        <w:keepNext w:val="0"/>
        <w:keepLines w:val="0"/>
        <w:widowControl w:val="0"/>
        <w:shd w:val="clear" w:color="auto" w:fill="auto"/>
        <w:bidi w:val="0"/>
        <w:spacing w:before="0" w:after="260" w:line="311" w:lineRule="exact"/>
        <w:ind w:left="0" w:right="0" w:firstLine="720"/>
        <w:jc w:val="left"/>
      </w:pPr>
      <w:r>
        <w:rPr>
          <w:color w:val="000000"/>
          <w:spacing w:val="0"/>
          <w:w w:val="100"/>
          <w:position w:val="0"/>
          <w:sz w:val="24"/>
          <w:szCs w:val="24"/>
        </w:rPr>
        <w:t>编制合并财务报表时，合并范围包括本公司及全部子公司。</w:t>
      </w:r>
    </w:p>
    <w:p>
      <w:pPr>
        <w:pStyle w:val="Style72"/>
        <w:keepNext w:val="0"/>
        <w:keepLines w:val="0"/>
        <w:widowControl w:val="0"/>
        <w:shd w:val="clear" w:color="auto" w:fill="auto"/>
        <w:bidi w:val="0"/>
        <w:spacing w:before="0" w:after="260" w:line="314" w:lineRule="exact"/>
        <w:ind w:right="0" w:firstLine="0"/>
        <w:jc w:val="both"/>
      </w:pPr>
      <w:r>
        <w:rPr>
          <w:color w:val="000000"/>
          <w:spacing w:val="0"/>
          <w:w w:val="100"/>
          <w:position w:val="0"/>
          <w:sz w:val="24"/>
          <w:szCs w:val="24"/>
        </w:rPr>
        <w:t>从取得子公司的实际控制权之日起，本集团开始将其纳入合并范围；从丧失 实际控制权之日起停止纳入合并范围。对于同一控制下企业合并取得的子公 司，自其与本公司同受最终控制方控制之日起纳入本公司合并范围，并将其 在合并日前实现的净利润在合并利润表中单列项目反映。</w:t>
      </w:r>
    </w:p>
    <w:p>
      <w:pPr>
        <w:pStyle w:val="Style72"/>
        <w:keepNext w:val="0"/>
        <w:keepLines w:val="0"/>
        <w:widowControl w:val="0"/>
        <w:shd w:val="clear" w:color="auto" w:fill="auto"/>
        <w:bidi w:val="0"/>
        <w:spacing w:before="0" w:after="260" w:line="309" w:lineRule="exact"/>
        <w:ind w:right="0" w:firstLine="0"/>
        <w:jc w:val="both"/>
      </w:pPr>
      <w:r>
        <w:rPr>
          <w:color w:val="000000"/>
          <w:spacing w:val="0"/>
          <w:w w:val="100"/>
          <w:position w:val="0"/>
          <w:sz w:val="24"/>
          <w:szCs w:val="24"/>
        </w:rPr>
        <w:t>在编制合并财务报表时，子公司与本公司采用的会计政策或会计期间不一致 的，按照本公司的会计政策和会计期间对子公司财务报表进行必要的调整。 对于非同一控制下企业合并取得的子公司，以购买日可辨认净资产公允价值 为基础对其财务报表进行调整。</w:t>
      </w:r>
    </w:p>
    <w:p>
      <w:pPr>
        <w:pStyle w:val="Style72"/>
        <w:keepNext w:val="0"/>
        <w:keepLines w:val="0"/>
        <w:widowControl w:val="0"/>
        <w:shd w:val="clear" w:color="auto" w:fill="auto"/>
        <w:bidi w:val="0"/>
        <w:spacing w:before="0" w:after="260" w:line="311" w:lineRule="exact"/>
        <w:ind w:right="0" w:firstLine="0"/>
        <w:jc w:val="both"/>
      </w:pPr>
      <w:r>
        <w:rPr>
          <w:color w:val="000000"/>
          <w:spacing w:val="0"/>
          <w:w w:val="100"/>
          <w:position w:val="0"/>
          <w:sz w:val="24"/>
          <w:szCs w:val="24"/>
        </w:rPr>
        <w:t>集团内所有重大往来余额、交易及未实现利润在合并财务报表编制时予以抵 销。子公司的股东权益、当期净损益及综合收益中不归属于本公司所拥有的 部分分别作为少数股东权益、少数股东损益及归属于少数股东的综合收益总 额在合并财务报表中股东权益、净利润及综合收益总额项下单独列示。子公 司少数股东分担的当期亏损超过了少数股东在该子公司期初所有者权益中所 享有的份额的，其余额冲减少数股东权益。本公司向子公司出售资产所发生 的未实现内部交易损益，全额抵销归属于母公司股东的净利润；子公司向本 公司出售资产所发生的未实现内部交易损益，按本公司对该子公司的分配比 例在归属于母公司股东的净利润和少数股东损益之间分配抵销。子公司之间 出售资产所发生的未实现内部交易损益，按照母公司对出售方子公司的分配 比例在归属于母公司股东的净利润和少数股东损益之间分配抵销。</w:t>
      </w:r>
    </w:p>
    <w:p>
      <w:pPr>
        <w:pStyle w:val="Style72"/>
        <w:keepNext w:val="0"/>
        <w:keepLines w:val="0"/>
        <w:widowControl w:val="0"/>
        <w:shd w:val="clear" w:color="auto" w:fill="auto"/>
        <w:bidi w:val="0"/>
        <w:spacing w:before="0" w:after="260" w:line="307" w:lineRule="exact"/>
        <w:ind w:right="0" w:firstLine="0"/>
        <w:jc w:val="both"/>
      </w:pPr>
      <w:r>
        <w:rPr>
          <w:color w:val="000000"/>
          <w:spacing w:val="0"/>
          <w:w w:val="100"/>
          <w:position w:val="0"/>
          <w:sz w:val="24"/>
          <w:szCs w:val="24"/>
        </w:rPr>
        <w:t>如果以本集团为会计主体与以本公司或子公司为会计主体对同一交易的认定 不同时，从本集团的角度对该交易予以调整。</w:t>
      </w:r>
    </w:p>
    <w:p>
      <w:pPr>
        <w:pStyle w:val="Style72"/>
        <w:keepNext w:val="0"/>
        <w:keepLines w:val="0"/>
        <w:widowControl w:val="0"/>
        <w:shd w:val="clear" w:color="auto" w:fill="auto"/>
        <w:tabs>
          <w:tab w:pos="707"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23"/>
        </w:numPr>
        <w:shd w:val="clear" w:color="auto" w:fill="auto"/>
        <w:tabs>
          <w:tab w:pos="707" w:val="left"/>
        </w:tabs>
        <w:bidi w:val="0"/>
        <w:spacing w:before="0" w:after="240" w:line="240" w:lineRule="auto"/>
        <w:ind w:left="0" w:right="0" w:firstLine="0"/>
        <w:jc w:val="left"/>
      </w:pPr>
      <w:bookmarkStart w:id="787" w:name="bookmark787"/>
      <w:bookmarkEnd w:id="787"/>
      <w:r>
        <w:rPr>
          <w:b/>
          <w:bCs/>
          <w:color w:val="000000"/>
          <w:spacing w:val="0"/>
          <w:w w:val="100"/>
          <w:position w:val="0"/>
          <w:sz w:val="24"/>
          <w:szCs w:val="24"/>
        </w:rPr>
        <w:t>现金及现金等价物</w:t>
      </w:r>
    </w:p>
    <w:p>
      <w:pPr>
        <w:pStyle w:val="Style72"/>
        <w:keepNext w:val="0"/>
        <w:keepLines w:val="0"/>
        <w:widowControl w:val="0"/>
        <w:shd w:val="clear" w:color="auto" w:fill="auto"/>
        <w:bidi w:val="0"/>
        <w:spacing w:before="0" w:after="300" w:line="307" w:lineRule="exact"/>
        <w:ind w:right="0" w:firstLine="0"/>
        <w:jc w:val="both"/>
      </w:pPr>
      <w:r>
        <w:rPr>
          <w:color w:val="000000"/>
          <w:spacing w:val="0"/>
          <w:w w:val="100"/>
          <w:position w:val="0"/>
          <w:sz w:val="24"/>
          <w:szCs w:val="24"/>
        </w:rPr>
        <w:t>现金及现金等价物是指库存现金，可随时用于支付的存款，以及持有的期限 短、流动性强、易于转换为已知金额现金、价值变动风险很小的投资。</w:t>
      </w:r>
    </w:p>
    <w:p>
      <w:pPr>
        <w:pStyle w:val="Style72"/>
        <w:keepNext w:val="0"/>
        <w:keepLines w:val="0"/>
        <w:widowControl w:val="0"/>
        <w:numPr>
          <w:ilvl w:val="0"/>
          <w:numId w:val="23"/>
        </w:numPr>
        <w:shd w:val="clear" w:color="auto" w:fill="auto"/>
        <w:tabs>
          <w:tab w:pos="707" w:val="left"/>
        </w:tabs>
        <w:bidi w:val="0"/>
        <w:spacing w:before="0" w:after="300" w:line="240" w:lineRule="auto"/>
        <w:ind w:left="0" w:right="0" w:firstLine="0"/>
        <w:jc w:val="both"/>
      </w:pPr>
      <w:bookmarkStart w:id="788" w:name="bookmark788"/>
      <w:bookmarkEnd w:id="788"/>
      <w:r>
        <w:rPr>
          <w:b/>
          <w:bCs/>
          <w:color w:val="000000"/>
          <w:spacing w:val="0"/>
          <w:w w:val="100"/>
          <w:position w:val="0"/>
          <w:sz w:val="24"/>
          <w:szCs w:val="24"/>
        </w:rPr>
        <w:t>外币折算</w:t>
      </w:r>
    </w:p>
    <w:p>
      <w:pPr>
        <w:pStyle w:val="Style72"/>
        <w:keepNext w:val="0"/>
        <w:keepLines w:val="0"/>
        <w:widowControl w:val="0"/>
        <w:numPr>
          <w:ilvl w:val="0"/>
          <w:numId w:val="31"/>
        </w:numPr>
        <w:shd w:val="clear" w:color="auto" w:fill="auto"/>
        <w:tabs>
          <w:tab w:pos="707" w:val="left"/>
        </w:tabs>
        <w:bidi w:val="0"/>
        <w:spacing w:before="0" w:after="240" w:line="271" w:lineRule="auto"/>
        <w:ind w:left="0" w:right="0" w:firstLine="0"/>
        <w:jc w:val="both"/>
      </w:pPr>
      <w:bookmarkStart w:id="789" w:name="bookmark789"/>
      <w:bookmarkEnd w:id="789"/>
      <w:r>
        <w:rPr>
          <w:color w:val="000000"/>
          <w:spacing w:val="0"/>
          <w:w w:val="100"/>
          <w:position w:val="0"/>
          <w:sz w:val="24"/>
          <w:szCs w:val="24"/>
        </w:rPr>
        <w:t>外币交易</w:t>
      </w:r>
    </w:p>
    <w:p>
      <w:pPr>
        <w:pStyle w:val="Style72"/>
        <w:keepNext w:val="0"/>
        <w:keepLines w:val="0"/>
        <w:widowControl w:val="0"/>
        <w:shd w:val="clear" w:color="auto" w:fill="auto"/>
        <w:bidi w:val="0"/>
        <w:spacing w:before="0" w:after="240" w:line="311" w:lineRule="exact"/>
        <w:ind w:left="0" w:right="0" w:firstLine="720"/>
        <w:jc w:val="both"/>
      </w:pPr>
      <w:r>
        <w:rPr>
          <w:color w:val="000000"/>
          <w:spacing w:val="0"/>
          <w:w w:val="100"/>
          <w:position w:val="0"/>
          <w:sz w:val="24"/>
          <w:szCs w:val="24"/>
        </w:rPr>
        <w:t>外币交易按交易发生日的即期汇率将外币金额折算为记账本位币入账。</w:t>
      </w:r>
    </w:p>
    <w:p>
      <w:pPr>
        <w:pStyle w:val="Style72"/>
        <w:keepNext w:val="0"/>
        <w:keepLines w:val="0"/>
        <w:widowControl w:val="0"/>
        <w:shd w:val="clear" w:color="auto" w:fill="auto"/>
        <w:bidi w:val="0"/>
        <w:spacing w:before="0" w:after="0" w:line="307" w:lineRule="exact"/>
        <w:ind w:right="0" w:firstLine="0"/>
        <w:jc w:val="both"/>
      </w:pPr>
      <w:r>
        <w:rPr>
          <w:color w:val="000000"/>
          <w:spacing w:val="0"/>
          <w:w w:val="100"/>
          <w:position w:val="0"/>
          <w:sz w:val="24"/>
          <w:szCs w:val="24"/>
        </w:rPr>
        <w:t>于资产负债表日，外币货币性项目采用资产负债表日的即期汇率折算为记账 本位币。为购建符合借款费用资本化条件的资产而借入的外币专门借款产生 的汇兑差额在资本化期间内予以资本化；其他汇兑差额直接计入当期损益。</w:t>
      </w:r>
    </w:p>
    <w:p>
      <w:pPr>
        <w:pStyle w:val="Style72"/>
        <w:keepNext w:val="0"/>
        <w:keepLines w:val="0"/>
        <w:widowControl w:val="0"/>
        <w:shd w:val="clear" w:color="auto" w:fill="auto"/>
        <w:bidi w:val="0"/>
        <w:spacing w:before="0" w:after="300" w:line="274" w:lineRule="exact"/>
        <w:ind w:right="0" w:firstLine="0"/>
        <w:jc w:val="both"/>
      </w:pPr>
      <w:r>
        <w:rPr>
          <w:color w:val="000000"/>
          <w:spacing w:val="0"/>
          <w:w w:val="100"/>
          <w:position w:val="0"/>
          <w:sz w:val="24"/>
          <w:szCs w:val="24"/>
        </w:rPr>
        <w:t>以历史成本计量的外币非货币性项目，于资产负债表日采用交易发生日的即 期汇率折算。汇率变动对现金的影响额在现金流量表中单独列示。</w:t>
      </w:r>
    </w:p>
    <w:p>
      <w:pPr>
        <w:pStyle w:val="Style72"/>
        <w:keepNext w:val="0"/>
        <w:keepLines w:val="0"/>
        <w:widowControl w:val="0"/>
        <w:numPr>
          <w:ilvl w:val="0"/>
          <w:numId w:val="31"/>
        </w:numPr>
        <w:shd w:val="clear" w:color="auto" w:fill="auto"/>
        <w:tabs>
          <w:tab w:pos="707" w:val="left"/>
        </w:tabs>
        <w:bidi w:val="0"/>
        <w:spacing w:before="0" w:after="240" w:line="271" w:lineRule="auto"/>
        <w:ind w:left="0" w:right="0" w:firstLine="0"/>
        <w:jc w:val="left"/>
      </w:pPr>
      <w:bookmarkStart w:id="790" w:name="bookmark790"/>
      <w:bookmarkEnd w:id="790"/>
      <w:r>
        <w:rPr>
          <w:color w:val="000000"/>
          <w:spacing w:val="0"/>
          <w:w w:val="100"/>
          <w:position w:val="0"/>
          <w:sz w:val="24"/>
          <w:szCs w:val="24"/>
        </w:rPr>
        <w:t>外币财务报表的折算</w:t>
      </w:r>
    </w:p>
    <w:p>
      <w:pPr>
        <w:pStyle w:val="Style72"/>
        <w:keepNext w:val="0"/>
        <w:keepLines w:val="0"/>
        <w:widowControl w:val="0"/>
        <w:shd w:val="clear" w:color="auto" w:fill="auto"/>
        <w:bidi w:val="0"/>
        <w:spacing w:before="0" w:after="300" w:line="311" w:lineRule="exact"/>
        <w:ind w:right="0" w:firstLine="0"/>
        <w:jc w:val="both"/>
      </w:pPr>
      <w:r>
        <w:rPr>
          <w:color w:val="000000"/>
          <w:spacing w:val="0"/>
          <w:w w:val="100"/>
          <w:position w:val="0"/>
          <w:sz w:val="24"/>
          <w:szCs w:val="24"/>
        </w:rPr>
        <w:t>境外经营的资产负债表中的资产和负债项目，采用资产负债表日的即期汇率 折算，股东权益中除未分配利润项目外，其他项目采用发生时的即期汇率折 算。境外经营的利润表中的收入与费用项目，采用交易发生日的即期汇率折 算。上述折算产生的外币报表折算差额，计入其他综合收益。境外经营的现 金流量项目，采用现金流量发生日的即期汇率折算。汇率变动对现金的影响 额，在现金流量表中单独列示。</w:t>
      </w:r>
    </w:p>
    <w:p>
      <w:pPr>
        <w:pStyle w:val="Style72"/>
        <w:keepNext w:val="0"/>
        <w:keepLines w:val="0"/>
        <w:widowControl w:val="0"/>
        <w:numPr>
          <w:ilvl w:val="0"/>
          <w:numId w:val="23"/>
        </w:numPr>
        <w:shd w:val="clear" w:color="auto" w:fill="auto"/>
        <w:tabs>
          <w:tab w:pos="707" w:val="left"/>
        </w:tabs>
        <w:bidi w:val="0"/>
        <w:spacing w:before="0" w:after="240" w:line="240" w:lineRule="auto"/>
        <w:ind w:left="0" w:right="0" w:firstLine="0"/>
        <w:jc w:val="both"/>
      </w:pPr>
      <w:bookmarkStart w:id="791" w:name="bookmark791"/>
      <w:bookmarkEnd w:id="791"/>
      <w:r>
        <w:rPr>
          <w:b/>
          <w:bCs/>
          <w:color w:val="000000"/>
          <w:spacing w:val="0"/>
          <w:w w:val="100"/>
          <w:position w:val="0"/>
          <w:sz w:val="24"/>
          <w:szCs w:val="24"/>
        </w:rPr>
        <w:t>金融工具</w:t>
      </w:r>
    </w:p>
    <w:p>
      <w:pPr>
        <w:pStyle w:val="Style72"/>
        <w:keepNext w:val="0"/>
        <w:keepLines w:val="0"/>
        <w:widowControl w:val="0"/>
        <w:shd w:val="clear" w:color="auto" w:fill="auto"/>
        <w:bidi w:val="0"/>
        <w:spacing w:before="0" w:after="300" w:line="329" w:lineRule="exact"/>
        <w:ind w:right="0" w:firstLine="0"/>
        <w:jc w:val="both"/>
      </w:pPr>
      <w:r>
        <w:rPr>
          <w:color w:val="000000"/>
          <w:spacing w:val="0"/>
          <w:w w:val="100"/>
          <w:position w:val="0"/>
          <w:sz w:val="24"/>
          <w:szCs w:val="24"/>
        </w:rPr>
        <w:t>金融工具，是指形成一方的金融资产并形成其他方的金融负债或权益工具的 合同。当本集团成为金融工具合同的一方时，确认相关的金融资产或金融负 债。</w:t>
      </w:r>
    </w:p>
    <w:p>
      <w:pPr>
        <w:pStyle w:val="Style72"/>
        <w:keepNext w:val="0"/>
        <w:keepLines w:val="0"/>
        <w:widowControl w:val="0"/>
        <w:numPr>
          <w:ilvl w:val="0"/>
          <w:numId w:val="33"/>
        </w:numPr>
        <w:shd w:val="clear" w:color="auto" w:fill="auto"/>
        <w:tabs>
          <w:tab w:pos="707" w:val="left"/>
        </w:tabs>
        <w:bidi w:val="0"/>
        <w:spacing w:before="0" w:after="240" w:line="271" w:lineRule="auto"/>
        <w:ind w:left="0" w:right="0" w:firstLine="0"/>
        <w:jc w:val="both"/>
      </w:pPr>
      <w:bookmarkStart w:id="792" w:name="bookmark792"/>
      <w:bookmarkEnd w:id="792"/>
      <w:r>
        <w:rPr>
          <w:color w:val="000000"/>
          <w:spacing w:val="0"/>
          <w:w w:val="100"/>
          <w:position w:val="0"/>
          <w:sz w:val="24"/>
          <w:szCs w:val="24"/>
        </w:rPr>
        <w:t>金融资产</w:t>
      </w:r>
    </w:p>
    <w:p>
      <w:pPr>
        <w:pStyle w:val="Style72"/>
        <w:keepNext w:val="0"/>
        <w:keepLines w:val="0"/>
        <w:widowControl w:val="0"/>
        <w:shd w:val="clear" w:color="auto" w:fill="auto"/>
        <w:tabs>
          <w:tab w:pos="707" w:val="left"/>
        </w:tabs>
        <w:bidi w:val="0"/>
        <w:spacing w:before="0" w:after="240" w:line="311" w:lineRule="exact"/>
        <w:ind w:left="0" w:right="0" w:firstLine="0"/>
        <w:jc w:val="both"/>
      </w:pPr>
      <w:r>
        <w:rPr>
          <w:color w:val="000000"/>
          <w:spacing w:val="0"/>
          <w:w w:val="100"/>
          <w:position w:val="0"/>
          <w:sz w:val="24"/>
          <w:szCs w:val="24"/>
        </w:rPr>
        <w:t>⑴</w:t>
        <w:tab/>
        <w:t>分类和计量</w:t>
      </w:r>
    </w:p>
    <w:p>
      <w:pPr>
        <w:pStyle w:val="Style72"/>
        <w:keepNext w:val="0"/>
        <w:keepLines w:val="0"/>
        <w:widowControl w:val="0"/>
        <w:shd w:val="clear" w:color="auto" w:fill="auto"/>
        <w:bidi w:val="0"/>
        <w:spacing w:before="0" w:after="240" w:line="314" w:lineRule="exact"/>
        <w:ind w:right="0" w:firstLine="0"/>
        <w:jc w:val="both"/>
      </w:pPr>
      <w:r>
        <w:rPr>
          <w:color w:val="000000"/>
          <w:spacing w:val="0"/>
          <w:w w:val="100"/>
          <w:position w:val="0"/>
          <w:sz w:val="24"/>
          <w:szCs w:val="24"/>
        </w:rPr>
        <w:t>本集团根据管理金融资产的业务模式和金融资产的合同现金流量特征，将金 融资产划分为：</w:t>
      </w:r>
      <w:r>
        <w:rPr>
          <w:color w:val="000000"/>
          <w:spacing w:val="0"/>
          <w:w w:val="100"/>
          <w:position w:val="0"/>
          <w:sz w:val="28"/>
          <w:szCs w:val="28"/>
        </w:rPr>
        <w:t>(</w:t>
      </w:r>
      <w:r>
        <w:rPr>
          <w:rFonts w:ascii="Arial" w:eastAsia="Arial" w:hAnsi="Arial" w:cs="Arial"/>
          <w:color w:val="000000"/>
          <w:spacing w:val="0"/>
          <w:w w:val="100"/>
          <w:position w:val="0"/>
          <w:sz w:val="24"/>
          <w:szCs w:val="24"/>
        </w:rPr>
        <w:t>1)</w:t>
      </w:r>
      <w:r>
        <w:rPr>
          <w:color w:val="000000"/>
          <w:spacing w:val="0"/>
          <w:w w:val="100"/>
          <w:position w:val="0"/>
          <w:sz w:val="24"/>
          <w:szCs w:val="24"/>
        </w:rPr>
        <w:t>以摊余成本计量的金融资产；</w:t>
      </w:r>
      <w:r>
        <w:rPr>
          <w:color w:val="000000"/>
          <w:spacing w:val="0"/>
          <w:w w:val="100"/>
          <w:position w:val="0"/>
          <w:sz w:val="28"/>
          <w:szCs w:val="28"/>
        </w:rPr>
        <w:t>(</w:t>
      </w:r>
      <w:r>
        <w:rPr>
          <w:rFonts w:ascii="Arial" w:eastAsia="Arial" w:hAnsi="Arial" w:cs="Arial"/>
          <w:color w:val="000000"/>
          <w:spacing w:val="0"/>
          <w:w w:val="100"/>
          <w:position w:val="0"/>
          <w:sz w:val="24"/>
          <w:szCs w:val="24"/>
        </w:rPr>
        <w:t>2)</w:t>
      </w:r>
      <w:r>
        <w:rPr>
          <w:color w:val="000000"/>
          <w:spacing w:val="0"/>
          <w:w w:val="100"/>
          <w:position w:val="0"/>
          <w:sz w:val="24"/>
          <w:szCs w:val="24"/>
        </w:rPr>
        <w:t>以公允价值计量且其变 动计入其他综合收益的金融资产；</w:t>
      </w:r>
      <w:r>
        <w:rPr>
          <w:rFonts w:ascii="Arial" w:eastAsia="Arial" w:hAnsi="Arial" w:cs="Arial"/>
          <w:color w:val="000000"/>
          <w:spacing w:val="0"/>
          <w:w w:val="100"/>
          <w:position w:val="0"/>
          <w:sz w:val="24"/>
          <w:szCs w:val="24"/>
        </w:rPr>
        <w:t>(3)</w:t>
      </w:r>
      <w:r>
        <w:rPr>
          <w:color w:val="000000"/>
          <w:spacing w:val="0"/>
          <w:w w:val="100"/>
          <w:position w:val="0"/>
          <w:sz w:val="24"/>
          <w:szCs w:val="24"/>
        </w:rPr>
        <w:t>以公允价值计量且其变动计入当期损益 的金融资产。</w:t>
      </w:r>
    </w:p>
    <w:p>
      <w:pPr>
        <w:pStyle w:val="Style72"/>
        <w:keepNext w:val="0"/>
        <w:keepLines w:val="0"/>
        <w:widowControl w:val="0"/>
        <w:shd w:val="clear" w:color="auto" w:fill="auto"/>
        <w:tabs>
          <w:tab w:pos="701"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01" w:val="left"/>
        </w:tabs>
        <w:bidi w:val="0"/>
        <w:spacing w:before="0"/>
        <w:ind w:left="0" w:right="0" w:firstLine="0"/>
        <w:jc w:val="left"/>
        <w:rPr>
          <w:sz w:val="28"/>
          <w:szCs w:val="28"/>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金融工具</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shd w:val="clear" w:color="auto" w:fill="auto"/>
        <w:tabs>
          <w:tab w:pos="701" w:val="left"/>
        </w:tabs>
        <w:bidi w:val="0"/>
        <w:spacing w:before="0"/>
        <w:ind w:left="0" w:right="0" w:firstLine="0"/>
        <w:jc w:val="left"/>
        <w:rPr>
          <w:sz w:val="28"/>
          <w:szCs w:val="28"/>
        </w:rPr>
      </w:pPr>
      <w:bookmarkStart w:id="793" w:name="bookmark793"/>
      <w:r>
        <w:rPr>
          <w:color w:val="000000"/>
          <w:spacing w:val="0"/>
          <w:w w:val="100"/>
          <w:position w:val="0"/>
          <w:sz w:val="24"/>
          <w:szCs w:val="24"/>
        </w:rPr>
        <w:t>（</w:t>
      </w:r>
      <w:bookmarkEnd w:id="793"/>
      <w:r>
        <w:rPr>
          <w:color w:val="000000"/>
          <w:spacing w:val="0"/>
          <w:w w:val="100"/>
          <w:position w:val="0"/>
          <w:sz w:val="24"/>
          <w:szCs w:val="24"/>
        </w:rPr>
        <w:t>a）</w:t>
        <w:tab/>
      </w:r>
      <w:r>
        <w:rPr>
          <w:rFonts w:ascii="SimSun" w:eastAsia="SimSun" w:hAnsi="SimSun" w:cs="SimSun"/>
          <w:color w:val="000000"/>
          <w:spacing w:val="0"/>
          <w:w w:val="100"/>
          <w:position w:val="0"/>
          <w:sz w:val="24"/>
          <w:szCs w:val="24"/>
        </w:rPr>
        <w:t>金融资产</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701" w:val="left"/>
        </w:tabs>
        <w:bidi w:val="0"/>
        <w:spacing w:before="0" w:after="260" w:line="312" w:lineRule="exact"/>
        <w:ind w:left="0" w:right="0" w:firstLine="0"/>
        <w:jc w:val="left"/>
        <w:rPr>
          <w:sz w:val="28"/>
          <w:szCs w:val="28"/>
        </w:rPr>
      </w:pPr>
      <w:r>
        <w:rPr>
          <w:color w:val="000000"/>
          <w:spacing w:val="0"/>
          <w:w w:val="100"/>
          <w:position w:val="0"/>
          <w:sz w:val="24"/>
          <w:szCs w:val="24"/>
        </w:rPr>
        <w:t>⑴</w:t>
        <w:tab/>
        <w:t>分类和计量</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60" w:line="311" w:lineRule="exact"/>
        <w:ind w:right="0" w:firstLine="0"/>
        <w:jc w:val="both"/>
      </w:pPr>
      <w:r>
        <w:rPr>
          <w:color w:val="000000"/>
          <w:spacing w:val="0"/>
          <w:w w:val="100"/>
          <w:position w:val="0"/>
          <w:sz w:val="24"/>
          <w:szCs w:val="24"/>
        </w:rPr>
        <w:t>金融资产在初始确认时以公允价值计量。对于以公允价值计量且其变动计入 当期损益的金融资产，相关交易费用直接计入当期损益；对于其他类别的金 融资产，相关交易费用计入初始确认金额。因销售产品或提供劳务而产生的、 未包含或不考虑重大融资成分的应收账款或应收票据，本集团按照预期有权 收取的对价金额作为初始确认金额。</w:t>
      </w:r>
    </w:p>
    <w:p>
      <w:pPr>
        <w:pStyle w:val="Style72"/>
        <w:keepNext w:val="0"/>
        <w:keepLines w:val="0"/>
        <w:widowControl w:val="0"/>
        <w:shd w:val="clear" w:color="auto" w:fill="auto"/>
        <w:bidi w:val="0"/>
        <w:spacing w:before="0" w:after="260" w:line="312" w:lineRule="exact"/>
        <w:ind w:left="0" w:right="0" w:firstLine="720"/>
        <w:jc w:val="both"/>
      </w:pPr>
      <w:r>
        <w:rPr>
          <w:color w:val="000000"/>
          <w:spacing w:val="0"/>
          <w:w w:val="100"/>
          <w:position w:val="0"/>
          <w:sz w:val="24"/>
          <w:szCs w:val="24"/>
        </w:rPr>
        <w:t>债务工具</w:t>
      </w:r>
    </w:p>
    <w:p>
      <w:pPr>
        <w:pStyle w:val="Style72"/>
        <w:keepNext w:val="0"/>
        <w:keepLines w:val="0"/>
        <w:widowControl w:val="0"/>
        <w:shd w:val="clear" w:color="auto" w:fill="auto"/>
        <w:bidi w:val="0"/>
        <w:spacing w:before="0" w:after="260" w:line="307" w:lineRule="exact"/>
        <w:ind w:right="0" w:firstLine="0"/>
        <w:jc w:val="both"/>
      </w:pPr>
      <w:r>
        <w:rPr>
          <w:color w:val="000000"/>
          <w:spacing w:val="0"/>
          <w:w w:val="100"/>
          <w:position w:val="0"/>
          <w:sz w:val="24"/>
          <w:szCs w:val="24"/>
        </w:rPr>
        <w:t>本集团持有的债务工具是指从发行方角度分析符合金融负债定义的工具，分 别采用以下三种方式进行计量：</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以摊余成本计量：</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本集团管理此类金融资产的业务模式为以收取合同现金流量为目标，且此类 金融资产的合同现金流量特征与基本借贷安排相一致，即在特定日期产生的 现金流量，仅为对本金和以未偿付本金金额为基础的利息的支付。本集团对 于此类金融资产按照实际利率法确认利息收入。此类金融资产主要包括货币 资金、应收票据、应收账款、其他应收款、债权投资和长期应收款等。本集 团将自资产负债表日起一年内</w:t>
      </w:r>
      <w:r>
        <w:rPr>
          <w:rFonts w:ascii="Arial" w:eastAsia="Arial" w:hAnsi="Arial" w:cs="Arial"/>
          <w:color w:val="000000"/>
          <w:spacing w:val="0"/>
          <w:w w:val="100"/>
          <w:position w:val="0"/>
          <w:sz w:val="24"/>
          <w:szCs w:val="24"/>
        </w:rPr>
        <w:t>（</w:t>
      </w:r>
      <w:r>
        <w:rPr>
          <w:color w:val="000000"/>
          <w:spacing w:val="0"/>
          <w:w w:val="100"/>
          <w:position w:val="0"/>
          <w:sz w:val="24"/>
          <w:szCs w:val="24"/>
        </w:rPr>
        <w:t>含一年</w:t>
      </w:r>
      <w:r>
        <w:rPr>
          <w:rFonts w:ascii="Arial" w:eastAsia="Arial" w:hAnsi="Arial" w:cs="Arial"/>
          <w:color w:val="000000"/>
          <w:spacing w:val="0"/>
          <w:w w:val="100"/>
          <w:position w:val="0"/>
          <w:sz w:val="24"/>
          <w:szCs w:val="24"/>
        </w:rPr>
        <w:t>）</w:t>
      </w:r>
      <w:r>
        <w:rPr>
          <w:color w:val="000000"/>
          <w:spacing w:val="0"/>
          <w:w w:val="100"/>
          <w:position w:val="0"/>
          <w:sz w:val="24"/>
          <w:szCs w:val="24"/>
        </w:rPr>
        <w:t>到期的债权投资和长期应收款，列示为 一年内到期的非流动资产；取得时期限在一年内</w:t>
      </w:r>
      <w:r>
        <w:rPr>
          <w:rFonts w:ascii="Arial" w:eastAsia="Arial" w:hAnsi="Arial" w:cs="Arial"/>
          <w:color w:val="000000"/>
          <w:spacing w:val="0"/>
          <w:w w:val="100"/>
          <w:position w:val="0"/>
          <w:sz w:val="24"/>
          <w:szCs w:val="24"/>
        </w:rPr>
        <w:t>（</w:t>
      </w:r>
      <w:r>
        <w:rPr>
          <w:color w:val="000000"/>
          <w:spacing w:val="0"/>
          <w:w w:val="100"/>
          <w:position w:val="0"/>
          <w:sz w:val="24"/>
          <w:szCs w:val="24"/>
        </w:rPr>
        <w:t>含一年</w:t>
      </w:r>
      <w:r>
        <w:rPr>
          <w:rFonts w:ascii="Arial" w:eastAsia="Arial" w:hAnsi="Arial" w:cs="Arial"/>
          <w:color w:val="000000"/>
          <w:spacing w:val="0"/>
          <w:w w:val="100"/>
          <w:position w:val="0"/>
          <w:sz w:val="24"/>
          <w:szCs w:val="24"/>
        </w:rPr>
        <w:t>）</w:t>
      </w:r>
      <w:r>
        <w:rPr>
          <w:color w:val="000000"/>
          <w:spacing w:val="0"/>
          <w:w w:val="100"/>
          <w:position w:val="0"/>
          <w:sz w:val="24"/>
          <w:szCs w:val="24"/>
        </w:rPr>
        <w:t>的债权投资列示为其 他流动资产。</w:t>
      </w:r>
    </w:p>
    <w:p>
      <w:pPr>
        <w:pStyle w:val="Style72"/>
        <w:keepNext w:val="0"/>
        <w:keepLines w:val="0"/>
        <w:widowControl w:val="0"/>
        <w:shd w:val="clear" w:color="auto" w:fill="auto"/>
        <w:bidi w:val="0"/>
        <w:spacing w:before="0" w:after="260" w:line="312" w:lineRule="exact"/>
        <w:ind w:left="0" w:right="0" w:firstLine="720"/>
        <w:jc w:val="both"/>
      </w:pPr>
      <w:r>
        <w:rPr>
          <w:color w:val="000000"/>
          <w:spacing w:val="0"/>
          <w:w w:val="100"/>
          <w:position w:val="0"/>
          <w:sz w:val="24"/>
          <w:szCs w:val="24"/>
        </w:rPr>
        <w:t>以公允价值计量且其变动计入其他综合收益：</w:t>
      </w:r>
    </w:p>
    <w:p>
      <w:pPr>
        <w:pStyle w:val="Style72"/>
        <w:keepNext w:val="0"/>
        <w:keepLines w:val="0"/>
        <w:widowControl w:val="0"/>
        <w:shd w:val="clear" w:color="auto" w:fill="auto"/>
        <w:bidi w:val="0"/>
        <w:spacing w:before="0" w:after="260" w:line="313" w:lineRule="exact"/>
        <w:ind w:right="0" w:firstLine="0"/>
        <w:jc w:val="both"/>
      </w:pPr>
      <w:r>
        <w:rPr>
          <w:color w:val="000000"/>
          <w:spacing w:val="0"/>
          <w:w w:val="100"/>
          <w:position w:val="0"/>
          <w:sz w:val="24"/>
          <w:szCs w:val="24"/>
        </w:rPr>
        <w:t>本集团管理此类金融资产的业务模式为既以收取合同现金流量为目标又以出 售为目标，且此类金融资产的合同现金流量特征与基本借贷安排相一致。此 类金融资产按照公允价值计量且其变动计入其他综合收益，但减值损失或利 得、汇兑损益和按照实际利率法计算的利息收入计入当期损益。此类金融资 产主要包括应收款项融资、其他债权投资等。本集团将自资产表日起一年内</w:t>
      </w:r>
      <w:r>
        <w:rPr>
          <w:rFonts w:ascii="Arial" w:eastAsia="Arial" w:hAnsi="Arial" w:cs="Arial"/>
          <w:color w:val="000000"/>
          <w:spacing w:val="0"/>
          <w:w w:val="100"/>
          <w:position w:val="0"/>
          <w:sz w:val="24"/>
          <w:szCs w:val="24"/>
        </w:rPr>
        <w:t>（</w:t>
      </w:r>
      <w:r>
        <w:rPr>
          <w:color w:val="000000"/>
          <w:spacing w:val="0"/>
          <w:w w:val="100"/>
          <w:position w:val="0"/>
          <w:sz w:val="24"/>
          <w:szCs w:val="24"/>
        </w:rPr>
        <w:t>含 一年</w:t>
      </w:r>
      <w:r>
        <w:rPr>
          <w:rFonts w:ascii="Arial" w:eastAsia="Arial" w:hAnsi="Arial" w:cs="Arial"/>
          <w:color w:val="000000"/>
          <w:spacing w:val="0"/>
          <w:w w:val="100"/>
          <w:position w:val="0"/>
          <w:sz w:val="24"/>
          <w:szCs w:val="24"/>
        </w:rPr>
        <w:t>）</w:t>
      </w:r>
      <w:r>
        <w:rPr>
          <w:color w:val="000000"/>
          <w:spacing w:val="0"/>
          <w:w w:val="100"/>
          <w:position w:val="0"/>
          <w:sz w:val="24"/>
          <w:szCs w:val="24"/>
        </w:rPr>
        <w:t>到期的其他债权投资，列示为一年内到期的非流动资产；取得时期限在 一年内</w:t>
      </w:r>
      <w:r>
        <w:rPr>
          <w:rFonts w:ascii="Arial" w:eastAsia="Arial" w:hAnsi="Arial" w:cs="Arial"/>
          <w:color w:val="000000"/>
          <w:spacing w:val="0"/>
          <w:w w:val="100"/>
          <w:position w:val="0"/>
          <w:sz w:val="24"/>
          <w:szCs w:val="24"/>
        </w:rPr>
        <w:t>（</w:t>
      </w:r>
      <w:r>
        <w:rPr>
          <w:color w:val="000000"/>
          <w:spacing w:val="0"/>
          <w:w w:val="100"/>
          <w:position w:val="0"/>
          <w:sz w:val="24"/>
          <w:szCs w:val="24"/>
        </w:rPr>
        <w:t>含一年</w:t>
      </w:r>
      <w:r>
        <w:rPr>
          <w:rFonts w:ascii="Arial" w:eastAsia="Arial" w:hAnsi="Arial" w:cs="Arial"/>
          <w:color w:val="000000"/>
          <w:spacing w:val="0"/>
          <w:w w:val="100"/>
          <w:position w:val="0"/>
          <w:sz w:val="24"/>
          <w:szCs w:val="24"/>
        </w:rPr>
        <w:t>）</w:t>
      </w:r>
      <w:r>
        <w:rPr>
          <w:color w:val="000000"/>
          <w:spacing w:val="0"/>
          <w:w w:val="100"/>
          <w:position w:val="0"/>
          <w:sz w:val="24"/>
          <w:szCs w:val="24"/>
        </w:rPr>
        <w:t>的其他债权投资列示为其他流动资产。</w:t>
      </w:r>
    </w:p>
    <w:p>
      <w:pPr>
        <w:pStyle w:val="Style72"/>
        <w:keepNext w:val="0"/>
        <w:keepLines w:val="0"/>
        <w:widowControl w:val="0"/>
        <w:shd w:val="clear" w:color="auto" w:fill="auto"/>
        <w:tabs>
          <w:tab w:pos="700" w:val="left"/>
        </w:tabs>
        <w:bidi w:val="0"/>
        <w:spacing w:before="0" w:after="28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00" w:val="left"/>
        </w:tabs>
        <w:bidi w:val="0"/>
        <w:spacing w:before="0" w:after="280" w:line="252" w:lineRule="auto"/>
        <w:ind w:left="0" w:right="0" w:firstLine="0"/>
        <w:jc w:val="left"/>
        <w:rPr>
          <w:sz w:val="28"/>
          <w:szCs w:val="28"/>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金融工具</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shd w:val="clear" w:color="auto" w:fill="auto"/>
        <w:tabs>
          <w:tab w:pos="700" w:val="left"/>
        </w:tabs>
        <w:bidi w:val="0"/>
        <w:spacing w:before="0" w:after="280" w:line="252" w:lineRule="auto"/>
        <w:ind w:left="0" w:right="0" w:firstLine="0"/>
        <w:jc w:val="left"/>
        <w:rPr>
          <w:sz w:val="28"/>
          <w:szCs w:val="28"/>
        </w:rPr>
      </w:pPr>
      <w:bookmarkStart w:id="794" w:name="bookmark794"/>
      <w:r>
        <w:rPr>
          <w:color w:val="000000"/>
          <w:spacing w:val="0"/>
          <w:w w:val="100"/>
          <w:position w:val="0"/>
          <w:sz w:val="24"/>
          <w:szCs w:val="24"/>
        </w:rPr>
        <w:t>（</w:t>
      </w:r>
      <w:bookmarkEnd w:id="794"/>
      <w:r>
        <w:rPr>
          <w:color w:val="000000"/>
          <w:spacing w:val="0"/>
          <w:w w:val="100"/>
          <w:position w:val="0"/>
          <w:sz w:val="24"/>
          <w:szCs w:val="24"/>
        </w:rPr>
        <w:t>a）</w:t>
        <w:tab/>
      </w:r>
      <w:r>
        <w:rPr>
          <w:rFonts w:ascii="SimSun" w:eastAsia="SimSun" w:hAnsi="SimSun" w:cs="SimSun"/>
          <w:color w:val="000000"/>
          <w:spacing w:val="0"/>
          <w:w w:val="100"/>
          <w:position w:val="0"/>
          <w:sz w:val="24"/>
          <w:szCs w:val="24"/>
        </w:rPr>
        <w:t>金融资产</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700" w:val="left"/>
        </w:tabs>
        <w:bidi w:val="0"/>
        <w:spacing w:before="0" w:after="280" w:line="290" w:lineRule="exact"/>
        <w:ind w:left="0" w:right="0" w:firstLine="0"/>
        <w:jc w:val="left"/>
        <w:rPr>
          <w:sz w:val="28"/>
          <w:szCs w:val="28"/>
        </w:rPr>
      </w:pPr>
      <w:r>
        <w:rPr>
          <w:color w:val="000000"/>
          <w:spacing w:val="0"/>
          <w:w w:val="100"/>
          <w:position w:val="0"/>
          <w:sz w:val="24"/>
          <w:szCs w:val="24"/>
        </w:rPr>
        <w:t>⑴</w:t>
        <w:tab/>
        <w:t>分类和计量</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290" w:lineRule="exact"/>
        <w:ind w:left="0" w:right="0" w:firstLine="720"/>
        <w:jc w:val="left"/>
        <w:rPr>
          <w:sz w:val="28"/>
          <w:szCs w:val="28"/>
        </w:rPr>
      </w:pPr>
      <w:r>
        <w:rPr>
          <w:color w:val="000000"/>
          <w:spacing w:val="0"/>
          <w:w w:val="100"/>
          <w:position w:val="0"/>
          <w:sz w:val="24"/>
          <w:szCs w:val="24"/>
        </w:rPr>
        <w:t>债务工具</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290" w:lineRule="exact"/>
        <w:ind w:left="0" w:right="0" w:firstLine="720"/>
        <w:jc w:val="left"/>
      </w:pPr>
      <w:r>
        <w:rPr>
          <w:color w:val="000000"/>
          <w:spacing w:val="0"/>
          <w:w w:val="100"/>
          <w:position w:val="0"/>
          <w:sz w:val="24"/>
          <w:szCs w:val="24"/>
        </w:rPr>
        <w:t>以公允价值计量且其变动计入当期损益：</w:t>
      </w:r>
    </w:p>
    <w:p>
      <w:pPr>
        <w:pStyle w:val="Style72"/>
        <w:keepNext w:val="0"/>
        <w:keepLines w:val="0"/>
        <w:widowControl w:val="0"/>
        <w:shd w:val="clear" w:color="auto" w:fill="auto"/>
        <w:bidi w:val="0"/>
        <w:spacing w:before="0" w:after="280" w:line="290" w:lineRule="exact"/>
        <w:ind w:right="0" w:firstLine="0"/>
        <w:jc w:val="both"/>
      </w:pPr>
      <w:r>
        <w:rPr>
          <w:color w:val="000000"/>
          <w:spacing w:val="0"/>
          <w:w w:val="100"/>
          <w:position w:val="0"/>
          <w:sz w:val="24"/>
          <w:szCs w:val="24"/>
        </w:rPr>
        <w:t>本集团将持有的未划分为以摊余成本计量和以公允价值计量且其变动计入其 他综合收益的债务工具，以公允价值计量且其变动计入当期损益。在初始确 认时，本集团为了消除或显著减少会计错配，将部分金融资产指定为以公允 价值计量且其变动计入当期损益的金融资产。自资产负债表日起超过一年到 期且预期持有超过一年的，列示为其他非流动金融资产，其余列示为交易性 金融资产。</w:t>
      </w:r>
    </w:p>
    <w:p>
      <w:pPr>
        <w:pStyle w:val="Style72"/>
        <w:keepNext w:val="0"/>
        <w:keepLines w:val="0"/>
        <w:widowControl w:val="0"/>
        <w:shd w:val="clear" w:color="auto" w:fill="auto"/>
        <w:bidi w:val="0"/>
        <w:spacing w:before="0" w:after="280" w:line="290" w:lineRule="exact"/>
        <w:ind w:left="0" w:right="0" w:firstLine="720"/>
        <w:jc w:val="both"/>
      </w:pPr>
      <w:r>
        <w:rPr>
          <w:color w:val="000000"/>
          <w:spacing w:val="0"/>
          <w:w w:val="100"/>
          <w:position w:val="0"/>
          <w:sz w:val="24"/>
          <w:szCs w:val="24"/>
        </w:rPr>
        <w:t>权益工具</w:t>
      </w:r>
    </w:p>
    <w:p>
      <w:pPr>
        <w:pStyle w:val="Style72"/>
        <w:keepNext w:val="0"/>
        <w:keepLines w:val="0"/>
        <w:widowControl w:val="0"/>
        <w:shd w:val="clear" w:color="auto" w:fill="auto"/>
        <w:bidi w:val="0"/>
        <w:spacing w:before="0" w:after="280" w:line="293" w:lineRule="exact"/>
        <w:ind w:right="0" w:firstLine="0"/>
        <w:jc w:val="both"/>
      </w:pPr>
      <w:r>
        <w:rPr>
          <w:color w:val="000000"/>
          <w:spacing w:val="0"/>
          <w:w w:val="100"/>
          <w:position w:val="0"/>
          <w:sz w:val="24"/>
          <w:szCs w:val="24"/>
        </w:rPr>
        <w:t>本集团将对其没有控制、共同控制和重大影响的权益工具投资按照公允价值 计量且其变动计入当期损益，列示为交易性金融资产；自资产负债表日起预 期持有超过一年的，列示为其他非流动金融资产。</w:t>
      </w:r>
    </w:p>
    <w:p>
      <w:pPr>
        <w:pStyle w:val="Style72"/>
        <w:keepNext w:val="0"/>
        <w:keepLines w:val="0"/>
        <w:widowControl w:val="0"/>
        <w:shd w:val="clear" w:color="auto" w:fill="auto"/>
        <w:bidi w:val="0"/>
        <w:spacing w:before="0" w:after="280" w:line="288" w:lineRule="exact"/>
        <w:ind w:right="0" w:firstLine="0"/>
        <w:jc w:val="both"/>
      </w:pPr>
      <w:r>
        <w:rPr>
          <w:color w:val="000000"/>
          <w:spacing w:val="0"/>
          <w:w w:val="100"/>
          <w:position w:val="0"/>
          <w:sz w:val="24"/>
          <w:szCs w:val="24"/>
        </w:rPr>
        <w:t>此外，本集团将部分非交易性权益工具投资于初始确认时指定为以公允价值 计量且其变动计入其他综合收益的金融资产，列示为其他权益工具投资。该 类金融资产的相关股利收入计入当期损益。</w:t>
      </w:r>
    </w:p>
    <w:p>
      <w:pPr>
        <w:pStyle w:val="Style92"/>
        <w:keepNext w:val="0"/>
        <w:keepLines w:val="0"/>
        <w:widowControl w:val="0"/>
        <w:shd w:val="clear" w:color="auto" w:fill="auto"/>
        <w:tabs>
          <w:tab w:pos="700" w:val="left"/>
        </w:tabs>
        <w:bidi w:val="0"/>
        <w:spacing w:before="0" w:after="220" w:line="252" w:lineRule="auto"/>
        <w:ind w:left="0" w:right="0" w:firstLine="0"/>
        <w:jc w:val="left"/>
      </w:pPr>
      <w:bookmarkStart w:id="795" w:name="bookmark795"/>
      <w:r>
        <w:rPr>
          <w:color w:val="000000"/>
          <w:spacing w:val="0"/>
          <w:w w:val="100"/>
          <w:position w:val="0"/>
          <w:sz w:val="24"/>
          <w:szCs w:val="24"/>
          <w:shd w:val="clear" w:color="auto" w:fill="FFFFFF"/>
        </w:rPr>
        <w:t>（</w:t>
      </w:r>
      <w:bookmarkEnd w:id="795"/>
      <w:r>
        <w:rPr>
          <w:color w:val="000000"/>
          <w:spacing w:val="0"/>
          <w:w w:val="100"/>
          <w:position w:val="0"/>
          <w:sz w:val="24"/>
          <w:szCs w:val="24"/>
          <w:shd w:val="clear" w:color="auto" w:fill="FFFFFF"/>
        </w:rPr>
        <w:t>ii）</w:t>
      </w:r>
      <w:r>
        <w:rPr>
          <w:color w:val="000000"/>
          <w:spacing w:val="0"/>
          <w:w w:val="100"/>
          <w:position w:val="0"/>
          <w:sz w:val="24"/>
          <w:szCs w:val="24"/>
        </w:rPr>
        <w:tab/>
      </w:r>
      <w:r>
        <w:rPr>
          <w:rFonts w:ascii="SimSun" w:eastAsia="SimSun" w:hAnsi="SimSun" w:cs="SimSun"/>
          <w:color w:val="000000"/>
          <w:spacing w:val="0"/>
          <w:w w:val="100"/>
          <w:position w:val="0"/>
          <w:sz w:val="24"/>
          <w:szCs w:val="24"/>
        </w:rPr>
        <w:t>减值</w:t>
      </w:r>
    </w:p>
    <w:p>
      <w:pPr>
        <w:pStyle w:val="Style72"/>
        <w:keepNext w:val="0"/>
        <w:keepLines w:val="0"/>
        <w:widowControl w:val="0"/>
        <w:shd w:val="clear" w:color="auto" w:fill="auto"/>
        <w:bidi w:val="0"/>
        <w:spacing w:before="0" w:after="280" w:line="300" w:lineRule="exact"/>
        <w:ind w:right="0" w:firstLine="0"/>
        <w:jc w:val="both"/>
      </w:pPr>
      <w:r>
        <w:rPr>
          <w:color w:val="000000"/>
          <w:spacing w:val="0"/>
          <w:w w:val="100"/>
          <w:position w:val="0"/>
          <w:sz w:val="24"/>
          <w:szCs w:val="24"/>
        </w:rPr>
        <w:t>本集团对于以摊余成本计量的金融资产、以公允价值计量且其变动计入其他 综合收益的债务工具投资、合同资产、财务担保合同和贷款承诺等，以预期 信用损失为基础确认损失准备。</w:t>
      </w:r>
    </w:p>
    <w:p>
      <w:pPr>
        <w:pStyle w:val="Style72"/>
        <w:keepNext w:val="0"/>
        <w:keepLines w:val="0"/>
        <w:widowControl w:val="0"/>
        <w:shd w:val="clear" w:color="auto" w:fill="auto"/>
        <w:bidi w:val="0"/>
        <w:spacing w:before="0" w:after="280" w:line="290" w:lineRule="exact"/>
        <w:ind w:right="0" w:firstLine="0"/>
        <w:jc w:val="both"/>
      </w:pPr>
      <w:r>
        <w:rPr>
          <w:color w:val="000000"/>
          <w:spacing w:val="0"/>
          <w:w w:val="100"/>
          <w:position w:val="0"/>
          <w:sz w:val="24"/>
          <w:szCs w:val="24"/>
        </w:rPr>
        <w:t>本集团考虑有关过去事项、当前状况以及对未来经济状况的预测等合理且有 依据的信息，以发生违约的风险为权重，计算合同应收的现金流量与预期能 收到的现金流量之间差额的现值的概率加权金额，确认预期信用损失。</w:t>
      </w:r>
    </w:p>
    <w:p>
      <w:pPr>
        <w:pStyle w:val="Style72"/>
        <w:keepNext w:val="0"/>
        <w:keepLines w:val="0"/>
        <w:widowControl w:val="0"/>
        <w:shd w:val="clear" w:color="auto" w:fill="auto"/>
        <w:bidi w:val="0"/>
        <w:spacing w:before="0" w:after="280" w:line="290" w:lineRule="exact"/>
        <w:ind w:right="0" w:firstLine="0"/>
        <w:jc w:val="both"/>
      </w:pPr>
      <w:r>
        <w:rPr>
          <w:color w:val="000000"/>
          <w:spacing w:val="0"/>
          <w:w w:val="100"/>
          <w:position w:val="0"/>
          <w:sz w:val="24"/>
          <w:szCs w:val="24"/>
        </w:rPr>
        <w:t>于每个资产负债表日，本集团对于处于不同阶段的金融工具的预期信用损失 分别进行计量。金融工具自初始确认后信用风险未显著增加的，处于第一阶 段，本集团按照未来</w:t>
      </w:r>
      <w:r>
        <w:rPr>
          <w:rFonts w:ascii="Arial" w:eastAsia="Arial" w:hAnsi="Arial" w:cs="Arial"/>
          <w:color w:val="000000"/>
          <w:spacing w:val="0"/>
          <w:w w:val="100"/>
          <w:position w:val="0"/>
          <w:sz w:val="24"/>
          <w:szCs w:val="24"/>
        </w:rPr>
        <w:t>12</w:t>
      </w:r>
      <w:r>
        <w:rPr>
          <w:color w:val="000000"/>
          <w:spacing w:val="0"/>
          <w:w w:val="100"/>
          <w:position w:val="0"/>
          <w:sz w:val="24"/>
          <w:szCs w:val="24"/>
        </w:rPr>
        <w:t>个月内的预期信用损失计量损失准备；金融工具自初 始确认后信用风险已显著增加但尚未发生信用减值的，处于第二阶段，本集 团按照该工具整个存续期的预期信用损失计量损失准备；金融工具自初始确 认后已经发生信用减值的，处于第三阶段，本集团按照该工具整个存续期的 预期信用损失计量损失准备。</w:t>
      </w:r>
    </w:p>
    <w:p>
      <w:pPr>
        <w:pStyle w:val="Style72"/>
        <w:keepNext w:val="0"/>
        <w:keepLines w:val="0"/>
        <w:widowControl w:val="0"/>
        <w:shd w:val="clear" w:color="auto" w:fill="auto"/>
        <w:tabs>
          <w:tab w:pos="696" w:val="left"/>
        </w:tabs>
        <w:bidi w:val="0"/>
        <w:spacing w:before="0" w:after="280" w:line="240" w:lineRule="auto"/>
        <w:ind w:left="0" w:right="0" w:firstLine="0"/>
        <w:jc w:val="both"/>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6" w:val="left"/>
        </w:tabs>
        <w:bidi w:val="0"/>
        <w:spacing w:before="0" w:after="280" w:line="269" w:lineRule="auto"/>
        <w:ind w:left="0" w:right="0" w:firstLine="0"/>
        <w:jc w:val="both"/>
        <w:rPr>
          <w:sz w:val="28"/>
          <w:szCs w:val="28"/>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金融工具</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shd w:val="clear" w:color="auto" w:fill="auto"/>
        <w:tabs>
          <w:tab w:pos="696" w:val="left"/>
        </w:tabs>
        <w:bidi w:val="0"/>
        <w:spacing w:before="0" w:after="280" w:line="269" w:lineRule="auto"/>
        <w:ind w:left="0" w:right="0" w:firstLine="0"/>
        <w:jc w:val="both"/>
        <w:rPr>
          <w:sz w:val="28"/>
          <w:szCs w:val="28"/>
        </w:rPr>
      </w:pPr>
      <w:bookmarkStart w:id="796" w:name="bookmark796"/>
      <w:r>
        <w:rPr>
          <w:color w:val="000000"/>
          <w:spacing w:val="0"/>
          <w:w w:val="100"/>
          <w:position w:val="0"/>
          <w:sz w:val="24"/>
          <w:szCs w:val="24"/>
        </w:rPr>
        <w:t>（</w:t>
      </w:r>
      <w:bookmarkEnd w:id="796"/>
      <w:r>
        <w:rPr>
          <w:color w:val="000000"/>
          <w:spacing w:val="0"/>
          <w:w w:val="100"/>
          <w:position w:val="0"/>
          <w:sz w:val="24"/>
          <w:szCs w:val="24"/>
        </w:rPr>
        <w:t>a）</w:t>
        <w:tab/>
      </w:r>
      <w:r>
        <w:rPr>
          <w:rFonts w:ascii="SimSun" w:eastAsia="SimSun" w:hAnsi="SimSun" w:cs="SimSun"/>
          <w:color w:val="000000"/>
          <w:spacing w:val="0"/>
          <w:w w:val="100"/>
          <w:position w:val="0"/>
          <w:sz w:val="24"/>
          <w:szCs w:val="24"/>
        </w:rPr>
        <w:t>金融资产</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shd w:val="clear" w:color="auto" w:fill="auto"/>
        <w:tabs>
          <w:tab w:pos="696" w:val="left"/>
        </w:tabs>
        <w:bidi w:val="0"/>
        <w:spacing w:before="0" w:after="220" w:line="269" w:lineRule="auto"/>
        <w:ind w:left="0" w:right="0" w:firstLine="0"/>
        <w:jc w:val="both"/>
        <w:rPr>
          <w:sz w:val="28"/>
          <w:szCs w:val="28"/>
        </w:rPr>
      </w:pPr>
      <w:bookmarkStart w:id="797" w:name="bookmark797"/>
      <w:r>
        <w:rPr>
          <w:color w:val="000000"/>
          <w:spacing w:val="0"/>
          <w:w w:val="100"/>
          <w:position w:val="0"/>
          <w:sz w:val="24"/>
          <w:szCs w:val="24"/>
        </w:rPr>
        <w:t>（</w:t>
      </w:r>
      <w:bookmarkEnd w:id="797"/>
      <w:r>
        <w:rPr>
          <w:color w:val="000000"/>
          <w:spacing w:val="0"/>
          <w:w w:val="100"/>
          <w:position w:val="0"/>
          <w:sz w:val="24"/>
          <w:szCs w:val="24"/>
        </w:rPr>
        <w:t>ii）</w:t>
        <w:tab/>
      </w:r>
      <w:r>
        <w:rPr>
          <w:rFonts w:ascii="SimSun" w:eastAsia="SimSun" w:hAnsi="SimSun" w:cs="SimSun"/>
          <w:color w:val="000000"/>
          <w:spacing w:val="0"/>
          <w:w w:val="100"/>
          <w:position w:val="0"/>
          <w:sz w:val="24"/>
          <w:szCs w:val="24"/>
        </w:rPr>
        <w:t>减值</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280" w:line="310" w:lineRule="exact"/>
        <w:ind w:right="0" w:firstLine="0"/>
        <w:jc w:val="both"/>
      </w:pPr>
      <w:r>
        <w:rPr>
          <w:color w:val="000000"/>
          <w:spacing w:val="0"/>
          <w:w w:val="100"/>
          <w:position w:val="0"/>
          <w:sz w:val="24"/>
          <w:szCs w:val="24"/>
        </w:rPr>
        <w:t>对于在资产负债表日具有较低信用风险的金融工具，本集团假设其信用风险 自初始确认后并未显著增加，认定为处于第一阶段的金融工具，按照未来</w:t>
      </w:r>
      <w:r>
        <w:rPr>
          <w:rFonts w:ascii="Arial" w:eastAsia="Arial" w:hAnsi="Arial" w:cs="Arial"/>
          <w:color w:val="000000"/>
          <w:spacing w:val="0"/>
          <w:w w:val="100"/>
          <w:position w:val="0"/>
          <w:sz w:val="24"/>
          <w:szCs w:val="24"/>
        </w:rPr>
        <w:t xml:space="preserve">12 </w:t>
      </w:r>
      <w:r>
        <w:rPr>
          <w:color w:val="000000"/>
          <w:spacing w:val="0"/>
          <w:w w:val="100"/>
          <w:position w:val="0"/>
          <w:sz w:val="24"/>
          <w:szCs w:val="24"/>
        </w:rPr>
        <w:t>个月内的预期信用损失计量损失准备。</w:t>
      </w:r>
    </w:p>
    <w:p>
      <w:pPr>
        <w:pStyle w:val="Style72"/>
        <w:keepNext w:val="0"/>
        <w:keepLines w:val="0"/>
        <w:widowControl w:val="0"/>
        <w:shd w:val="clear" w:color="auto" w:fill="auto"/>
        <w:bidi w:val="0"/>
        <w:spacing w:before="0" w:after="280" w:line="307" w:lineRule="exact"/>
        <w:ind w:right="0" w:firstLine="0"/>
        <w:jc w:val="both"/>
      </w:pPr>
      <w:r>
        <w:rPr>
          <w:color w:val="000000"/>
          <w:spacing w:val="0"/>
          <w:w w:val="100"/>
          <w:position w:val="0"/>
          <w:sz w:val="24"/>
          <w:szCs w:val="24"/>
        </w:rPr>
        <w:t>本集团对于处于第一阶段和第二阶段的金融工具，按照其未扣除减值准备的 账面余额和实际利率计算利息收入。对于处于第三阶段的金融工具，按照其 账面余额减已计提减值准备后的摊余成本和实际利率计算利息收入。</w:t>
      </w:r>
    </w:p>
    <w:p>
      <w:pPr>
        <w:pStyle w:val="Style72"/>
        <w:keepNext w:val="0"/>
        <w:keepLines w:val="0"/>
        <w:widowControl w:val="0"/>
        <w:shd w:val="clear" w:color="auto" w:fill="auto"/>
        <w:bidi w:val="0"/>
        <w:spacing w:before="0" w:after="280" w:line="314" w:lineRule="exact"/>
        <w:ind w:right="0" w:firstLine="0"/>
        <w:jc w:val="both"/>
      </w:pPr>
      <w:r>
        <w:rPr>
          <w:color w:val="000000"/>
          <w:spacing w:val="0"/>
          <w:w w:val="100"/>
          <w:position w:val="0"/>
          <w:sz w:val="24"/>
          <w:szCs w:val="24"/>
        </w:rPr>
        <w:t>对于因销售商品、提供劳务等日常经营活动形成的应收票据、应收账款、应 收款项融资和合同资产，无论是否存在重大融资成分，本集团均按照整个存 续期的预期信用损失计量损失准备。</w:t>
      </w:r>
    </w:p>
    <w:p>
      <w:pPr>
        <w:pStyle w:val="Style72"/>
        <w:keepNext w:val="0"/>
        <w:keepLines w:val="0"/>
        <w:widowControl w:val="0"/>
        <w:shd w:val="clear" w:color="auto" w:fill="auto"/>
        <w:bidi w:val="0"/>
        <w:spacing w:before="0" w:after="280" w:line="310" w:lineRule="exact"/>
        <w:ind w:right="0" w:firstLine="0"/>
        <w:jc w:val="both"/>
      </w:pPr>
      <w:r>
        <w:rPr>
          <w:color w:val="000000"/>
          <w:spacing w:val="0"/>
          <w:w w:val="100"/>
          <w:position w:val="0"/>
          <w:sz w:val="24"/>
          <w:szCs w:val="24"/>
        </w:rPr>
        <w:t>当单项金融资产无法以合理成本评估预期信用损失的信息时，本集团依据信 用风险特征将应收款项划分为若干组合，在组合基础上计算预期信用损失， 确定组合的依据和计提方法如下：</w:t>
      </w:r>
    </w:p>
    <w:p>
      <w:pPr>
        <w:pStyle w:val="Style72"/>
        <w:keepNext w:val="0"/>
        <w:keepLines w:val="0"/>
        <w:widowControl w:val="0"/>
        <w:shd w:val="clear" w:color="auto" w:fill="auto"/>
        <w:tabs>
          <w:tab w:pos="3953" w:val="left"/>
        </w:tabs>
        <w:bidi w:val="0"/>
        <w:spacing w:before="0" w:after="0" w:line="310" w:lineRule="exact"/>
        <w:ind w:left="0" w:right="0" w:firstLine="720"/>
        <w:jc w:val="left"/>
      </w:pPr>
      <w:r>
        <w:rPr>
          <w:color w:val="000000"/>
          <w:spacing w:val="0"/>
          <w:w w:val="100"/>
          <w:position w:val="0"/>
          <w:sz w:val="24"/>
          <w:szCs w:val="24"/>
        </w:rPr>
        <w:t>组合一</w:t>
        <w:tab/>
        <w:t>银行承兑汇票</w:t>
      </w:r>
    </w:p>
    <w:p>
      <w:pPr>
        <w:pStyle w:val="Style72"/>
        <w:keepNext w:val="0"/>
        <w:keepLines w:val="0"/>
        <w:widowControl w:val="0"/>
        <w:shd w:val="clear" w:color="auto" w:fill="auto"/>
        <w:tabs>
          <w:tab w:pos="3953" w:val="left"/>
        </w:tabs>
        <w:bidi w:val="0"/>
        <w:spacing w:before="0" w:after="0" w:line="310" w:lineRule="exact"/>
        <w:ind w:left="0" w:right="0" w:firstLine="720"/>
        <w:jc w:val="left"/>
      </w:pPr>
      <w:r>
        <w:rPr>
          <w:color w:val="000000"/>
          <w:spacing w:val="0"/>
          <w:w w:val="100"/>
          <w:position w:val="0"/>
          <w:sz w:val="24"/>
          <w:szCs w:val="24"/>
        </w:rPr>
        <w:t>组合二</w:t>
        <w:tab/>
        <w:t>商业承兑汇票</w:t>
      </w:r>
    </w:p>
    <w:p>
      <w:pPr>
        <w:pStyle w:val="Style72"/>
        <w:keepNext w:val="0"/>
        <w:keepLines w:val="0"/>
        <w:widowControl w:val="0"/>
        <w:shd w:val="clear" w:color="auto" w:fill="auto"/>
        <w:tabs>
          <w:tab w:pos="3953" w:val="left"/>
        </w:tabs>
        <w:bidi w:val="0"/>
        <w:spacing w:before="0" w:after="0" w:line="310" w:lineRule="exact"/>
        <w:ind w:left="0" w:right="0" w:firstLine="720"/>
        <w:jc w:val="left"/>
      </w:pPr>
      <w:r>
        <w:rPr>
          <w:color w:val="000000"/>
          <w:spacing w:val="0"/>
          <w:w w:val="100"/>
          <w:position w:val="0"/>
          <w:sz w:val="24"/>
          <w:szCs w:val="24"/>
        </w:rPr>
        <w:t>组合三</w:t>
        <w:tab/>
        <w:t>应收合并范围内公司款项</w:t>
      </w:r>
    </w:p>
    <w:p>
      <w:pPr>
        <w:pStyle w:val="Style72"/>
        <w:keepNext w:val="0"/>
        <w:keepLines w:val="0"/>
        <w:widowControl w:val="0"/>
        <w:shd w:val="clear" w:color="auto" w:fill="auto"/>
        <w:tabs>
          <w:tab w:pos="3953" w:val="left"/>
        </w:tabs>
        <w:bidi w:val="0"/>
        <w:spacing w:before="0" w:after="0" w:line="310" w:lineRule="exact"/>
        <w:ind w:left="0" w:right="0" w:firstLine="720"/>
        <w:jc w:val="left"/>
      </w:pPr>
      <w:r>
        <w:rPr>
          <w:color w:val="000000"/>
          <w:spacing w:val="0"/>
          <w:w w:val="100"/>
          <w:position w:val="0"/>
          <w:sz w:val="24"/>
          <w:szCs w:val="24"/>
        </w:rPr>
        <w:t>组合四</w:t>
        <w:tab/>
        <w:t>按照账龄分类的客户</w:t>
      </w:r>
    </w:p>
    <w:p>
      <w:pPr>
        <w:pStyle w:val="Style72"/>
        <w:keepNext w:val="0"/>
        <w:keepLines w:val="0"/>
        <w:widowControl w:val="0"/>
        <w:shd w:val="clear" w:color="auto" w:fill="auto"/>
        <w:tabs>
          <w:tab w:pos="3953" w:val="left"/>
        </w:tabs>
        <w:bidi w:val="0"/>
        <w:spacing w:before="0" w:after="280" w:line="310" w:lineRule="exact"/>
        <w:ind w:left="0" w:right="0" w:firstLine="720"/>
        <w:jc w:val="left"/>
      </w:pPr>
      <w:r>
        <w:rPr>
          <w:color w:val="000000"/>
          <w:spacing w:val="0"/>
          <w:w w:val="100"/>
          <w:position w:val="0"/>
          <w:sz w:val="24"/>
          <w:szCs w:val="24"/>
        </w:rPr>
        <w:t>组合五</w:t>
        <w:tab/>
        <w:t>其他应收款项</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对于划分为组合的应收账款和因销售商品、提供劳务等日常经营活动形成的 应收票据和应收款项融资，本集团参考历史信用损失经验，结合当前状况以 及对未来经济状况的预测，编制应收账款逾期天数与整个存续期预期信用损 失率对照表，计算预期信用损失。除此以外的应收票据、应收款项融资和划 分为组合的其他应收款，本集团参考历史信用损失经验，结合当前状况以及 对未来经济状况的预测，通过违约风险敞口和未来</w:t>
      </w:r>
      <w:r>
        <w:rPr>
          <w:rFonts w:ascii="Arial" w:eastAsia="Arial" w:hAnsi="Arial" w:cs="Arial"/>
          <w:color w:val="000000"/>
          <w:spacing w:val="0"/>
          <w:w w:val="100"/>
          <w:position w:val="0"/>
          <w:sz w:val="24"/>
          <w:szCs w:val="24"/>
        </w:rPr>
        <w:t>12</w:t>
      </w:r>
      <w:r>
        <w:rPr>
          <w:color w:val="000000"/>
          <w:spacing w:val="0"/>
          <w:w w:val="100"/>
          <w:position w:val="0"/>
          <w:sz w:val="24"/>
          <w:szCs w:val="24"/>
        </w:rPr>
        <w:t>个月内或整个存续期预 期信用损失率，计算预期信用损失。</w:t>
      </w:r>
    </w:p>
    <w:p>
      <w:pPr>
        <w:pStyle w:val="Style72"/>
        <w:keepNext w:val="0"/>
        <w:keepLines w:val="0"/>
        <w:widowControl w:val="0"/>
        <w:shd w:val="clear" w:color="auto" w:fill="auto"/>
        <w:bidi w:val="0"/>
        <w:spacing w:before="0" w:after="280" w:line="307" w:lineRule="exact"/>
        <w:ind w:right="0" w:firstLine="0"/>
        <w:jc w:val="both"/>
      </w:pPr>
      <w:r>
        <w:rPr>
          <w:color w:val="000000"/>
          <w:spacing w:val="0"/>
          <w:w w:val="100"/>
          <w:position w:val="0"/>
          <w:sz w:val="24"/>
          <w:szCs w:val="24"/>
        </w:rPr>
        <w:t>本集团将计提或转回的损失准备计入当期损益。对于持有的以公允价值计量 且其变动计入其他综合收益的债务工具，本集团在将减值损失或利得计入当 期损益的同时调整其他综合收益。</w:t>
      </w:r>
    </w:p>
    <w:p>
      <w:pPr>
        <w:pStyle w:val="Style72"/>
        <w:keepNext w:val="0"/>
        <w:keepLines w:val="0"/>
        <w:widowControl w:val="0"/>
        <w:shd w:val="clear" w:color="auto" w:fill="auto"/>
        <w:tabs>
          <w:tab w:pos="697" w:val="left"/>
        </w:tabs>
        <w:bidi w:val="0"/>
        <w:spacing w:before="0" w:after="28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7" w:val="left"/>
        </w:tabs>
        <w:bidi w:val="0"/>
        <w:spacing w:before="0" w:after="280" w:line="276" w:lineRule="auto"/>
        <w:ind w:left="0" w:right="0" w:firstLine="0"/>
        <w:jc w:val="left"/>
        <w:rPr>
          <w:sz w:val="28"/>
          <w:szCs w:val="28"/>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金融工具</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shd w:val="clear" w:color="auto" w:fill="auto"/>
        <w:tabs>
          <w:tab w:pos="697" w:val="left"/>
        </w:tabs>
        <w:bidi w:val="0"/>
        <w:spacing w:before="0" w:after="280" w:line="276" w:lineRule="auto"/>
        <w:ind w:left="0" w:right="0" w:firstLine="0"/>
        <w:jc w:val="left"/>
        <w:rPr>
          <w:sz w:val="28"/>
          <w:szCs w:val="28"/>
        </w:rPr>
      </w:pPr>
      <w:bookmarkStart w:id="798" w:name="bookmark798"/>
      <w:r>
        <w:rPr>
          <w:color w:val="000000"/>
          <w:spacing w:val="0"/>
          <w:w w:val="100"/>
          <w:position w:val="0"/>
          <w:sz w:val="24"/>
          <w:szCs w:val="24"/>
        </w:rPr>
        <w:t>（</w:t>
      </w:r>
      <w:bookmarkEnd w:id="798"/>
      <w:r>
        <w:rPr>
          <w:color w:val="000000"/>
          <w:spacing w:val="0"/>
          <w:w w:val="100"/>
          <w:position w:val="0"/>
          <w:sz w:val="24"/>
          <w:szCs w:val="24"/>
        </w:rPr>
        <w:t>a）</w:t>
        <w:tab/>
      </w:r>
      <w:r>
        <w:rPr>
          <w:rFonts w:ascii="SimSun" w:eastAsia="SimSun" w:hAnsi="SimSun" w:cs="SimSun"/>
          <w:color w:val="000000"/>
          <w:spacing w:val="0"/>
          <w:w w:val="100"/>
          <w:position w:val="0"/>
          <w:sz w:val="24"/>
          <w:szCs w:val="24"/>
        </w:rPr>
        <w:t>金融资产</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shd w:val="clear" w:color="auto" w:fill="auto"/>
        <w:tabs>
          <w:tab w:pos="697" w:val="left"/>
        </w:tabs>
        <w:bidi w:val="0"/>
        <w:spacing w:before="0" w:after="220" w:line="276" w:lineRule="auto"/>
        <w:ind w:left="0" w:right="0" w:firstLine="0"/>
        <w:jc w:val="left"/>
      </w:pPr>
      <w:bookmarkStart w:id="799" w:name="bookmark799"/>
      <w:r>
        <w:rPr>
          <w:color w:val="000000"/>
          <w:spacing w:val="0"/>
          <w:w w:val="100"/>
          <w:position w:val="0"/>
          <w:sz w:val="24"/>
          <w:szCs w:val="24"/>
        </w:rPr>
        <w:t>（</w:t>
      </w:r>
      <w:bookmarkEnd w:id="799"/>
      <w:r>
        <w:rPr>
          <w:color w:val="000000"/>
          <w:spacing w:val="0"/>
          <w:w w:val="100"/>
          <w:position w:val="0"/>
          <w:sz w:val="24"/>
          <w:szCs w:val="24"/>
        </w:rPr>
        <w:t>iii）</w:t>
        <w:tab/>
      </w:r>
      <w:r>
        <w:rPr>
          <w:rFonts w:ascii="SimSun" w:eastAsia="SimSun" w:hAnsi="SimSun" w:cs="SimSun"/>
          <w:color w:val="000000"/>
          <w:spacing w:val="0"/>
          <w:w w:val="100"/>
          <w:position w:val="0"/>
          <w:sz w:val="24"/>
          <w:szCs w:val="24"/>
        </w:rPr>
        <w:t>终止确认</w:t>
      </w:r>
    </w:p>
    <w:p>
      <w:pPr>
        <w:pStyle w:val="Style72"/>
        <w:keepNext w:val="0"/>
        <w:keepLines w:val="0"/>
        <w:widowControl w:val="0"/>
        <w:shd w:val="clear" w:color="auto" w:fill="auto"/>
        <w:bidi w:val="0"/>
        <w:spacing w:before="0" w:after="280" w:line="313" w:lineRule="exact"/>
        <w:ind w:right="0" w:firstLine="0"/>
        <w:jc w:val="both"/>
      </w:pPr>
      <w:r>
        <w:rPr>
          <w:color w:val="000000"/>
          <w:spacing w:val="0"/>
          <w:w w:val="100"/>
          <w:position w:val="0"/>
          <w:sz w:val="24"/>
          <w:szCs w:val="24"/>
        </w:rPr>
        <w:t>金融资产满足下列条件之一的，予以终止确认：</w:t>
      </w:r>
      <w:r>
        <w:rPr>
          <w:color w:val="000000"/>
          <w:spacing w:val="0"/>
          <w:w w:val="100"/>
          <w:position w:val="0"/>
          <w:sz w:val="28"/>
          <w:szCs w:val="28"/>
        </w:rPr>
        <w:t>（</w:t>
      </w:r>
      <w:r>
        <w:rPr>
          <w:rFonts w:ascii="Arial" w:eastAsia="Arial" w:hAnsi="Arial" w:cs="Arial"/>
          <w:color w:val="000000"/>
          <w:spacing w:val="0"/>
          <w:w w:val="100"/>
          <w:position w:val="0"/>
          <w:sz w:val="24"/>
          <w:szCs w:val="24"/>
        </w:rPr>
        <w:t>1）</w:t>
      </w:r>
      <w:r>
        <w:rPr>
          <w:color w:val="000000"/>
          <w:spacing w:val="0"/>
          <w:w w:val="100"/>
          <w:position w:val="0"/>
          <w:sz w:val="24"/>
          <w:szCs w:val="24"/>
        </w:rPr>
        <w:t>收取该金融资产现金流量 的合同权利终止；</w:t>
      </w:r>
      <w:r>
        <w:rPr>
          <w:rFonts w:ascii="Arial" w:eastAsia="Arial" w:hAnsi="Arial" w:cs="Arial"/>
          <w:color w:val="000000"/>
          <w:spacing w:val="0"/>
          <w:w w:val="100"/>
          <w:position w:val="0"/>
          <w:sz w:val="24"/>
          <w:szCs w:val="24"/>
        </w:rPr>
        <w:t>（2）</w:t>
      </w:r>
      <w:r>
        <w:rPr>
          <w:color w:val="000000"/>
          <w:spacing w:val="0"/>
          <w:w w:val="100"/>
          <w:position w:val="0"/>
          <w:sz w:val="24"/>
          <w:szCs w:val="24"/>
        </w:rPr>
        <w:t>该金融资产已转移，且本集团将金融资产所有权上几乎 所有的风险和报酬转移给转入方；</w:t>
      </w:r>
      <w:r>
        <w:rPr>
          <w:color w:val="000000"/>
          <w:spacing w:val="0"/>
          <w:w w:val="100"/>
          <w:position w:val="0"/>
          <w:sz w:val="28"/>
          <w:szCs w:val="28"/>
        </w:rPr>
        <w:t>（</w:t>
      </w:r>
      <w:r>
        <w:rPr>
          <w:rFonts w:ascii="Arial" w:eastAsia="Arial" w:hAnsi="Arial" w:cs="Arial"/>
          <w:color w:val="000000"/>
          <w:spacing w:val="0"/>
          <w:w w:val="100"/>
          <w:position w:val="0"/>
          <w:sz w:val="24"/>
          <w:szCs w:val="24"/>
        </w:rPr>
        <w:t>3）</w:t>
      </w:r>
      <w:r>
        <w:rPr>
          <w:color w:val="000000"/>
          <w:spacing w:val="0"/>
          <w:w w:val="100"/>
          <w:position w:val="0"/>
          <w:sz w:val="24"/>
          <w:szCs w:val="24"/>
        </w:rPr>
        <w:t>该金融资产已转移，虽然本集团既没有 转移也没有保留金融资产所有权上几乎所有的风险和报酬，但是放弃了对该 金融资产控制。</w:t>
      </w:r>
    </w:p>
    <w:p>
      <w:pPr>
        <w:pStyle w:val="Style72"/>
        <w:keepNext w:val="0"/>
        <w:keepLines w:val="0"/>
        <w:widowControl w:val="0"/>
        <w:shd w:val="clear" w:color="auto" w:fill="auto"/>
        <w:bidi w:val="0"/>
        <w:spacing w:before="0" w:after="280" w:line="314" w:lineRule="exact"/>
        <w:ind w:right="0" w:firstLine="0"/>
        <w:jc w:val="both"/>
      </w:pPr>
      <w:r>
        <w:rPr>
          <w:color w:val="000000"/>
          <w:spacing w:val="0"/>
          <w:w w:val="100"/>
          <w:position w:val="0"/>
          <w:sz w:val="24"/>
          <w:szCs w:val="24"/>
        </w:rPr>
        <w:t>其他权益工具投资终止确认时，其账面价值与收到的对价以及原直接计入其 他综合收益的公允价值变动累计额之和的差额，计入留存收益；其余金融资 产终止确认时，其账面价值与收到的对价以及原直接计入其他综合收益的公 允价值变动累计额之和的差额，计入当期损益。</w:t>
      </w:r>
    </w:p>
    <w:p>
      <w:pPr>
        <w:pStyle w:val="Style72"/>
        <w:keepNext w:val="0"/>
        <w:keepLines w:val="0"/>
        <w:widowControl w:val="0"/>
        <w:shd w:val="clear" w:color="auto" w:fill="auto"/>
        <w:tabs>
          <w:tab w:pos="697" w:val="left"/>
        </w:tabs>
        <w:bidi w:val="0"/>
        <w:spacing w:before="0" w:after="220" w:line="276" w:lineRule="auto"/>
        <w:ind w:left="0" w:right="0" w:firstLine="0"/>
        <w:jc w:val="left"/>
      </w:pPr>
      <w:bookmarkStart w:id="800" w:name="bookmark800"/>
      <w:r>
        <w:rPr>
          <w:rFonts w:ascii="Arial" w:eastAsia="Arial" w:hAnsi="Arial" w:cs="Arial"/>
          <w:color w:val="000000"/>
          <w:spacing w:val="0"/>
          <w:w w:val="100"/>
          <w:position w:val="0"/>
          <w:sz w:val="24"/>
          <w:szCs w:val="24"/>
        </w:rPr>
        <w:t>（</w:t>
      </w:r>
      <w:bookmarkEnd w:id="800"/>
      <w:r>
        <w:rPr>
          <w:rFonts w:ascii="Arial" w:eastAsia="Arial" w:hAnsi="Arial" w:cs="Arial"/>
          <w:color w:val="000000"/>
          <w:spacing w:val="0"/>
          <w:w w:val="100"/>
          <w:position w:val="0"/>
          <w:sz w:val="24"/>
          <w:szCs w:val="24"/>
        </w:rPr>
        <w:t>b）</w:t>
        <w:tab/>
      </w:r>
      <w:r>
        <w:rPr>
          <w:color w:val="000000"/>
          <w:spacing w:val="0"/>
          <w:w w:val="100"/>
          <w:position w:val="0"/>
          <w:sz w:val="24"/>
          <w:szCs w:val="24"/>
        </w:rPr>
        <w:t>金融负债</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金融负债于初始确认时分类为以摊余成本计量的金融负债和以公允价值计量 且其变动计入当期损益的金融负债。</w:t>
      </w:r>
    </w:p>
    <w:p>
      <w:pPr>
        <w:pStyle w:val="Style72"/>
        <w:keepNext w:val="0"/>
        <w:keepLines w:val="0"/>
        <w:widowControl w:val="0"/>
        <w:shd w:val="clear" w:color="auto" w:fill="auto"/>
        <w:bidi w:val="0"/>
        <w:spacing w:before="0" w:after="280" w:line="310" w:lineRule="exact"/>
        <w:ind w:right="0" w:firstLine="0"/>
        <w:jc w:val="both"/>
      </w:pPr>
      <w:r>
        <w:rPr>
          <w:color w:val="000000"/>
          <w:spacing w:val="0"/>
          <w:w w:val="100"/>
          <w:position w:val="0"/>
          <w:sz w:val="24"/>
          <w:szCs w:val="24"/>
        </w:rPr>
        <w:t>本集团的金融负债主要为以摊余成本计量的金融负债，包括应付票据、应付 账款、其他应付款、借款、长期应付款及应付债券等。该类金融负债按其公 允价值扣除交易费用后的金额进行初始计量，并采用实际利率法进行后续计 量。期限在一年以下</w:t>
      </w:r>
      <w:r>
        <w:rPr>
          <w:rFonts w:ascii="Arial" w:eastAsia="Arial" w:hAnsi="Arial" w:cs="Arial"/>
          <w:color w:val="000000"/>
          <w:spacing w:val="0"/>
          <w:w w:val="100"/>
          <w:position w:val="0"/>
          <w:sz w:val="24"/>
          <w:szCs w:val="24"/>
        </w:rPr>
        <w:t>（</w:t>
      </w:r>
      <w:r>
        <w:rPr>
          <w:color w:val="000000"/>
          <w:spacing w:val="0"/>
          <w:w w:val="100"/>
          <w:position w:val="0"/>
          <w:sz w:val="24"/>
          <w:szCs w:val="24"/>
        </w:rPr>
        <w:t>含一年</w:t>
      </w:r>
      <w:r>
        <w:rPr>
          <w:rFonts w:ascii="Arial" w:eastAsia="Arial" w:hAnsi="Arial" w:cs="Arial"/>
          <w:color w:val="000000"/>
          <w:spacing w:val="0"/>
          <w:w w:val="100"/>
          <w:position w:val="0"/>
          <w:sz w:val="24"/>
          <w:szCs w:val="24"/>
        </w:rPr>
        <w:t>）</w:t>
      </w:r>
      <w:r>
        <w:rPr>
          <w:color w:val="000000"/>
          <w:spacing w:val="0"/>
          <w:w w:val="100"/>
          <w:position w:val="0"/>
          <w:sz w:val="24"/>
          <w:szCs w:val="24"/>
        </w:rPr>
        <w:t>的，列示为流动负债；期限在一年以上但自资产 负债表日起一年内</w:t>
      </w:r>
      <w:r>
        <w:rPr>
          <w:rFonts w:ascii="Arial" w:eastAsia="Arial" w:hAnsi="Arial" w:cs="Arial"/>
          <w:color w:val="000000"/>
          <w:spacing w:val="0"/>
          <w:w w:val="100"/>
          <w:position w:val="0"/>
          <w:sz w:val="24"/>
          <w:szCs w:val="24"/>
        </w:rPr>
        <w:t>（</w:t>
      </w:r>
      <w:r>
        <w:rPr>
          <w:color w:val="000000"/>
          <w:spacing w:val="0"/>
          <w:w w:val="100"/>
          <w:position w:val="0"/>
          <w:sz w:val="24"/>
          <w:szCs w:val="24"/>
        </w:rPr>
        <w:t>含一年</w:t>
      </w:r>
      <w:r>
        <w:rPr>
          <w:rFonts w:ascii="Arial" w:eastAsia="Arial" w:hAnsi="Arial" w:cs="Arial"/>
          <w:color w:val="000000"/>
          <w:spacing w:val="0"/>
          <w:w w:val="100"/>
          <w:position w:val="0"/>
          <w:sz w:val="24"/>
          <w:szCs w:val="24"/>
        </w:rPr>
        <w:t>）</w:t>
      </w:r>
      <w:r>
        <w:rPr>
          <w:color w:val="000000"/>
          <w:spacing w:val="0"/>
          <w:w w:val="100"/>
          <w:position w:val="0"/>
          <w:sz w:val="24"/>
          <w:szCs w:val="24"/>
        </w:rPr>
        <w:t>到期的，列示为一年内到期的非流动负债；其余列 示为非流动负债。</w:t>
      </w:r>
    </w:p>
    <w:p>
      <w:pPr>
        <w:pStyle w:val="Style72"/>
        <w:keepNext w:val="0"/>
        <w:keepLines w:val="0"/>
        <w:widowControl w:val="0"/>
        <w:shd w:val="clear" w:color="auto" w:fill="auto"/>
        <w:bidi w:val="0"/>
        <w:spacing w:before="0" w:after="280" w:line="314" w:lineRule="exact"/>
        <w:ind w:right="0" w:firstLine="0"/>
        <w:jc w:val="both"/>
        <w:sectPr>
          <w:footnotePr>
            <w:pos w:val="pageBottom"/>
            <w:numFmt w:val="decimal"/>
            <w:numStart w:val="1"/>
            <w:numRestart w:val="continuous"/>
            <w15:footnoteColumns w:val="1"/>
          </w:footnotePr>
          <w:pgSz w:w="11900" w:h="16840"/>
          <w:pgMar w:top="2329" w:right="1351" w:bottom="1191" w:left="1660" w:header="0" w:footer="3" w:gutter="0"/>
          <w:cols w:space="720"/>
          <w:noEndnote/>
          <w:rtlGutter w:val="0"/>
          <w:docGrid w:linePitch="360"/>
        </w:sectPr>
      </w:pPr>
      <w:r>
        <w:rPr>
          <w:color w:val="000000"/>
          <w:spacing w:val="0"/>
          <w:w w:val="100"/>
          <w:position w:val="0"/>
          <w:sz w:val="24"/>
          <w:szCs w:val="24"/>
        </w:rPr>
        <w:t>当金融负债的现时义务全部或部分已经解除时，本集团终止确认该金融负债 或义务已解除的部分。终止确认部分的账面价值与支付的对价之间的差额， 计入当期损益。</w:t>
      </w:r>
    </w:p>
    <w:p>
      <w:pPr>
        <w:pStyle w:val="Style72"/>
        <w:keepNext w:val="0"/>
        <w:keepLines w:val="0"/>
        <w:widowControl w:val="0"/>
        <w:shd w:val="clear" w:color="auto" w:fill="auto"/>
        <w:tabs>
          <w:tab w:pos="712"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numPr>
          <w:ilvl w:val="0"/>
          <w:numId w:val="35"/>
        </w:numPr>
        <w:shd w:val="clear" w:color="auto" w:fill="auto"/>
        <w:tabs>
          <w:tab w:pos="712" w:val="left"/>
        </w:tabs>
        <w:bidi w:val="0"/>
        <w:spacing w:before="0" w:after="240" w:line="276" w:lineRule="auto"/>
        <w:ind w:left="0" w:right="0" w:firstLine="0"/>
        <w:jc w:val="left"/>
        <w:rPr>
          <w:sz w:val="28"/>
          <w:szCs w:val="28"/>
        </w:rPr>
      </w:pPr>
      <w:bookmarkStart w:id="801" w:name="bookmark801"/>
      <w:bookmarkEnd w:id="801"/>
      <w:r>
        <w:rPr>
          <w:rFonts w:ascii="SimSun" w:eastAsia="SimSun" w:hAnsi="SimSun" w:cs="SimSun"/>
          <w:b/>
          <w:bCs/>
          <w:color w:val="000000"/>
          <w:spacing w:val="0"/>
          <w:w w:val="100"/>
          <w:position w:val="0"/>
          <w:sz w:val="24"/>
          <w:szCs w:val="24"/>
        </w:rPr>
        <w:t>金融工具</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numPr>
          <w:ilvl w:val="0"/>
          <w:numId w:val="31"/>
        </w:numPr>
        <w:shd w:val="clear" w:color="auto" w:fill="auto"/>
        <w:tabs>
          <w:tab w:pos="712" w:val="left"/>
        </w:tabs>
        <w:bidi w:val="0"/>
        <w:spacing w:before="0" w:after="240" w:line="276" w:lineRule="auto"/>
        <w:ind w:left="0" w:right="0" w:firstLine="0"/>
        <w:jc w:val="left"/>
      </w:pPr>
      <w:bookmarkStart w:id="802" w:name="bookmark802"/>
      <w:bookmarkEnd w:id="802"/>
      <w:r>
        <w:rPr>
          <w:color w:val="000000"/>
          <w:spacing w:val="0"/>
          <w:w w:val="100"/>
          <w:position w:val="0"/>
          <w:sz w:val="24"/>
          <w:szCs w:val="24"/>
        </w:rPr>
        <w:t>金融工具的公允价值确定</w:t>
      </w:r>
    </w:p>
    <w:p>
      <w:pPr>
        <w:pStyle w:val="Style72"/>
        <w:keepNext w:val="0"/>
        <w:keepLines w:val="0"/>
        <w:widowControl w:val="0"/>
        <w:shd w:val="clear" w:color="auto" w:fill="auto"/>
        <w:bidi w:val="0"/>
        <w:spacing w:before="0" w:after="300" w:line="314" w:lineRule="exact"/>
        <w:ind w:right="0" w:firstLine="0"/>
        <w:jc w:val="both"/>
      </w:pPr>
      <w:r>
        <w:rPr>
          <w:color w:val="000000"/>
          <w:spacing w:val="0"/>
          <w:w w:val="100"/>
          <w:position w:val="0"/>
          <w:sz w:val="24"/>
          <w:szCs w:val="24"/>
        </w:rPr>
        <w:t>存在活跃市场的金融工具，以活跃市场中的报价确定其公允价值。不存在活 跃市场的金融工具，采用估值技术确定其公允价值。在估值时，本集团采用 在当前情况下适用并且有足够可利用数据和其他信息支持的估值技术，选择 与市场参与者在相关资产或负债的交易中所考虑的资产或负债特征相一致的 输入值，并尽可能优先使用相关可观察输入值。在相关可观察输入值无法取 得或取得不切实可行的情况下，使用不可观察输入值。</w:t>
      </w:r>
    </w:p>
    <w:p>
      <w:pPr>
        <w:pStyle w:val="Style72"/>
        <w:keepNext w:val="0"/>
        <w:keepLines w:val="0"/>
        <w:widowControl w:val="0"/>
        <w:numPr>
          <w:ilvl w:val="0"/>
          <w:numId w:val="31"/>
        </w:numPr>
        <w:shd w:val="clear" w:color="auto" w:fill="auto"/>
        <w:tabs>
          <w:tab w:pos="712" w:val="left"/>
        </w:tabs>
        <w:bidi w:val="0"/>
        <w:spacing w:before="0" w:after="240" w:line="276" w:lineRule="auto"/>
        <w:ind w:left="0" w:right="0" w:firstLine="0"/>
        <w:jc w:val="left"/>
      </w:pPr>
      <w:bookmarkStart w:id="803" w:name="bookmark803"/>
      <w:bookmarkEnd w:id="803"/>
      <w:r>
        <w:rPr>
          <w:color w:val="000000"/>
          <w:spacing w:val="0"/>
          <w:w w:val="100"/>
          <w:position w:val="0"/>
          <w:sz w:val="24"/>
          <w:szCs w:val="24"/>
        </w:rPr>
        <w:t>衍生金融工具及套期会计</w:t>
      </w:r>
    </w:p>
    <w:p>
      <w:pPr>
        <w:pStyle w:val="Style72"/>
        <w:keepNext w:val="0"/>
        <w:keepLines w:val="0"/>
        <w:widowControl w:val="0"/>
        <w:shd w:val="clear" w:color="auto" w:fill="auto"/>
        <w:bidi w:val="0"/>
        <w:spacing w:before="0" w:after="300" w:line="314" w:lineRule="exact"/>
        <w:ind w:right="0" w:firstLine="0"/>
        <w:jc w:val="both"/>
      </w:pPr>
      <w:r>
        <w:rPr>
          <w:color w:val="000000"/>
          <w:spacing w:val="0"/>
          <w:w w:val="100"/>
          <w:position w:val="0"/>
          <w:sz w:val="24"/>
          <w:szCs w:val="24"/>
        </w:rPr>
        <w:t>衍生金融工具于初始确认时以公允价值计重，并在每个资产负债表日重新评 估其公允价值。衍生金融工具重新评估其公允价值产生的利得和损失，除满 足套期会计的要求以外，计入当期损益。</w:t>
      </w:r>
    </w:p>
    <w:p>
      <w:pPr>
        <w:pStyle w:val="Style92"/>
        <w:keepNext w:val="0"/>
        <w:keepLines w:val="0"/>
        <w:widowControl w:val="0"/>
        <w:numPr>
          <w:ilvl w:val="0"/>
          <w:numId w:val="35"/>
        </w:numPr>
        <w:shd w:val="clear" w:color="auto" w:fill="auto"/>
        <w:tabs>
          <w:tab w:pos="712" w:val="left"/>
        </w:tabs>
        <w:bidi w:val="0"/>
        <w:spacing w:before="0" w:after="240" w:line="276" w:lineRule="auto"/>
        <w:ind w:left="0" w:right="0" w:firstLine="0"/>
        <w:jc w:val="left"/>
      </w:pPr>
      <w:bookmarkStart w:id="804" w:name="bookmark804"/>
      <w:bookmarkEnd w:id="804"/>
      <w:r>
        <w:rPr>
          <w:rFonts w:ascii="SimSun" w:eastAsia="SimSun" w:hAnsi="SimSun" w:cs="SimSun"/>
          <w:b/>
          <w:bCs/>
          <w:color w:val="000000"/>
          <w:spacing w:val="0"/>
          <w:w w:val="100"/>
          <w:position w:val="0"/>
          <w:sz w:val="24"/>
          <w:szCs w:val="24"/>
        </w:rPr>
        <w:t>存货</w:t>
      </w:r>
    </w:p>
    <w:p>
      <w:pPr>
        <w:pStyle w:val="Style92"/>
        <w:keepNext w:val="0"/>
        <w:keepLines w:val="0"/>
        <w:widowControl w:val="0"/>
        <w:numPr>
          <w:ilvl w:val="0"/>
          <w:numId w:val="37"/>
        </w:numPr>
        <w:shd w:val="clear" w:color="auto" w:fill="auto"/>
        <w:tabs>
          <w:tab w:pos="712" w:val="left"/>
        </w:tabs>
        <w:bidi w:val="0"/>
        <w:spacing w:before="0" w:after="240" w:line="276" w:lineRule="auto"/>
        <w:ind w:left="0" w:right="0" w:firstLine="0"/>
        <w:jc w:val="left"/>
      </w:pPr>
      <w:bookmarkStart w:id="805" w:name="bookmark805"/>
      <w:bookmarkEnd w:id="805"/>
      <w:r>
        <w:rPr>
          <w:rFonts w:ascii="SimSun" w:eastAsia="SimSun" w:hAnsi="SimSun" w:cs="SimSun"/>
          <w:color w:val="000000"/>
          <w:spacing w:val="0"/>
          <w:w w:val="100"/>
          <w:position w:val="0"/>
          <w:sz w:val="24"/>
          <w:szCs w:val="24"/>
        </w:rPr>
        <w:t>分类</w:t>
      </w:r>
    </w:p>
    <w:p>
      <w:pPr>
        <w:pStyle w:val="Style72"/>
        <w:keepNext w:val="0"/>
        <w:keepLines w:val="0"/>
        <w:widowControl w:val="0"/>
        <w:shd w:val="clear" w:color="auto" w:fill="auto"/>
        <w:bidi w:val="0"/>
        <w:spacing w:before="0" w:after="300" w:line="310" w:lineRule="exact"/>
        <w:ind w:right="0" w:firstLine="0"/>
        <w:jc w:val="both"/>
      </w:pPr>
      <w:r>
        <w:rPr>
          <w:color w:val="000000"/>
          <w:spacing w:val="0"/>
          <w:w w:val="100"/>
          <w:position w:val="0"/>
          <w:sz w:val="24"/>
          <w:szCs w:val="24"/>
        </w:rPr>
        <w:t>存货包括库存商品、安装维修用备件和房地产开发产品，按成本与可变现净 值孰低计量。房地产开发成本是指尚未建成、以出售为目的的物业；房地产 开发产品是指已建成、待出售的物业。</w:t>
      </w:r>
    </w:p>
    <w:p>
      <w:pPr>
        <w:pStyle w:val="Style72"/>
        <w:keepNext w:val="0"/>
        <w:keepLines w:val="0"/>
        <w:widowControl w:val="0"/>
        <w:numPr>
          <w:ilvl w:val="0"/>
          <w:numId w:val="37"/>
        </w:numPr>
        <w:shd w:val="clear" w:color="auto" w:fill="auto"/>
        <w:tabs>
          <w:tab w:pos="712" w:val="left"/>
        </w:tabs>
        <w:bidi w:val="0"/>
        <w:spacing w:before="0" w:after="240" w:line="276" w:lineRule="auto"/>
        <w:ind w:left="0" w:right="0" w:firstLine="0"/>
        <w:jc w:val="left"/>
      </w:pPr>
      <w:bookmarkStart w:id="806" w:name="bookmark806"/>
      <w:bookmarkEnd w:id="806"/>
      <w:r>
        <w:rPr>
          <w:color w:val="000000"/>
          <w:spacing w:val="0"/>
          <w:w w:val="100"/>
          <w:position w:val="0"/>
          <w:sz w:val="24"/>
          <w:szCs w:val="24"/>
        </w:rPr>
        <w:t>发出存货的计价方法</w:t>
      </w:r>
    </w:p>
    <w:p>
      <w:pPr>
        <w:pStyle w:val="Style72"/>
        <w:keepNext w:val="0"/>
        <w:keepLines w:val="0"/>
        <w:widowControl w:val="0"/>
        <w:shd w:val="clear" w:color="auto" w:fill="auto"/>
        <w:bidi w:val="0"/>
        <w:spacing w:before="0" w:after="240" w:line="311" w:lineRule="exact"/>
        <w:ind w:right="0" w:firstLine="0"/>
        <w:jc w:val="both"/>
      </w:pPr>
      <w:r>
        <w:rPr>
          <w:color w:val="000000"/>
          <w:spacing w:val="0"/>
          <w:w w:val="100"/>
          <w:position w:val="0"/>
          <w:sz w:val="24"/>
          <w:szCs w:val="24"/>
        </w:rPr>
        <w:t>库存商品销售时的成本按先进先出法核算，库存商品成本包括采购成本并扣 除供应商给予的折扣及折让。房地产开发成本和房地产开发产品的成本包括 与房地产开发相关的土地成本、建筑成本、符合资本化条件的借款费用、其 他直接和间接开发费用等。房地产开发成本于完工后按实际成本结转为开发 产品；房地产开发产品结转成本时按个别认定法核算。</w:t>
      </w:r>
    </w:p>
    <w:p>
      <w:pPr>
        <w:pStyle w:val="Style72"/>
        <w:keepNext w:val="0"/>
        <w:keepLines w:val="0"/>
        <w:widowControl w:val="0"/>
        <w:numPr>
          <w:ilvl w:val="0"/>
          <w:numId w:val="37"/>
        </w:numPr>
        <w:shd w:val="clear" w:color="auto" w:fill="auto"/>
        <w:tabs>
          <w:tab w:pos="712" w:val="left"/>
        </w:tabs>
        <w:bidi w:val="0"/>
        <w:spacing w:before="0" w:after="240" w:line="314" w:lineRule="exact"/>
        <w:ind w:left="0" w:right="0" w:firstLine="0"/>
        <w:jc w:val="left"/>
      </w:pPr>
      <w:bookmarkStart w:id="807" w:name="bookmark807"/>
      <w:bookmarkEnd w:id="807"/>
      <w:r>
        <w:rPr>
          <w:color w:val="000000"/>
          <w:spacing w:val="0"/>
          <w:w w:val="100"/>
          <w:position w:val="0"/>
          <w:sz w:val="24"/>
          <w:szCs w:val="24"/>
        </w:rPr>
        <w:t>存货可变现净值的确定依据及存货跌价准备的计提方法</w:t>
      </w:r>
    </w:p>
    <w:p>
      <w:pPr>
        <w:pStyle w:val="Style72"/>
        <w:keepNext w:val="0"/>
        <w:keepLines w:val="0"/>
        <w:widowControl w:val="0"/>
        <w:shd w:val="clear" w:color="auto" w:fill="auto"/>
        <w:bidi w:val="0"/>
        <w:spacing w:before="0" w:after="240" w:line="314" w:lineRule="exact"/>
        <w:ind w:right="0" w:firstLine="0"/>
        <w:jc w:val="both"/>
      </w:pPr>
      <w:r>
        <w:rPr>
          <w:color w:val="000000"/>
          <w:spacing w:val="0"/>
          <w:w w:val="100"/>
          <w:position w:val="0"/>
          <w:sz w:val="24"/>
          <w:szCs w:val="24"/>
        </w:rPr>
        <w:t>存货跌价准备按存货成本高于其可变现净值的差额计提。可变现净值按日常 活动中，以存货的估计售价减去至完工时估计将要发生的成本、估计的销售 费用以及相关税费后的金额确定。</w:t>
      </w:r>
    </w:p>
    <w:p>
      <w:pPr>
        <w:pStyle w:val="Style72"/>
        <w:keepNext w:val="0"/>
        <w:keepLines w:val="0"/>
        <w:widowControl w:val="0"/>
        <w:shd w:val="clear" w:color="auto" w:fill="auto"/>
        <w:tabs>
          <w:tab w:pos="716" w:val="left"/>
        </w:tabs>
        <w:bidi w:val="0"/>
        <w:spacing w:before="0" w:after="32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numPr>
          <w:ilvl w:val="0"/>
          <w:numId w:val="23"/>
        </w:numPr>
        <w:shd w:val="clear" w:color="auto" w:fill="auto"/>
        <w:tabs>
          <w:tab w:pos="716" w:val="left"/>
        </w:tabs>
        <w:bidi w:val="0"/>
        <w:spacing w:before="0" w:after="240" w:line="276" w:lineRule="auto"/>
        <w:ind w:left="0" w:right="0" w:firstLine="0"/>
        <w:jc w:val="left"/>
        <w:rPr>
          <w:sz w:val="28"/>
          <w:szCs w:val="28"/>
        </w:rPr>
      </w:pPr>
      <w:bookmarkStart w:id="808" w:name="bookmark808"/>
      <w:bookmarkEnd w:id="808"/>
      <w:r>
        <w:rPr>
          <w:rFonts w:ascii="SimSun" w:eastAsia="SimSun" w:hAnsi="SimSun" w:cs="SimSun"/>
          <w:b/>
          <w:bCs/>
          <w:color w:val="000000"/>
          <w:spacing w:val="0"/>
          <w:w w:val="100"/>
          <w:position w:val="0"/>
          <w:sz w:val="24"/>
          <w:szCs w:val="24"/>
        </w:rPr>
        <w:t>存货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numPr>
          <w:ilvl w:val="0"/>
          <w:numId w:val="37"/>
        </w:numPr>
        <w:shd w:val="clear" w:color="auto" w:fill="auto"/>
        <w:tabs>
          <w:tab w:pos="716" w:val="left"/>
        </w:tabs>
        <w:bidi w:val="0"/>
        <w:spacing w:before="0" w:after="240" w:line="276" w:lineRule="auto"/>
        <w:ind w:left="0" w:right="0" w:firstLine="0"/>
        <w:jc w:val="left"/>
      </w:pPr>
      <w:bookmarkStart w:id="809" w:name="bookmark809"/>
      <w:bookmarkEnd w:id="809"/>
      <w:r>
        <w:rPr>
          <w:color w:val="000000"/>
          <w:spacing w:val="0"/>
          <w:w w:val="100"/>
          <w:position w:val="0"/>
          <w:sz w:val="24"/>
          <w:szCs w:val="24"/>
        </w:rPr>
        <w:t>安装维修用备件的摊销方法</w:t>
      </w:r>
    </w:p>
    <w:p>
      <w:pPr>
        <w:pStyle w:val="Style72"/>
        <w:keepNext w:val="0"/>
        <w:keepLines w:val="0"/>
        <w:widowControl w:val="0"/>
        <w:shd w:val="clear" w:color="auto" w:fill="auto"/>
        <w:bidi w:val="0"/>
        <w:spacing w:before="0" w:after="240" w:line="314" w:lineRule="exact"/>
        <w:ind w:left="0" w:right="0" w:firstLine="720"/>
        <w:jc w:val="left"/>
      </w:pPr>
      <w:bookmarkStart w:id="810" w:name="bookmark810"/>
      <w:r>
        <w:rPr>
          <w:color w:val="000000"/>
          <w:spacing w:val="0"/>
          <w:w w:val="100"/>
          <w:position w:val="0"/>
          <w:sz w:val="24"/>
          <w:szCs w:val="24"/>
        </w:rPr>
        <w:t>安</w:t>
      </w:r>
      <w:bookmarkEnd w:id="810"/>
      <w:r>
        <w:rPr>
          <w:color w:val="000000"/>
          <w:spacing w:val="0"/>
          <w:w w:val="100"/>
          <w:position w:val="0"/>
          <w:sz w:val="24"/>
          <w:szCs w:val="24"/>
        </w:rPr>
        <w:t>装维修用备件采用一次转销法进行摊销。</w:t>
      </w:r>
    </w:p>
    <w:p>
      <w:pPr>
        <w:pStyle w:val="Style72"/>
        <w:keepNext w:val="0"/>
        <w:keepLines w:val="0"/>
        <w:widowControl w:val="0"/>
        <w:numPr>
          <w:ilvl w:val="0"/>
          <w:numId w:val="37"/>
        </w:numPr>
        <w:shd w:val="clear" w:color="auto" w:fill="auto"/>
        <w:tabs>
          <w:tab w:pos="716" w:val="left"/>
        </w:tabs>
        <w:bidi w:val="0"/>
        <w:spacing w:before="0" w:after="320" w:line="314" w:lineRule="exact"/>
        <w:ind w:left="0" w:right="0" w:firstLine="0"/>
        <w:jc w:val="left"/>
      </w:pPr>
      <w:bookmarkStart w:id="811" w:name="bookmark811"/>
      <w:bookmarkEnd w:id="811"/>
      <w:r>
        <w:rPr>
          <w:color w:val="000000"/>
          <w:spacing w:val="0"/>
          <w:w w:val="100"/>
          <w:position w:val="0"/>
          <w:sz w:val="24"/>
          <w:szCs w:val="24"/>
        </w:rPr>
        <w:t>本集团的存货盘存制度采用永续盘存制。</w:t>
      </w:r>
    </w:p>
    <w:p>
      <w:pPr>
        <w:pStyle w:val="Style72"/>
        <w:keepNext w:val="0"/>
        <w:keepLines w:val="0"/>
        <w:widowControl w:val="0"/>
        <w:numPr>
          <w:ilvl w:val="0"/>
          <w:numId w:val="23"/>
        </w:numPr>
        <w:shd w:val="clear" w:color="auto" w:fill="auto"/>
        <w:tabs>
          <w:tab w:pos="716" w:val="left"/>
        </w:tabs>
        <w:bidi w:val="0"/>
        <w:spacing w:before="0" w:after="240" w:line="240" w:lineRule="auto"/>
        <w:ind w:left="0" w:right="0" w:firstLine="0"/>
        <w:jc w:val="left"/>
      </w:pPr>
      <w:bookmarkStart w:id="812" w:name="bookmark812"/>
      <w:bookmarkEnd w:id="812"/>
      <w:r>
        <w:rPr>
          <w:b/>
          <w:bCs/>
          <w:color w:val="000000"/>
          <w:spacing w:val="0"/>
          <w:w w:val="100"/>
          <w:position w:val="0"/>
          <w:sz w:val="24"/>
          <w:szCs w:val="24"/>
        </w:rPr>
        <w:t>长期股权投资</w:t>
      </w:r>
    </w:p>
    <w:p>
      <w:pPr>
        <w:pStyle w:val="Style72"/>
        <w:keepNext w:val="0"/>
        <w:keepLines w:val="0"/>
        <w:widowControl w:val="0"/>
        <w:shd w:val="clear" w:color="auto" w:fill="auto"/>
        <w:bidi w:val="0"/>
        <w:spacing w:before="0" w:after="240" w:line="317" w:lineRule="exact"/>
        <w:ind w:right="0" w:firstLine="0"/>
        <w:jc w:val="both"/>
      </w:pPr>
      <w:r>
        <w:rPr>
          <w:color w:val="000000"/>
          <w:spacing w:val="0"/>
          <w:w w:val="100"/>
          <w:position w:val="0"/>
          <w:sz w:val="24"/>
          <w:szCs w:val="24"/>
        </w:rPr>
        <w:t>长期股权投资包括：本公司对子公司的长期股权投资；本集团对合营企业和 联营企业的长期股权投资。</w:t>
      </w:r>
    </w:p>
    <w:p>
      <w:pPr>
        <w:pStyle w:val="Style72"/>
        <w:keepNext w:val="0"/>
        <w:keepLines w:val="0"/>
        <w:widowControl w:val="0"/>
        <w:shd w:val="clear" w:color="auto" w:fill="auto"/>
        <w:bidi w:val="0"/>
        <w:spacing w:before="0" w:after="240" w:line="314" w:lineRule="exact"/>
        <w:ind w:right="0" w:firstLine="0"/>
        <w:jc w:val="both"/>
      </w:pPr>
      <w:r>
        <w:rPr>
          <w:color w:val="000000"/>
          <w:spacing w:val="0"/>
          <w:w w:val="100"/>
          <w:position w:val="0"/>
          <w:sz w:val="24"/>
          <w:szCs w:val="24"/>
        </w:rPr>
        <w:t>子公司为本公司能够对其实施控制的被投资单位。合营企业为本集团通过单 独主体达成，能够与其他方实施共同控制，且基于法律形式、合同条款及其 他事实与情况仅对其净资产享有权利的合营安排。联营企业为本集团能够对 其财务和经营决策具有重大影响的被投资单位。</w:t>
      </w:r>
    </w:p>
    <w:p>
      <w:pPr>
        <w:pStyle w:val="Style72"/>
        <w:keepNext w:val="0"/>
        <w:keepLines w:val="0"/>
        <w:widowControl w:val="0"/>
        <w:shd w:val="clear" w:color="auto" w:fill="auto"/>
        <w:bidi w:val="0"/>
        <w:spacing w:before="0" w:after="240" w:line="319" w:lineRule="exact"/>
        <w:ind w:right="0" w:firstLine="0"/>
        <w:jc w:val="both"/>
      </w:pPr>
      <w:r>
        <w:rPr>
          <w:color w:val="000000"/>
          <w:spacing w:val="0"/>
          <w:w w:val="100"/>
          <w:position w:val="0"/>
          <w:sz w:val="24"/>
          <w:szCs w:val="24"/>
        </w:rPr>
        <w:t>本集团在初始确认联营企业的长期股权投资时，根据持有意图和投资成果评 价标准选择是否将其指定为以公允价值计量且其变动计入当期损益的金融资 产。</w:t>
      </w:r>
    </w:p>
    <w:p>
      <w:pPr>
        <w:pStyle w:val="Style72"/>
        <w:keepNext w:val="0"/>
        <w:keepLines w:val="0"/>
        <w:widowControl w:val="0"/>
        <w:shd w:val="clear" w:color="auto" w:fill="auto"/>
        <w:bidi w:val="0"/>
        <w:spacing w:before="0" w:after="320" w:line="314" w:lineRule="exact"/>
        <w:ind w:right="0" w:firstLine="0"/>
        <w:jc w:val="both"/>
      </w:pPr>
      <w:r>
        <w:rPr>
          <w:color w:val="000000"/>
          <w:spacing w:val="0"/>
          <w:w w:val="100"/>
          <w:position w:val="0"/>
          <w:sz w:val="24"/>
          <w:szCs w:val="24"/>
        </w:rPr>
        <w:t>对子公司的投资，在公司财务报表中按照成本法确定的金额列示，在编制合 并财务报表时按权益法调整后进行合并；对合营企业和联营企业投资采用权 益法核算。</w:t>
      </w:r>
    </w:p>
    <w:p>
      <w:pPr>
        <w:pStyle w:val="Style72"/>
        <w:keepNext w:val="0"/>
        <w:keepLines w:val="0"/>
        <w:widowControl w:val="0"/>
        <w:numPr>
          <w:ilvl w:val="0"/>
          <w:numId w:val="39"/>
        </w:numPr>
        <w:shd w:val="clear" w:color="auto" w:fill="auto"/>
        <w:tabs>
          <w:tab w:pos="716" w:val="left"/>
        </w:tabs>
        <w:bidi w:val="0"/>
        <w:spacing w:before="0" w:after="240" w:line="276" w:lineRule="auto"/>
        <w:ind w:left="0" w:right="0" w:firstLine="0"/>
        <w:jc w:val="left"/>
      </w:pPr>
      <w:bookmarkStart w:id="813" w:name="bookmark813"/>
      <w:bookmarkEnd w:id="813"/>
      <w:r>
        <w:rPr>
          <w:color w:val="000000"/>
          <w:spacing w:val="0"/>
          <w:w w:val="100"/>
          <w:position w:val="0"/>
          <w:sz w:val="24"/>
          <w:szCs w:val="24"/>
        </w:rPr>
        <w:t>投资成本确定</w:t>
      </w:r>
    </w:p>
    <w:p>
      <w:pPr>
        <w:pStyle w:val="Style72"/>
        <w:keepNext w:val="0"/>
        <w:keepLines w:val="0"/>
        <w:widowControl w:val="0"/>
        <w:shd w:val="clear" w:color="auto" w:fill="auto"/>
        <w:bidi w:val="0"/>
        <w:spacing w:before="0" w:after="240" w:line="314" w:lineRule="exact"/>
        <w:ind w:right="0" w:firstLine="0"/>
        <w:jc w:val="both"/>
      </w:pPr>
      <w:r>
        <w:rPr>
          <w:color w:val="000000"/>
          <w:spacing w:val="0"/>
          <w:w w:val="100"/>
          <w:position w:val="0"/>
          <w:sz w:val="24"/>
          <w:szCs w:val="24"/>
        </w:rPr>
        <w:t>同一控制下企业合并形成的长期股权投资，在合并日按照被合并方所有者权 益在最终控制方合并财务报表中的账面价值的份额作为投资成本；非同一控 制下企业合并形成的长期股权投资，按照合并成本作为长期股权投资的投资 成本。</w:t>
      </w:r>
    </w:p>
    <w:p>
      <w:pPr>
        <w:pStyle w:val="Style72"/>
        <w:keepNext w:val="0"/>
        <w:keepLines w:val="0"/>
        <w:widowControl w:val="0"/>
        <w:shd w:val="clear" w:color="auto" w:fill="auto"/>
        <w:bidi w:val="0"/>
        <w:spacing w:before="0" w:after="240" w:line="312" w:lineRule="exact"/>
        <w:ind w:right="0" w:firstLine="0"/>
        <w:jc w:val="both"/>
      </w:pPr>
      <w:r>
        <w:rPr>
          <w:color w:val="000000"/>
          <w:spacing w:val="0"/>
          <w:w w:val="100"/>
          <w:position w:val="0"/>
          <w:sz w:val="24"/>
          <w:szCs w:val="24"/>
        </w:rPr>
        <w:t>对于以企业合并以外的其他方式取得的长期股权投资，以支付现金取得的长 期股权投资，按照实际支付的购买价款作为初始投资成本；以发行权益性证 券取得的长期股权投资，按发行权益性证券的公允价值确认为初始投资成本。</w:t>
      </w:r>
    </w:p>
    <w:p>
      <w:pPr>
        <w:pStyle w:val="Style72"/>
        <w:keepNext w:val="0"/>
        <w:keepLines w:val="0"/>
        <w:widowControl w:val="0"/>
        <w:shd w:val="clear" w:color="auto" w:fill="auto"/>
        <w:tabs>
          <w:tab w:pos="701" w:val="left"/>
        </w:tabs>
        <w:bidi w:val="0"/>
        <w:spacing w:before="0" w:after="32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60" w:line="240" w:lineRule="auto"/>
        <w:ind w:left="0" w:right="0" w:firstLine="0"/>
        <w:jc w:val="left"/>
        <w:rPr>
          <w:sz w:val="28"/>
          <w:szCs w:val="28"/>
        </w:rPr>
      </w:pPr>
      <w:r>
        <w:rPr>
          <w:rFonts w:ascii="Arial" w:eastAsia="Arial" w:hAnsi="Arial" w:cs="Arial"/>
          <w:color w:val="000000"/>
          <w:spacing w:val="0"/>
          <w:w w:val="100"/>
          <w:position w:val="0"/>
          <w:sz w:val="24"/>
          <w:szCs w:val="24"/>
        </w:rPr>
        <w:t>（11）</w:t>
      </w:r>
      <w:r>
        <w:rPr>
          <w:b/>
          <w:bCs/>
          <w:color w:val="000000"/>
          <w:spacing w:val="0"/>
          <w:w w:val="100"/>
          <w:position w:val="0"/>
          <w:sz w:val="24"/>
          <w:szCs w:val="24"/>
        </w:rPr>
        <w:t>长期股权投资</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1" w:val="left"/>
        </w:tabs>
        <w:bidi w:val="0"/>
        <w:spacing w:before="0" w:after="260" w:line="271" w:lineRule="auto"/>
        <w:ind w:left="0" w:right="0" w:firstLine="0"/>
        <w:jc w:val="left"/>
      </w:pPr>
      <w:bookmarkStart w:id="814" w:name="bookmark814"/>
      <w:r>
        <w:rPr>
          <w:rFonts w:ascii="Arial" w:eastAsia="Arial" w:hAnsi="Arial" w:cs="Arial"/>
          <w:color w:val="000000"/>
          <w:spacing w:val="0"/>
          <w:w w:val="100"/>
          <w:position w:val="0"/>
          <w:sz w:val="24"/>
          <w:szCs w:val="24"/>
        </w:rPr>
        <w:t>（</w:t>
      </w:r>
      <w:bookmarkEnd w:id="814"/>
      <w:r>
        <w:rPr>
          <w:rFonts w:ascii="Arial" w:eastAsia="Arial" w:hAnsi="Arial" w:cs="Arial"/>
          <w:color w:val="000000"/>
          <w:spacing w:val="0"/>
          <w:w w:val="100"/>
          <w:position w:val="0"/>
          <w:sz w:val="24"/>
          <w:szCs w:val="24"/>
        </w:rPr>
        <w:t>b）</w:t>
        <w:tab/>
      </w:r>
      <w:r>
        <w:rPr>
          <w:color w:val="000000"/>
          <w:spacing w:val="0"/>
          <w:w w:val="100"/>
          <w:position w:val="0"/>
          <w:sz w:val="24"/>
          <w:szCs w:val="24"/>
        </w:rPr>
        <w:t>后续计量及损益确认方法</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采用成本法核算的长期股权投资，按照初始投资成本计量，被投资单位宣告 分派的现金股利或利润，确认为投资收益计入当期损益。</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采用权益法核算的长期股权投资，初始投资成本大于投资时应享有被投资单 位可辨认净资产公允价值份额的，以初始投资成本作为长期股权投资成本； 初始投资成本小于投资时应享有被投资单位可辨认净资产公允价值份额的， 其差额计入当期损益，并相应调增长期股权投资成本。</w:t>
      </w:r>
    </w:p>
    <w:p>
      <w:pPr>
        <w:pStyle w:val="Style72"/>
        <w:keepNext w:val="0"/>
        <w:keepLines w:val="0"/>
        <w:widowControl w:val="0"/>
        <w:shd w:val="clear" w:color="auto" w:fill="auto"/>
        <w:bidi w:val="0"/>
        <w:spacing w:before="0" w:after="0"/>
        <w:ind w:right="0" w:firstLine="0"/>
        <w:jc w:val="both"/>
      </w:pPr>
      <w:r>
        <w:rPr>
          <w:color w:val="000000"/>
          <w:spacing w:val="0"/>
          <w:w w:val="100"/>
          <w:position w:val="0"/>
          <w:sz w:val="24"/>
          <w:szCs w:val="24"/>
        </w:rPr>
        <w:t>采用权益法核算的长期股权投资，本集团按应享有或应分担的被投资单位的 净损益份额确认当期投资损益。确认被投资单位发生的净亏损，以长期股权 投资的账面价值以及其他实质上构成对被投资单位净投资的长期权益减记至 零为限，但本集团负有承担额外损失义务且符合预计负债确认条件的，继续 确认预计将承担的损失金额。被投资单位除净损益、其他综合收益和利润分 配以外所有者权益的其他变动，调整长期股权投资的账面价值并计入资本公 积。被投资单位分派的利润或现金股利于宣告分派时按照本集团应分得的部 分，相应减少长期股权投资的账面价值。对于本集团与被投资单位之间发生 出售资产的交易，若该资产构成业务的，本集团将向被投单位出售业务取得 的对价与业务的账面价值之间的差额，全额确认损益；若未构成业务的，本 集团将与被投资单位之间未实现的内部交易损益按照持股比例计算归属于本 集团的部分，予以抵销，在此基础上确认投资损益。</w:t>
      </w:r>
    </w:p>
    <w:p>
      <w:pPr>
        <w:pStyle w:val="Style72"/>
        <w:keepNext w:val="0"/>
        <w:keepLines w:val="0"/>
        <w:widowControl w:val="0"/>
        <w:shd w:val="clear" w:color="auto" w:fill="auto"/>
        <w:bidi w:val="0"/>
        <w:spacing w:before="0" w:after="260"/>
        <w:ind w:right="0" w:firstLine="0"/>
        <w:jc w:val="both"/>
        <w:sectPr>
          <w:footnotePr>
            <w:pos w:val="pageBottom"/>
            <w:numFmt w:val="decimal"/>
            <w:numStart w:val="1"/>
            <w:numRestart w:val="continuous"/>
            <w15:footnoteColumns w:val="1"/>
          </w:footnotePr>
          <w:pgSz w:w="11900" w:h="16840"/>
          <w:pgMar w:top="2338" w:right="1322" w:bottom="2448" w:left="1688" w:header="0" w:footer="3" w:gutter="0"/>
          <w:cols w:space="720"/>
          <w:noEndnote/>
          <w:rtlGutter w:val="0"/>
          <w:docGrid w:linePitch="360"/>
        </w:sectPr>
      </w:pPr>
      <w:r>
        <w:rPr>
          <w:color w:val="000000"/>
          <w:spacing w:val="0"/>
          <w:w w:val="100"/>
          <w:position w:val="0"/>
          <w:sz w:val="24"/>
          <w:szCs w:val="24"/>
        </w:rPr>
        <w:t>本集团与被投资单位发生的内部交易损失，其中属于资产减值损失的部分， 相应的未实现损失不予抵销。被投资单位采用的会计政策及会计期间与本集 团不一致的，应当按照本集团的会计政策及会计期间对被投资单位的财务报 表进行调整，并据以确认投资收益和其他综合收益等。</w:t>
      </w:r>
    </w:p>
    <w:p>
      <w:pPr>
        <w:pStyle w:val="Style72"/>
        <w:keepNext w:val="0"/>
        <w:keepLines w:val="0"/>
        <w:widowControl w:val="0"/>
        <w:shd w:val="clear" w:color="auto" w:fill="auto"/>
        <w:tabs>
          <w:tab w:pos="712" w:val="left"/>
        </w:tabs>
        <w:bidi w:val="0"/>
        <w:spacing w:before="0" w:after="32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35"/>
        </w:numPr>
        <w:shd w:val="clear" w:color="auto" w:fill="auto"/>
        <w:tabs>
          <w:tab w:pos="712" w:val="left"/>
        </w:tabs>
        <w:bidi w:val="0"/>
        <w:spacing w:before="0" w:after="220" w:line="271" w:lineRule="auto"/>
        <w:ind w:left="0" w:right="0" w:firstLine="0"/>
        <w:jc w:val="left"/>
        <w:rPr>
          <w:sz w:val="28"/>
          <w:szCs w:val="28"/>
        </w:rPr>
      </w:pPr>
      <w:bookmarkStart w:id="815" w:name="bookmark815"/>
      <w:bookmarkEnd w:id="815"/>
      <w:r>
        <w:rPr>
          <w:b/>
          <w:bCs/>
          <w:color w:val="000000"/>
          <w:spacing w:val="0"/>
          <w:w w:val="100"/>
          <w:position w:val="0"/>
          <w:sz w:val="24"/>
          <w:szCs w:val="24"/>
        </w:rPr>
        <w:t>长期股权投资</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27"/>
        </w:numPr>
        <w:shd w:val="clear" w:color="auto" w:fill="auto"/>
        <w:tabs>
          <w:tab w:pos="712" w:val="left"/>
        </w:tabs>
        <w:bidi w:val="0"/>
        <w:spacing w:before="0" w:after="280" w:line="312" w:lineRule="exact"/>
        <w:ind w:left="0" w:right="0" w:firstLine="0"/>
        <w:jc w:val="left"/>
      </w:pPr>
      <w:bookmarkStart w:id="816" w:name="bookmark816"/>
      <w:bookmarkEnd w:id="816"/>
      <w:r>
        <w:rPr>
          <w:color w:val="000000"/>
          <w:spacing w:val="0"/>
          <w:w w:val="100"/>
          <w:position w:val="0"/>
          <w:sz w:val="24"/>
          <w:szCs w:val="24"/>
        </w:rPr>
        <w:t>确定对被投资单位具有控制、共同控制、重大影响的依据</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控制是指拥有对被投资单位的权力，通过参与被投资单位的相关活动而享有 可变回报，并且有能力运用对被投资单位的权力影响其回报金额。</w:t>
      </w:r>
    </w:p>
    <w:p>
      <w:pPr>
        <w:pStyle w:val="Style72"/>
        <w:keepNext w:val="0"/>
        <w:keepLines w:val="0"/>
        <w:widowControl w:val="0"/>
        <w:shd w:val="clear" w:color="auto" w:fill="auto"/>
        <w:bidi w:val="0"/>
        <w:spacing w:before="0" w:after="280" w:line="302" w:lineRule="exact"/>
        <w:ind w:right="0" w:firstLine="0"/>
        <w:jc w:val="both"/>
      </w:pPr>
      <w:r>
        <w:rPr>
          <w:color w:val="000000"/>
          <w:spacing w:val="0"/>
          <w:w w:val="100"/>
          <w:position w:val="0"/>
          <w:sz w:val="24"/>
          <w:szCs w:val="24"/>
        </w:rPr>
        <w:t>共同控制是指按照相关约定对某项安排所共有的控制，并且该安排的相关活 动必须经过本集团及分享控制权的其他参与方一致同意后才能决策。</w:t>
      </w:r>
    </w:p>
    <w:p>
      <w:pPr>
        <w:pStyle w:val="Style72"/>
        <w:keepNext w:val="0"/>
        <w:keepLines w:val="0"/>
        <w:widowControl w:val="0"/>
        <w:shd w:val="clear" w:color="auto" w:fill="auto"/>
        <w:bidi w:val="0"/>
        <w:spacing w:before="0" w:after="320" w:line="312" w:lineRule="exact"/>
        <w:ind w:right="0" w:firstLine="0"/>
        <w:jc w:val="both"/>
      </w:pPr>
      <w:r>
        <w:rPr>
          <w:color w:val="000000"/>
          <w:spacing w:val="0"/>
          <w:w w:val="100"/>
          <w:position w:val="0"/>
          <w:sz w:val="24"/>
          <w:szCs w:val="24"/>
        </w:rPr>
        <w:t>重大影响是指对被投资单位的财务和经营政策有参与决策的权力，但并不能 够控制或者与其他方一起共同控制这些政策的制定。</w:t>
      </w:r>
    </w:p>
    <w:p>
      <w:pPr>
        <w:pStyle w:val="Style72"/>
        <w:keepNext w:val="0"/>
        <w:keepLines w:val="0"/>
        <w:widowControl w:val="0"/>
        <w:numPr>
          <w:ilvl w:val="0"/>
          <w:numId w:val="27"/>
        </w:numPr>
        <w:shd w:val="clear" w:color="auto" w:fill="auto"/>
        <w:tabs>
          <w:tab w:pos="712" w:val="left"/>
        </w:tabs>
        <w:bidi w:val="0"/>
        <w:spacing w:before="0" w:after="220" w:line="271" w:lineRule="auto"/>
        <w:ind w:left="0" w:right="0" w:firstLine="0"/>
        <w:jc w:val="both"/>
      </w:pPr>
      <w:bookmarkStart w:id="817" w:name="bookmark817"/>
      <w:bookmarkEnd w:id="817"/>
      <w:r>
        <w:rPr>
          <w:color w:val="000000"/>
          <w:spacing w:val="0"/>
          <w:w w:val="100"/>
          <w:position w:val="0"/>
          <w:sz w:val="24"/>
          <w:szCs w:val="24"/>
        </w:rPr>
        <w:t>长期股权投资减值</w:t>
      </w:r>
    </w:p>
    <w:p>
      <w:pPr>
        <w:pStyle w:val="Style72"/>
        <w:keepNext w:val="0"/>
        <w:keepLines w:val="0"/>
        <w:widowControl w:val="0"/>
        <w:shd w:val="clear" w:color="auto" w:fill="auto"/>
        <w:bidi w:val="0"/>
        <w:spacing w:before="0" w:after="280" w:line="317" w:lineRule="exact"/>
        <w:ind w:right="0" w:firstLine="0"/>
        <w:jc w:val="both"/>
      </w:pPr>
      <w:r>
        <w:rPr>
          <w:color w:val="000000"/>
          <w:spacing w:val="0"/>
          <w:w w:val="100"/>
          <w:position w:val="0"/>
          <w:sz w:val="24"/>
          <w:szCs w:val="24"/>
        </w:rPr>
        <w:t>对子公司、合营企业、联营企业的长期股权投资，当其可收回金额低于其账 面价值时，账面价值减记至可收回金额</w:t>
      </w:r>
      <w:r>
        <w:rPr>
          <w:rFonts w:ascii="Arial" w:eastAsia="Arial" w:hAnsi="Arial" w:cs="Arial"/>
          <w:color w:val="000000"/>
          <w:spacing w:val="0"/>
          <w:w w:val="100"/>
          <w:position w:val="0"/>
          <w:sz w:val="24"/>
          <w:szCs w:val="24"/>
        </w:rPr>
        <w:t>(</w:t>
      </w:r>
      <w:r>
        <w:rPr>
          <w:color w:val="000000"/>
          <w:spacing w:val="0"/>
          <w:w w:val="100"/>
          <w:position w:val="0"/>
          <w:sz w:val="24"/>
          <w:szCs w:val="24"/>
        </w:rPr>
        <w:t>附注二</w:t>
      </w:r>
      <w:r>
        <w:rPr>
          <w:rFonts w:ascii="Arial" w:eastAsia="Arial" w:hAnsi="Arial" w:cs="Arial"/>
          <w:color w:val="000000"/>
          <w:spacing w:val="0"/>
          <w:w w:val="100"/>
          <w:position w:val="0"/>
          <w:sz w:val="24"/>
          <w:szCs w:val="24"/>
        </w:rPr>
        <w:t>(18))</w:t>
      </w:r>
      <w:r>
        <w:rPr>
          <w:color w:val="000000"/>
          <w:spacing w:val="0"/>
          <w:w w:val="100"/>
          <w:position w:val="0"/>
          <w:sz w:val="24"/>
          <w:szCs w:val="24"/>
        </w:rPr>
        <w:t>。</w:t>
      </w:r>
    </w:p>
    <w:p>
      <w:pPr>
        <w:pStyle w:val="Style72"/>
        <w:keepNext w:val="0"/>
        <w:keepLines w:val="0"/>
        <w:widowControl w:val="0"/>
        <w:numPr>
          <w:ilvl w:val="0"/>
          <w:numId w:val="35"/>
        </w:numPr>
        <w:shd w:val="clear" w:color="auto" w:fill="auto"/>
        <w:tabs>
          <w:tab w:pos="712" w:val="left"/>
        </w:tabs>
        <w:bidi w:val="0"/>
        <w:spacing w:before="0" w:after="280" w:line="240" w:lineRule="auto"/>
        <w:ind w:left="0" w:right="0" w:firstLine="0"/>
        <w:jc w:val="both"/>
      </w:pPr>
      <w:bookmarkStart w:id="818" w:name="bookmark818"/>
      <w:bookmarkEnd w:id="818"/>
      <w:r>
        <w:rPr>
          <w:b/>
          <w:bCs/>
          <w:color w:val="000000"/>
          <w:spacing w:val="0"/>
          <w:w w:val="100"/>
          <w:position w:val="0"/>
          <w:sz w:val="24"/>
          <w:szCs w:val="24"/>
        </w:rPr>
        <w:t>投资性房地产</w:t>
      </w:r>
    </w:p>
    <w:p>
      <w:pPr>
        <w:pStyle w:val="Style72"/>
        <w:keepNext w:val="0"/>
        <w:keepLines w:val="0"/>
        <w:widowControl w:val="0"/>
        <w:shd w:val="clear" w:color="auto" w:fill="auto"/>
        <w:bidi w:val="0"/>
        <w:spacing w:before="0" w:after="280" w:line="310" w:lineRule="exact"/>
        <w:ind w:right="0" w:firstLine="0"/>
        <w:jc w:val="both"/>
      </w:pPr>
      <w:r>
        <w:rPr>
          <w:color w:val="000000"/>
          <w:spacing w:val="0"/>
          <w:w w:val="100"/>
          <w:position w:val="0"/>
          <w:sz w:val="24"/>
          <w:szCs w:val="24"/>
        </w:rPr>
        <w:t>投资性房地产包括已出租的土地使用权和以出租为目的的建筑物以及正在建 造或开发过程中将用于出租的建筑物，以成本进行初始计量。与投资性房地 产有关的后续支出，在相关的经济利益很可能流入本集团且其成本能够可靠 计量时，计入投资性房地产成本；否则，于发生时计入当期损益。</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本集团采用成本模式对所有投资性房地产进行后续计量，按其预计使用寿命 及净残值率采用年限平均法对投资性房地产计提折旧。投资性房地产的预计 使用寿命、净残值率及年折旧率列示如下：</w:t>
      </w:r>
    </w:p>
    <w:p>
      <w:pPr>
        <w:pStyle w:val="Style72"/>
        <w:keepNext w:val="0"/>
        <w:keepLines w:val="0"/>
        <w:widowControl w:val="0"/>
        <w:shd w:val="clear" w:color="auto" w:fill="auto"/>
        <w:tabs>
          <w:tab w:pos="1982" w:val="left"/>
        </w:tabs>
        <w:bidi w:val="0"/>
        <w:spacing w:before="0" w:after="280" w:line="312" w:lineRule="exact"/>
        <w:ind w:left="0" w:right="0" w:firstLine="0"/>
        <w:jc w:val="right"/>
      </w:pPr>
      <w:r>
        <w:rPr>
          <w:color w:val="000000"/>
          <w:spacing w:val="0"/>
          <w:w w:val="100"/>
          <w:position w:val="0"/>
          <w:sz w:val="24"/>
          <w:szCs w:val="24"/>
        </w:rPr>
        <w:t>预计使用寿命</w:t>
        <w:tab/>
        <w:t>预计净残值率年折旧</w:t>
      </w:r>
      <w:r>
        <w:rPr>
          <w:rFonts w:ascii="Arial" w:eastAsia="Arial" w:hAnsi="Arial" w:cs="Arial"/>
          <w:color w:val="000000"/>
          <w:spacing w:val="0"/>
          <w:w w:val="100"/>
          <w:position w:val="0"/>
          <w:sz w:val="24"/>
          <w:szCs w:val="24"/>
        </w:rPr>
        <w:t>(</w:t>
      </w:r>
      <w:r>
        <w:rPr>
          <w:color w:val="000000"/>
          <w:spacing w:val="0"/>
          <w:w w:val="100"/>
          <w:position w:val="0"/>
          <w:sz w:val="24"/>
          <w:szCs w:val="24"/>
        </w:rPr>
        <w:t>摊销</w:t>
      </w:r>
      <w:r>
        <w:rPr>
          <w:rFonts w:ascii="Arial" w:eastAsia="Arial" w:hAnsi="Arial" w:cs="Arial"/>
          <w:color w:val="000000"/>
          <w:spacing w:val="0"/>
          <w:w w:val="100"/>
          <w:position w:val="0"/>
          <w:sz w:val="24"/>
          <w:szCs w:val="24"/>
        </w:rPr>
        <w:t>)</w:t>
      </w:r>
      <w:r>
        <w:rPr>
          <w:color w:val="000000"/>
          <w:spacing w:val="0"/>
          <w:w w:val="100"/>
          <w:position w:val="0"/>
          <w:sz w:val="24"/>
          <w:szCs w:val="24"/>
        </w:rPr>
        <w:t>率</w:t>
      </w:r>
    </w:p>
    <w:p>
      <w:pPr>
        <w:pStyle w:val="Style92"/>
        <w:keepNext w:val="0"/>
        <w:keepLines w:val="0"/>
        <w:widowControl w:val="0"/>
        <w:shd w:val="clear" w:color="auto" w:fill="auto"/>
        <w:tabs>
          <w:tab w:pos="3422" w:val="left"/>
          <w:tab w:pos="6288" w:val="left"/>
          <w:tab w:pos="6955" w:val="left"/>
        </w:tabs>
        <w:bidi w:val="0"/>
        <w:spacing w:before="0" w:after="280" w:line="312" w:lineRule="exact"/>
        <w:ind w:left="0" w:right="0" w:firstLine="720"/>
        <w:jc w:val="both"/>
      </w:pPr>
      <w:r>
        <w:rPr>
          <w:rFonts w:ascii="SimSun" w:eastAsia="SimSun" w:hAnsi="SimSun" w:cs="SimSun"/>
          <w:color w:val="000000"/>
          <w:spacing w:val="0"/>
          <w:w w:val="100"/>
          <w:position w:val="0"/>
          <w:sz w:val="24"/>
          <w:szCs w:val="24"/>
        </w:rPr>
        <w:t>房屋及建筑物</w:t>
        <w:tab/>
      </w:r>
      <w:r>
        <w:rPr>
          <w:color w:val="000000"/>
          <w:spacing w:val="0"/>
          <w:w w:val="100"/>
          <w:position w:val="0"/>
          <w:sz w:val="24"/>
          <w:szCs w:val="24"/>
        </w:rPr>
        <w:t>20</w:t>
      </w:r>
      <w:r>
        <w:rPr>
          <w:rFonts w:ascii="SimSun" w:eastAsia="SimSun" w:hAnsi="SimSun" w:cs="SimSun"/>
          <w:color w:val="000000"/>
          <w:spacing w:val="0"/>
          <w:w w:val="100"/>
          <w:position w:val="0"/>
          <w:sz w:val="24"/>
          <w:szCs w:val="24"/>
        </w:rPr>
        <w:t>至</w:t>
      </w:r>
      <w:r>
        <w:rPr>
          <w:color w:val="000000"/>
          <w:spacing w:val="0"/>
          <w:w w:val="100"/>
          <w:position w:val="0"/>
          <w:sz w:val="24"/>
          <w:szCs w:val="24"/>
        </w:rPr>
        <w:t>40</w:t>
      </w:r>
      <w:r>
        <w:rPr>
          <w:rFonts w:ascii="SimSun" w:eastAsia="SimSun" w:hAnsi="SimSun" w:cs="SimSun"/>
          <w:color w:val="000000"/>
          <w:spacing w:val="0"/>
          <w:w w:val="100"/>
          <w:position w:val="0"/>
          <w:sz w:val="24"/>
          <w:szCs w:val="24"/>
        </w:rPr>
        <w:t>年</w:t>
        <w:tab/>
      </w:r>
      <w:r>
        <w:rPr>
          <w:color w:val="000000"/>
          <w:spacing w:val="0"/>
          <w:w w:val="100"/>
          <w:position w:val="0"/>
          <w:sz w:val="24"/>
          <w:szCs w:val="24"/>
        </w:rPr>
        <w:t>3%</w:t>
        <w:tab/>
        <w:t>2.43%</w:t>
      </w:r>
      <w:r>
        <w:rPr>
          <w:rFonts w:ascii="SimSun" w:eastAsia="SimSun" w:hAnsi="SimSun" w:cs="SimSun"/>
          <w:color w:val="000000"/>
          <w:spacing w:val="0"/>
          <w:w w:val="100"/>
          <w:position w:val="0"/>
          <w:sz w:val="24"/>
          <w:szCs w:val="24"/>
        </w:rPr>
        <w:t>至</w:t>
      </w:r>
      <w:r>
        <w:rPr>
          <w:color w:val="000000"/>
          <w:spacing w:val="0"/>
          <w:w w:val="100"/>
          <w:position w:val="0"/>
          <w:sz w:val="24"/>
          <w:szCs w:val="24"/>
        </w:rPr>
        <w:t>4.85%</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对投资性房地产的预计使用寿命、预计净残值和折旧方法于每年年度终了进 行复核并作适当调整。</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投资性房地产的用途改变为自用时，自改变之日起，将该投资性房地产转换 为固定资产或无形资产。自用房地产的用途改变为赚取租金或资本增值时， 自改变之日起，将固定资产或无形资产转换为投资性房地产。发生转换时， 以转换前的账面价值作为转换后的入账价值。</w:t>
      </w:r>
    </w:p>
    <w:p>
      <w:pPr>
        <w:pStyle w:val="Style72"/>
        <w:keepNext w:val="0"/>
        <w:keepLines w:val="0"/>
        <w:widowControl w:val="0"/>
        <w:shd w:val="clear" w:color="auto" w:fill="auto"/>
        <w:tabs>
          <w:tab w:pos="712"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23"/>
        </w:numPr>
        <w:shd w:val="clear" w:color="auto" w:fill="auto"/>
        <w:tabs>
          <w:tab w:pos="712" w:val="left"/>
        </w:tabs>
        <w:bidi w:val="0"/>
        <w:spacing w:before="0" w:after="260" w:line="276" w:lineRule="auto"/>
        <w:ind w:left="0" w:right="0" w:firstLine="0"/>
        <w:jc w:val="left"/>
        <w:rPr>
          <w:sz w:val="28"/>
          <w:szCs w:val="28"/>
        </w:rPr>
      </w:pPr>
      <w:bookmarkStart w:id="819" w:name="bookmark819"/>
      <w:bookmarkEnd w:id="819"/>
      <w:r>
        <w:rPr>
          <w:b/>
          <w:bCs/>
          <w:color w:val="000000"/>
          <w:spacing w:val="0"/>
          <w:w w:val="100"/>
          <w:position w:val="0"/>
          <w:sz w:val="24"/>
          <w:szCs w:val="24"/>
        </w:rPr>
        <w:t>投资性房地产</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314" w:lineRule="exact"/>
        <w:ind w:left="700" w:right="0" w:firstLine="20"/>
        <w:jc w:val="both"/>
      </w:pPr>
      <w:r>
        <w:rPr>
          <w:color w:val="000000"/>
          <w:spacing w:val="0"/>
          <w:w w:val="100"/>
          <w:position w:val="0"/>
          <w:sz w:val="24"/>
          <w:szCs w:val="24"/>
        </w:rPr>
        <w:t>当投资性房地产被处置、或者永久退出使用且预计不能从其处置中取得经济 利益时，终止确认该项投资性房地产。投资性房地产出售、转让、报废或毁 损的处置收入扣除其账面价值和相关税费后计入当期损益。</w:t>
      </w:r>
    </w:p>
    <w:p>
      <w:pPr>
        <w:pStyle w:val="Style72"/>
        <w:keepNext w:val="0"/>
        <w:keepLines w:val="0"/>
        <w:widowControl w:val="0"/>
        <w:shd w:val="clear" w:color="auto" w:fill="auto"/>
        <w:bidi w:val="0"/>
        <w:spacing w:before="0" w:after="300" w:line="298" w:lineRule="exact"/>
        <w:ind w:left="700" w:right="0" w:firstLine="20"/>
        <w:jc w:val="both"/>
      </w:pPr>
      <w:r>
        <w:rPr>
          <w:color w:val="000000"/>
          <w:spacing w:val="0"/>
          <w:w w:val="100"/>
          <w:position w:val="0"/>
          <w:sz w:val="24"/>
          <w:szCs w:val="24"/>
        </w:rPr>
        <w:t>当投资性房地产的可收回金额低于其账面价值时，账面价值减记至可收回金 额</w:t>
      </w:r>
      <w:r>
        <w:rPr>
          <w:rFonts w:ascii="Arial" w:eastAsia="Arial" w:hAnsi="Arial" w:cs="Arial"/>
          <w:color w:val="000000"/>
          <w:spacing w:val="0"/>
          <w:w w:val="100"/>
          <w:position w:val="0"/>
          <w:sz w:val="24"/>
          <w:szCs w:val="24"/>
        </w:rPr>
        <w:t>(</w:t>
      </w:r>
      <w:r>
        <w:rPr>
          <w:color w:val="000000"/>
          <w:spacing w:val="0"/>
          <w:w w:val="100"/>
          <w:position w:val="0"/>
          <w:sz w:val="24"/>
          <w:szCs w:val="24"/>
        </w:rPr>
        <w:t>附注二</w:t>
      </w:r>
      <w:r>
        <w:rPr>
          <w:rFonts w:ascii="Arial" w:eastAsia="Arial" w:hAnsi="Arial" w:cs="Arial"/>
          <w:color w:val="000000"/>
          <w:spacing w:val="0"/>
          <w:w w:val="100"/>
          <w:position w:val="0"/>
          <w:sz w:val="24"/>
          <w:szCs w:val="24"/>
        </w:rPr>
        <w:t>(18))</w:t>
      </w:r>
      <w:r>
        <w:rPr>
          <w:color w:val="000000"/>
          <w:spacing w:val="0"/>
          <w:w w:val="100"/>
          <w:position w:val="0"/>
          <w:sz w:val="24"/>
          <w:szCs w:val="24"/>
        </w:rPr>
        <w:t>。</w:t>
      </w:r>
    </w:p>
    <w:p>
      <w:pPr>
        <w:pStyle w:val="Style72"/>
        <w:keepNext w:val="0"/>
        <w:keepLines w:val="0"/>
        <w:widowControl w:val="0"/>
        <w:numPr>
          <w:ilvl w:val="0"/>
          <w:numId w:val="23"/>
        </w:numPr>
        <w:shd w:val="clear" w:color="auto" w:fill="auto"/>
        <w:tabs>
          <w:tab w:pos="712" w:val="left"/>
        </w:tabs>
        <w:bidi w:val="0"/>
        <w:spacing w:before="0" w:after="300" w:line="240" w:lineRule="auto"/>
        <w:ind w:left="0" w:right="0" w:firstLine="0"/>
        <w:jc w:val="left"/>
      </w:pPr>
      <w:bookmarkStart w:id="820" w:name="bookmark820"/>
      <w:bookmarkEnd w:id="820"/>
      <w:r>
        <w:rPr>
          <w:b/>
          <w:bCs/>
          <w:color w:val="000000"/>
          <w:spacing w:val="0"/>
          <w:w w:val="100"/>
          <w:position w:val="0"/>
          <w:sz w:val="24"/>
          <w:szCs w:val="24"/>
        </w:rPr>
        <w:t>固定资产</w:t>
      </w:r>
    </w:p>
    <w:p>
      <w:pPr>
        <w:pStyle w:val="Style72"/>
        <w:keepNext w:val="0"/>
        <w:keepLines w:val="0"/>
        <w:widowControl w:val="0"/>
        <w:numPr>
          <w:ilvl w:val="0"/>
          <w:numId w:val="41"/>
        </w:numPr>
        <w:shd w:val="clear" w:color="auto" w:fill="auto"/>
        <w:tabs>
          <w:tab w:pos="712" w:val="left"/>
        </w:tabs>
        <w:bidi w:val="0"/>
        <w:spacing w:before="0" w:after="260" w:line="276" w:lineRule="auto"/>
        <w:ind w:left="0" w:right="0" w:firstLine="0"/>
        <w:jc w:val="left"/>
      </w:pPr>
      <w:bookmarkStart w:id="821" w:name="bookmark821"/>
      <w:bookmarkEnd w:id="821"/>
      <w:r>
        <w:rPr>
          <w:color w:val="000000"/>
          <w:spacing w:val="0"/>
          <w:w w:val="100"/>
          <w:position w:val="0"/>
          <w:sz w:val="24"/>
          <w:szCs w:val="24"/>
        </w:rPr>
        <w:t>固定资产确认及初始计量</w:t>
      </w:r>
    </w:p>
    <w:p>
      <w:pPr>
        <w:pStyle w:val="Style72"/>
        <w:keepNext w:val="0"/>
        <w:keepLines w:val="0"/>
        <w:widowControl w:val="0"/>
        <w:shd w:val="clear" w:color="auto" w:fill="auto"/>
        <w:bidi w:val="0"/>
        <w:spacing w:before="0" w:after="600" w:line="314" w:lineRule="exact"/>
        <w:ind w:left="0" w:right="0" w:firstLine="700"/>
        <w:jc w:val="both"/>
      </w:pPr>
      <w:r>
        <w:rPr>
          <w:color w:val="000000"/>
          <w:spacing w:val="0"/>
          <w:w w:val="100"/>
          <w:position w:val="0"/>
          <w:sz w:val="24"/>
          <w:szCs w:val="24"/>
        </w:rPr>
        <w:t>固定资产包括房屋及建筑物、机器设备、运输工具、电子设备以及其他设备</w:t>
      </w:r>
    </w:p>
    <w:p>
      <w:pPr>
        <w:pStyle w:val="Style72"/>
        <w:keepNext w:val="0"/>
        <w:keepLines w:val="0"/>
        <w:widowControl w:val="0"/>
        <w:shd w:val="clear" w:color="auto" w:fill="auto"/>
        <w:bidi w:val="0"/>
        <w:spacing w:before="0" w:after="260" w:line="312" w:lineRule="exact"/>
        <w:ind w:left="700" w:right="0" w:firstLine="20"/>
        <w:jc w:val="both"/>
      </w:pPr>
      <w:r>
        <w:rPr>
          <w:color w:val="000000"/>
          <w:spacing w:val="0"/>
          <w:w w:val="100"/>
          <w:position w:val="0"/>
          <w:sz w:val="24"/>
          <w:szCs w:val="24"/>
        </w:rPr>
        <w:t>固定资产在与其有关的经济利益很可能流入本集团、且其成本能够可靠计量 时予以确认。购置或新建的固定资产按取得时的成本进行初始计量。</w:t>
      </w:r>
    </w:p>
    <w:p>
      <w:pPr>
        <w:pStyle w:val="Style72"/>
        <w:keepNext w:val="0"/>
        <w:keepLines w:val="0"/>
        <w:widowControl w:val="0"/>
        <w:shd w:val="clear" w:color="auto" w:fill="auto"/>
        <w:bidi w:val="0"/>
        <w:spacing w:before="0" w:after="300" w:line="314" w:lineRule="exact"/>
        <w:ind w:left="700" w:right="0" w:firstLine="20"/>
        <w:jc w:val="both"/>
      </w:pPr>
      <w:r>
        <w:rPr>
          <w:color w:val="000000"/>
          <w:spacing w:val="0"/>
          <w:w w:val="100"/>
          <w:position w:val="0"/>
          <w:sz w:val="24"/>
          <w:szCs w:val="24"/>
        </w:rPr>
        <w:t>与固定资产有关的后续支出，在与其有关的经济利益很可能流入本集团且其 成本能够可靠计量时，计入固定资产成本；对于被替换的部分，终止确认其 账面价值；所有其他后续支出于发生时计入当期损益。</w:t>
      </w:r>
    </w:p>
    <w:p>
      <w:pPr>
        <w:pStyle w:val="Style72"/>
        <w:keepNext w:val="0"/>
        <w:keepLines w:val="0"/>
        <w:widowControl w:val="0"/>
        <w:numPr>
          <w:ilvl w:val="0"/>
          <w:numId w:val="41"/>
        </w:numPr>
        <w:shd w:val="clear" w:color="auto" w:fill="auto"/>
        <w:tabs>
          <w:tab w:pos="712" w:val="left"/>
        </w:tabs>
        <w:bidi w:val="0"/>
        <w:spacing w:before="0" w:after="260" w:line="271" w:lineRule="auto"/>
        <w:ind w:left="0" w:right="0" w:firstLine="0"/>
        <w:jc w:val="left"/>
      </w:pPr>
      <w:bookmarkStart w:id="822" w:name="bookmark822"/>
      <w:bookmarkEnd w:id="822"/>
      <w:r>
        <w:rPr>
          <w:color w:val="000000"/>
          <w:spacing w:val="0"/>
          <w:w w:val="100"/>
          <w:position w:val="0"/>
          <w:sz w:val="24"/>
          <w:szCs w:val="24"/>
        </w:rPr>
        <w:t>固定资产的折旧方法</w:t>
      </w:r>
    </w:p>
    <w:p>
      <w:pPr>
        <w:pStyle w:val="Style72"/>
        <w:keepNext w:val="0"/>
        <w:keepLines w:val="0"/>
        <w:widowControl w:val="0"/>
        <w:shd w:val="clear" w:color="auto" w:fill="auto"/>
        <w:bidi w:val="0"/>
        <w:spacing w:before="0" w:after="300" w:line="305" w:lineRule="exact"/>
        <w:ind w:left="700" w:right="0" w:firstLine="20"/>
        <w:jc w:val="both"/>
      </w:pPr>
      <w:r>
        <w:rPr>
          <w:color w:val="000000"/>
          <w:spacing w:val="0"/>
          <w:w w:val="100"/>
          <w:position w:val="0"/>
          <w:sz w:val="24"/>
          <w:szCs w:val="24"/>
        </w:rPr>
        <w:t>固定资产折旧采用年限平均法并按其入账价值减去预计净残值后在预计使用 寿命内计提。对计提了减值准备的固定资产，则在未来期间按扣除减值准备 后的账面价值及依据尚可使用年限确定折旧额。</w:t>
      </w:r>
    </w:p>
    <w:p>
      <w:pPr>
        <w:pStyle w:val="Style72"/>
        <w:keepNext w:val="0"/>
        <w:keepLines w:val="0"/>
        <w:widowControl w:val="0"/>
        <w:shd w:val="clear" w:color="auto" w:fill="auto"/>
        <w:bidi w:val="0"/>
        <w:spacing w:before="0" w:after="300" w:line="312" w:lineRule="exact"/>
        <w:ind w:left="0" w:right="0" w:firstLine="700"/>
        <w:jc w:val="left"/>
      </w:pPr>
      <w:r>
        <w:rPr>
          <w:color w:val="000000"/>
          <w:spacing w:val="0"/>
          <w:w w:val="100"/>
          <w:position w:val="0"/>
          <w:sz w:val="24"/>
          <w:szCs w:val="24"/>
        </w:rPr>
        <w:t>固定资产的预计使用寿命、净残值率及年折旧率列示如下：</w:t>
      </w:r>
    </w:p>
    <w:tbl>
      <w:tblPr>
        <w:tblOverlap w:val="never"/>
        <w:jc w:val="right"/>
        <w:tblLayout w:type="fixed"/>
      </w:tblPr>
      <w:tblGrid>
        <w:gridCol w:w="2002"/>
        <w:gridCol w:w="2266"/>
        <w:gridCol w:w="1872"/>
        <w:gridCol w:w="1838"/>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24"/>
                <w:szCs w:val="24"/>
              </w:rPr>
            </w:pPr>
            <w:r>
              <w:rPr>
                <w:rFonts w:ascii="SimSun" w:eastAsia="SimSun" w:hAnsi="SimSun" w:cs="SimSun"/>
                <w:color w:val="000000"/>
                <w:spacing w:val="0"/>
                <w:w w:val="100"/>
                <w:position w:val="0"/>
                <w:sz w:val="24"/>
                <w:szCs w:val="24"/>
              </w:rPr>
              <w:t>预计使用寿命</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SimSun" w:eastAsia="SimSun" w:hAnsi="SimSun" w:cs="SimSun"/>
                <w:color w:val="000000"/>
                <w:spacing w:val="0"/>
                <w:w w:val="100"/>
                <w:position w:val="0"/>
                <w:sz w:val="24"/>
                <w:szCs w:val="24"/>
              </w:rPr>
              <w:t>预计净残值率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年折旧率</w:t>
            </w:r>
          </w:p>
        </w:tc>
      </w:tr>
      <w:tr>
        <w:trPr>
          <w:trHeight w:val="45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房屋及建筑物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24"/>
                <w:szCs w:val="24"/>
              </w:rPr>
            </w:pPr>
            <w:r>
              <w:rPr>
                <w:rFonts w:ascii="Arial" w:eastAsia="Arial" w:hAnsi="Arial" w:cs="Arial"/>
                <w:color w:val="000000"/>
                <w:spacing w:val="0"/>
                <w:w w:val="100"/>
                <w:position w:val="0"/>
                <w:sz w:val="24"/>
                <w:szCs w:val="24"/>
              </w:rPr>
              <w:t>10</w:t>
            </w:r>
            <w:r>
              <w:rPr>
                <w:rFonts w:ascii="SimSun" w:eastAsia="SimSun" w:hAnsi="SimSun" w:cs="SimSun"/>
                <w:color w:val="000000"/>
                <w:spacing w:val="0"/>
                <w:w w:val="100"/>
                <w:position w:val="0"/>
                <w:sz w:val="24"/>
                <w:szCs w:val="24"/>
              </w:rPr>
              <w:t>至</w:t>
            </w:r>
            <w:r>
              <w:rPr>
                <w:rFonts w:ascii="Arial" w:eastAsia="Arial" w:hAnsi="Arial" w:cs="Arial"/>
                <w:color w:val="000000"/>
                <w:spacing w:val="0"/>
                <w:w w:val="100"/>
                <w:position w:val="0"/>
                <w:sz w:val="24"/>
                <w:szCs w:val="24"/>
              </w:rPr>
              <w:t>40</w:t>
            </w:r>
            <w:r>
              <w:rPr>
                <w:rFonts w:ascii="SimSun" w:eastAsia="SimSun" w:hAnsi="SimSun" w:cs="SimSun"/>
                <w:color w:val="000000"/>
                <w:spacing w:val="0"/>
                <w:w w:val="100"/>
                <w:position w:val="0"/>
                <w:sz w:val="24"/>
                <w:szCs w:val="24"/>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4"/>
                <w:szCs w:val="24"/>
              </w:rPr>
            </w:pPr>
            <w:r>
              <w:rPr>
                <w:rFonts w:ascii="Arial" w:eastAsia="Arial" w:hAnsi="Arial" w:cs="Arial"/>
                <w:color w:val="000000"/>
                <w:spacing w:val="0"/>
                <w:w w:val="100"/>
                <w:position w:val="0"/>
                <w:sz w:val="24"/>
                <w:szCs w:val="24"/>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2.43%</w:t>
            </w:r>
            <w:r>
              <w:rPr>
                <w:rFonts w:ascii="SimSun" w:eastAsia="SimSun" w:hAnsi="SimSun" w:cs="SimSun"/>
                <w:color w:val="000000"/>
                <w:spacing w:val="0"/>
                <w:w w:val="100"/>
                <w:position w:val="0"/>
                <w:sz w:val="24"/>
                <w:szCs w:val="24"/>
              </w:rPr>
              <w:t xml:space="preserve">至 </w:t>
            </w:r>
            <w:r>
              <w:rPr>
                <w:rFonts w:ascii="Arial" w:eastAsia="Arial" w:hAnsi="Arial" w:cs="Arial"/>
                <w:color w:val="000000"/>
                <w:spacing w:val="0"/>
                <w:w w:val="100"/>
                <w:position w:val="0"/>
                <w:sz w:val="24"/>
                <w:szCs w:val="24"/>
              </w:rPr>
              <w:t>9.70%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机器设备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10</w:t>
            </w:r>
            <w:r>
              <w:rPr>
                <w:rFonts w:ascii="SimSun" w:eastAsia="SimSun" w:hAnsi="SimSun" w:cs="SimSun"/>
                <w:color w:val="000000"/>
                <w:spacing w:val="0"/>
                <w:w w:val="100"/>
                <w:position w:val="0"/>
                <w:sz w:val="24"/>
                <w:szCs w:val="24"/>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4"/>
                <w:szCs w:val="24"/>
              </w:rPr>
            </w:pPr>
            <w:r>
              <w:rPr>
                <w:rFonts w:ascii="Arial" w:eastAsia="Arial" w:hAnsi="Arial" w:cs="Arial"/>
                <w:color w:val="000000"/>
                <w:spacing w:val="0"/>
                <w:w w:val="100"/>
                <w:position w:val="0"/>
                <w:sz w:val="24"/>
                <w:szCs w:val="24"/>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9.70%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运输工具</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24"/>
                <w:szCs w:val="24"/>
              </w:rPr>
            </w:pPr>
            <w:r>
              <w:rPr>
                <w:rFonts w:ascii="Arial" w:eastAsia="Arial" w:hAnsi="Arial" w:cs="Arial"/>
                <w:color w:val="000000"/>
                <w:spacing w:val="0"/>
                <w:w w:val="100"/>
                <w:position w:val="0"/>
                <w:sz w:val="24"/>
                <w:szCs w:val="24"/>
              </w:rPr>
              <w:t>5</w:t>
            </w:r>
            <w:r>
              <w:rPr>
                <w:rFonts w:ascii="SimSun" w:eastAsia="SimSun" w:hAnsi="SimSun" w:cs="SimSun"/>
                <w:color w:val="000000"/>
                <w:spacing w:val="0"/>
                <w:w w:val="100"/>
                <w:position w:val="0"/>
                <w:sz w:val="24"/>
                <w:szCs w:val="24"/>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4"/>
                <w:szCs w:val="24"/>
              </w:rPr>
            </w:pPr>
            <w:r>
              <w:rPr>
                <w:rFonts w:ascii="Arial" w:eastAsia="Arial" w:hAnsi="Arial" w:cs="Arial"/>
                <w:color w:val="000000"/>
                <w:spacing w:val="0"/>
                <w:w w:val="100"/>
                <w:position w:val="0"/>
                <w:sz w:val="24"/>
                <w:szCs w:val="24"/>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19.40%</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电子设备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rPr>
                <w:sz w:val="24"/>
                <w:szCs w:val="24"/>
              </w:rPr>
            </w:pPr>
            <w:r>
              <w:rPr>
                <w:rFonts w:ascii="Arial" w:eastAsia="Arial" w:hAnsi="Arial" w:cs="Arial"/>
                <w:color w:val="000000"/>
                <w:spacing w:val="0"/>
                <w:w w:val="100"/>
                <w:position w:val="0"/>
                <w:sz w:val="24"/>
                <w:szCs w:val="24"/>
              </w:rPr>
              <w:t>3</w:t>
            </w:r>
            <w:r>
              <w:rPr>
                <w:rFonts w:ascii="SimSun" w:eastAsia="SimSun" w:hAnsi="SimSun" w:cs="SimSun"/>
                <w:color w:val="000000"/>
                <w:spacing w:val="0"/>
                <w:w w:val="100"/>
                <w:position w:val="0"/>
                <w:sz w:val="24"/>
                <w:szCs w:val="24"/>
              </w:rPr>
              <w:t>至</w:t>
            </w:r>
            <w:r>
              <w:rPr>
                <w:rFonts w:ascii="Arial" w:eastAsia="Arial" w:hAnsi="Arial" w:cs="Arial"/>
                <w:color w:val="000000"/>
                <w:spacing w:val="0"/>
                <w:w w:val="100"/>
                <w:position w:val="0"/>
                <w:sz w:val="24"/>
                <w:szCs w:val="24"/>
              </w:rPr>
              <w:t>5</w:t>
            </w:r>
            <w:r>
              <w:rPr>
                <w:rFonts w:ascii="SimSun" w:eastAsia="SimSun" w:hAnsi="SimSun" w:cs="SimSun"/>
                <w:color w:val="000000"/>
                <w:spacing w:val="0"/>
                <w:w w:val="100"/>
                <w:position w:val="0"/>
                <w:sz w:val="24"/>
                <w:szCs w:val="24"/>
              </w:rPr>
              <w:t>年</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 19.40%</w:t>
            </w:r>
            <w:r>
              <w:rPr>
                <w:rFonts w:ascii="SimSun" w:eastAsia="SimSun" w:hAnsi="SimSun" w:cs="SimSun"/>
                <w:color w:val="000000"/>
                <w:spacing w:val="0"/>
                <w:w w:val="100"/>
                <w:position w:val="0"/>
                <w:sz w:val="24"/>
                <w:szCs w:val="24"/>
              </w:rPr>
              <w:t xml:space="preserve">至 </w:t>
            </w:r>
            <w:r>
              <w:rPr>
                <w:rFonts w:ascii="Arial" w:eastAsia="Arial" w:hAnsi="Arial" w:cs="Arial"/>
                <w:color w:val="000000"/>
                <w:spacing w:val="0"/>
                <w:w w:val="100"/>
                <w:position w:val="0"/>
                <w:sz w:val="24"/>
                <w:szCs w:val="24"/>
              </w:rPr>
              <w:t>32.33%</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其他设备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24"/>
                <w:szCs w:val="24"/>
              </w:rPr>
            </w:pPr>
            <w:r>
              <w:rPr>
                <w:rFonts w:ascii="Arial" w:eastAsia="Arial" w:hAnsi="Arial" w:cs="Arial"/>
                <w:color w:val="000000"/>
                <w:spacing w:val="0"/>
                <w:w w:val="100"/>
                <w:position w:val="0"/>
                <w:sz w:val="24"/>
                <w:szCs w:val="24"/>
              </w:rPr>
              <w:t>5</w:t>
            </w:r>
            <w:r>
              <w:rPr>
                <w:rFonts w:ascii="SimSun" w:eastAsia="SimSun" w:hAnsi="SimSun" w:cs="SimSun"/>
                <w:color w:val="000000"/>
                <w:spacing w:val="0"/>
                <w:w w:val="100"/>
                <w:position w:val="0"/>
                <w:sz w:val="24"/>
                <w:szCs w:val="24"/>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4"/>
                <w:szCs w:val="24"/>
              </w:rPr>
            </w:pPr>
            <w:r>
              <w:rPr>
                <w:rFonts w:ascii="Arial" w:eastAsia="Arial" w:hAnsi="Arial" w:cs="Arial"/>
                <w:color w:val="000000"/>
                <w:spacing w:val="0"/>
                <w:w w:val="100"/>
                <w:position w:val="0"/>
                <w:sz w:val="24"/>
                <w:szCs w:val="24"/>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19.40%</w:t>
            </w:r>
          </w:p>
        </w:tc>
      </w:tr>
    </w:tbl>
    <w:p>
      <w:pPr>
        <w:widowControl w:val="0"/>
        <w:spacing w:after="259" w:line="1" w:lineRule="exact"/>
      </w:pPr>
    </w:p>
    <w:p>
      <w:pPr>
        <w:pStyle w:val="Style72"/>
        <w:keepNext w:val="0"/>
        <w:keepLines w:val="0"/>
        <w:widowControl w:val="0"/>
        <w:shd w:val="clear" w:color="auto" w:fill="auto"/>
        <w:bidi w:val="0"/>
        <w:spacing w:before="0" w:after="280" w:line="312" w:lineRule="exact"/>
        <w:ind w:left="700" w:right="0" w:firstLine="20"/>
        <w:jc w:val="both"/>
      </w:pPr>
      <w:r>
        <w:rPr>
          <w:color w:val="000000"/>
          <w:spacing w:val="0"/>
          <w:w w:val="100"/>
          <w:position w:val="0"/>
          <w:sz w:val="24"/>
          <w:szCs w:val="24"/>
        </w:rPr>
        <w:t>对固定资产的预计使用寿命、预计净残值和折旧方法于每年年度终了进行复 核并作适当调整。</w:t>
      </w:r>
    </w:p>
    <w:p>
      <w:pPr>
        <w:pStyle w:val="Style72"/>
        <w:keepNext w:val="0"/>
        <w:keepLines w:val="0"/>
        <w:widowControl w:val="0"/>
        <w:shd w:val="clear" w:color="auto" w:fill="auto"/>
        <w:tabs>
          <w:tab w:pos="716" w:val="left"/>
        </w:tabs>
        <w:bidi w:val="0"/>
        <w:spacing w:before="0" w:after="28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numPr>
          <w:ilvl w:val="0"/>
          <w:numId w:val="35"/>
        </w:numPr>
        <w:shd w:val="clear" w:color="auto" w:fill="auto"/>
        <w:tabs>
          <w:tab w:pos="716" w:val="left"/>
        </w:tabs>
        <w:bidi w:val="0"/>
        <w:spacing w:before="0" w:after="280" w:line="269" w:lineRule="auto"/>
        <w:ind w:left="0" w:right="0" w:firstLine="0"/>
        <w:jc w:val="left"/>
        <w:rPr>
          <w:sz w:val="28"/>
          <w:szCs w:val="28"/>
        </w:rPr>
      </w:pPr>
      <w:bookmarkStart w:id="823" w:name="bookmark823"/>
      <w:bookmarkEnd w:id="823"/>
      <w:r>
        <w:rPr>
          <w:rFonts w:ascii="SimSun" w:eastAsia="SimSun" w:hAnsi="SimSun" w:cs="SimSun"/>
          <w:b/>
          <w:bCs/>
          <w:color w:val="000000"/>
          <w:spacing w:val="0"/>
          <w:w w:val="100"/>
          <w:position w:val="0"/>
          <w:sz w:val="24"/>
          <w:szCs w:val="24"/>
        </w:rPr>
        <w:t>固定资产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numPr>
          <w:ilvl w:val="0"/>
          <w:numId w:val="41"/>
        </w:numPr>
        <w:shd w:val="clear" w:color="auto" w:fill="auto"/>
        <w:tabs>
          <w:tab w:pos="716" w:val="left"/>
        </w:tabs>
        <w:bidi w:val="0"/>
        <w:spacing w:before="0" w:after="280" w:line="302" w:lineRule="exact"/>
        <w:ind w:right="0" w:hanging="720"/>
        <w:jc w:val="both"/>
      </w:pPr>
      <w:bookmarkStart w:id="824" w:name="bookmark824"/>
      <w:bookmarkEnd w:id="824"/>
      <w:r>
        <w:rPr>
          <w:color w:val="000000"/>
          <w:spacing w:val="0"/>
          <w:w w:val="100"/>
          <w:position w:val="0"/>
          <w:sz w:val="24"/>
          <w:szCs w:val="24"/>
        </w:rPr>
        <w:t>当固定资产的可收回金额低于其账面价值时，账面价值减记至可收回金额</w:t>
      </w:r>
      <w:r>
        <w:rPr>
          <w:rFonts w:ascii="Arial" w:eastAsia="Arial" w:hAnsi="Arial" w:cs="Arial"/>
          <w:color w:val="000000"/>
          <w:spacing w:val="0"/>
          <w:w w:val="100"/>
          <w:position w:val="0"/>
          <w:sz w:val="24"/>
          <w:szCs w:val="24"/>
        </w:rPr>
        <w:t>(</w:t>
      </w:r>
      <w:r>
        <w:rPr>
          <w:color w:val="000000"/>
          <w:spacing w:val="0"/>
          <w:w w:val="100"/>
          <w:position w:val="0"/>
          <w:sz w:val="24"/>
          <w:szCs w:val="24"/>
        </w:rPr>
        <w:t>附 注二</w:t>
      </w:r>
      <w:r>
        <w:rPr>
          <w:rFonts w:ascii="Arial" w:eastAsia="Arial" w:hAnsi="Arial" w:cs="Arial"/>
          <w:color w:val="000000"/>
          <w:spacing w:val="0"/>
          <w:w w:val="100"/>
          <w:position w:val="0"/>
          <w:sz w:val="24"/>
          <w:szCs w:val="24"/>
        </w:rPr>
        <w:t>(18))</w:t>
      </w:r>
      <w:r>
        <w:rPr>
          <w:color w:val="000000"/>
          <w:spacing w:val="0"/>
          <w:w w:val="100"/>
          <w:position w:val="0"/>
          <w:sz w:val="24"/>
          <w:szCs w:val="24"/>
        </w:rPr>
        <w:t>。</w:t>
      </w:r>
    </w:p>
    <w:p>
      <w:pPr>
        <w:pStyle w:val="Style72"/>
        <w:keepNext w:val="0"/>
        <w:keepLines w:val="0"/>
        <w:widowControl w:val="0"/>
        <w:numPr>
          <w:ilvl w:val="0"/>
          <w:numId w:val="41"/>
        </w:numPr>
        <w:shd w:val="clear" w:color="auto" w:fill="auto"/>
        <w:tabs>
          <w:tab w:pos="716" w:val="left"/>
        </w:tabs>
        <w:bidi w:val="0"/>
        <w:spacing w:before="0" w:after="280" w:line="269" w:lineRule="auto"/>
        <w:ind w:left="0" w:right="0" w:firstLine="0"/>
        <w:jc w:val="left"/>
      </w:pPr>
      <w:bookmarkStart w:id="825" w:name="bookmark825"/>
      <w:bookmarkEnd w:id="825"/>
      <w:r>
        <w:rPr>
          <w:color w:val="000000"/>
          <w:spacing w:val="0"/>
          <w:w w:val="100"/>
          <w:position w:val="0"/>
          <w:sz w:val="24"/>
          <w:szCs w:val="24"/>
        </w:rPr>
        <w:t>固定资产的处置</w:t>
      </w:r>
    </w:p>
    <w:p>
      <w:pPr>
        <w:pStyle w:val="Style72"/>
        <w:keepNext w:val="0"/>
        <w:keepLines w:val="0"/>
        <w:widowControl w:val="0"/>
        <w:shd w:val="clear" w:color="auto" w:fill="auto"/>
        <w:bidi w:val="0"/>
        <w:spacing w:before="0" w:after="280" w:line="314" w:lineRule="exact"/>
        <w:ind w:right="0" w:firstLine="0"/>
        <w:jc w:val="both"/>
      </w:pPr>
      <w:r>
        <w:rPr>
          <w:color w:val="000000"/>
          <w:spacing w:val="0"/>
          <w:w w:val="100"/>
          <w:position w:val="0"/>
          <w:sz w:val="24"/>
          <w:szCs w:val="24"/>
        </w:rPr>
        <w:t>当固定资产被处置、或者预期通过使用或处置不能产生经济利益时，终止确 认该固定资产。固定资产出售、转让、报废或毁损的处置收入扣除其账面价 值和相关税费后的金额计入当期损益。</w:t>
      </w:r>
    </w:p>
    <w:p>
      <w:pPr>
        <w:pStyle w:val="Style72"/>
        <w:keepNext w:val="0"/>
        <w:keepLines w:val="0"/>
        <w:widowControl w:val="0"/>
        <w:numPr>
          <w:ilvl w:val="0"/>
          <w:numId w:val="35"/>
        </w:numPr>
        <w:shd w:val="clear" w:color="auto" w:fill="auto"/>
        <w:tabs>
          <w:tab w:pos="716" w:val="left"/>
        </w:tabs>
        <w:bidi w:val="0"/>
        <w:spacing w:before="0" w:after="280" w:line="240" w:lineRule="auto"/>
        <w:ind w:left="0" w:right="0" w:firstLine="0"/>
        <w:jc w:val="left"/>
      </w:pPr>
      <w:bookmarkStart w:id="826" w:name="bookmark826"/>
      <w:bookmarkEnd w:id="826"/>
      <w:r>
        <w:rPr>
          <w:b/>
          <w:bCs/>
          <w:color w:val="000000"/>
          <w:spacing w:val="0"/>
          <w:w w:val="100"/>
          <w:position w:val="0"/>
          <w:sz w:val="24"/>
          <w:szCs w:val="24"/>
        </w:rPr>
        <w:t>在建工程</w:t>
      </w:r>
    </w:p>
    <w:p>
      <w:pPr>
        <w:pStyle w:val="Style72"/>
        <w:keepNext w:val="0"/>
        <w:keepLines w:val="0"/>
        <w:widowControl w:val="0"/>
        <w:shd w:val="clear" w:color="auto" w:fill="auto"/>
        <w:bidi w:val="0"/>
        <w:spacing w:before="0" w:after="280" w:line="308" w:lineRule="exact"/>
        <w:ind w:right="0" w:firstLine="0"/>
        <w:jc w:val="both"/>
      </w:pPr>
      <w:r>
        <w:rPr>
          <w:color w:val="000000"/>
          <w:spacing w:val="0"/>
          <w:w w:val="100"/>
          <w:position w:val="0"/>
          <w:sz w:val="24"/>
          <w:szCs w:val="24"/>
        </w:rPr>
        <w:t>在建工程按实际发生的成本计量。实际成本包括建筑成本、安装成本、符合 资本化条件的借款费用以及其他为使在建工程达到预定可使用状态所发生的 必要支出。在建工程在达到预定可使用状态时，转入固定资产并自次月起开 始计提折旧。当在建工程的可收回金额低于其账面价值时，账面价值减记至 可收回金额</w:t>
      </w:r>
      <w:r>
        <w:rPr>
          <w:rFonts w:ascii="Arial" w:eastAsia="Arial" w:hAnsi="Arial" w:cs="Arial"/>
          <w:color w:val="000000"/>
          <w:spacing w:val="0"/>
          <w:w w:val="100"/>
          <w:position w:val="0"/>
          <w:sz w:val="24"/>
          <w:szCs w:val="24"/>
        </w:rPr>
        <w:t>(</w:t>
      </w:r>
      <w:r>
        <w:rPr>
          <w:color w:val="000000"/>
          <w:spacing w:val="0"/>
          <w:w w:val="100"/>
          <w:position w:val="0"/>
          <w:sz w:val="24"/>
          <w:szCs w:val="24"/>
        </w:rPr>
        <w:t>附注二</w:t>
      </w:r>
      <w:r>
        <w:rPr>
          <w:rFonts w:ascii="Arial" w:eastAsia="Arial" w:hAnsi="Arial" w:cs="Arial"/>
          <w:color w:val="000000"/>
          <w:spacing w:val="0"/>
          <w:w w:val="100"/>
          <w:position w:val="0"/>
          <w:sz w:val="24"/>
          <w:szCs w:val="24"/>
        </w:rPr>
        <w:t>(18))</w:t>
      </w:r>
      <w:r>
        <w:rPr>
          <w:color w:val="000000"/>
          <w:spacing w:val="0"/>
          <w:w w:val="100"/>
          <w:position w:val="0"/>
          <w:sz w:val="24"/>
          <w:szCs w:val="24"/>
        </w:rPr>
        <w:t>。</w:t>
      </w:r>
    </w:p>
    <w:p>
      <w:pPr>
        <w:pStyle w:val="Style72"/>
        <w:keepNext w:val="0"/>
        <w:keepLines w:val="0"/>
        <w:widowControl w:val="0"/>
        <w:numPr>
          <w:ilvl w:val="0"/>
          <w:numId w:val="35"/>
        </w:numPr>
        <w:shd w:val="clear" w:color="auto" w:fill="auto"/>
        <w:tabs>
          <w:tab w:pos="716" w:val="left"/>
        </w:tabs>
        <w:bidi w:val="0"/>
        <w:spacing w:before="0" w:after="280" w:line="240" w:lineRule="auto"/>
        <w:ind w:left="0" w:right="0" w:firstLine="0"/>
        <w:jc w:val="left"/>
      </w:pPr>
      <w:bookmarkStart w:id="827" w:name="bookmark827"/>
      <w:bookmarkEnd w:id="827"/>
      <w:r>
        <w:rPr>
          <w:b/>
          <w:bCs/>
          <w:color w:val="000000"/>
          <w:spacing w:val="0"/>
          <w:w w:val="100"/>
          <w:position w:val="0"/>
          <w:sz w:val="24"/>
          <w:szCs w:val="24"/>
        </w:rPr>
        <w:t>借款费用</w:t>
      </w:r>
    </w:p>
    <w:p>
      <w:pPr>
        <w:pStyle w:val="Style72"/>
        <w:keepNext w:val="0"/>
        <w:keepLines w:val="0"/>
        <w:widowControl w:val="0"/>
        <w:shd w:val="clear" w:color="auto" w:fill="auto"/>
        <w:bidi w:val="0"/>
        <w:spacing w:before="0" w:after="280" w:line="308" w:lineRule="exact"/>
        <w:ind w:right="0" w:firstLine="0"/>
        <w:jc w:val="both"/>
      </w:pPr>
      <w:r>
        <w:rPr>
          <w:color w:val="000000"/>
          <w:spacing w:val="0"/>
          <w:w w:val="100"/>
          <w:position w:val="0"/>
          <w:sz w:val="24"/>
          <w:szCs w:val="24"/>
        </w:rPr>
        <w:t>本集团发生的可直接归属于需要经过相当长时间的购建活动才能达到预定可 使用状态之资产的购建的借款费用，在资产支出及借款费用已经发生、为使 资产达到预定可使用状态所必要的购建活动已经开始时，开始资本化并计入 该资产的成本。当购建的资产达到预定可使用状态时停止资本化，其后发生 的借款费用计入当期损益。如果资产的购建活动发生非正常中断，并且中断 时间连续超过</w:t>
      </w:r>
      <w:r>
        <w:rPr>
          <w:rFonts w:ascii="Arial" w:eastAsia="Arial" w:hAnsi="Arial" w:cs="Arial"/>
          <w:color w:val="000000"/>
          <w:spacing w:val="0"/>
          <w:w w:val="100"/>
          <w:position w:val="0"/>
          <w:sz w:val="24"/>
          <w:szCs w:val="24"/>
        </w:rPr>
        <w:t>3</w:t>
      </w:r>
      <w:r>
        <w:rPr>
          <w:color w:val="000000"/>
          <w:spacing w:val="0"/>
          <w:w w:val="100"/>
          <w:position w:val="0"/>
          <w:sz w:val="24"/>
          <w:szCs w:val="24"/>
        </w:rPr>
        <w:t>个月，暂停借款费用的资本化，直至资产的购建活动重新开始。</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对于为购建符合资本化条件的资产而借入的专门借款，以专门借款当期实际 发生的利息费用减去尚未动用的借款资金存入银行取得的利息收入或进行暂 时性投资取得的投资收益后的金额确定专门借款借款费用的资本化金额。</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对于为购建符合资本化条件的资产而占用的一般借款，按照累计资产支出超 过专门借款部分的资本支出加权平均数乘以所占用一般借款的加权平均实际 利率计算确定一般借款借款费用的资本化金额。实际利率为将借款在预期存 续期间或适用的更短期间内的未来现金流量折现为该借款初始确认金额所使 用的利率。</w:t>
      </w:r>
    </w:p>
    <w:p>
      <w:pPr>
        <w:pStyle w:val="Style72"/>
        <w:keepNext w:val="0"/>
        <w:keepLines w:val="0"/>
        <w:widowControl w:val="0"/>
        <w:shd w:val="clear" w:color="auto" w:fill="auto"/>
        <w:tabs>
          <w:tab w:pos="715" w:val="left"/>
        </w:tabs>
        <w:bidi w:val="0"/>
        <w:spacing w:before="0" w:after="300" w:line="240" w:lineRule="auto"/>
        <w:ind w:left="0" w:right="0" w:firstLine="0"/>
        <w:jc w:val="both"/>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both"/>
      </w:pPr>
      <w:r>
        <w:rPr>
          <w:rFonts w:ascii="Arial" w:eastAsia="Arial" w:hAnsi="Arial" w:cs="Arial"/>
          <w:color w:val="000000"/>
          <w:spacing w:val="0"/>
          <w:w w:val="100"/>
          <w:position w:val="0"/>
          <w:sz w:val="24"/>
          <w:szCs w:val="24"/>
        </w:rPr>
        <w:t>(16)</w:t>
      </w:r>
      <w:r>
        <w:rPr>
          <w:b/>
          <w:bCs/>
          <w:color w:val="000000"/>
          <w:spacing w:val="0"/>
          <w:w w:val="100"/>
          <w:position w:val="0"/>
          <w:sz w:val="24"/>
          <w:szCs w:val="24"/>
        </w:rPr>
        <w:t>无形资产</w:t>
      </w:r>
    </w:p>
    <w:p>
      <w:pPr>
        <w:pStyle w:val="Style72"/>
        <w:keepNext w:val="0"/>
        <w:keepLines w:val="0"/>
        <w:widowControl w:val="0"/>
        <w:shd w:val="clear" w:color="auto" w:fill="auto"/>
        <w:bidi w:val="0"/>
        <w:spacing w:before="0" w:after="300" w:line="312" w:lineRule="exact"/>
        <w:ind w:left="0" w:right="0" w:firstLine="720"/>
        <w:jc w:val="both"/>
      </w:pPr>
      <w:r>
        <w:rPr>
          <w:color w:val="000000"/>
          <w:spacing w:val="0"/>
          <w:w w:val="100"/>
          <w:position w:val="0"/>
          <w:sz w:val="24"/>
          <w:szCs w:val="24"/>
        </w:rPr>
        <w:t>无形资产包括土地使用权、软件、商标及域名、客户关系类无形资产等。</w:t>
      </w:r>
    </w:p>
    <w:p>
      <w:pPr>
        <w:pStyle w:val="Style72"/>
        <w:keepNext w:val="0"/>
        <w:keepLines w:val="0"/>
        <w:widowControl w:val="0"/>
        <w:numPr>
          <w:ilvl w:val="0"/>
          <w:numId w:val="43"/>
        </w:numPr>
        <w:shd w:val="clear" w:color="auto" w:fill="auto"/>
        <w:tabs>
          <w:tab w:pos="715" w:val="left"/>
        </w:tabs>
        <w:bidi w:val="0"/>
        <w:spacing w:before="0" w:after="220" w:line="271" w:lineRule="auto"/>
        <w:ind w:left="0" w:right="0" w:firstLine="0"/>
        <w:jc w:val="both"/>
      </w:pPr>
      <w:bookmarkStart w:id="828" w:name="bookmark828"/>
      <w:bookmarkEnd w:id="828"/>
      <w:r>
        <w:rPr>
          <w:color w:val="000000"/>
          <w:spacing w:val="0"/>
          <w:w w:val="100"/>
          <w:position w:val="0"/>
          <w:sz w:val="24"/>
          <w:szCs w:val="24"/>
        </w:rPr>
        <w:t>土地使用权</w:t>
      </w:r>
    </w:p>
    <w:p>
      <w:pPr>
        <w:pStyle w:val="Style72"/>
        <w:keepNext w:val="0"/>
        <w:keepLines w:val="0"/>
        <w:widowControl w:val="0"/>
        <w:shd w:val="clear" w:color="auto" w:fill="auto"/>
        <w:bidi w:val="0"/>
        <w:spacing w:before="0" w:after="300" w:line="317" w:lineRule="exact"/>
        <w:ind w:right="0" w:firstLine="0"/>
        <w:jc w:val="both"/>
      </w:pPr>
      <w:r>
        <w:rPr>
          <w:color w:val="000000"/>
          <w:spacing w:val="0"/>
          <w:w w:val="100"/>
          <w:position w:val="0"/>
          <w:sz w:val="24"/>
          <w:szCs w:val="24"/>
        </w:rPr>
        <w:t>土地使用权按使用年限</w:t>
      </w:r>
      <w:r>
        <w:rPr>
          <w:rFonts w:ascii="Arial" w:eastAsia="Arial" w:hAnsi="Arial" w:cs="Arial"/>
          <w:color w:val="000000"/>
          <w:spacing w:val="0"/>
          <w:w w:val="100"/>
          <w:position w:val="0"/>
          <w:sz w:val="24"/>
          <w:szCs w:val="24"/>
        </w:rPr>
        <w:t>40</w:t>
      </w:r>
      <w:r>
        <w:rPr>
          <w:color w:val="000000"/>
          <w:spacing w:val="0"/>
          <w:w w:val="100"/>
          <w:position w:val="0"/>
          <w:sz w:val="24"/>
          <w:szCs w:val="24"/>
        </w:rPr>
        <w:t>年至</w:t>
      </w:r>
      <w:r>
        <w:rPr>
          <w:rFonts w:ascii="Arial" w:eastAsia="Arial" w:hAnsi="Arial" w:cs="Arial"/>
          <w:color w:val="000000"/>
          <w:spacing w:val="0"/>
          <w:w w:val="100"/>
          <w:position w:val="0"/>
          <w:sz w:val="24"/>
          <w:szCs w:val="24"/>
        </w:rPr>
        <w:t>70</w:t>
      </w:r>
      <w:r>
        <w:rPr>
          <w:color w:val="000000"/>
          <w:spacing w:val="0"/>
          <w:w w:val="100"/>
          <w:position w:val="0"/>
          <w:sz w:val="24"/>
          <w:szCs w:val="24"/>
        </w:rPr>
        <w:t>年平均摊销。外购土地及建筑物的价款难 以在土地使用权与建筑物之间合理分配的，全部作为固定资产。</w:t>
      </w:r>
    </w:p>
    <w:p>
      <w:pPr>
        <w:pStyle w:val="Style92"/>
        <w:keepNext w:val="0"/>
        <w:keepLines w:val="0"/>
        <w:widowControl w:val="0"/>
        <w:numPr>
          <w:ilvl w:val="0"/>
          <w:numId w:val="43"/>
        </w:numPr>
        <w:shd w:val="clear" w:color="auto" w:fill="auto"/>
        <w:tabs>
          <w:tab w:pos="715" w:val="left"/>
        </w:tabs>
        <w:bidi w:val="0"/>
        <w:spacing w:before="0" w:after="220"/>
        <w:ind w:left="0" w:right="0" w:firstLine="0"/>
        <w:jc w:val="both"/>
      </w:pPr>
      <w:bookmarkStart w:id="829" w:name="bookmark829"/>
      <w:bookmarkEnd w:id="829"/>
      <w:r>
        <w:rPr>
          <w:rFonts w:ascii="SimSun" w:eastAsia="SimSun" w:hAnsi="SimSun" w:cs="SimSun"/>
          <w:color w:val="000000"/>
          <w:spacing w:val="0"/>
          <w:w w:val="100"/>
          <w:position w:val="0"/>
          <w:sz w:val="24"/>
          <w:szCs w:val="24"/>
        </w:rPr>
        <w:t>软件</w:t>
      </w:r>
    </w:p>
    <w:p>
      <w:pPr>
        <w:pStyle w:val="Style72"/>
        <w:keepNext w:val="0"/>
        <w:keepLines w:val="0"/>
        <w:widowControl w:val="0"/>
        <w:shd w:val="clear" w:color="auto" w:fill="auto"/>
        <w:bidi w:val="0"/>
        <w:spacing w:before="0" w:after="300" w:line="312" w:lineRule="exact"/>
        <w:ind w:left="0" w:right="0" w:firstLine="720"/>
        <w:jc w:val="both"/>
      </w:pPr>
      <w:r>
        <w:rPr>
          <w:color w:val="000000"/>
          <w:spacing w:val="0"/>
          <w:w w:val="100"/>
          <w:position w:val="0"/>
          <w:sz w:val="24"/>
          <w:szCs w:val="24"/>
        </w:rPr>
        <w:t>软件以实际成本计量，按预计使用年限</w:t>
      </w:r>
      <w:r>
        <w:rPr>
          <w:rFonts w:ascii="Arial" w:eastAsia="Arial" w:hAnsi="Arial" w:cs="Arial"/>
          <w:color w:val="000000"/>
          <w:spacing w:val="0"/>
          <w:w w:val="100"/>
          <w:position w:val="0"/>
          <w:sz w:val="24"/>
          <w:szCs w:val="24"/>
        </w:rPr>
        <w:t>5</w:t>
      </w:r>
      <w:r>
        <w:rPr>
          <w:color w:val="000000"/>
          <w:spacing w:val="0"/>
          <w:w w:val="100"/>
          <w:position w:val="0"/>
          <w:sz w:val="24"/>
          <w:szCs w:val="24"/>
        </w:rPr>
        <w:t>年平均摊销。</w:t>
      </w:r>
    </w:p>
    <w:p>
      <w:pPr>
        <w:pStyle w:val="Style72"/>
        <w:keepNext w:val="0"/>
        <w:keepLines w:val="0"/>
        <w:widowControl w:val="0"/>
        <w:numPr>
          <w:ilvl w:val="0"/>
          <w:numId w:val="43"/>
        </w:numPr>
        <w:shd w:val="clear" w:color="auto" w:fill="auto"/>
        <w:tabs>
          <w:tab w:pos="715" w:val="left"/>
        </w:tabs>
        <w:bidi w:val="0"/>
        <w:spacing w:before="0" w:after="220" w:line="271" w:lineRule="auto"/>
        <w:ind w:left="0" w:right="0" w:firstLine="0"/>
        <w:jc w:val="both"/>
      </w:pPr>
      <w:bookmarkStart w:id="830" w:name="bookmark830"/>
      <w:bookmarkEnd w:id="830"/>
      <w:r>
        <w:rPr>
          <w:color w:val="000000"/>
          <w:spacing w:val="0"/>
          <w:w w:val="100"/>
          <w:position w:val="0"/>
          <w:sz w:val="24"/>
          <w:szCs w:val="24"/>
        </w:rPr>
        <w:t>商标及域名、客户关系类无形资产</w:t>
      </w:r>
    </w:p>
    <w:p>
      <w:pPr>
        <w:pStyle w:val="Style72"/>
        <w:keepNext w:val="0"/>
        <w:keepLines w:val="0"/>
        <w:widowControl w:val="0"/>
        <w:shd w:val="clear" w:color="auto" w:fill="auto"/>
        <w:bidi w:val="0"/>
        <w:spacing w:before="0" w:after="300" w:line="310" w:lineRule="exact"/>
        <w:ind w:right="0" w:firstLine="0"/>
        <w:jc w:val="both"/>
      </w:pPr>
      <w:r>
        <w:rPr>
          <w:color w:val="000000"/>
          <w:spacing w:val="0"/>
          <w:w w:val="100"/>
          <w:position w:val="0"/>
          <w:sz w:val="24"/>
          <w:szCs w:val="24"/>
        </w:rPr>
        <w:t>商标及域名、客户关系类无形资产是在业务合并过程中确认的无形资产。商 标及域名、客户关系及供应商渠道等以公允价值入账，并按其预计受益期间 分期平均摊销。</w:t>
      </w:r>
    </w:p>
    <w:p>
      <w:pPr>
        <w:pStyle w:val="Style72"/>
        <w:keepNext w:val="0"/>
        <w:keepLines w:val="0"/>
        <w:widowControl w:val="0"/>
        <w:numPr>
          <w:ilvl w:val="0"/>
          <w:numId w:val="43"/>
        </w:numPr>
        <w:shd w:val="clear" w:color="auto" w:fill="auto"/>
        <w:tabs>
          <w:tab w:pos="715" w:val="left"/>
        </w:tabs>
        <w:bidi w:val="0"/>
        <w:spacing w:before="0" w:after="220" w:line="271" w:lineRule="auto"/>
        <w:ind w:left="0" w:right="0" w:firstLine="0"/>
        <w:jc w:val="both"/>
      </w:pPr>
      <w:bookmarkStart w:id="831" w:name="bookmark831"/>
      <w:bookmarkEnd w:id="831"/>
      <w:r>
        <w:rPr>
          <w:color w:val="000000"/>
          <w:spacing w:val="0"/>
          <w:w w:val="100"/>
          <w:position w:val="0"/>
          <w:sz w:val="24"/>
          <w:szCs w:val="24"/>
        </w:rPr>
        <w:t>定期复核使用寿命和摊销方法</w:t>
      </w:r>
    </w:p>
    <w:p>
      <w:pPr>
        <w:pStyle w:val="Style72"/>
        <w:keepNext w:val="0"/>
        <w:keepLines w:val="0"/>
        <w:widowControl w:val="0"/>
        <w:shd w:val="clear" w:color="auto" w:fill="auto"/>
        <w:bidi w:val="0"/>
        <w:spacing w:before="0" w:after="300" w:line="312" w:lineRule="exact"/>
        <w:ind w:right="0" w:firstLine="0"/>
        <w:jc w:val="both"/>
        <w:sectPr>
          <w:footnotePr>
            <w:pos w:val="pageBottom"/>
            <w:numFmt w:val="decimal"/>
            <w:numStart w:val="1"/>
            <w:numRestart w:val="continuous"/>
            <w15:footnoteColumns w:val="1"/>
          </w:footnotePr>
          <w:pgSz w:w="11900" w:h="16840"/>
          <w:pgMar w:top="2338" w:right="1332" w:bottom="1623" w:left="1679" w:header="0" w:footer="3" w:gutter="0"/>
          <w:cols w:space="720"/>
          <w:noEndnote/>
          <w:rtlGutter w:val="0"/>
          <w:docGrid w:linePitch="360"/>
        </w:sectPr>
      </w:pPr>
      <w:r>
        <w:rPr>
          <w:color w:val="000000"/>
          <w:spacing w:val="0"/>
          <w:w w:val="100"/>
          <w:position w:val="0"/>
          <w:sz w:val="24"/>
          <w:szCs w:val="24"/>
        </w:rPr>
        <w:t>对使用寿命有限的无形资产的预计使用寿命及摊销方法于每年年度终了进行 复核并作适当调整。</w:t>
      </w:r>
    </w:p>
    <w:p>
      <w:pPr>
        <w:pStyle w:val="Style72"/>
        <w:keepNext w:val="0"/>
        <w:keepLines w:val="0"/>
        <w:widowControl w:val="0"/>
        <w:shd w:val="clear" w:color="auto" w:fill="auto"/>
        <w:tabs>
          <w:tab w:pos="709"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numPr>
          <w:ilvl w:val="0"/>
          <w:numId w:val="35"/>
        </w:numPr>
        <w:shd w:val="clear" w:color="auto" w:fill="auto"/>
        <w:tabs>
          <w:tab w:pos="709" w:val="left"/>
        </w:tabs>
        <w:bidi w:val="0"/>
        <w:spacing w:before="0"/>
        <w:ind w:left="0" w:right="0" w:firstLine="0"/>
        <w:jc w:val="left"/>
        <w:rPr>
          <w:sz w:val="28"/>
          <w:szCs w:val="28"/>
        </w:rPr>
      </w:pPr>
      <w:bookmarkStart w:id="832" w:name="bookmark832"/>
      <w:bookmarkEnd w:id="832"/>
      <w:r>
        <w:rPr>
          <w:rFonts w:ascii="SimSun" w:eastAsia="SimSun" w:hAnsi="SimSun" w:cs="SimSun"/>
          <w:b/>
          <w:bCs/>
          <w:color w:val="000000"/>
          <w:spacing w:val="0"/>
          <w:w w:val="100"/>
          <w:position w:val="0"/>
          <w:sz w:val="24"/>
          <w:szCs w:val="24"/>
        </w:rPr>
        <w:t>无形资产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numPr>
          <w:ilvl w:val="0"/>
          <w:numId w:val="43"/>
        </w:numPr>
        <w:shd w:val="clear" w:color="auto" w:fill="auto"/>
        <w:tabs>
          <w:tab w:pos="709" w:val="left"/>
        </w:tabs>
        <w:bidi w:val="0"/>
        <w:spacing w:before="0" w:after="260" w:line="271" w:lineRule="auto"/>
        <w:ind w:left="0" w:right="0" w:firstLine="0"/>
        <w:jc w:val="left"/>
      </w:pPr>
      <w:bookmarkStart w:id="833" w:name="bookmark833"/>
      <w:bookmarkEnd w:id="833"/>
      <w:r>
        <w:rPr>
          <w:color w:val="000000"/>
          <w:spacing w:val="0"/>
          <w:w w:val="100"/>
          <w:position w:val="0"/>
          <w:sz w:val="24"/>
          <w:szCs w:val="24"/>
        </w:rPr>
        <w:t>研究与开发</w:t>
      </w:r>
    </w:p>
    <w:p>
      <w:pPr>
        <w:pStyle w:val="Style72"/>
        <w:keepNext w:val="0"/>
        <w:keepLines w:val="0"/>
        <w:widowControl w:val="0"/>
        <w:shd w:val="clear" w:color="auto" w:fill="auto"/>
        <w:bidi w:val="0"/>
        <w:spacing w:before="0" w:after="300" w:line="312" w:lineRule="exact"/>
        <w:ind w:right="0" w:firstLine="0"/>
        <w:jc w:val="both"/>
      </w:pPr>
      <w:r>
        <w:rPr>
          <w:color w:val="000000"/>
          <w:spacing w:val="0"/>
          <w:w w:val="100"/>
          <w:position w:val="0"/>
          <w:sz w:val="24"/>
          <w:szCs w:val="24"/>
        </w:rPr>
        <w:t>本集团开展系统软件的研究与开发。研究开发项目支出根据其性质以及研发 活动最终形成无形资产是否具有较大不确定性，被分为研究阶段支出和开发 阶段支出。</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为研究软件而进行的有计划的调查、评价和选择阶段的支出为研究阶段的支 出，于发生时计入当期损益；最终应用之前，针对软件最终应用的相关设计、 测试阶段的支出为开发阶段的支出，同时满足下列条件的，予以资本化：</w:t>
      </w:r>
    </w:p>
    <w:p>
      <w:pPr>
        <w:pStyle w:val="Style72"/>
        <w:keepNext w:val="0"/>
        <w:keepLines w:val="0"/>
        <w:widowControl w:val="0"/>
        <w:numPr>
          <w:ilvl w:val="0"/>
          <w:numId w:val="45"/>
        </w:numPr>
        <w:shd w:val="clear" w:color="auto" w:fill="auto"/>
        <w:tabs>
          <w:tab w:pos="1439" w:val="left"/>
        </w:tabs>
        <w:bidi w:val="0"/>
        <w:spacing w:before="0" w:after="0" w:line="312" w:lineRule="exact"/>
        <w:ind w:right="0" w:firstLine="0"/>
        <w:jc w:val="both"/>
      </w:pPr>
      <w:bookmarkStart w:id="834" w:name="bookmark834"/>
      <w:bookmarkEnd w:id="834"/>
      <w:r>
        <w:rPr>
          <w:color w:val="000000"/>
          <w:spacing w:val="0"/>
          <w:w w:val="100"/>
          <w:position w:val="0"/>
          <w:sz w:val="24"/>
          <w:szCs w:val="24"/>
        </w:rPr>
        <w:t>软件的开发已经技术团队进行充分论证；</w:t>
      </w:r>
    </w:p>
    <w:p>
      <w:pPr>
        <w:pStyle w:val="Style72"/>
        <w:keepNext w:val="0"/>
        <w:keepLines w:val="0"/>
        <w:widowControl w:val="0"/>
        <w:numPr>
          <w:ilvl w:val="0"/>
          <w:numId w:val="45"/>
        </w:numPr>
        <w:shd w:val="clear" w:color="auto" w:fill="auto"/>
        <w:tabs>
          <w:tab w:pos="1439" w:val="left"/>
        </w:tabs>
        <w:bidi w:val="0"/>
        <w:spacing w:before="0" w:after="0" w:line="312" w:lineRule="exact"/>
        <w:ind w:left="0" w:right="0" w:firstLine="720"/>
        <w:jc w:val="left"/>
      </w:pPr>
      <w:bookmarkStart w:id="835" w:name="bookmark835"/>
      <w:bookmarkEnd w:id="835"/>
      <w:r>
        <w:rPr>
          <w:color w:val="000000"/>
          <w:spacing w:val="0"/>
          <w:w w:val="100"/>
          <w:position w:val="0"/>
          <w:sz w:val="24"/>
          <w:szCs w:val="24"/>
        </w:rPr>
        <w:t>管理层已批准软件开发的预算；</w:t>
      </w:r>
    </w:p>
    <w:p>
      <w:pPr>
        <w:pStyle w:val="Style72"/>
        <w:keepNext w:val="0"/>
        <w:keepLines w:val="0"/>
        <w:widowControl w:val="0"/>
        <w:numPr>
          <w:ilvl w:val="0"/>
          <w:numId w:val="45"/>
        </w:numPr>
        <w:shd w:val="clear" w:color="auto" w:fill="auto"/>
        <w:tabs>
          <w:tab w:pos="1439" w:val="left"/>
        </w:tabs>
        <w:bidi w:val="0"/>
        <w:spacing w:before="0" w:after="0" w:line="312" w:lineRule="exact"/>
        <w:ind w:left="0" w:right="0" w:firstLine="720"/>
        <w:jc w:val="both"/>
      </w:pPr>
      <w:bookmarkStart w:id="836" w:name="bookmark836"/>
      <w:bookmarkEnd w:id="836"/>
      <w:r>
        <w:rPr>
          <w:color w:val="000000"/>
          <w:spacing w:val="0"/>
          <w:w w:val="100"/>
          <w:position w:val="0"/>
          <w:sz w:val="24"/>
          <w:szCs w:val="24"/>
        </w:rPr>
        <w:t>前期市场调研的研究分析说明软件的使用将如何产生经济利益；</w:t>
      </w:r>
    </w:p>
    <w:p>
      <w:pPr>
        <w:pStyle w:val="Style72"/>
        <w:keepNext w:val="0"/>
        <w:keepLines w:val="0"/>
        <w:widowControl w:val="0"/>
        <w:numPr>
          <w:ilvl w:val="0"/>
          <w:numId w:val="45"/>
        </w:numPr>
        <w:shd w:val="clear" w:color="auto" w:fill="auto"/>
        <w:tabs>
          <w:tab w:pos="1439" w:val="left"/>
        </w:tabs>
        <w:bidi w:val="0"/>
        <w:spacing w:before="0" w:after="0" w:line="293" w:lineRule="exact"/>
        <w:ind w:left="1440" w:right="0" w:hanging="720"/>
        <w:jc w:val="left"/>
      </w:pPr>
      <w:bookmarkStart w:id="837" w:name="bookmark837"/>
      <w:bookmarkEnd w:id="837"/>
      <w:r>
        <w:rPr>
          <w:color w:val="000000"/>
          <w:spacing w:val="0"/>
          <w:w w:val="100"/>
          <w:position w:val="0"/>
          <w:sz w:val="24"/>
          <w:szCs w:val="24"/>
        </w:rPr>
        <w:t>有足够的技术和资金支持，以进行相关软件的开发活动及后续的使用； 以及</w:t>
      </w:r>
    </w:p>
    <w:p>
      <w:pPr>
        <w:pStyle w:val="Style72"/>
        <w:keepNext w:val="0"/>
        <w:keepLines w:val="0"/>
        <w:widowControl w:val="0"/>
        <w:numPr>
          <w:ilvl w:val="0"/>
          <w:numId w:val="45"/>
        </w:numPr>
        <w:shd w:val="clear" w:color="auto" w:fill="auto"/>
        <w:tabs>
          <w:tab w:pos="1439" w:val="left"/>
        </w:tabs>
        <w:bidi w:val="0"/>
        <w:spacing w:before="0" w:after="260" w:line="312" w:lineRule="exact"/>
        <w:ind w:left="0" w:right="0" w:firstLine="720"/>
        <w:jc w:val="left"/>
      </w:pPr>
      <w:bookmarkStart w:id="838" w:name="bookmark838"/>
      <w:bookmarkEnd w:id="838"/>
      <w:r>
        <w:rPr>
          <w:color w:val="000000"/>
          <w:spacing w:val="0"/>
          <w:w w:val="100"/>
          <w:position w:val="0"/>
          <w:sz w:val="24"/>
          <w:szCs w:val="24"/>
        </w:rPr>
        <w:t>软件开发的支出能够可靠地归集。</w:t>
      </w:r>
    </w:p>
    <w:p>
      <w:pPr>
        <w:pStyle w:val="Style72"/>
        <w:keepNext w:val="0"/>
        <w:keepLines w:val="0"/>
        <w:widowControl w:val="0"/>
        <w:shd w:val="clear" w:color="auto" w:fill="auto"/>
        <w:bidi w:val="0"/>
        <w:spacing w:before="0" w:after="300" w:line="317" w:lineRule="exact"/>
        <w:ind w:right="0" w:firstLine="0"/>
        <w:jc w:val="both"/>
      </w:pPr>
      <w:r>
        <w:rPr>
          <w:color w:val="000000"/>
          <w:spacing w:val="0"/>
          <w:w w:val="100"/>
          <w:position w:val="0"/>
          <w:sz w:val="24"/>
          <w:szCs w:val="24"/>
        </w:rPr>
        <w:t>不满足上述条件的开发阶段的支出，于发生时计入当期损益。以前期间已计 入损益的开发支出不在以后期间重新确认为资产。已资本化的开发阶段的支 出在资产负债表上列示为开发支出，自该项目达到预定用途之日起转为无形 资产。</w:t>
      </w:r>
    </w:p>
    <w:p>
      <w:pPr>
        <w:pStyle w:val="Style72"/>
        <w:keepNext w:val="0"/>
        <w:keepLines w:val="0"/>
        <w:widowControl w:val="0"/>
        <w:numPr>
          <w:ilvl w:val="0"/>
          <w:numId w:val="43"/>
        </w:numPr>
        <w:shd w:val="clear" w:color="auto" w:fill="auto"/>
        <w:tabs>
          <w:tab w:pos="709" w:val="left"/>
        </w:tabs>
        <w:bidi w:val="0"/>
        <w:spacing w:before="0" w:after="260" w:line="271" w:lineRule="auto"/>
        <w:ind w:left="0" w:right="0" w:firstLine="0"/>
        <w:jc w:val="left"/>
      </w:pPr>
      <w:bookmarkStart w:id="839" w:name="bookmark839"/>
      <w:bookmarkEnd w:id="839"/>
      <w:r>
        <w:rPr>
          <w:color w:val="000000"/>
          <w:spacing w:val="0"/>
          <w:w w:val="100"/>
          <w:position w:val="0"/>
          <w:sz w:val="24"/>
          <w:szCs w:val="24"/>
        </w:rPr>
        <w:t>无形资产减值</w:t>
      </w:r>
    </w:p>
    <w:p>
      <w:pPr>
        <w:pStyle w:val="Style72"/>
        <w:keepNext w:val="0"/>
        <w:keepLines w:val="0"/>
        <w:widowControl w:val="0"/>
        <w:shd w:val="clear" w:color="auto" w:fill="auto"/>
        <w:bidi w:val="0"/>
        <w:spacing w:before="0" w:after="300" w:line="298" w:lineRule="exact"/>
        <w:ind w:right="0" w:firstLine="0"/>
        <w:jc w:val="both"/>
      </w:pPr>
      <w:r>
        <w:rPr>
          <w:color w:val="000000"/>
          <w:spacing w:val="0"/>
          <w:w w:val="100"/>
          <w:position w:val="0"/>
          <w:sz w:val="24"/>
          <w:szCs w:val="24"/>
        </w:rPr>
        <w:t>当无形资产的可收回金额低于其账面价值时，账面价值减记至可收回金额</w:t>
      </w:r>
      <w:r>
        <w:rPr>
          <w:rFonts w:ascii="Arial" w:eastAsia="Arial" w:hAnsi="Arial" w:cs="Arial"/>
          <w:color w:val="000000"/>
          <w:spacing w:val="0"/>
          <w:w w:val="100"/>
          <w:position w:val="0"/>
          <w:sz w:val="24"/>
          <w:szCs w:val="24"/>
        </w:rPr>
        <w:t>(</w:t>
      </w:r>
      <w:r>
        <w:rPr>
          <w:color w:val="000000"/>
          <w:spacing w:val="0"/>
          <w:w w:val="100"/>
          <w:position w:val="0"/>
          <w:sz w:val="24"/>
          <w:szCs w:val="24"/>
        </w:rPr>
        <w:t>附 注二</w:t>
      </w:r>
      <w:r>
        <w:rPr>
          <w:rFonts w:ascii="Arial" w:eastAsia="Arial" w:hAnsi="Arial" w:cs="Arial"/>
          <w:color w:val="000000"/>
          <w:spacing w:val="0"/>
          <w:w w:val="100"/>
          <w:position w:val="0"/>
          <w:sz w:val="24"/>
          <w:szCs w:val="24"/>
        </w:rPr>
        <w:t>(18))</w:t>
      </w:r>
      <w:r>
        <w:rPr>
          <w:color w:val="000000"/>
          <w:spacing w:val="0"/>
          <w:w w:val="100"/>
          <w:position w:val="0"/>
          <w:sz w:val="24"/>
          <w:szCs w:val="24"/>
        </w:rPr>
        <w:t>。</w:t>
      </w:r>
    </w:p>
    <w:p>
      <w:pPr>
        <w:pStyle w:val="Style72"/>
        <w:keepNext w:val="0"/>
        <w:keepLines w:val="0"/>
        <w:widowControl w:val="0"/>
        <w:numPr>
          <w:ilvl w:val="0"/>
          <w:numId w:val="35"/>
        </w:numPr>
        <w:shd w:val="clear" w:color="auto" w:fill="auto"/>
        <w:tabs>
          <w:tab w:pos="709" w:val="left"/>
        </w:tabs>
        <w:bidi w:val="0"/>
        <w:spacing w:before="0" w:after="260" w:line="240" w:lineRule="auto"/>
        <w:ind w:left="0" w:right="0" w:firstLine="0"/>
        <w:jc w:val="left"/>
      </w:pPr>
      <w:bookmarkStart w:id="840" w:name="bookmark840"/>
      <w:bookmarkEnd w:id="840"/>
      <w:r>
        <w:rPr>
          <w:b/>
          <w:bCs/>
          <w:color w:val="000000"/>
          <w:spacing w:val="0"/>
          <w:w w:val="100"/>
          <w:position w:val="0"/>
          <w:sz w:val="24"/>
          <w:szCs w:val="24"/>
        </w:rPr>
        <w:t>长期待摊费用</w:t>
      </w:r>
    </w:p>
    <w:p>
      <w:pPr>
        <w:pStyle w:val="Style72"/>
        <w:keepNext w:val="0"/>
        <w:keepLines w:val="0"/>
        <w:widowControl w:val="0"/>
        <w:shd w:val="clear" w:color="auto" w:fill="auto"/>
        <w:bidi w:val="0"/>
        <w:spacing w:before="0" w:after="260" w:line="310" w:lineRule="exact"/>
        <w:ind w:right="0" w:firstLine="0"/>
        <w:jc w:val="both"/>
        <w:sectPr>
          <w:footnotePr>
            <w:pos w:val="pageBottom"/>
            <w:numFmt w:val="decimal"/>
            <w:numStart w:val="1"/>
            <w:numRestart w:val="continuous"/>
            <w15:footnoteColumns w:val="1"/>
          </w:footnotePr>
          <w:pgSz w:w="11900" w:h="16840"/>
          <w:pgMar w:top="2338" w:right="1302" w:bottom="2338" w:left="1709" w:header="0" w:footer="3" w:gutter="0"/>
          <w:cols w:space="720"/>
          <w:noEndnote/>
          <w:rtlGutter w:val="0"/>
          <w:docGrid w:linePitch="360"/>
        </w:sectPr>
      </w:pPr>
      <w:r>
        <w:rPr>
          <w:color w:val="000000"/>
          <w:spacing w:val="0"/>
          <w:w w:val="100"/>
          <w:position w:val="0"/>
          <w:sz w:val="24"/>
          <w:szCs w:val="24"/>
        </w:rPr>
        <w:t>长期待摊费用包括使用权资产改良及其他已经发生但应由本年和以后各期负 担的、分摊期限在一年以上的各项费用，按预计受益期间分期平均摊销，并 以实际支出减去累计摊销及资产减值准备后的净额列示。</w:t>
      </w:r>
    </w:p>
    <w:p>
      <w:pPr>
        <w:pStyle w:val="Style72"/>
        <w:keepNext w:val="0"/>
        <w:keepLines w:val="0"/>
        <w:widowControl w:val="0"/>
        <w:shd w:val="clear" w:color="auto" w:fill="auto"/>
        <w:tabs>
          <w:tab w:pos="714" w:val="left"/>
        </w:tabs>
        <w:bidi w:val="0"/>
        <w:spacing w:before="0" w:after="28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35"/>
        </w:numPr>
        <w:shd w:val="clear" w:color="auto" w:fill="auto"/>
        <w:tabs>
          <w:tab w:pos="714" w:val="left"/>
        </w:tabs>
        <w:bidi w:val="0"/>
        <w:spacing w:before="0" w:after="280" w:line="240" w:lineRule="auto"/>
        <w:ind w:left="0" w:right="0" w:firstLine="0"/>
        <w:jc w:val="left"/>
      </w:pPr>
      <w:bookmarkStart w:id="841" w:name="bookmark841"/>
      <w:bookmarkEnd w:id="841"/>
      <w:r>
        <w:rPr>
          <w:b/>
          <w:bCs/>
          <w:color w:val="000000"/>
          <w:spacing w:val="0"/>
          <w:w w:val="100"/>
          <w:position w:val="0"/>
          <w:sz w:val="24"/>
          <w:szCs w:val="24"/>
        </w:rPr>
        <w:t>长期资产减值</w:t>
      </w:r>
    </w:p>
    <w:p>
      <w:pPr>
        <w:pStyle w:val="Style72"/>
        <w:keepNext w:val="0"/>
        <w:keepLines w:val="0"/>
        <w:widowControl w:val="0"/>
        <w:shd w:val="clear" w:color="auto" w:fill="auto"/>
        <w:bidi w:val="0"/>
        <w:spacing w:before="0" w:after="280" w:line="310" w:lineRule="exact"/>
        <w:ind w:right="0" w:firstLine="0"/>
        <w:jc w:val="both"/>
      </w:pPr>
      <w:r>
        <w:rPr>
          <w:color w:val="000000"/>
          <w:spacing w:val="0"/>
          <w:w w:val="100"/>
          <w:position w:val="0"/>
          <w:sz w:val="24"/>
          <w:szCs w:val="24"/>
        </w:rPr>
        <w:t>固定资产、在建工程、使用权资产、使用寿命有限的无形资产、长期待摊费 用、以成本模式计量的投资性房地产及对子公司、合营企业、联营企业的长 期股权投资等，于资产负债表日存在减值迹象的，进行减值测试；尚未达到 可使用状态的无形资产，无论是否存在减值迹象，至少每年进行减值测试。 减值测试结果表明资产的可收回金额低于其账面价值的，按其差额计提减值 准备并计入资产减值损失。可收回金额为资产的公允价值减去处置费用后的 净额与资产预计未来现金流量的现值两者之间的较高者。资产减值准备按单 项资产为基础计算并确认，如果难以对单项资产的可收回金额进行估计的， 以该资产所属的资产组确定资产组的可收回金额。资产组是能够独立产生现 金流入的最小资产组合。</w:t>
      </w:r>
    </w:p>
    <w:p>
      <w:pPr>
        <w:pStyle w:val="Style72"/>
        <w:keepNext w:val="0"/>
        <w:keepLines w:val="0"/>
        <w:widowControl w:val="0"/>
        <w:shd w:val="clear" w:color="auto" w:fill="auto"/>
        <w:bidi w:val="0"/>
        <w:spacing w:before="0" w:after="280" w:line="311" w:lineRule="exact"/>
        <w:ind w:right="0" w:firstLine="0"/>
        <w:jc w:val="both"/>
      </w:pPr>
      <w:r>
        <w:rPr>
          <w:color w:val="000000"/>
          <w:spacing w:val="0"/>
          <w:w w:val="100"/>
          <w:position w:val="0"/>
          <w:sz w:val="24"/>
          <w:szCs w:val="24"/>
        </w:rPr>
        <w:t>在财务报表中单独列示的商誉，无论是否存在减值迹象，至少每年进行减值 测试。减值测试时，商誉的账面价值分摊至预期从企业合并的协同效应中受 益的资产组或资产组组合。测试结果表明包含分摊商誉的资产组或资产组组 合的可收回金额低于其账面价值的，确认相应的减值损失。减值损失金额先 抵减分摊至该资产组或资产组组合的商誉的账面价值，再根据资产组或资产 组组合中除商誉以外的其他各项资产的账面价值所占比重，按比例抵减其他 各项资产的账面价值。</w:t>
      </w:r>
    </w:p>
    <w:p>
      <w:pPr>
        <w:pStyle w:val="Style72"/>
        <w:keepNext w:val="0"/>
        <w:keepLines w:val="0"/>
        <w:widowControl w:val="0"/>
        <w:shd w:val="clear" w:color="auto" w:fill="auto"/>
        <w:bidi w:val="0"/>
        <w:spacing w:before="0" w:after="280" w:line="310" w:lineRule="exact"/>
        <w:ind w:left="0" w:right="0" w:firstLine="720"/>
        <w:jc w:val="left"/>
      </w:pPr>
      <w:r>
        <w:rPr>
          <w:color w:val="000000"/>
          <w:spacing w:val="0"/>
          <w:w w:val="100"/>
          <w:position w:val="0"/>
          <w:sz w:val="24"/>
          <w:szCs w:val="24"/>
        </w:rPr>
        <w:t>上述资产减值损失一经确认，以后期间不予转回价值得以恢复的部分。</w:t>
      </w:r>
    </w:p>
    <w:p>
      <w:pPr>
        <w:pStyle w:val="Style72"/>
        <w:keepNext w:val="0"/>
        <w:keepLines w:val="0"/>
        <w:widowControl w:val="0"/>
        <w:numPr>
          <w:ilvl w:val="0"/>
          <w:numId w:val="35"/>
        </w:numPr>
        <w:shd w:val="clear" w:color="auto" w:fill="auto"/>
        <w:tabs>
          <w:tab w:pos="714" w:val="left"/>
        </w:tabs>
        <w:bidi w:val="0"/>
        <w:spacing w:before="0" w:after="280" w:line="240" w:lineRule="auto"/>
        <w:ind w:left="0" w:right="0" w:firstLine="0"/>
        <w:jc w:val="left"/>
      </w:pPr>
      <w:bookmarkStart w:id="842" w:name="bookmark842"/>
      <w:bookmarkEnd w:id="842"/>
      <w:r>
        <w:rPr>
          <w:b/>
          <w:bCs/>
          <w:color w:val="000000"/>
          <w:spacing w:val="0"/>
          <w:w w:val="100"/>
          <w:position w:val="0"/>
          <w:sz w:val="24"/>
          <w:szCs w:val="24"/>
        </w:rPr>
        <w:t>职工薪酬</w:t>
      </w:r>
    </w:p>
    <w:p>
      <w:pPr>
        <w:pStyle w:val="Style72"/>
        <w:keepNext w:val="0"/>
        <w:keepLines w:val="0"/>
        <w:widowControl w:val="0"/>
        <w:shd w:val="clear" w:color="auto" w:fill="auto"/>
        <w:bidi w:val="0"/>
        <w:spacing w:before="0" w:after="600" w:line="307" w:lineRule="exact"/>
        <w:ind w:right="0" w:firstLine="0"/>
        <w:jc w:val="both"/>
      </w:pPr>
      <w:r>
        <w:rPr>
          <w:color w:val="000000"/>
          <w:spacing w:val="0"/>
          <w:w w:val="100"/>
          <w:position w:val="0"/>
          <w:sz w:val="24"/>
          <w:szCs w:val="24"/>
        </w:rPr>
        <w:t>职工薪酬是本集团为获得职工提供的服务或解除劳动关系而给予的各种形式 的报酬或补偿，包括短期薪酬、离职后福利、辞退福利和其他长期职工福利</w:t>
      </w:r>
    </w:p>
    <w:p>
      <w:pPr>
        <w:pStyle w:val="Style72"/>
        <w:keepNext w:val="0"/>
        <w:keepLines w:val="0"/>
        <w:widowControl w:val="0"/>
        <w:numPr>
          <w:ilvl w:val="0"/>
          <w:numId w:val="47"/>
        </w:numPr>
        <w:shd w:val="clear" w:color="auto" w:fill="auto"/>
        <w:tabs>
          <w:tab w:pos="714" w:val="left"/>
        </w:tabs>
        <w:bidi w:val="0"/>
        <w:spacing w:before="0" w:after="280" w:line="312" w:lineRule="exact"/>
        <w:ind w:left="0" w:right="0" w:firstLine="0"/>
        <w:jc w:val="left"/>
      </w:pPr>
      <w:bookmarkStart w:id="843" w:name="bookmark843"/>
      <w:bookmarkEnd w:id="843"/>
      <w:r>
        <w:rPr>
          <w:color w:val="000000"/>
          <w:spacing w:val="0"/>
          <w:w w:val="100"/>
          <w:position w:val="0"/>
          <w:sz w:val="24"/>
          <w:szCs w:val="24"/>
        </w:rPr>
        <w:t>短期薪酬</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短期薪酬包括工资、奖金、津贴和补贴、职工福利费、医疗保险费、工伤保 险费、生育保险费、住房公积金、工会和教育经费、短期带薪缺勤等。本集 团在职工提供服务的会计期间，将实际发生的短期薪酬确认为负债，并计入 当期损益或相关资产成本。其中，非货币性福利按照公允价值计量。</w:t>
      </w:r>
    </w:p>
    <w:p>
      <w:pPr>
        <w:pStyle w:val="Style72"/>
        <w:keepNext w:val="0"/>
        <w:keepLines w:val="0"/>
        <w:widowControl w:val="0"/>
        <w:shd w:val="clear" w:color="auto" w:fill="auto"/>
        <w:tabs>
          <w:tab w:pos="715"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numPr>
          <w:ilvl w:val="0"/>
          <w:numId w:val="49"/>
        </w:numPr>
        <w:shd w:val="clear" w:color="auto" w:fill="auto"/>
        <w:tabs>
          <w:tab w:pos="715" w:val="left"/>
        </w:tabs>
        <w:bidi w:val="0"/>
        <w:spacing w:before="0"/>
        <w:ind w:left="0" w:right="0" w:firstLine="0"/>
        <w:jc w:val="left"/>
        <w:rPr>
          <w:sz w:val="28"/>
          <w:szCs w:val="28"/>
        </w:rPr>
      </w:pPr>
      <w:bookmarkStart w:id="844" w:name="bookmark844"/>
      <w:bookmarkEnd w:id="844"/>
      <w:r>
        <w:rPr>
          <w:rFonts w:ascii="SimSun" w:eastAsia="SimSun" w:hAnsi="SimSun" w:cs="SimSun"/>
          <w:b/>
          <w:bCs/>
          <w:color w:val="000000"/>
          <w:spacing w:val="0"/>
          <w:w w:val="100"/>
          <w:position w:val="0"/>
          <w:sz w:val="24"/>
          <w:szCs w:val="24"/>
        </w:rPr>
        <w:t>职工薪酬</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numPr>
          <w:ilvl w:val="0"/>
          <w:numId w:val="47"/>
        </w:numPr>
        <w:shd w:val="clear" w:color="auto" w:fill="auto"/>
        <w:tabs>
          <w:tab w:pos="715" w:val="left"/>
        </w:tabs>
        <w:bidi w:val="0"/>
        <w:spacing w:before="0" w:after="260" w:line="271" w:lineRule="auto"/>
        <w:ind w:left="0" w:right="0" w:firstLine="0"/>
        <w:jc w:val="left"/>
      </w:pPr>
      <w:bookmarkStart w:id="845" w:name="bookmark845"/>
      <w:bookmarkEnd w:id="845"/>
      <w:r>
        <w:rPr>
          <w:color w:val="000000"/>
          <w:spacing w:val="0"/>
          <w:w w:val="100"/>
          <w:position w:val="0"/>
          <w:sz w:val="24"/>
          <w:szCs w:val="24"/>
        </w:rPr>
        <w:t>离职后福利</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本集团将离职后福利计划分类为设定提存计划和设定受益计划。设定提存计 划是本集团向独立的基金缴存固定费用后，不再承担进一步支付义务的离职 后福利计划；设定受益计划是除设定提存计划以外的离职后福利计划。于报 告期内，本集团的离职后福利主要是为员工缴纳的基本养老保险和失业保险， 均属于设定提存计划。</w:t>
      </w:r>
    </w:p>
    <w:p>
      <w:pPr>
        <w:pStyle w:val="Style72"/>
        <w:keepNext w:val="0"/>
        <w:keepLines w:val="0"/>
        <w:widowControl w:val="0"/>
        <w:shd w:val="clear" w:color="auto" w:fill="auto"/>
        <w:bidi w:val="0"/>
        <w:spacing w:before="0" w:after="260" w:line="312" w:lineRule="exact"/>
        <w:ind w:left="0" w:right="0" w:firstLine="720"/>
        <w:jc w:val="left"/>
      </w:pPr>
      <w:r>
        <w:rPr>
          <w:color w:val="000000"/>
          <w:spacing w:val="0"/>
          <w:w w:val="100"/>
          <w:position w:val="0"/>
          <w:sz w:val="24"/>
          <w:szCs w:val="24"/>
        </w:rPr>
        <w:t>基本养老保险</w:t>
      </w:r>
    </w:p>
    <w:p>
      <w:pPr>
        <w:pStyle w:val="Style72"/>
        <w:keepNext w:val="0"/>
        <w:keepLines w:val="0"/>
        <w:widowControl w:val="0"/>
        <w:shd w:val="clear" w:color="auto" w:fill="auto"/>
        <w:bidi w:val="0"/>
        <w:spacing w:before="0" w:after="300" w:line="312" w:lineRule="exact"/>
        <w:ind w:right="0" w:firstLine="0"/>
        <w:jc w:val="both"/>
      </w:pPr>
      <w:r>
        <w:rPr>
          <w:color w:val="000000"/>
          <w:spacing w:val="0"/>
          <w:w w:val="100"/>
          <w:position w:val="0"/>
          <w:sz w:val="24"/>
          <w:szCs w:val="24"/>
        </w:rPr>
        <w:t>本集团职工参加了由当地劳动和社会保障部门组织实施的社会基本养老保 险。本集团以当地规定的社会基本养老保险缴纳基数和比例，按月向当地社 会基本养老保险经办机构缴纳养老保险费。职工退休后，当地劳动及社会保 障部门有责任向已退休员工支付社会基本养老金。本集团在职工提供服务的 会计期间，将根据上述社保规定计算应缴纳的金额确认为负债，并计入当期 损益或相关资产成本。</w:t>
      </w:r>
    </w:p>
    <w:p>
      <w:pPr>
        <w:pStyle w:val="Style72"/>
        <w:keepNext w:val="0"/>
        <w:keepLines w:val="0"/>
        <w:widowControl w:val="0"/>
        <w:numPr>
          <w:ilvl w:val="0"/>
          <w:numId w:val="47"/>
        </w:numPr>
        <w:shd w:val="clear" w:color="auto" w:fill="auto"/>
        <w:tabs>
          <w:tab w:pos="715" w:val="left"/>
        </w:tabs>
        <w:bidi w:val="0"/>
        <w:spacing w:before="0" w:after="260" w:line="271" w:lineRule="auto"/>
        <w:ind w:left="0" w:right="0" w:firstLine="0"/>
        <w:jc w:val="left"/>
      </w:pPr>
      <w:bookmarkStart w:id="846" w:name="bookmark846"/>
      <w:bookmarkEnd w:id="846"/>
      <w:r>
        <w:rPr>
          <w:color w:val="000000"/>
          <w:spacing w:val="0"/>
          <w:w w:val="100"/>
          <w:position w:val="0"/>
          <w:sz w:val="24"/>
          <w:szCs w:val="24"/>
        </w:rPr>
        <w:t>辞退福利</w:t>
      </w:r>
    </w:p>
    <w:p>
      <w:pPr>
        <w:pStyle w:val="Style72"/>
        <w:keepNext w:val="0"/>
        <w:keepLines w:val="0"/>
        <w:widowControl w:val="0"/>
        <w:shd w:val="clear" w:color="auto" w:fill="auto"/>
        <w:bidi w:val="0"/>
        <w:spacing w:before="0" w:after="300" w:line="311" w:lineRule="exact"/>
        <w:ind w:right="0" w:firstLine="0"/>
        <w:jc w:val="both"/>
      </w:pPr>
      <w:r>
        <w:rPr>
          <w:color w:val="000000"/>
          <w:spacing w:val="0"/>
          <w:w w:val="100"/>
          <w:position w:val="0"/>
          <w:sz w:val="24"/>
          <w:szCs w:val="24"/>
        </w:rPr>
        <w:t>本集团在职工劳动合同到期之前解除与职工的劳动关系、或者为鼓励职工自 愿接受裁减而提出给予补偿，在本集团不能单方面撤回解除劳动关系计划或 裁减建议时和确认与涉及支付辞退福利的重组相关的成本费用时两者孰早 日，确认因解除与职工的劳动关系给予补偿而产生的负债，同时计入当期损 益。</w:t>
      </w:r>
    </w:p>
    <w:p>
      <w:pPr>
        <w:pStyle w:val="Style72"/>
        <w:keepNext w:val="0"/>
        <w:keepLines w:val="0"/>
        <w:widowControl w:val="0"/>
        <w:shd w:val="clear" w:color="auto" w:fill="auto"/>
        <w:bidi w:val="0"/>
        <w:spacing w:before="0" w:after="300" w:line="312" w:lineRule="exact"/>
        <w:ind w:left="0" w:right="0" w:firstLine="720"/>
        <w:jc w:val="left"/>
      </w:pPr>
      <w:r>
        <w:rPr>
          <w:color w:val="000000"/>
          <w:spacing w:val="0"/>
          <w:w w:val="100"/>
          <w:position w:val="0"/>
          <w:sz w:val="24"/>
          <w:szCs w:val="24"/>
        </w:rPr>
        <w:t>预期在资产负债表日起一年内需支付的辞退福利，列示为流动负债。</w:t>
      </w:r>
    </w:p>
    <w:p>
      <w:pPr>
        <w:pStyle w:val="Style72"/>
        <w:keepNext w:val="0"/>
        <w:keepLines w:val="0"/>
        <w:widowControl w:val="0"/>
        <w:numPr>
          <w:ilvl w:val="0"/>
          <w:numId w:val="49"/>
        </w:numPr>
        <w:shd w:val="clear" w:color="auto" w:fill="auto"/>
        <w:tabs>
          <w:tab w:pos="715" w:val="left"/>
        </w:tabs>
        <w:bidi w:val="0"/>
        <w:spacing w:before="0" w:after="260" w:line="240" w:lineRule="auto"/>
        <w:ind w:left="0" w:right="0" w:firstLine="0"/>
        <w:jc w:val="both"/>
      </w:pPr>
      <w:bookmarkStart w:id="847" w:name="bookmark847"/>
      <w:bookmarkEnd w:id="847"/>
      <w:r>
        <w:rPr>
          <w:b/>
          <w:bCs/>
          <w:color w:val="000000"/>
          <w:spacing w:val="0"/>
          <w:w w:val="100"/>
          <w:position w:val="0"/>
          <w:sz w:val="24"/>
          <w:szCs w:val="24"/>
        </w:rPr>
        <w:t>股利分配</w:t>
      </w:r>
    </w:p>
    <w:p>
      <w:pPr>
        <w:pStyle w:val="Style72"/>
        <w:keepNext w:val="0"/>
        <w:keepLines w:val="0"/>
        <w:widowControl w:val="0"/>
        <w:shd w:val="clear" w:color="auto" w:fill="auto"/>
        <w:bidi w:val="0"/>
        <w:spacing w:before="0" w:after="260" w:line="312" w:lineRule="exact"/>
        <w:ind w:left="0" w:right="0" w:firstLine="720"/>
        <w:jc w:val="left"/>
        <w:sectPr>
          <w:footnotePr>
            <w:pos w:val="pageBottom"/>
            <w:numFmt w:val="decimal"/>
            <w:numStart w:val="1"/>
            <w:numRestart w:val="continuous"/>
            <w15:footnoteColumns w:val="1"/>
          </w:footnotePr>
          <w:pgSz w:w="11900" w:h="16840"/>
          <w:pgMar w:top="2338" w:right="1302" w:bottom="3293" w:left="1709" w:header="0" w:footer="3" w:gutter="0"/>
          <w:cols w:space="720"/>
          <w:noEndnote/>
          <w:rtlGutter w:val="0"/>
          <w:docGrid w:linePitch="360"/>
        </w:sectPr>
      </w:pPr>
      <w:r>
        <w:rPr>
          <w:color w:val="000000"/>
          <w:spacing w:val="0"/>
          <w:w w:val="100"/>
          <w:position w:val="0"/>
          <w:sz w:val="24"/>
          <w:szCs w:val="24"/>
        </w:rPr>
        <w:t>现金股利于股东大会批准的当期，确认为负债。</w:t>
      </w:r>
    </w:p>
    <w:p>
      <w:pPr>
        <w:pStyle w:val="Style72"/>
        <w:keepNext w:val="0"/>
        <w:keepLines w:val="0"/>
        <w:widowControl w:val="0"/>
        <w:shd w:val="clear" w:color="auto" w:fill="auto"/>
        <w:tabs>
          <w:tab w:pos="714"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49"/>
        </w:numPr>
        <w:shd w:val="clear" w:color="auto" w:fill="auto"/>
        <w:tabs>
          <w:tab w:pos="714" w:val="left"/>
        </w:tabs>
        <w:bidi w:val="0"/>
        <w:spacing w:before="0" w:after="240" w:line="240" w:lineRule="auto"/>
        <w:ind w:left="0" w:right="0" w:firstLine="0"/>
        <w:jc w:val="left"/>
      </w:pPr>
      <w:bookmarkStart w:id="848" w:name="bookmark848"/>
      <w:bookmarkEnd w:id="848"/>
      <w:r>
        <w:rPr>
          <w:b/>
          <w:bCs/>
          <w:color w:val="000000"/>
          <w:spacing w:val="0"/>
          <w:w w:val="100"/>
          <w:position w:val="0"/>
          <w:sz w:val="24"/>
          <w:szCs w:val="24"/>
        </w:rPr>
        <w:t>预计负债</w:t>
      </w:r>
    </w:p>
    <w:p>
      <w:pPr>
        <w:pStyle w:val="Style72"/>
        <w:keepNext w:val="0"/>
        <w:keepLines w:val="0"/>
        <w:widowControl w:val="0"/>
        <w:shd w:val="clear" w:color="auto" w:fill="auto"/>
        <w:bidi w:val="0"/>
        <w:spacing w:before="0" w:after="240" w:line="312" w:lineRule="exact"/>
        <w:ind w:right="0" w:firstLine="0"/>
        <w:jc w:val="both"/>
      </w:pPr>
      <w:r>
        <w:rPr>
          <w:color w:val="000000"/>
          <w:spacing w:val="0"/>
          <w:w w:val="100"/>
          <w:position w:val="0"/>
          <w:sz w:val="24"/>
          <w:szCs w:val="24"/>
        </w:rPr>
        <w:t>因产品质量保证、亏损合同等形成的现时义务，当履行该义务很可能导致经 济利益的流出，且其金额能够可靠计量时，确认为预计负债。</w:t>
      </w:r>
    </w:p>
    <w:p>
      <w:pPr>
        <w:pStyle w:val="Style72"/>
        <w:keepNext w:val="0"/>
        <w:keepLines w:val="0"/>
        <w:widowControl w:val="0"/>
        <w:shd w:val="clear" w:color="auto" w:fill="auto"/>
        <w:bidi w:val="0"/>
        <w:spacing w:before="0" w:after="240" w:line="312" w:lineRule="exact"/>
        <w:ind w:right="0" w:firstLine="0"/>
        <w:jc w:val="both"/>
      </w:pPr>
      <w:r>
        <w:rPr>
          <w:color w:val="000000"/>
          <w:spacing w:val="0"/>
          <w:w w:val="100"/>
          <w:position w:val="0"/>
          <w:sz w:val="24"/>
          <w:szCs w:val="24"/>
        </w:rPr>
        <w:t>预计负债按照履行相关现时义务所需支出的最佳估计数进行初始计量，并综 合考虑与或有事项有关的风险、不确定性和货币时间价值等因素。货币时间 价值影响重大的，通过对相关未来现金流出进行折现后确定最佳估计数；因 随着时间推移所进行的折现还原而导致的预计负债账面价值的增加金额，确 认为利息费用。</w:t>
      </w:r>
    </w:p>
    <w:p>
      <w:pPr>
        <w:pStyle w:val="Style72"/>
        <w:keepNext w:val="0"/>
        <w:keepLines w:val="0"/>
        <w:widowControl w:val="0"/>
        <w:shd w:val="clear" w:color="auto" w:fill="auto"/>
        <w:bidi w:val="0"/>
        <w:spacing w:before="0" w:after="240" w:line="312" w:lineRule="exact"/>
        <w:ind w:right="0" w:firstLine="0"/>
        <w:jc w:val="both"/>
      </w:pPr>
      <w:r>
        <w:rPr>
          <w:color w:val="000000"/>
          <w:spacing w:val="0"/>
          <w:w w:val="100"/>
          <w:position w:val="0"/>
          <w:sz w:val="24"/>
          <w:szCs w:val="24"/>
        </w:rPr>
        <w:t>于资产负债表日，对预计负债的账面价值进行复核并作适当调整，以反映当 前的最佳估计数。</w:t>
      </w:r>
    </w:p>
    <w:p>
      <w:pPr>
        <w:pStyle w:val="Style72"/>
        <w:keepNext w:val="0"/>
        <w:keepLines w:val="0"/>
        <w:widowControl w:val="0"/>
        <w:shd w:val="clear" w:color="auto" w:fill="auto"/>
        <w:bidi w:val="0"/>
        <w:spacing w:before="0" w:after="240" w:line="312" w:lineRule="exact"/>
        <w:ind w:right="0" w:firstLine="0"/>
        <w:jc w:val="both"/>
      </w:pPr>
      <w:r>
        <w:rPr>
          <w:color w:val="000000"/>
          <w:spacing w:val="0"/>
          <w:w w:val="100"/>
          <w:position w:val="0"/>
          <w:sz w:val="24"/>
          <w:szCs w:val="24"/>
        </w:rPr>
        <w:t>本集团以预期信用损失为基础确认的财务担保合同损失准备和贷款承诺准备 列示为预计负债。</w:t>
      </w:r>
    </w:p>
    <w:p>
      <w:pPr>
        <w:pStyle w:val="Style72"/>
        <w:keepNext w:val="0"/>
        <w:keepLines w:val="0"/>
        <w:widowControl w:val="0"/>
        <w:shd w:val="clear" w:color="auto" w:fill="auto"/>
        <w:bidi w:val="0"/>
        <w:spacing w:before="0" w:after="300" w:line="312" w:lineRule="exact"/>
        <w:ind w:left="0" w:right="0" w:firstLine="720"/>
        <w:jc w:val="left"/>
      </w:pPr>
      <w:r>
        <w:rPr>
          <w:color w:val="000000"/>
          <w:spacing w:val="0"/>
          <w:w w:val="100"/>
          <w:position w:val="0"/>
          <w:sz w:val="24"/>
          <w:szCs w:val="24"/>
        </w:rPr>
        <w:t>预期在资产负债表日起一年内需支付的预计负债，列报为流动负债。</w:t>
      </w:r>
    </w:p>
    <w:p>
      <w:pPr>
        <w:pStyle w:val="Style92"/>
        <w:keepNext w:val="0"/>
        <w:keepLines w:val="0"/>
        <w:widowControl w:val="0"/>
        <w:numPr>
          <w:ilvl w:val="0"/>
          <w:numId w:val="49"/>
        </w:numPr>
        <w:shd w:val="clear" w:color="auto" w:fill="auto"/>
        <w:tabs>
          <w:tab w:pos="714" w:val="left"/>
        </w:tabs>
        <w:bidi w:val="0"/>
        <w:spacing w:before="0" w:after="240"/>
        <w:ind w:left="0" w:right="0" w:firstLine="0"/>
        <w:jc w:val="left"/>
      </w:pPr>
      <w:bookmarkStart w:id="849" w:name="bookmark849"/>
      <w:bookmarkEnd w:id="849"/>
      <w:r>
        <w:rPr>
          <w:rFonts w:ascii="SimSun" w:eastAsia="SimSun" w:hAnsi="SimSun" w:cs="SimSun"/>
          <w:b/>
          <w:bCs/>
          <w:color w:val="000000"/>
          <w:spacing w:val="0"/>
          <w:w w:val="100"/>
          <w:position w:val="0"/>
          <w:sz w:val="24"/>
          <w:szCs w:val="24"/>
        </w:rPr>
        <w:t>收入</w:t>
      </w:r>
    </w:p>
    <w:p>
      <w:pPr>
        <w:pStyle w:val="Style72"/>
        <w:keepNext w:val="0"/>
        <w:keepLines w:val="0"/>
        <w:widowControl w:val="0"/>
        <w:shd w:val="clear" w:color="auto" w:fill="auto"/>
        <w:bidi w:val="0"/>
        <w:spacing w:before="0" w:after="240" w:line="322" w:lineRule="exact"/>
        <w:ind w:right="0" w:firstLine="0"/>
        <w:jc w:val="both"/>
      </w:pPr>
      <w:r>
        <w:rPr>
          <w:color w:val="000000"/>
          <w:spacing w:val="0"/>
          <w:w w:val="100"/>
          <w:position w:val="0"/>
          <w:sz w:val="24"/>
          <w:szCs w:val="24"/>
        </w:rPr>
        <w:t>本集团在客户取得相关商品或服务的控制权时，按预期有权收取的对价金额 确认收入。</w:t>
      </w:r>
    </w:p>
    <w:p>
      <w:pPr>
        <w:pStyle w:val="Style72"/>
        <w:keepNext w:val="0"/>
        <w:keepLines w:val="0"/>
        <w:widowControl w:val="0"/>
        <w:shd w:val="clear" w:color="auto" w:fill="auto"/>
        <w:bidi w:val="0"/>
        <w:spacing w:before="0" w:after="300" w:line="313" w:lineRule="exact"/>
        <w:ind w:right="0" w:firstLine="0"/>
        <w:jc w:val="both"/>
      </w:pPr>
      <w:r>
        <w:rPr>
          <w:color w:val="000000"/>
          <w:spacing w:val="0"/>
          <w:w w:val="100"/>
          <w:position w:val="0"/>
          <w:sz w:val="24"/>
          <w:szCs w:val="24"/>
        </w:rPr>
        <w:t>对于应付客户对价，本集团考虑其是否向客户获取可明确区分的商品，若未 取得可明确区分的商品，本集团将应付客户对价冲减相关交易价格，并在确 认相关收入与支付客户对价孰晚冲减当期收入；若取得可明确区分的商品， 本集团按照与其他采购相一致的方法进行会计处理。本集团根据在向客户转 让商品或服务前是否拥有对该商品或服务的控制权，来判断公司提供商品或 服务时的身份是主要责任人还是代理人。本集团在向客户转让商品或服务前 能够控制该商品或服务的，为主要责任人，按照已收或应收对价总额确认收 入；否则，本集团为代理人，按照预期有权收取的佣金或手续费的金额确认 收入。</w:t>
      </w:r>
    </w:p>
    <w:p>
      <w:pPr>
        <w:pStyle w:val="Style72"/>
        <w:keepNext w:val="0"/>
        <w:keepLines w:val="0"/>
        <w:widowControl w:val="0"/>
        <w:numPr>
          <w:ilvl w:val="0"/>
          <w:numId w:val="51"/>
        </w:numPr>
        <w:shd w:val="clear" w:color="auto" w:fill="auto"/>
        <w:tabs>
          <w:tab w:pos="714" w:val="left"/>
        </w:tabs>
        <w:bidi w:val="0"/>
        <w:spacing w:before="0" w:after="240" w:line="271" w:lineRule="auto"/>
        <w:ind w:left="0" w:right="0" w:firstLine="0"/>
        <w:jc w:val="left"/>
      </w:pPr>
      <w:bookmarkStart w:id="850" w:name="bookmark850"/>
      <w:bookmarkEnd w:id="850"/>
      <w:r>
        <w:rPr>
          <w:color w:val="000000"/>
          <w:spacing w:val="0"/>
          <w:w w:val="100"/>
          <w:position w:val="0"/>
          <w:sz w:val="24"/>
          <w:szCs w:val="24"/>
        </w:rPr>
        <w:t>销售商品</w:t>
      </w:r>
    </w:p>
    <w:p>
      <w:pPr>
        <w:pStyle w:val="Style72"/>
        <w:keepNext w:val="0"/>
        <w:keepLines w:val="0"/>
        <w:widowControl w:val="0"/>
        <w:shd w:val="clear" w:color="auto" w:fill="auto"/>
        <w:bidi w:val="0"/>
        <w:spacing w:before="0" w:after="240" w:line="311" w:lineRule="exact"/>
        <w:ind w:right="0" w:firstLine="0"/>
        <w:jc w:val="both"/>
        <w:sectPr>
          <w:footnotePr>
            <w:pos w:val="pageBottom"/>
            <w:numFmt w:val="decimal"/>
            <w:numStart w:val="1"/>
            <w:numRestart w:val="continuous"/>
            <w15:footnoteColumns w:val="1"/>
          </w:footnotePr>
          <w:pgSz w:w="11900" w:h="16840"/>
          <w:pgMar w:top="2338" w:right="1302" w:bottom="1320" w:left="1709" w:header="0" w:footer="3" w:gutter="0"/>
          <w:cols w:space="720"/>
          <w:noEndnote/>
          <w:rtlGutter w:val="0"/>
          <w:docGrid w:linePitch="360"/>
        </w:sectPr>
      </w:pPr>
      <w:r>
        <w:rPr>
          <w:color w:val="000000"/>
          <w:spacing w:val="0"/>
          <w:w w:val="100"/>
          <w:position w:val="0"/>
          <w:sz w:val="24"/>
          <w:szCs w:val="24"/>
        </w:rPr>
        <w:t>本集团从事商品零售业务，并于顾客收到该商品时确认收入。顾客在收到商 品后</w:t>
      </w:r>
      <w:r>
        <w:rPr>
          <w:rFonts w:ascii="Arial" w:eastAsia="Arial" w:hAnsi="Arial" w:cs="Arial"/>
          <w:color w:val="000000"/>
          <w:spacing w:val="0"/>
          <w:w w:val="100"/>
          <w:position w:val="0"/>
          <w:sz w:val="24"/>
          <w:szCs w:val="24"/>
        </w:rPr>
        <w:t>7</w:t>
      </w:r>
      <w:r>
        <w:rPr>
          <w:color w:val="000000"/>
          <w:spacing w:val="0"/>
          <w:w w:val="100"/>
          <w:position w:val="0"/>
          <w:sz w:val="24"/>
          <w:szCs w:val="24"/>
        </w:rPr>
        <w:t>天内有权退货，本集团根据销售商品的历史经验和数据，按照期望值 法确定预计销售退回的金额，并抵减销售收入。本集团将预期因销售退回而 将退还的金额确认为应付退货款，列示为其他流动负债；同时，按照预期将 退回产品于销售时的账面价值，扣除收回该产品预计发生的成本后的余额， 确认为应收退货成本，列示为其他流动资产。</w:t>
      </w:r>
    </w:p>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苏宁易购集团股份有限公司</w:t>
      </w:r>
    </w:p>
    <w:p>
      <w:pPr>
        <w:pStyle w:val="Style72"/>
        <w:keepNext w:val="0"/>
        <w:keepLines w:val="0"/>
        <w:widowControl w:val="0"/>
        <w:shd w:val="clear" w:color="auto" w:fill="auto"/>
        <w:bidi w:val="0"/>
        <w:spacing w:before="0" w:after="60" w:line="240" w:lineRule="auto"/>
        <w:ind w:left="0" w:right="0" w:firstLine="720"/>
        <w:jc w:val="both"/>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60" w:line="240" w:lineRule="auto"/>
        <w:ind w:left="0" w:right="0" w:firstLine="720"/>
        <w:jc w:val="left"/>
        <w:rPr>
          <w:sz w:val="22"/>
          <w:szCs w:val="22"/>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color w:val="000000"/>
          <w:spacing w:val="0"/>
          <w:w w:val="100"/>
          <w:position w:val="0"/>
          <w:sz w:val="22"/>
          <w:szCs w:val="22"/>
        </w:rPr>
        <w:t>)</w:t>
      </w:r>
    </w:p>
    <w:p>
      <w:pPr>
        <w:pStyle w:val="Style72"/>
        <w:keepNext w:val="0"/>
        <w:keepLines w:val="0"/>
        <w:widowControl w:val="0"/>
        <w:shd w:val="clear" w:color="auto" w:fill="auto"/>
        <w:tabs>
          <w:tab w:pos="714"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after="300"/>
        <w:ind w:left="0" w:right="0" w:firstLine="0"/>
        <w:jc w:val="left"/>
        <w:rPr>
          <w:sz w:val="28"/>
          <w:szCs w:val="28"/>
        </w:rPr>
      </w:pPr>
      <w:r>
        <w:rPr>
          <w:color w:val="000000"/>
          <w:spacing w:val="0"/>
          <w:w w:val="100"/>
          <w:position w:val="0"/>
          <w:sz w:val="24"/>
          <w:szCs w:val="24"/>
        </w:rPr>
        <w:t>(22)</w:t>
      </w:r>
      <w:r>
        <w:rPr>
          <w:rFonts w:ascii="SimSun" w:eastAsia="SimSun" w:hAnsi="SimSun" w:cs="SimSun"/>
          <w:b/>
          <w:bCs/>
          <w:color w:val="000000"/>
          <w:spacing w:val="0"/>
          <w:w w:val="100"/>
          <w:position w:val="0"/>
          <w:sz w:val="24"/>
          <w:szCs w:val="24"/>
        </w:rPr>
        <w:t>收入</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numPr>
          <w:ilvl w:val="0"/>
          <w:numId w:val="53"/>
        </w:numPr>
        <w:shd w:val="clear" w:color="auto" w:fill="auto"/>
        <w:tabs>
          <w:tab w:pos="714" w:val="left"/>
        </w:tabs>
        <w:bidi w:val="0"/>
        <w:spacing w:before="0" w:after="240"/>
        <w:ind w:left="0" w:right="0" w:firstLine="0"/>
        <w:jc w:val="left"/>
        <w:rPr>
          <w:sz w:val="28"/>
          <w:szCs w:val="28"/>
        </w:rPr>
      </w:pPr>
      <w:bookmarkStart w:id="851" w:name="bookmark851"/>
      <w:bookmarkEnd w:id="851"/>
      <w:r>
        <w:rPr>
          <w:rFonts w:ascii="SimSun" w:eastAsia="SimSun" w:hAnsi="SimSun" w:cs="SimSun"/>
          <w:color w:val="000000"/>
          <w:spacing w:val="0"/>
          <w:w w:val="100"/>
          <w:position w:val="0"/>
          <w:sz w:val="24"/>
          <w:szCs w:val="24"/>
        </w:rPr>
        <w:t>销售商品</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300" w:line="311" w:lineRule="exact"/>
        <w:ind w:right="0" w:firstLine="0"/>
        <w:jc w:val="both"/>
      </w:pPr>
      <w:r>
        <w:rPr>
          <w:color w:val="000000"/>
          <w:spacing w:val="0"/>
          <w:w w:val="100"/>
          <w:position w:val="0"/>
          <w:sz w:val="24"/>
          <w:szCs w:val="24"/>
        </w:rPr>
        <w:t>本集团实施奖励积分计划，顾客因购买商品而获得的奖励积分，可在未来</w:t>
      </w:r>
      <w:r>
        <w:rPr>
          <w:rFonts w:ascii="Arial" w:eastAsia="Arial" w:hAnsi="Arial" w:cs="Arial"/>
          <w:color w:val="000000"/>
          <w:spacing w:val="0"/>
          <w:w w:val="100"/>
          <w:position w:val="0"/>
          <w:sz w:val="24"/>
          <w:szCs w:val="24"/>
        </w:rPr>
        <w:t xml:space="preserve">12 </w:t>
      </w:r>
      <w:r>
        <w:rPr>
          <w:color w:val="000000"/>
          <w:spacing w:val="0"/>
          <w:w w:val="100"/>
          <w:position w:val="0"/>
          <w:sz w:val="24"/>
          <w:szCs w:val="24"/>
        </w:rPr>
        <w:t>个月内购买商品时抵减购买价款。本集团根据销售商品和奖励积分各自单独 售价的相对比例，将销售取得的货款在商品销售收入与奖励积分之间进行分 配，与奖励积分相关的部分先确认为合同负债，待顾客兑换奖励积分或奖励 积分失效时，结转计入收入。</w:t>
      </w:r>
    </w:p>
    <w:p>
      <w:pPr>
        <w:pStyle w:val="Style72"/>
        <w:keepNext w:val="0"/>
        <w:keepLines w:val="0"/>
        <w:widowControl w:val="0"/>
        <w:numPr>
          <w:ilvl w:val="0"/>
          <w:numId w:val="53"/>
        </w:numPr>
        <w:shd w:val="clear" w:color="auto" w:fill="auto"/>
        <w:tabs>
          <w:tab w:pos="714" w:val="left"/>
        </w:tabs>
        <w:bidi w:val="0"/>
        <w:spacing w:before="0" w:after="240" w:line="271" w:lineRule="auto"/>
        <w:ind w:left="0" w:right="0" w:firstLine="0"/>
        <w:jc w:val="left"/>
      </w:pPr>
      <w:bookmarkStart w:id="852" w:name="bookmark852"/>
      <w:bookmarkEnd w:id="852"/>
      <w:r>
        <w:rPr>
          <w:color w:val="000000"/>
          <w:spacing w:val="0"/>
          <w:w w:val="100"/>
          <w:position w:val="0"/>
          <w:sz w:val="24"/>
          <w:szCs w:val="24"/>
        </w:rPr>
        <w:t>房地产销售</w:t>
      </w:r>
    </w:p>
    <w:p>
      <w:pPr>
        <w:pStyle w:val="Style72"/>
        <w:keepNext w:val="0"/>
        <w:keepLines w:val="0"/>
        <w:widowControl w:val="0"/>
        <w:shd w:val="clear" w:color="auto" w:fill="auto"/>
        <w:bidi w:val="0"/>
        <w:spacing w:before="0" w:after="300" w:line="312" w:lineRule="exact"/>
        <w:ind w:left="0" w:right="0" w:firstLine="720"/>
        <w:jc w:val="both"/>
      </w:pPr>
      <w:r>
        <w:rPr>
          <w:color w:val="000000"/>
          <w:spacing w:val="0"/>
          <w:w w:val="100"/>
          <w:position w:val="0"/>
          <w:sz w:val="24"/>
          <w:szCs w:val="24"/>
        </w:rPr>
        <w:t>销售房地产开发产品的收入在客户验收合格时确认销售收入的实现</w:t>
      </w:r>
      <w:r>
        <w:rPr>
          <w:i/>
          <w:iCs/>
          <w:color w:val="000000"/>
          <w:spacing w:val="0"/>
          <w:w w:val="100"/>
          <w:position w:val="0"/>
          <w:sz w:val="24"/>
          <w:szCs w:val="24"/>
        </w:rPr>
        <w:t>。</w:t>
      </w:r>
    </w:p>
    <w:p>
      <w:pPr>
        <w:pStyle w:val="Style72"/>
        <w:keepNext w:val="0"/>
        <w:keepLines w:val="0"/>
        <w:widowControl w:val="0"/>
        <w:numPr>
          <w:ilvl w:val="0"/>
          <w:numId w:val="53"/>
        </w:numPr>
        <w:shd w:val="clear" w:color="auto" w:fill="auto"/>
        <w:tabs>
          <w:tab w:pos="714" w:val="left"/>
        </w:tabs>
        <w:bidi w:val="0"/>
        <w:spacing w:before="0" w:after="240" w:line="271" w:lineRule="auto"/>
        <w:ind w:left="0" w:right="0" w:firstLine="0"/>
        <w:jc w:val="left"/>
      </w:pPr>
      <w:bookmarkStart w:id="853" w:name="bookmark853"/>
      <w:bookmarkEnd w:id="853"/>
      <w:r>
        <w:rPr>
          <w:color w:val="000000"/>
          <w:spacing w:val="0"/>
          <w:w w:val="100"/>
          <w:position w:val="0"/>
          <w:sz w:val="24"/>
          <w:szCs w:val="24"/>
        </w:rPr>
        <w:t>提供劳务</w:t>
      </w:r>
    </w:p>
    <w:p>
      <w:pPr>
        <w:pStyle w:val="Style72"/>
        <w:keepNext w:val="0"/>
        <w:keepLines w:val="0"/>
        <w:widowControl w:val="0"/>
        <w:shd w:val="clear" w:color="auto" w:fill="auto"/>
        <w:bidi w:val="0"/>
        <w:spacing w:before="0" w:after="240" w:line="311" w:lineRule="exact"/>
        <w:ind w:right="0" w:firstLine="0"/>
        <w:jc w:val="left"/>
      </w:pPr>
      <w:r>
        <w:rPr>
          <w:color w:val="000000"/>
          <w:spacing w:val="0"/>
          <w:w w:val="100"/>
          <w:position w:val="0"/>
          <w:sz w:val="24"/>
          <w:szCs w:val="24"/>
        </w:rPr>
        <w:t>本集团对外提供运输配送及增值服务、仓储服务、快递服务、安装维修劳务、 连锁店服务、信息技术服务等，并根据已完成劳务的进度在一段时间内确认 收入，其中，已完成劳务的进度按照已发生的成本占预计总成本的比例确定。 于资产负债表日，本集团对已完成劳务的进度进行重新估计，以使其能够反 映履约情况的变化。</w:t>
      </w:r>
    </w:p>
    <w:p>
      <w:pPr>
        <w:pStyle w:val="Style72"/>
        <w:keepNext w:val="0"/>
        <w:keepLines w:val="0"/>
        <w:widowControl w:val="0"/>
        <w:shd w:val="clear" w:color="auto" w:fill="auto"/>
        <w:bidi w:val="0"/>
        <w:spacing w:before="0" w:after="240" w:line="313" w:lineRule="exact"/>
        <w:ind w:right="0" w:firstLine="0"/>
        <w:jc w:val="left"/>
      </w:pPr>
      <w:r>
        <w:rPr>
          <w:color w:val="000000"/>
          <w:spacing w:val="0"/>
          <w:w w:val="100"/>
          <w:position w:val="0"/>
          <w:sz w:val="24"/>
          <w:szCs w:val="24"/>
        </w:rPr>
        <w:t>本集团按照已完成劳务的进度确认收入时，对于本集团已经取得无条件收款 权的部分，确认为应收账款，其余部分确认为合同资产，并对应收账款和合 同资产以预期信用损失为基础确认损失准备</w:t>
      </w:r>
      <w:r>
        <w:rPr>
          <w:rFonts w:ascii="Arial" w:eastAsia="Arial" w:hAnsi="Arial" w:cs="Arial"/>
          <w:color w:val="000000"/>
          <w:spacing w:val="0"/>
          <w:w w:val="100"/>
          <w:position w:val="0"/>
          <w:sz w:val="24"/>
          <w:szCs w:val="24"/>
        </w:rPr>
        <w:t>(</w:t>
      </w:r>
      <w:r>
        <w:rPr>
          <w:color w:val="000000"/>
          <w:spacing w:val="0"/>
          <w:w w:val="100"/>
          <w:position w:val="0"/>
          <w:sz w:val="24"/>
          <w:szCs w:val="24"/>
        </w:rPr>
        <w:t>附注二</w:t>
      </w:r>
      <w:r>
        <w:rPr>
          <w:rFonts w:ascii="Arial" w:eastAsia="Arial" w:hAnsi="Arial" w:cs="Arial"/>
          <w:color w:val="000000"/>
          <w:spacing w:val="0"/>
          <w:w w:val="100"/>
          <w:position w:val="0"/>
          <w:sz w:val="24"/>
          <w:szCs w:val="24"/>
        </w:rPr>
        <w:t>(9))</w:t>
      </w:r>
      <w:r>
        <w:rPr>
          <w:color w:val="000000"/>
          <w:spacing w:val="0"/>
          <w:w w:val="100"/>
          <w:position w:val="0"/>
          <w:sz w:val="24"/>
          <w:szCs w:val="24"/>
        </w:rPr>
        <w:t>；如果本集团已收或应 收的合同价款超过已完成的劳务，则将超过部分确认为合同负债。本集团对 于同一合同项下的合同资产和合同负债以净额列示。</w:t>
      </w:r>
    </w:p>
    <w:p>
      <w:pPr>
        <w:pStyle w:val="Style72"/>
        <w:keepNext w:val="0"/>
        <w:keepLines w:val="0"/>
        <w:widowControl w:val="0"/>
        <w:shd w:val="clear" w:color="auto" w:fill="auto"/>
        <w:bidi w:val="0"/>
        <w:spacing w:before="0" w:after="240" w:line="314" w:lineRule="exact"/>
        <w:ind w:right="0" w:firstLine="0"/>
        <w:jc w:val="left"/>
        <w:sectPr>
          <w:footnotePr>
            <w:pos w:val="pageBottom"/>
            <w:numFmt w:val="decimal"/>
            <w:numStart w:val="1"/>
            <w:numRestart w:val="continuous"/>
            <w15:footnoteColumns w:val="1"/>
          </w:footnotePr>
          <w:pgSz w:w="11900" w:h="16840"/>
          <w:pgMar w:top="778" w:right="1302" w:bottom="884" w:left="1709" w:header="0" w:footer="3" w:gutter="0"/>
          <w:cols w:space="720"/>
          <w:noEndnote/>
          <w:rtlGutter w:val="0"/>
          <w:docGrid w:linePitch="360"/>
        </w:sectPr>
      </w:pPr>
      <w:r>
        <w:rPr>
          <w:color w:val="000000"/>
          <w:spacing w:val="0"/>
          <w:w w:val="100"/>
          <w:position w:val="0"/>
          <w:sz w:val="24"/>
          <w:szCs w:val="24"/>
        </w:rPr>
        <w:t>合同成本包括合同履约成本。本集团为提供劳务而发生的成本，确认为合同 履约成本，并在确认收入时，按照已完成劳务的进度结转计入主营业务成本。 于资产负债表日，本集团对于合同履约成本根据其初始确认时摊销期限是否 超过一年，以减去相关资产减值准备后的净额，分别列示为存货和其他非流 动资产。</w:t>
      </w:r>
    </w:p>
    <w:p>
      <w:pPr>
        <w:pStyle w:val="Style72"/>
        <w:keepNext w:val="0"/>
        <w:keepLines w:val="0"/>
        <w:widowControl w:val="0"/>
        <w:shd w:val="clear" w:color="auto" w:fill="auto"/>
        <w:tabs>
          <w:tab w:pos="701" w:val="left"/>
        </w:tabs>
        <w:bidi w:val="0"/>
        <w:spacing w:before="0" w:after="280" w:line="240" w:lineRule="auto"/>
        <w:ind w:left="0" w:right="0" w:firstLine="0"/>
        <w:jc w:val="both"/>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1" w:val="left"/>
        </w:tabs>
        <w:bidi w:val="0"/>
        <w:spacing w:before="0" w:after="280" w:line="240" w:lineRule="auto"/>
        <w:ind w:left="0" w:right="0" w:firstLine="0"/>
        <w:jc w:val="both"/>
      </w:pPr>
      <w:bookmarkStart w:id="854" w:name="bookmark854"/>
      <w:r>
        <w:rPr>
          <w:rFonts w:ascii="Arial" w:eastAsia="Arial" w:hAnsi="Arial" w:cs="Arial"/>
          <w:color w:val="000000"/>
          <w:spacing w:val="0"/>
          <w:w w:val="100"/>
          <w:position w:val="0"/>
          <w:sz w:val="24"/>
          <w:szCs w:val="24"/>
        </w:rPr>
        <w:t>（</w:t>
      </w:r>
      <w:bookmarkEnd w:id="854"/>
      <w:r>
        <w:rPr>
          <w:rFonts w:ascii="Arial" w:eastAsia="Arial" w:hAnsi="Arial" w:cs="Arial"/>
          <w:color w:val="000000"/>
          <w:spacing w:val="0"/>
          <w:w w:val="100"/>
          <w:position w:val="0"/>
          <w:sz w:val="24"/>
          <w:szCs w:val="24"/>
        </w:rPr>
        <w:t>23）</w:t>
        <w:tab/>
      </w:r>
      <w:r>
        <w:rPr>
          <w:b/>
          <w:bCs/>
          <w:color w:val="000000"/>
          <w:spacing w:val="0"/>
          <w:w w:val="100"/>
          <w:position w:val="0"/>
          <w:sz w:val="24"/>
          <w:szCs w:val="24"/>
        </w:rPr>
        <w:t>政府补助</w:t>
      </w:r>
    </w:p>
    <w:p>
      <w:pPr>
        <w:pStyle w:val="Style72"/>
        <w:keepNext w:val="0"/>
        <w:keepLines w:val="0"/>
        <w:widowControl w:val="0"/>
        <w:shd w:val="clear" w:color="auto" w:fill="auto"/>
        <w:bidi w:val="0"/>
        <w:spacing w:before="0" w:after="280" w:line="302" w:lineRule="exact"/>
        <w:ind w:right="0" w:firstLine="0"/>
        <w:jc w:val="both"/>
      </w:pPr>
      <w:r>
        <w:rPr>
          <w:color w:val="000000"/>
          <w:spacing w:val="0"/>
          <w:w w:val="100"/>
          <w:position w:val="0"/>
          <w:sz w:val="24"/>
          <w:szCs w:val="24"/>
        </w:rPr>
        <w:t>政府补助为本集团从政府无偿取得的货币性资产或非货币性资产，包括税费 返还、财政补贴等。</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政府补助在本集团能够满足其所附的条件并且能够收到时，予以确认。政府 补助为货币性资产的，按照收到或应收的金额计量。政府补助为非货币性资 产的，按照公允价值计量；公允价值不能可靠取得的，按照名义金额计量。</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与资产相关的政府补助，是指本集团取得的、用于购建或以其他方式形成长 期资产的政府补助。与收益相关的政府补助，是指除与资产相关的政府补助 之外的政府补助。</w:t>
      </w:r>
    </w:p>
    <w:p>
      <w:pPr>
        <w:pStyle w:val="Style72"/>
        <w:keepNext w:val="0"/>
        <w:keepLines w:val="0"/>
        <w:widowControl w:val="0"/>
        <w:shd w:val="clear" w:color="auto" w:fill="auto"/>
        <w:bidi w:val="0"/>
        <w:spacing w:before="0" w:after="280" w:line="307" w:lineRule="exact"/>
        <w:ind w:right="0" w:firstLine="0"/>
        <w:jc w:val="both"/>
      </w:pPr>
      <w:r>
        <w:rPr>
          <w:color w:val="000000"/>
          <w:spacing w:val="0"/>
          <w:w w:val="100"/>
          <w:position w:val="0"/>
          <w:sz w:val="24"/>
          <w:szCs w:val="24"/>
        </w:rPr>
        <w:t>本集团将与资产相关的政府补助确认为递延收益并在相关资产使用寿命内按 照合理、系统的方法分摊计入损益。</w:t>
      </w:r>
    </w:p>
    <w:p>
      <w:pPr>
        <w:pStyle w:val="Style72"/>
        <w:keepNext w:val="0"/>
        <w:keepLines w:val="0"/>
        <w:widowControl w:val="0"/>
        <w:shd w:val="clear" w:color="auto" w:fill="auto"/>
        <w:bidi w:val="0"/>
        <w:spacing w:before="0" w:after="280" w:line="314" w:lineRule="exact"/>
        <w:ind w:right="0" w:firstLine="0"/>
        <w:jc w:val="both"/>
      </w:pPr>
      <w:r>
        <w:rPr>
          <w:color w:val="000000"/>
          <w:spacing w:val="0"/>
          <w:w w:val="100"/>
          <w:position w:val="0"/>
          <w:sz w:val="24"/>
          <w:szCs w:val="24"/>
        </w:rPr>
        <w:t>对于税收返还、奖励款项和引导补贴资金相关的政府补助，若用于补偿以后 期间的相关成本费用或损失的，确认为递延收益，并在确认相关成本费用或 损失的期间，计入当期损益；若用于补偿已发生的相关成本费用或损失的， 直接计入当期损益。</w:t>
      </w:r>
    </w:p>
    <w:p>
      <w:pPr>
        <w:pStyle w:val="Style72"/>
        <w:keepNext w:val="0"/>
        <w:keepLines w:val="0"/>
        <w:widowControl w:val="0"/>
        <w:shd w:val="clear" w:color="auto" w:fill="auto"/>
        <w:bidi w:val="0"/>
        <w:spacing w:before="0" w:after="280" w:line="311" w:lineRule="exact"/>
        <w:ind w:left="0" w:right="0" w:firstLine="720"/>
        <w:jc w:val="both"/>
      </w:pPr>
      <w:r>
        <w:rPr>
          <w:color w:val="000000"/>
          <w:spacing w:val="0"/>
          <w:w w:val="100"/>
          <w:position w:val="0"/>
          <w:sz w:val="24"/>
          <w:szCs w:val="24"/>
        </w:rPr>
        <w:t>本集团对同类政府补助采用相同的列报方式。</w:t>
      </w:r>
    </w:p>
    <w:p>
      <w:pPr>
        <w:pStyle w:val="Style72"/>
        <w:keepNext w:val="0"/>
        <w:keepLines w:val="0"/>
        <w:widowControl w:val="0"/>
        <w:shd w:val="clear" w:color="auto" w:fill="auto"/>
        <w:bidi w:val="0"/>
        <w:spacing w:before="0" w:after="280" w:line="307" w:lineRule="exact"/>
        <w:ind w:right="0" w:firstLine="0"/>
        <w:jc w:val="both"/>
      </w:pPr>
      <w:r>
        <w:rPr>
          <w:color w:val="000000"/>
          <w:spacing w:val="0"/>
          <w:w w:val="100"/>
          <w:position w:val="0"/>
          <w:sz w:val="24"/>
          <w:szCs w:val="24"/>
        </w:rPr>
        <w:t>与日常活动相关的政府补助纳入营业利润，与日常活动无关的政府补助计入 营业外收支。</w:t>
      </w:r>
    </w:p>
    <w:p>
      <w:pPr>
        <w:pStyle w:val="Style72"/>
        <w:keepNext w:val="0"/>
        <w:keepLines w:val="0"/>
        <w:widowControl w:val="0"/>
        <w:shd w:val="clear" w:color="auto" w:fill="auto"/>
        <w:tabs>
          <w:tab w:pos="701" w:val="left"/>
        </w:tabs>
        <w:bidi w:val="0"/>
        <w:spacing w:before="0" w:after="280" w:line="240" w:lineRule="auto"/>
        <w:ind w:left="0" w:right="0" w:firstLine="0"/>
        <w:jc w:val="left"/>
      </w:pPr>
      <w:bookmarkStart w:id="855" w:name="bookmark855"/>
      <w:r>
        <w:rPr>
          <w:rFonts w:ascii="Arial" w:eastAsia="Arial" w:hAnsi="Arial" w:cs="Arial"/>
          <w:color w:val="000000"/>
          <w:spacing w:val="0"/>
          <w:w w:val="100"/>
          <w:position w:val="0"/>
          <w:sz w:val="24"/>
          <w:szCs w:val="24"/>
        </w:rPr>
        <w:t>（</w:t>
      </w:r>
      <w:bookmarkEnd w:id="855"/>
      <w:r>
        <w:rPr>
          <w:rFonts w:ascii="Arial" w:eastAsia="Arial" w:hAnsi="Arial" w:cs="Arial"/>
          <w:color w:val="000000"/>
          <w:spacing w:val="0"/>
          <w:w w:val="100"/>
          <w:position w:val="0"/>
          <w:sz w:val="24"/>
          <w:szCs w:val="24"/>
        </w:rPr>
        <w:t>24）</w:t>
        <w:tab/>
      </w:r>
      <w:r>
        <w:rPr>
          <w:b/>
          <w:bCs/>
          <w:color w:val="000000"/>
          <w:spacing w:val="0"/>
          <w:w w:val="100"/>
          <w:position w:val="0"/>
          <w:sz w:val="24"/>
          <w:szCs w:val="24"/>
        </w:rPr>
        <w:t>递延所得税资产和递延所得税负债</w:t>
      </w:r>
    </w:p>
    <w:p>
      <w:pPr>
        <w:pStyle w:val="Style72"/>
        <w:keepNext w:val="0"/>
        <w:keepLines w:val="0"/>
        <w:widowControl w:val="0"/>
        <w:shd w:val="clear" w:color="auto" w:fill="auto"/>
        <w:bidi w:val="0"/>
        <w:spacing w:before="0" w:after="280" w:line="311" w:lineRule="exact"/>
        <w:ind w:right="0" w:firstLine="0"/>
        <w:jc w:val="both"/>
      </w:pPr>
      <w:r>
        <w:rPr>
          <w:color w:val="000000"/>
          <w:spacing w:val="0"/>
          <w:w w:val="100"/>
          <w:position w:val="0"/>
          <w:sz w:val="24"/>
          <w:szCs w:val="24"/>
        </w:rPr>
        <w:t>递延所得税资产和递延所得税负债根据资产和负债的计税基础与其账面价值 的差额</w:t>
      </w:r>
      <w:r>
        <w:rPr>
          <w:rFonts w:ascii="Arial" w:eastAsia="Arial" w:hAnsi="Arial" w:cs="Arial"/>
          <w:color w:val="000000"/>
          <w:spacing w:val="0"/>
          <w:w w:val="100"/>
          <w:position w:val="0"/>
          <w:sz w:val="24"/>
          <w:szCs w:val="24"/>
        </w:rPr>
        <w:t>（</w:t>
      </w:r>
      <w:r>
        <w:rPr>
          <w:color w:val="000000"/>
          <w:spacing w:val="0"/>
          <w:w w:val="100"/>
          <w:position w:val="0"/>
          <w:sz w:val="24"/>
          <w:szCs w:val="24"/>
        </w:rPr>
        <w:t>暂时性差异</w:t>
      </w:r>
      <w:r>
        <w:rPr>
          <w:rFonts w:ascii="Arial" w:eastAsia="Arial" w:hAnsi="Arial" w:cs="Arial"/>
          <w:color w:val="000000"/>
          <w:spacing w:val="0"/>
          <w:w w:val="100"/>
          <w:position w:val="0"/>
          <w:sz w:val="24"/>
          <w:szCs w:val="24"/>
        </w:rPr>
        <w:t>）</w:t>
      </w:r>
      <w:r>
        <w:rPr>
          <w:color w:val="000000"/>
          <w:spacing w:val="0"/>
          <w:w w:val="100"/>
          <w:position w:val="0"/>
          <w:sz w:val="24"/>
          <w:szCs w:val="24"/>
        </w:rPr>
        <w:t>计算确认。对于按照税法规定能够于以后年度抵减应纳税 所得额的可抵扣亏损，确认相应的递延所得税资产。对于商誉的初始确认产 生的暂时性差异，不确认相应的递延所得税负债。对于既不影响会计利润也 不影响应纳税所得额</w:t>
      </w:r>
      <w:r>
        <w:rPr>
          <w:rFonts w:ascii="Arial" w:eastAsia="Arial" w:hAnsi="Arial" w:cs="Arial"/>
          <w:color w:val="000000"/>
          <w:spacing w:val="0"/>
          <w:w w:val="100"/>
          <w:position w:val="0"/>
          <w:sz w:val="24"/>
          <w:szCs w:val="24"/>
        </w:rPr>
        <w:t>（</w:t>
      </w:r>
      <w:r>
        <w:rPr>
          <w:color w:val="000000"/>
          <w:spacing w:val="0"/>
          <w:w w:val="100"/>
          <w:position w:val="0"/>
          <w:sz w:val="24"/>
          <w:szCs w:val="24"/>
        </w:rPr>
        <w:t>或可抵扣亏损</w:t>
      </w:r>
      <w:r>
        <w:rPr>
          <w:rFonts w:ascii="Arial" w:eastAsia="Arial" w:hAnsi="Arial" w:cs="Arial"/>
          <w:color w:val="000000"/>
          <w:spacing w:val="0"/>
          <w:w w:val="100"/>
          <w:position w:val="0"/>
          <w:sz w:val="24"/>
          <w:szCs w:val="24"/>
        </w:rPr>
        <w:t>）</w:t>
      </w:r>
      <w:r>
        <w:rPr>
          <w:color w:val="000000"/>
          <w:spacing w:val="0"/>
          <w:w w:val="100"/>
          <w:position w:val="0"/>
          <w:sz w:val="24"/>
          <w:szCs w:val="24"/>
        </w:rPr>
        <w:t>的非企业合并的交易中产生的资产或负 债的初始确认形成的暂时性差异，不确认相应的递延所得税资产和递延所得 税负债。于资产负债表日，递延所得税资产和递延所得税负债，按照预期收 回该资产或清偿该负债期间的适用税率计量。</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递延所得税资产的确认以很可能取得用来抵扣可抵扣暂时性差异、可抵扣亏 损和税款抵减的应纳税所得额为限。</w:t>
      </w:r>
    </w:p>
    <w:p>
      <w:pPr>
        <w:pStyle w:val="Style72"/>
        <w:keepNext w:val="0"/>
        <w:keepLines w:val="0"/>
        <w:widowControl w:val="0"/>
        <w:shd w:val="clear" w:color="auto" w:fill="auto"/>
        <w:tabs>
          <w:tab w:pos="702"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2" w:val="left"/>
        </w:tabs>
        <w:bidi w:val="0"/>
        <w:spacing w:before="0" w:after="260" w:line="240" w:lineRule="auto"/>
        <w:ind w:left="0" w:right="0" w:firstLine="0"/>
        <w:jc w:val="left"/>
        <w:rPr>
          <w:sz w:val="28"/>
          <w:szCs w:val="28"/>
        </w:rPr>
      </w:pPr>
      <w:bookmarkStart w:id="856" w:name="bookmark856"/>
      <w:r>
        <w:rPr>
          <w:rFonts w:ascii="Arial" w:eastAsia="Arial" w:hAnsi="Arial" w:cs="Arial"/>
          <w:color w:val="000000"/>
          <w:spacing w:val="0"/>
          <w:w w:val="100"/>
          <w:position w:val="0"/>
          <w:sz w:val="24"/>
          <w:szCs w:val="24"/>
        </w:rPr>
        <w:t>（</w:t>
      </w:r>
      <w:bookmarkEnd w:id="856"/>
      <w:r>
        <w:rPr>
          <w:rFonts w:ascii="Arial" w:eastAsia="Arial" w:hAnsi="Arial" w:cs="Arial"/>
          <w:color w:val="000000"/>
          <w:spacing w:val="0"/>
          <w:w w:val="100"/>
          <w:position w:val="0"/>
          <w:sz w:val="24"/>
          <w:szCs w:val="24"/>
        </w:rPr>
        <w:t>24）</w:t>
        <w:tab/>
      </w:r>
      <w:r>
        <w:rPr>
          <w:b/>
          <w:bCs/>
          <w:color w:val="000000"/>
          <w:spacing w:val="0"/>
          <w:w w:val="100"/>
          <w:position w:val="0"/>
          <w:sz w:val="24"/>
          <w:szCs w:val="24"/>
        </w:rPr>
        <w:t>递延所得税资产和递延所得税负债</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60" w:line="314" w:lineRule="exact"/>
        <w:ind w:right="0" w:firstLine="0"/>
        <w:jc w:val="both"/>
      </w:pPr>
      <w:r>
        <w:rPr>
          <w:color w:val="000000"/>
          <w:spacing w:val="0"/>
          <w:w w:val="100"/>
          <w:position w:val="0"/>
          <w:sz w:val="24"/>
          <w:szCs w:val="24"/>
        </w:rPr>
        <w:t>对与子公司、联营企业及合营企业投资相关的应纳税暂时性差异，确认递延 所得税负债，除非本集团能够控制该暂时性差异转回的时间且该暂时性差异 在可预见的未来很可能不会转回。对与子公司、联营企业及合营企业投资相 关的可抵扣暂时性差异，当该暂时性差异在可预见的未来很可能转回且未来 很可能获得用来抵扣可抵扣暂时性差异的应纳税所得额时，确认递延所得税 资产。</w:t>
      </w:r>
    </w:p>
    <w:p>
      <w:pPr>
        <w:pStyle w:val="Style72"/>
        <w:keepNext w:val="0"/>
        <w:keepLines w:val="0"/>
        <w:widowControl w:val="0"/>
        <w:shd w:val="clear" w:color="auto" w:fill="auto"/>
        <w:bidi w:val="0"/>
        <w:spacing w:before="0" w:after="260" w:line="317" w:lineRule="exact"/>
        <w:ind w:right="0" w:firstLine="0"/>
        <w:jc w:val="both"/>
      </w:pPr>
      <w:r>
        <w:rPr>
          <w:color w:val="000000"/>
          <w:spacing w:val="0"/>
          <w:w w:val="100"/>
          <w:position w:val="0"/>
          <w:sz w:val="24"/>
          <w:szCs w:val="24"/>
        </w:rPr>
        <w:t>同时满足下列条件的递延所得税资产和递延所得税负债以抵销后的净额列 示：</w:t>
      </w:r>
    </w:p>
    <w:p>
      <w:pPr>
        <w:pStyle w:val="Style72"/>
        <w:keepNext w:val="0"/>
        <w:keepLines w:val="0"/>
        <w:widowControl w:val="0"/>
        <w:numPr>
          <w:ilvl w:val="0"/>
          <w:numId w:val="45"/>
        </w:numPr>
        <w:shd w:val="clear" w:color="auto" w:fill="auto"/>
        <w:tabs>
          <w:tab w:pos="1435" w:val="left"/>
        </w:tabs>
        <w:bidi w:val="0"/>
        <w:spacing w:before="0" w:after="0" w:line="305" w:lineRule="exact"/>
        <w:ind w:left="1440" w:right="0" w:hanging="720"/>
        <w:jc w:val="both"/>
      </w:pPr>
      <w:bookmarkStart w:id="857" w:name="bookmark857"/>
      <w:bookmarkEnd w:id="857"/>
      <w:r>
        <w:rPr>
          <w:color w:val="000000"/>
          <w:spacing w:val="0"/>
          <w:w w:val="100"/>
          <w:position w:val="0"/>
          <w:sz w:val="24"/>
          <w:szCs w:val="24"/>
        </w:rPr>
        <w:t>递延所得税资产和递延所得税负债与同一税收征管部门对本集团内同 一纳税主体征收的所得税相关；</w:t>
      </w:r>
    </w:p>
    <w:p>
      <w:pPr>
        <w:pStyle w:val="Style72"/>
        <w:keepNext w:val="0"/>
        <w:keepLines w:val="0"/>
        <w:widowControl w:val="0"/>
        <w:numPr>
          <w:ilvl w:val="0"/>
          <w:numId w:val="45"/>
        </w:numPr>
        <w:shd w:val="clear" w:color="auto" w:fill="auto"/>
        <w:tabs>
          <w:tab w:pos="1435" w:val="left"/>
        </w:tabs>
        <w:bidi w:val="0"/>
        <w:spacing w:before="0" w:after="300" w:line="305" w:lineRule="exact"/>
        <w:ind w:left="1440" w:right="0" w:hanging="720"/>
        <w:jc w:val="both"/>
      </w:pPr>
      <w:bookmarkStart w:id="858" w:name="bookmark858"/>
      <w:bookmarkEnd w:id="858"/>
      <w:r>
        <w:rPr>
          <w:color w:val="000000"/>
          <w:spacing w:val="0"/>
          <w:w w:val="100"/>
          <w:position w:val="0"/>
          <w:sz w:val="24"/>
          <w:szCs w:val="24"/>
        </w:rPr>
        <w:t>本集团内该纳税主体拥有以净额结算当期所得税资产及当期所得税负 债的法定权利。</w:t>
      </w:r>
    </w:p>
    <w:p>
      <w:pPr>
        <w:pStyle w:val="Style92"/>
        <w:keepNext w:val="0"/>
        <w:keepLines w:val="0"/>
        <w:widowControl w:val="0"/>
        <w:shd w:val="clear" w:color="auto" w:fill="auto"/>
        <w:tabs>
          <w:tab w:pos="702" w:val="left"/>
        </w:tabs>
        <w:bidi w:val="0"/>
        <w:spacing w:before="0"/>
        <w:ind w:left="0" w:right="0" w:firstLine="0"/>
        <w:jc w:val="left"/>
      </w:pPr>
      <w:bookmarkStart w:id="859" w:name="bookmark859"/>
      <w:r>
        <w:rPr>
          <w:color w:val="000000"/>
          <w:spacing w:val="0"/>
          <w:w w:val="100"/>
          <w:position w:val="0"/>
          <w:sz w:val="24"/>
          <w:szCs w:val="24"/>
        </w:rPr>
        <w:t>（</w:t>
      </w:r>
      <w:bookmarkEnd w:id="859"/>
      <w:r>
        <w:rPr>
          <w:color w:val="000000"/>
          <w:spacing w:val="0"/>
          <w:w w:val="100"/>
          <w:position w:val="0"/>
          <w:sz w:val="24"/>
          <w:szCs w:val="24"/>
        </w:rPr>
        <w:t>25）</w:t>
        <w:tab/>
      </w:r>
      <w:r>
        <w:rPr>
          <w:rFonts w:ascii="SimSun" w:eastAsia="SimSun" w:hAnsi="SimSun" w:cs="SimSun"/>
          <w:b/>
          <w:bCs/>
          <w:color w:val="000000"/>
          <w:spacing w:val="0"/>
          <w:w w:val="100"/>
          <w:position w:val="0"/>
          <w:sz w:val="24"/>
          <w:szCs w:val="24"/>
        </w:rPr>
        <w:t>租赁</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租赁，是指在一定期间内，出租人将资产的使用权让与承租人以获取对价的 合同。</w:t>
      </w:r>
    </w:p>
    <w:p>
      <w:pPr>
        <w:pStyle w:val="Style72"/>
        <w:keepNext w:val="0"/>
        <w:keepLines w:val="0"/>
        <w:widowControl w:val="0"/>
        <w:shd w:val="clear" w:color="auto" w:fill="auto"/>
        <w:bidi w:val="0"/>
        <w:spacing w:before="0" w:after="260" w:line="313" w:lineRule="exact"/>
        <w:ind w:right="0" w:firstLine="0"/>
        <w:jc w:val="both"/>
      </w:pPr>
      <w:r>
        <w:rPr>
          <w:color w:val="000000"/>
          <w:spacing w:val="0"/>
          <w:w w:val="100"/>
          <w:position w:val="0"/>
          <w:sz w:val="24"/>
          <w:szCs w:val="24"/>
          <w:u w:val="single"/>
        </w:rPr>
        <w:t>本集团作为承租人</w:t>
      </w:r>
    </w:p>
    <w:p>
      <w:pPr>
        <w:pStyle w:val="Style72"/>
        <w:keepNext w:val="0"/>
        <w:keepLines w:val="0"/>
        <w:widowControl w:val="0"/>
        <w:shd w:val="clear" w:color="auto" w:fill="auto"/>
        <w:bidi w:val="0"/>
        <w:spacing w:before="0" w:after="260" w:line="315" w:lineRule="exact"/>
        <w:ind w:right="0" w:firstLine="0"/>
        <w:jc w:val="both"/>
      </w:pPr>
      <w:r>
        <w:rPr>
          <w:color w:val="000000"/>
          <w:spacing w:val="0"/>
          <w:w w:val="100"/>
          <w:position w:val="0"/>
          <w:sz w:val="24"/>
          <w:szCs w:val="24"/>
        </w:rPr>
        <w:t>本集团于租赁期开始日确认使用权资产，并按尚未支付的租赁付款额的现值 确认租赁负债。租赁付款额包括固定付款额，以及在合理确定将行使购买选 择权或终止租赁选择权的情况下需支付的款项等。按销售额的一定比例确定 的可变租金不纳入租赁付款额，在实际发生时计入当期损益。本集团将自资 产负债表日起一年内</w:t>
      </w:r>
      <w:r>
        <w:rPr>
          <w:rFonts w:ascii="Arial" w:eastAsia="Arial" w:hAnsi="Arial" w:cs="Arial"/>
          <w:color w:val="000000"/>
          <w:spacing w:val="0"/>
          <w:w w:val="100"/>
          <w:position w:val="0"/>
          <w:sz w:val="24"/>
          <w:szCs w:val="24"/>
        </w:rPr>
        <w:t>（</w:t>
      </w:r>
      <w:r>
        <w:rPr>
          <w:color w:val="000000"/>
          <w:spacing w:val="0"/>
          <w:w w:val="100"/>
          <w:position w:val="0"/>
          <w:sz w:val="24"/>
          <w:szCs w:val="24"/>
        </w:rPr>
        <w:t>含一年</w:t>
      </w:r>
      <w:r>
        <w:rPr>
          <w:rFonts w:ascii="Arial" w:eastAsia="Arial" w:hAnsi="Arial" w:cs="Arial"/>
          <w:color w:val="000000"/>
          <w:spacing w:val="0"/>
          <w:w w:val="100"/>
          <w:position w:val="0"/>
          <w:sz w:val="24"/>
          <w:szCs w:val="24"/>
        </w:rPr>
        <w:t>）</w:t>
      </w:r>
      <w:r>
        <w:rPr>
          <w:color w:val="000000"/>
          <w:spacing w:val="0"/>
          <w:w w:val="100"/>
          <w:position w:val="0"/>
          <w:sz w:val="24"/>
          <w:szCs w:val="24"/>
        </w:rPr>
        <w:t>支付的租赁负债，列示为一年内到期的非流动负 债。</w:t>
      </w:r>
    </w:p>
    <w:p>
      <w:pPr>
        <w:pStyle w:val="Style72"/>
        <w:keepNext w:val="0"/>
        <w:keepLines w:val="0"/>
        <w:widowControl w:val="0"/>
        <w:shd w:val="clear" w:color="auto" w:fill="auto"/>
        <w:bidi w:val="0"/>
        <w:spacing w:before="0" w:after="260" w:line="310" w:lineRule="exact"/>
        <w:ind w:right="0" w:firstLine="0"/>
        <w:jc w:val="both"/>
      </w:pPr>
      <w:r>
        <w:rPr>
          <w:color w:val="000000"/>
          <w:spacing w:val="0"/>
          <w:w w:val="100"/>
          <w:position w:val="0"/>
          <w:sz w:val="24"/>
          <w:szCs w:val="24"/>
        </w:rPr>
        <w:t>本集团的使用权资产包括租入的房屋及建筑物、机器设备及运输工具等。使 用权资产按照成本进行初始计量，该成本包括租赁负债的初始计量金额、租 赁期开始日或之前已支付的租赁付款额、初始直接费用等，并扣除已收到的 租赁激励。本集团能够合理确定租赁期届满时取得租赁资产所有权的，在租 赁资产剩余使用寿命内计提折旧；若无法合理确定租赁期届满时是否能够取 得租赁资产所有权，则在租赁期与租赁资产剩余使用寿命两者孰短的期间内 计提折旧。当可收回金额低于使用权资产的账面价值时，本集团将其账面价 值减记至可收回金额。</w:t>
      </w:r>
    </w:p>
    <w:p>
      <w:pPr>
        <w:pStyle w:val="Style72"/>
        <w:keepNext w:val="0"/>
        <w:keepLines w:val="0"/>
        <w:widowControl w:val="0"/>
        <w:shd w:val="clear" w:color="auto" w:fill="auto"/>
        <w:tabs>
          <w:tab w:pos="686" w:val="left"/>
        </w:tabs>
        <w:bidi w:val="0"/>
        <w:spacing w:before="0" w:after="260" w:line="240" w:lineRule="auto"/>
        <w:ind w:left="0" w:right="0" w:firstLine="0"/>
        <w:jc w:val="both"/>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line="276" w:lineRule="auto"/>
        <w:ind w:left="0" w:right="0" w:firstLine="0"/>
        <w:jc w:val="both"/>
        <w:rPr>
          <w:sz w:val="28"/>
          <w:szCs w:val="28"/>
        </w:rPr>
      </w:pPr>
      <w:r>
        <w:rPr>
          <w:color w:val="000000"/>
          <w:spacing w:val="0"/>
          <w:w w:val="100"/>
          <w:position w:val="0"/>
          <w:sz w:val="24"/>
          <w:szCs w:val="24"/>
        </w:rPr>
        <w:t>（25）</w:t>
      </w:r>
      <w:r>
        <w:rPr>
          <w:rFonts w:ascii="SimSun" w:eastAsia="SimSun" w:hAnsi="SimSun" w:cs="SimSun"/>
          <w:b/>
          <w:bCs/>
          <w:color w:val="000000"/>
          <w:spacing w:val="0"/>
          <w:w w:val="100"/>
          <w:position w:val="0"/>
          <w:sz w:val="24"/>
          <w:szCs w:val="24"/>
        </w:rPr>
        <w:t>租赁</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260" w:line="313" w:lineRule="exact"/>
        <w:ind w:left="0" w:right="0" w:firstLine="720"/>
        <w:jc w:val="both"/>
        <w:rPr>
          <w:sz w:val="28"/>
          <w:szCs w:val="28"/>
        </w:rPr>
      </w:pPr>
      <w:r>
        <w:rPr>
          <w:color w:val="000000"/>
          <w:spacing w:val="0"/>
          <w:w w:val="100"/>
          <w:position w:val="0"/>
          <w:sz w:val="24"/>
          <w:szCs w:val="24"/>
          <w:u w:val="single"/>
        </w:rPr>
        <w:t>本集团作为承租人</w:t>
      </w:r>
      <w:r>
        <w:rPr>
          <w:rFonts w:ascii="Arial" w:eastAsia="Arial" w:hAnsi="Arial" w:cs="Arial"/>
          <w:color w:val="000000"/>
          <w:spacing w:val="0"/>
          <w:w w:val="100"/>
          <w:position w:val="0"/>
          <w:sz w:val="24"/>
          <w:szCs w:val="24"/>
          <w:u w:val="single"/>
        </w:rPr>
        <w:t>（</w:t>
      </w:r>
      <w:r>
        <w:rPr>
          <w:color w:val="000000"/>
          <w:spacing w:val="0"/>
          <w:w w:val="100"/>
          <w:position w:val="0"/>
          <w:sz w:val="24"/>
          <w:szCs w:val="24"/>
          <w:u w:val="single"/>
        </w:rPr>
        <w:t>续</w:t>
      </w:r>
      <w:r>
        <w:rPr>
          <w:color w:val="000000"/>
          <w:spacing w:val="0"/>
          <w:w w:val="100"/>
          <w:position w:val="0"/>
          <w:sz w:val="28"/>
          <w:szCs w:val="28"/>
          <w:u w:val="single"/>
        </w:rPr>
        <w:t>）</w:t>
      </w:r>
    </w:p>
    <w:p>
      <w:pPr>
        <w:pStyle w:val="Style72"/>
        <w:keepNext w:val="0"/>
        <w:keepLines w:val="0"/>
        <w:widowControl w:val="0"/>
        <w:shd w:val="clear" w:color="auto" w:fill="auto"/>
        <w:bidi w:val="0"/>
        <w:spacing w:before="0" w:after="260" w:line="314" w:lineRule="exact"/>
        <w:ind w:right="0" w:firstLine="0"/>
        <w:jc w:val="both"/>
      </w:pPr>
      <w:r>
        <w:rPr>
          <w:color w:val="000000"/>
          <w:spacing w:val="0"/>
          <w:w w:val="100"/>
          <w:position w:val="0"/>
          <w:sz w:val="24"/>
          <w:szCs w:val="24"/>
        </w:rPr>
        <w:t>对于租赁期不超过</w:t>
      </w:r>
      <w:r>
        <w:rPr>
          <w:rFonts w:ascii="Arial" w:eastAsia="Arial" w:hAnsi="Arial" w:cs="Arial"/>
          <w:color w:val="000000"/>
          <w:spacing w:val="0"/>
          <w:w w:val="100"/>
          <w:position w:val="0"/>
          <w:sz w:val="24"/>
          <w:szCs w:val="24"/>
        </w:rPr>
        <w:t>12</w:t>
      </w:r>
      <w:r>
        <w:rPr>
          <w:color w:val="000000"/>
          <w:spacing w:val="0"/>
          <w:w w:val="100"/>
          <w:position w:val="0"/>
          <w:sz w:val="24"/>
          <w:szCs w:val="24"/>
        </w:rPr>
        <w:t>个月的短期租赁和单项资产全新时价值较低的低价值资 产租赁，本集团选择不确认使用权资产和租赁负债，将相关租金支出在租赁 期内各个期间按照直线法计入当期损益或相关资产成本。</w:t>
      </w:r>
    </w:p>
    <w:p>
      <w:pPr>
        <w:pStyle w:val="Style72"/>
        <w:keepNext w:val="0"/>
        <w:keepLines w:val="0"/>
        <w:widowControl w:val="0"/>
        <w:shd w:val="clear" w:color="auto" w:fill="auto"/>
        <w:bidi w:val="0"/>
        <w:spacing w:before="0" w:after="260" w:line="307" w:lineRule="exact"/>
        <w:ind w:right="0" w:firstLine="0"/>
        <w:jc w:val="both"/>
      </w:pPr>
      <w:r>
        <w:rPr>
          <w:color w:val="000000"/>
          <w:spacing w:val="0"/>
          <w:w w:val="100"/>
          <w:position w:val="0"/>
          <w:sz w:val="24"/>
          <w:szCs w:val="24"/>
        </w:rPr>
        <w:t>租赁发生变更且同时符合下列条件时，本集团将其作为一项单独租赁进行会 计处理：</w:t>
      </w:r>
      <w:r>
        <w:rPr>
          <w:color w:val="000000"/>
          <w:spacing w:val="0"/>
          <w:w w:val="100"/>
          <w:position w:val="0"/>
          <w:sz w:val="28"/>
          <w:szCs w:val="28"/>
        </w:rPr>
        <w:t>（</w:t>
      </w:r>
      <w:r>
        <w:rPr>
          <w:rFonts w:ascii="Arial" w:eastAsia="Arial" w:hAnsi="Arial" w:cs="Arial"/>
          <w:color w:val="000000"/>
          <w:spacing w:val="0"/>
          <w:w w:val="100"/>
          <w:position w:val="0"/>
          <w:sz w:val="24"/>
          <w:szCs w:val="24"/>
        </w:rPr>
        <w:t>1）</w:t>
      </w:r>
      <w:r>
        <w:rPr>
          <w:color w:val="000000"/>
          <w:spacing w:val="0"/>
          <w:w w:val="100"/>
          <w:position w:val="0"/>
          <w:sz w:val="24"/>
          <w:szCs w:val="24"/>
        </w:rPr>
        <w:t>该租赁变更通过增加一项或多项租赁资产的使用权而扩大了租赁 范围；</w:t>
      </w:r>
      <w:r>
        <w:rPr>
          <w:color w:val="000000"/>
          <w:spacing w:val="0"/>
          <w:w w:val="100"/>
          <w:position w:val="0"/>
          <w:sz w:val="28"/>
          <w:szCs w:val="28"/>
        </w:rPr>
        <w:t>（</w:t>
      </w:r>
      <w:r>
        <w:rPr>
          <w:rFonts w:ascii="Arial" w:eastAsia="Arial" w:hAnsi="Arial" w:cs="Arial"/>
          <w:color w:val="000000"/>
          <w:spacing w:val="0"/>
          <w:w w:val="100"/>
          <w:position w:val="0"/>
          <w:sz w:val="24"/>
          <w:szCs w:val="24"/>
        </w:rPr>
        <w:t>2）</w:t>
      </w:r>
      <w:r>
        <w:rPr>
          <w:color w:val="000000"/>
          <w:spacing w:val="0"/>
          <w:w w:val="100"/>
          <w:position w:val="0"/>
          <w:sz w:val="24"/>
          <w:szCs w:val="24"/>
        </w:rPr>
        <w:t>增加的对价与租赁范围扩大部分的单独价格按该合同情况调整后的 金额相当。</w:t>
      </w:r>
    </w:p>
    <w:p>
      <w:pPr>
        <w:pStyle w:val="Style72"/>
        <w:keepNext w:val="0"/>
        <w:keepLines w:val="0"/>
        <w:widowControl w:val="0"/>
        <w:shd w:val="clear" w:color="auto" w:fill="auto"/>
        <w:bidi w:val="0"/>
        <w:spacing w:before="0" w:after="0" w:line="313" w:lineRule="exact"/>
        <w:ind w:right="0" w:firstLine="0"/>
        <w:jc w:val="both"/>
      </w:pPr>
      <w:r>
        <w:rPr>
          <w:color w:val="000000"/>
          <w:spacing w:val="0"/>
          <w:w w:val="100"/>
          <w:position w:val="0"/>
          <w:sz w:val="24"/>
          <w:szCs w:val="24"/>
        </w:rPr>
        <w:t>当租赁变更未作为一项单独租赁进行会计处理时，除新冠肺炎疫情直接引发 的合同变更采用简化方法外，本集团在租赁变更生效日重新确定租赁期，并 采用修订后的折现率对变更后的租赁付款额进行折现，重新计量租赁负债。</w:t>
      </w:r>
    </w:p>
    <w:p>
      <w:pPr>
        <w:pStyle w:val="Style72"/>
        <w:keepNext w:val="0"/>
        <w:keepLines w:val="0"/>
        <w:widowControl w:val="0"/>
        <w:shd w:val="clear" w:color="auto" w:fill="auto"/>
        <w:bidi w:val="0"/>
        <w:spacing w:before="0" w:after="0" w:line="313" w:lineRule="exact"/>
        <w:ind w:right="0" w:firstLine="0"/>
        <w:jc w:val="both"/>
      </w:pPr>
      <w:r>
        <w:rPr>
          <w:color w:val="000000"/>
          <w:spacing w:val="0"/>
          <w:w w:val="100"/>
          <w:position w:val="0"/>
          <w:sz w:val="24"/>
          <w:szCs w:val="24"/>
        </w:rPr>
        <w:t>租赁变更导致租赁范围缩小或租赁期缩短的，本集团相应调减使用权资产的 账面价值，并将部分终止或完全终止租赁的相关利得或损失计入当期损益。</w:t>
      </w:r>
    </w:p>
    <w:p>
      <w:pPr>
        <w:pStyle w:val="Style72"/>
        <w:keepNext w:val="0"/>
        <w:keepLines w:val="0"/>
        <w:widowControl w:val="0"/>
        <w:shd w:val="clear" w:color="auto" w:fill="auto"/>
        <w:bidi w:val="0"/>
        <w:spacing w:before="0" w:after="260" w:line="313" w:lineRule="exact"/>
        <w:ind w:right="0" w:firstLine="0"/>
        <w:jc w:val="both"/>
      </w:pPr>
      <w:r>
        <w:rPr>
          <w:color w:val="000000"/>
          <w:spacing w:val="0"/>
          <w:w w:val="100"/>
          <w:position w:val="0"/>
          <w:sz w:val="24"/>
          <w:szCs w:val="24"/>
        </w:rPr>
        <w:t>其他租赁变更导致租赁负债重新计量的，本集团相应调整使用权资产的账面 价值。</w:t>
      </w:r>
    </w:p>
    <w:p>
      <w:pPr>
        <w:pStyle w:val="Style72"/>
        <w:keepNext w:val="0"/>
        <w:keepLines w:val="0"/>
        <w:widowControl w:val="0"/>
        <w:shd w:val="clear" w:color="auto" w:fill="auto"/>
        <w:bidi w:val="0"/>
        <w:spacing w:before="0" w:after="260" w:line="319" w:lineRule="exact"/>
        <w:ind w:right="0" w:firstLine="0"/>
        <w:jc w:val="both"/>
      </w:pPr>
      <w:r>
        <w:rPr>
          <w:color w:val="000000"/>
          <w:spacing w:val="0"/>
          <w:w w:val="100"/>
          <w:position w:val="0"/>
          <w:sz w:val="24"/>
          <w:szCs w:val="24"/>
        </w:rPr>
        <w:t>对于由新冠肺炎疫情直接引发且仅针对</w:t>
      </w:r>
      <w:r>
        <w:rPr>
          <w:rFonts w:ascii="Arial" w:eastAsia="Arial" w:hAnsi="Arial" w:cs="Arial"/>
          <w:color w:val="000000"/>
          <w:spacing w:val="0"/>
          <w:w w:val="100"/>
          <w:position w:val="0"/>
          <w:sz w:val="24"/>
          <w:szCs w:val="24"/>
        </w:rPr>
        <w:t>2022</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日之前的租金减免， 本集团选择采用简化方法，在达成协议解除原支付义务时将未折现的减免金 额计入当期损益，并相应调整租赁负债。</w:t>
      </w:r>
    </w:p>
    <w:p>
      <w:pPr>
        <w:pStyle w:val="Style72"/>
        <w:keepNext w:val="0"/>
        <w:keepLines w:val="0"/>
        <w:widowControl w:val="0"/>
        <w:shd w:val="clear" w:color="auto" w:fill="auto"/>
        <w:bidi w:val="0"/>
        <w:spacing w:before="0" w:after="260" w:line="313" w:lineRule="exact"/>
        <w:ind w:left="0" w:right="0" w:firstLine="720"/>
        <w:jc w:val="both"/>
      </w:pPr>
      <w:r>
        <w:rPr>
          <w:color w:val="000000"/>
          <w:spacing w:val="0"/>
          <w:w w:val="100"/>
          <w:position w:val="0"/>
          <w:sz w:val="24"/>
          <w:szCs w:val="24"/>
          <w:u w:val="single"/>
        </w:rPr>
        <w:t>本集团作为出租人</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实质上转移了与租赁资产所有权有关的几乎全部风险和报酬的租赁为融资租 赁。其他的租赁为经营租赁。</w:t>
      </w:r>
    </w:p>
    <w:p>
      <w:pPr>
        <w:pStyle w:val="Style72"/>
        <w:keepNext w:val="0"/>
        <w:keepLines w:val="0"/>
        <w:widowControl w:val="0"/>
        <w:shd w:val="clear" w:color="auto" w:fill="auto"/>
        <w:tabs>
          <w:tab w:pos="686" w:val="left"/>
        </w:tabs>
        <w:bidi w:val="0"/>
        <w:spacing w:before="0" w:after="260" w:line="276" w:lineRule="auto"/>
        <w:ind w:left="0" w:right="0" w:firstLine="0"/>
        <w:jc w:val="left"/>
      </w:pPr>
      <w:bookmarkStart w:id="860" w:name="bookmark860"/>
      <w:r>
        <w:rPr>
          <w:rFonts w:ascii="Arial" w:eastAsia="Arial" w:hAnsi="Arial" w:cs="Arial"/>
          <w:color w:val="000000"/>
          <w:spacing w:val="0"/>
          <w:w w:val="100"/>
          <w:position w:val="0"/>
          <w:sz w:val="24"/>
          <w:szCs w:val="24"/>
        </w:rPr>
        <w:t>（</w:t>
      </w:r>
      <w:bookmarkEnd w:id="860"/>
      <w:r>
        <w:rPr>
          <w:rFonts w:ascii="Arial" w:eastAsia="Arial" w:hAnsi="Arial" w:cs="Arial"/>
          <w:color w:val="000000"/>
          <w:spacing w:val="0"/>
          <w:w w:val="100"/>
          <w:position w:val="0"/>
          <w:sz w:val="24"/>
          <w:szCs w:val="24"/>
        </w:rPr>
        <w:t>a）</w:t>
        <w:tab/>
      </w:r>
      <w:r>
        <w:rPr>
          <w:color w:val="000000"/>
          <w:spacing w:val="0"/>
          <w:w w:val="100"/>
          <w:position w:val="0"/>
          <w:sz w:val="24"/>
          <w:szCs w:val="24"/>
        </w:rPr>
        <w:t>经营租赁</w:t>
      </w:r>
    </w:p>
    <w:p>
      <w:pPr>
        <w:pStyle w:val="Style72"/>
        <w:keepNext w:val="0"/>
        <w:keepLines w:val="0"/>
        <w:widowControl w:val="0"/>
        <w:shd w:val="clear" w:color="auto" w:fill="auto"/>
        <w:bidi w:val="0"/>
        <w:spacing w:before="0" w:after="260" w:line="310" w:lineRule="exact"/>
        <w:ind w:right="0" w:firstLine="0"/>
        <w:jc w:val="both"/>
      </w:pPr>
      <w:r>
        <w:rPr>
          <w:color w:val="000000"/>
          <w:spacing w:val="0"/>
          <w:w w:val="100"/>
          <w:position w:val="0"/>
          <w:sz w:val="24"/>
          <w:szCs w:val="24"/>
        </w:rPr>
        <w:t>本集团经营租出自有的房屋建筑物、机器设备及运输工具时，经营租赁的租 金收入在租赁期内按照直线法确认。本集团将按销售额的一定比例确定的可 变租金在实际发生时计入租金收入。</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对于由新冠肺炎疫情直接引发且仅针对</w:t>
      </w:r>
      <w:r>
        <w:rPr>
          <w:rFonts w:ascii="Arial" w:eastAsia="Arial" w:hAnsi="Arial" w:cs="Arial"/>
          <w:color w:val="000000"/>
          <w:spacing w:val="0"/>
          <w:w w:val="100"/>
          <w:position w:val="0"/>
          <w:sz w:val="24"/>
          <w:szCs w:val="24"/>
        </w:rPr>
        <w:t>2022</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日之前的租金减免， 本集团选择采用简化方法，将减免的租金作为可变租金，在减免期间将减免 金额计入当期损益。</w:t>
      </w:r>
    </w:p>
    <w:p>
      <w:pPr>
        <w:pStyle w:val="Style72"/>
        <w:keepNext w:val="0"/>
        <w:keepLines w:val="0"/>
        <w:widowControl w:val="0"/>
        <w:shd w:val="clear" w:color="auto" w:fill="auto"/>
        <w:tabs>
          <w:tab w:pos="708"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08" w:val="left"/>
        </w:tabs>
        <w:bidi w:val="0"/>
        <w:spacing w:before="0"/>
        <w:ind w:left="0" w:right="0" w:firstLine="0"/>
        <w:jc w:val="left"/>
        <w:rPr>
          <w:sz w:val="28"/>
          <w:szCs w:val="28"/>
        </w:rPr>
      </w:pPr>
      <w:bookmarkStart w:id="861" w:name="bookmark861"/>
      <w:r>
        <w:rPr>
          <w:color w:val="000000"/>
          <w:spacing w:val="0"/>
          <w:w w:val="100"/>
          <w:position w:val="0"/>
          <w:sz w:val="24"/>
          <w:szCs w:val="24"/>
        </w:rPr>
        <w:t>（</w:t>
      </w:r>
      <w:bookmarkEnd w:id="861"/>
      <w:r>
        <w:rPr>
          <w:color w:val="000000"/>
          <w:spacing w:val="0"/>
          <w:w w:val="100"/>
          <w:position w:val="0"/>
          <w:sz w:val="24"/>
          <w:szCs w:val="24"/>
        </w:rPr>
        <w:t>25）</w:t>
        <w:tab/>
      </w:r>
      <w:r>
        <w:rPr>
          <w:rFonts w:ascii="SimSun" w:eastAsia="SimSun" w:hAnsi="SimSun" w:cs="SimSun"/>
          <w:b/>
          <w:bCs/>
          <w:color w:val="000000"/>
          <w:spacing w:val="0"/>
          <w:w w:val="100"/>
          <w:position w:val="0"/>
          <w:sz w:val="24"/>
          <w:szCs w:val="24"/>
        </w:rPr>
        <w:t>租赁</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shd w:val="clear" w:color="auto" w:fill="auto"/>
        <w:tabs>
          <w:tab w:pos="708" w:val="left"/>
        </w:tabs>
        <w:bidi w:val="0"/>
        <w:spacing w:before="0"/>
        <w:ind w:left="0" w:right="0" w:firstLine="0"/>
        <w:jc w:val="left"/>
        <w:rPr>
          <w:sz w:val="28"/>
          <w:szCs w:val="28"/>
        </w:rPr>
      </w:pPr>
      <w:bookmarkStart w:id="862" w:name="bookmark862"/>
      <w:r>
        <w:rPr>
          <w:color w:val="000000"/>
          <w:spacing w:val="0"/>
          <w:w w:val="100"/>
          <w:position w:val="0"/>
          <w:sz w:val="24"/>
          <w:szCs w:val="24"/>
        </w:rPr>
        <w:t>（</w:t>
      </w:r>
      <w:bookmarkEnd w:id="862"/>
      <w:r>
        <w:rPr>
          <w:color w:val="000000"/>
          <w:spacing w:val="0"/>
          <w:w w:val="100"/>
          <w:position w:val="0"/>
          <w:sz w:val="24"/>
          <w:szCs w:val="24"/>
        </w:rPr>
        <w:t>a）</w:t>
        <w:tab/>
      </w:r>
      <w:r>
        <w:rPr>
          <w:rFonts w:ascii="SimSun" w:eastAsia="SimSun" w:hAnsi="SimSun" w:cs="SimSun"/>
          <w:color w:val="000000"/>
          <w:spacing w:val="0"/>
          <w:w w:val="100"/>
          <w:position w:val="0"/>
          <w:sz w:val="24"/>
          <w:szCs w:val="24"/>
        </w:rPr>
        <w:t>经营租赁</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300" w:line="310" w:lineRule="exact"/>
        <w:ind w:right="0" w:firstLine="0"/>
        <w:jc w:val="both"/>
      </w:pPr>
      <w:r>
        <w:rPr>
          <w:color w:val="000000"/>
          <w:spacing w:val="0"/>
          <w:w w:val="100"/>
          <w:position w:val="0"/>
          <w:sz w:val="24"/>
          <w:szCs w:val="24"/>
        </w:rPr>
        <w:t>除上述新冠肺炎疫情直接引发的合同变更采用简化方法外，当租赁发生变更 时，本集团自变更生效日起将其作为一项新租赁，并将与变更前租赁有关的 预收或应收租赁收款额作为新租赁的收款额。</w:t>
      </w:r>
    </w:p>
    <w:p>
      <w:pPr>
        <w:pStyle w:val="Style72"/>
        <w:keepNext w:val="0"/>
        <w:keepLines w:val="0"/>
        <w:widowControl w:val="0"/>
        <w:shd w:val="clear" w:color="auto" w:fill="auto"/>
        <w:tabs>
          <w:tab w:pos="708" w:val="left"/>
        </w:tabs>
        <w:bidi w:val="0"/>
        <w:spacing w:before="0" w:after="260" w:line="271" w:lineRule="auto"/>
        <w:ind w:left="0" w:right="0" w:firstLine="0"/>
        <w:jc w:val="left"/>
      </w:pPr>
      <w:bookmarkStart w:id="863" w:name="bookmark863"/>
      <w:r>
        <w:rPr>
          <w:rFonts w:ascii="Arial" w:eastAsia="Arial" w:hAnsi="Arial" w:cs="Arial"/>
          <w:color w:val="000000"/>
          <w:spacing w:val="0"/>
          <w:w w:val="100"/>
          <w:position w:val="0"/>
          <w:sz w:val="24"/>
          <w:szCs w:val="24"/>
        </w:rPr>
        <w:t>（</w:t>
      </w:r>
      <w:bookmarkEnd w:id="863"/>
      <w:r>
        <w:rPr>
          <w:rFonts w:ascii="Arial" w:eastAsia="Arial" w:hAnsi="Arial" w:cs="Arial"/>
          <w:color w:val="000000"/>
          <w:spacing w:val="0"/>
          <w:w w:val="100"/>
          <w:position w:val="0"/>
          <w:sz w:val="24"/>
          <w:szCs w:val="24"/>
        </w:rPr>
        <w:t>b）</w:t>
        <w:tab/>
      </w:r>
      <w:r>
        <w:rPr>
          <w:color w:val="000000"/>
          <w:spacing w:val="0"/>
          <w:w w:val="100"/>
          <w:position w:val="0"/>
          <w:sz w:val="24"/>
          <w:szCs w:val="24"/>
        </w:rPr>
        <w:t>融资租赁</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于租赁期开始日，本集团对融资租赁确认应收融资租赁款，并终止确认相关 资产。本集团将应收融资租赁款列示为长期应收款，自资产负债表日起一年 内</w:t>
      </w:r>
      <w:r>
        <w:rPr>
          <w:rFonts w:ascii="Arial" w:eastAsia="Arial" w:hAnsi="Arial" w:cs="Arial"/>
          <w:color w:val="000000"/>
          <w:spacing w:val="0"/>
          <w:w w:val="100"/>
          <w:position w:val="0"/>
          <w:sz w:val="24"/>
          <w:szCs w:val="24"/>
        </w:rPr>
        <w:t>（</w:t>
      </w:r>
      <w:r>
        <w:rPr>
          <w:color w:val="000000"/>
          <w:spacing w:val="0"/>
          <w:w w:val="100"/>
          <w:position w:val="0"/>
          <w:sz w:val="24"/>
          <w:szCs w:val="24"/>
        </w:rPr>
        <w:t>含一年</w:t>
      </w:r>
      <w:r>
        <w:rPr>
          <w:rFonts w:ascii="Arial" w:eastAsia="Arial" w:hAnsi="Arial" w:cs="Arial"/>
          <w:color w:val="000000"/>
          <w:spacing w:val="0"/>
          <w:w w:val="100"/>
          <w:position w:val="0"/>
          <w:sz w:val="24"/>
          <w:szCs w:val="24"/>
        </w:rPr>
        <w:t>）</w:t>
      </w:r>
      <w:r>
        <w:rPr>
          <w:color w:val="000000"/>
          <w:spacing w:val="0"/>
          <w:w w:val="100"/>
          <w:position w:val="0"/>
          <w:sz w:val="24"/>
          <w:szCs w:val="24"/>
        </w:rPr>
        <w:t>收取的应收融资租赁款列示为一年内到期的非流动资产。</w:t>
      </w:r>
    </w:p>
    <w:p>
      <w:pPr>
        <w:pStyle w:val="Style72"/>
        <w:keepNext w:val="0"/>
        <w:keepLines w:val="0"/>
        <w:widowControl w:val="0"/>
        <w:shd w:val="clear" w:color="auto" w:fill="auto"/>
        <w:bidi w:val="0"/>
        <w:spacing w:before="0" w:after="260" w:line="307" w:lineRule="exact"/>
        <w:ind w:right="0" w:firstLine="0"/>
        <w:jc w:val="both"/>
      </w:pPr>
      <w:r>
        <w:rPr>
          <w:color w:val="000000"/>
          <w:spacing w:val="0"/>
          <w:w w:val="100"/>
          <w:position w:val="0"/>
          <w:sz w:val="24"/>
          <w:szCs w:val="24"/>
        </w:rPr>
        <w:t>对于售后租回交易中的资产转让属于销售的，本集团按原资产账面价值中与 租回获得的使用权有关的部分，计量售后租回所形成的使用权资产，并仅就 转让至出租人的权利确认相关利得或损失。</w:t>
      </w:r>
    </w:p>
    <w:p>
      <w:pPr>
        <w:pStyle w:val="Style72"/>
        <w:keepNext w:val="0"/>
        <w:keepLines w:val="0"/>
        <w:widowControl w:val="0"/>
        <w:shd w:val="clear" w:color="auto" w:fill="auto"/>
        <w:bidi w:val="0"/>
        <w:spacing w:before="0" w:after="300" w:line="312" w:lineRule="exact"/>
        <w:ind w:right="0" w:firstLine="0"/>
        <w:jc w:val="both"/>
      </w:pPr>
      <w:r>
        <w:rPr>
          <w:color w:val="000000"/>
          <w:spacing w:val="0"/>
          <w:w w:val="100"/>
          <w:position w:val="0"/>
          <w:sz w:val="24"/>
          <w:szCs w:val="24"/>
        </w:rPr>
        <w:t>售后租回交易中的资产转让不属于销售的，本集团继续确认被转让资产，同 时确认一项与转让收入等额的金融负债。</w:t>
      </w:r>
    </w:p>
    <w:p>
      <w:pPr>
        <w:pStyle w:val="Style72"/>
        <w:keepNext w:val="0"/>
        <w:keepLines w:val="0"/>
        <w:widowControl w:val="0"/>
        <w:shd w:val="clear" w:color="auto" w:fill="auto"/>
        <w:tabs>
          <w:tab w:pos="708" w:val="left"/>
        </w:tabs>
        <w:bidi w:val="0"/>
        <w:spacing w:before="0" w:after="260" w:line="240" w:lineRule="auto"/>
        <w:ind w:left="0" w:right="0" w:firstLine="0"/>
        <w:jc w:val="left"/>
      </w:pPr>
      <w:bookmarkStart w:id="864" w:name="bookmark864"/>
      <w:r>
        <w:rPr>
          <w:rFonts w:ascii="Arial" w:eastAsia="Arial" w:hAnsi="Arial" w:cs="Arial"/>
          <w:color w:val="000000"/>
          <w:spacing w:val="0"/>
          <w:w w:val="100"/>
          <w:position w:val="0"/>
          <w:sz w:val="24"/>
          <w:szCs w:val="24"/>
        </w:rPr>
        <w:t>（</w:t>
      </w:r>
      <w:bookmarkEnd w:id="864"/>
      <w:r>
        <w:rPr>
          <w:rFonts w:ascii="Arial" w:eastAsia="Arial" w:hAnsi="Arial" w:cs="Arial"/>
          <w:color w:val="000000"/>
          <w:spacing w:val="0"/>
          <w:w w:val="100"/>
          <w:position w:val="0"/>
          <w:sz w:val="24"/>
          <w:szCs w:val="24"/>
        </w:rPr>
        <w:t>26）</w:t>
        <w:tab/>
      </w:r>
      <w:r>
        <w:rPr>
          <w:b/>
          <w:bCs/>
          <w:color w:val="000000"/>
          <w:spacing w:val="0"/>
          <w:w w:val="100"/>
          <w:position w:val="0"/>
          <w:sz w:val="24"/>
          <w:szCs w:val="24"/>
        </w:rPr>
        <w:t>股份支付</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股份支付是为了获取职工提供服务而授予权益工具或者承担以权益工具为基 础确定的负债的交易。权益工具包括公司本身、公司的母公司或同集团其他 会计主体的权益工具。股份支付分为以权益结算的股份支付和以现金结算的 股份支付。本集团的股份支付为以权益结算的股份支付。</w:t>
      </w:r>
    </w:p>
    <w:p>
      <w:pPr>
        <w:pStyle w:val="Style72"/>
        <w:keepNext w:val="0"/>
        <w:keepLines w:val="0"/>
        <w:widowControl w:val="0"/>
        <w:shd w:val="clear" w:color="auto" w:fill="auto"/>
        <w:bidi w:val="0"/>
        <w:spacing w:before="0" w:after="260" w:line="311" w:lineRule="exact"/>
        <w:ind w:left="0" w:right="0" w:firstLine="720"/>
        <w:jc w:val="left"/>
      </w:pPr>
      <w:r>
        <w:rPr>
          <w:color w:val="000000"/>
          <w:spacing w:val="0"/>
          <w:w w:val="100"/>
          <w:position w:val="0"/>
          <w:sz w:val="24"/>
          <w:szCs w:val="24"/>
        </w:rPr>
        <w:t>以权益结算的股份支付</w:t>
      </w:r>
    </w:p>
    <w:p>
      <w:pPr>
        <w:pStyle w:val="Style72"/>
        <w:keepNext w:val="0"/>
        <w:keepLines w:val="0"/>
        <w:widowControl w:val="0"/>
        <w:shd w:val="clear" w:color="auto" w:fill="auto"/>
        <w:bidi w:val="0"/>
        <w:spacing w:before="0" w:after="260" w:line="311" w:lineRule="exact"/>
        <w:ind w:right="0" w:firstLine="0"/>
        <w:jc w:val="both"/>
      </w:pPr>
      <w:r>
        <w:rPr>
          <w:color w:val="000000"/>
          <w:spacing w:val="0"/>
          <w:w w:val="100"/>
          <w:position w:val="0"/>
          <w:sz w:val="24"/>
          <w:szCs w:val="24"/>
        </w:rPr>
        <w:t>本集团以权益结算的股份支付为员工持股计划。该等计划以授予职工的权益 工具在授予日的公允价值计量，在完成等待期内的服务或达到规定业绩条件 才可行权或解锁。在等待期内以对可行权</w:t>
      </w:r>
      <w:r>
        <w:rPr>
          <w:rFonts w:ascii="Arial" w:eastAsia="Arial" w:hAnsi="Arial" w:cs="Arial"/>
          <w:color w:val="000000"/>
          <w:spacing w:val="0"/>
          <w:w w:val="100"/>
          <w:position w:val="0"/>
          <w:sz w:val="24"/>
          <w:szCs w:val="24"/>
        </w:rPr>
        <w:t>/</w:t>
      </w:r>
      <w:r>
        <w:rPr>
          <w:color w:val="000000"/>
          <w:spacing w:val="0"/>
          <w:w w:val="100"/>
          <w:position w:val="0"/>
          <w:sz w:val="24"/>
          <w:szCs w:val="24"/>
        </w:rPr>
        <w:t>可解锁的权益工具数量的最佳估计 为基础，按照权益工具授予日的公允价值，将当期取得的服务计入相关成本 或费用，相应增加资本公积。后续信息表明可行权</w:t>
      </w:r>
      <w:r>
        <w:rPr>
          <w:rFonts w:ascii="Arial" w:eastAsia="Arial" w:hAnsi="Arial" w:cs="Arial"/>
          <w:color w:val="000000"/>
          <w:spacing w:val="0"/>
          <w:w w:val="100"/>
          <w:position w:val="0"/>
          <w:sz w:val="24"/>
          <w:szCs w:val="24"/>
        </w:rPr>
        <w:t>/</w:t>
      </w:r>
      <w:r>
        <w:rPr>
          <w:color w:val="000000"/>
          <w:spacing w:val="0"/>
          <w:w w:val="100"/>
          <w:position w:val="0"/>
          <w:sz w:val="24"/>
          <w:szCs w:val="24"/>
        </w:rPr>
        <w:t>可解锁的权益工具的数量 与以前估计不同的，将进行调整，并在可行权日</w:t>
      </w:r>
      <w:r>
        <w:rPr>
          <w:rFonts w:ascii="Arial" w:eastAsia="Arial" w:hAnsi="Arial" w:cs="Arial"/>
          <w:color w:val="000000"/>
          <w:spacing w:val="0"/>
          <w:w w:val="100"/>
          <w:position w:val="0"/>
          <w:sz w:val="24"/>
          <w:szCs w:val="24"/>
        </w:rPr>
        <w:t>/</w:t>
      </w:r>
      <w:r>
        <w:rPr>
          <w:color w:val="000000"/>
          <w:spacing w:val="0"/>
          <w:w w:val="100"/>
          <w:position w:val="0"/>
          <w:sz w:val="24"/>
          <w:szCs w:val="24"/>
        </w:rPr>
        <w:t>解锁日调整至实际可行权</w:t>
      </w:r>
      <w:r>
        <w:rPr>
          <w:rFonts w:ascii="Arial" w:eastAsia="Arial" w:hAnsi="Arial" w:cs="Arial"/>
          <w:color w:val="000000"/>
          <w:spacing w:val="0"/>
          <w:w w:val="100"/>
          <w:position w:val="0"/>
          <w:sz w:val="24"/>
          <w:szCs w:val="24"/>
        </w:rPr>
        <w:t xml:space="preserve">/ </w:t>
      </w:r>
      <w:r>
        <w:rPr>
          <w:color w:val="000000"/>
          <w:spacing w:val="0"/>
          <w:w w:val="100"/>
          <w:position w:val="0"/>
          <w:sz w:val="24"/>
          <w:szCs w:val="24"/>
        </w:rPr>
        <w:t>可解锁的权益工具数量。</w:t>
      </w:r>
    </w:p>
    <w:p>
      <w:pPr>
        <w:pStyle w:val="Style72"/>
        <w:keepNext w:val="0"/>
        <w:keepLines w:val="0"/>
        <w:widowControl w:val="0"/>
        <w:shd w:val="clear" w:color="auto" w:fill="auto"/>
        <w:tabs>
          <w:tab w:pos="702" w:val="left"/>
        </w:tabs>
        <w:bidi w:val="0"/>
        <w:spacing w:before="0" w:after="28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55"/>
        </w:numPr>
        <w:shd w:val="clear" w:color="auto" w:fill="auto"/>
        <w:tabs>
          <w:tab w:pos="702" w:val="left"/>
        </w:tabs>
        <w:bidi w:val="0"/>
        <w:spacing w:before="0" w:after="280" w:line="240" w:lineRule="auto"/>
        <w:ind w:left="0" w:right="0" w:firstLine="0"/>
        <w:jc w:val="left"/>
      </w:pPr>
      <w:bookmarkStart w:id="865" w:name="bookmark865"/>
      <w:bookmarkEnd w:id="865"/>
      <w:r>
        <w:rPr>
          <w:b/>
          <w:bCs/>
          <w:color w:val="000000"/>
          <w:spacing w:val="0"/>
          <w:w w:val="100"/>
          <w:position w:val="0"/>
          <w:sz w:val="24"/>
          <w:szCs w:val="24"/>
        </w:rPr>
        <w:t>回购股份</w:t>
      </w:r>
    </w:p>
    <w:p>
      <w:pPr>
        <w:pStyle w:val="Style72"/>
        <w:keepNext w:val="0"/>
        <w:keepLines w:val="0"/>
        <w:widowControl w:val="0"/>
        <w:shd w:val="clear" w:color="auto" w:fill="auto"/>
        <w:bidi w:val="0"/>
        <w:spacing w:before="0" w:after="280" w:line="312" w:lineRule="exact"/>
        <w:ind w:left="0" w:right="0" w:firstLine="720"/>
        <w:jc w:val="left"/>
      </w:pPr>
      <w:r>
        <w:rPr>
          <w:color w:val="000000"/>
          <w:spacing w:val="0"/>
          <w:w w:val="100"/>
          <w:position w:val="0"/>
          <w:sz w:val="24"/>
          <w:szCs w:val="24"/>
        </w:rPr>
        <w:t>本集团的库存股主要产生于回购自身权益工具。</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回购自身权益工具支付的对价和交易费用减少所有者权益，不确认金融资产。 本集团回购自身权益工具支付的价款及相关的交易费用，列示为库存股。</w:t>
      </w:r>
    </w:p>
    <w:p>
      <w:pPr>
        <w:pStyle w:val="Style72"/>
        <w:keepNext w:val="0"/>
        <w:keepLines w:val="0"/>
        <w:widowControl w:val="0"/>
        <w:shd w:val="clear" w:color="auto" w:fill="auto"/>
        <w:bidi w:val="0"/>
        <w:spacing w:before="0" w:after="280" w:line="302" w:lineRule="exact"/>
        <w:ind w:right="0" w:firstLine="0"/>
        <w:jc w:val="both"/>
      </w:pPr>
      <w:r>
        <w:rPr>
          <w:color w:val="000000"/>
          <w:spacing w:val="0"/>
          <w:w w:val="100"/>
          <w:position w:val="0"/>
          <w:sz w:val="24"/>
          <w:szCs w:val="24"/>
        </w:rPr>
        <w:t>于股份注销日，本集团根据注销情况，结转相关股本及库存股，差额计入资 本公积</w:t>
      </w:r>
      <w:r>
        <w:rPr>
          <w:rFonts w:ascii="Arial" w:eastAsia="Arial" w:hAnsi="Arial" w:cs="Arial"/>
          <w:color w:val="000000"/>
          <w:spacing w:val="0"/>
          <w:w w:val="100"/>
          <w:position w:val="0"/>
          <w:sz w:val="24"/>
          <w:szCs w:val="24"/>
        </w:rPr>
        <w:t>(</w:t>
      </w:r>
      <w:r>
        <w:rPr>
          <w:color w:val="000000"/>
          <w:spacing w:val="0"/>
          <w:w w:val="100"/>
          <w:position w:val="0"/>
          <w:sz w:val="24"/>
          <w:szCs w:val="24"/>
        </w:rPr>
        <w:t>股本溢价</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80" w:line="314" w:lineRule="exact"/>
        <w:ind w:right="0" w:firstLine="0"/>
        <w:jc w:val="both"/>
      </w:pPr>
      <w:r>
        <w:rPr>
          <w:color w:val="000000"/>
          <w:spacing w:val="0"/>
          <w:w w:val="100"/>
          <w:position w:val="0"/>
          <w:sz w:val="24"/>
          <w:szCs w:val="24"/>
        </w:rPr>
        <w:t>于限制性股票的授予日，本集团根据收到职工缴纳的认股款确认银行存款， 并就回购义务确认负债。于限制性股票的解锁日，本集团根据解锁情况，结 转相关库存股、负债以及资本公积。</w:t>
      </w:r>
    </w:p>
    <w:p>
      <w:pPr>
        <w:pStyle w:val="Style72"/>
        <w:keepNext w:val="0"/>
        <w:keepLines w:val="0"/>
        <w:widowControl w:val="0"/>
        <w:numPr>
          <w:ilvl w:val="0"/>
          <w:numId w:val="55"/>
        </w:numPr>
        <w:shd w:val="clear" w:color="auto" w:fill="auto"/>
        <w:tabs>
          <w:tab w:pos="702" w:val="left"/>
        </w:tabs>
        <w:bidi w:val="0"/>
        <w:spacing w:before="0" w:after="280" w:line="240" w:lineRule="auto"/>
        <w:ind w:left="0" w:right="0" w:firstLine="0"/>
        <w:jc w:val="left"/>
      </w:pPr>
      <w:bookmarkStart w:id="866" w:name="bookmark866"/>
      <w:bookmarkEnd w:id="866"/>
      <w:r>
        <w:rPr>
          <w:b/>
          <w:bCs/>
          <w:color w:val="000000"/>
          <w:spacing w:val="0"/>
          <w:w w:val="100"/>
          <w:position w:val="0"/>
          <w:sz w:val="24"/>
          <w:szCs w:val="24"/>
        </w:rPr>
        <w:t>分部信息</w:t>
      </w:r>
    </w:p>
    <w:p>
      <w:pPr>
        <w:pStyle w:val="Style72"/>
        <w:keepNext w:val="0"/>
        <w:keepLines w:val="0"/>
        <w:widowControl w:val="0"/>
        <w:shd w:val="clear" w:color="auto" w:fill="auto"/>
        <w:bidi w:val="0"/>
        <w:spacing w:before="0" w:after="280" w:line="317" w:lineRule="exact"/>
        <w:ind w:right="0" w:firstLine="0"/>
        <w:jc w:val="both"/>
      </w:pPr>
      <w:r>
        <w:rPr>
          <w:color w:val="000000"/>
          <w:spacing w:val="0"/>
          <w:w w:val="100"/>
          <w:position w:val="0"/>
          <w:sz w:val="24"/>
          <w:szCs w:val="24"/>
        </w:rPr>
        <w:t>本集团以内部组织结构、管理要求、内部报告制度为依据确定经营分部，以 经营分部为基础确定报告分部并披露分部信息。</w:t>
      </w:r>
    </w:p>
    <w:p>
      <w:pPr>
        <w:pStyle w:val="Style72"/>
        <w:keepNext w:val="0"/>
        <w:keepLines w:val="0"/>
        <w:widowControl w:val="0"/>
        <w:shd w:val="clear" w:color="auto" w:fill="auto"/>
        <w:bidi w:val="0"/>
        <w:spacing w:before="0" w:after="320" w:line="299" w:lineRule="exact"/>
        <w:ind w:right="0" w:firstLine="0"/>
        <w:jc w:val="both"/>
      </w:pPr>
      <w:r>
        <w:rPr>
          <w:color w:val="000000"/>
          <w:spacing w:val="0"/>
          <w:w w:val="100"/>
          <w:position w:val="0"/>
          <w:sz w:val="24"/>
          <w:szCs w:val="24"/>
        </w:rPr>
        <w:t>经营分部是指本集团内同时满足下列条件的组成部分：</w:t>
      </w:r>
      <w:r>
        <w:rPr>
          <w:rFonts w:ascii="Arial" w:eastAsia="Arial" w:hAnsi="Arial" w:cs="Arial"/>
          <w:color w:val="000000"/>
          <w:spacing w:val="0"/>
          <w:w w:val="100"/>
          <w:position w:val="0"/>
          <w:sz w:val="24"/>
          <w:szCs w:val="24"/>
        </w:rPr>
        <w:t>(1)</w:t>
      </w:r>
      <w:r>
        <w:rPr>
          <w:color w:val="000000"/>
          <w:spacing w:val="0"/>
          <w:w w:val="100"/>
          <w:position w:val="0"/>
          <w:sz w:val="24"/>
          <w:szCs w:val="24"/>
        </w:rPr>
        <w:t>该组成部分能够在 日常活动中产生收入、发生费用；</w:t>
      </w:r>
      <w:r>
        <w:rPr>
          <w:color w:val="000000"/>
          <w:spacing w:val="0"/>
          <w:w w:val="100"/>
          <w:position w:val="0"/>
          <w:sz w:val="28"/>
          <w:szCs w:val="28"/>
        </w:rPr>
        <w:t>(</w:t>
      </w:r>
      <w:r>
        <w:rPr>
          <w:rFonts w:ascii="Arial" w:eastAsia="Arial" w:hAnsi="Arial" w:cs="Arial"/>
          <w:color w:val="000000"/>
          <w:spacing w:val="0"/>
          <w:w w:val="100"/>
          <w:position w:val="0"/>
          <w:sz w:val="24"/>
          <w:szCs w:val="24"/>
        </w:rPr>
        <w:t>2)</w:t>
      </w:r>
      <w:r>
        <w:rPr>
          <w:color w:val="000000"/>
          <w:spacing w:val="0"/>
          <w:w w:val="100"/>
          <w:position w:val="0"/>
          <w:sz w:val="24"/>
          <w:szCs w:val="24"/>
        </w:rPr>
        <w:t>本集团管理层能够定期评价该组成部分 的经营成果，以决定向其配置资源、评价其业绩；</w:t>
      </w:r>
      <w:r>
        <w:rPr>
          <w:color w:val="000000"/>
          <w:spacing w:val="0"/>
          <w:w w:val="100"/>
          <w:position w:val="0"/>
          <w:sz w:val="28"/>
          <w:szCs w:val="28"/>
        </w:rPr>
        <w:t>(</w:t>
      </w:r>
      <w:r>
        <w:rPr>
          <w:rFonts w:ascii="Arial" w:eastAsia="Arial" w:hAnsi="Arial" w:cs="Arial"/>
          <w:color w:val="000000"/>
          <w:spacing w:val="0"/>
          <w:w w:val="100"/>
          <w:position w:val="0"/>
          <w:sz w:val="24"/>
          <w:szCs w:val="24"/>
        </w:rPr>
        <w:t>3)</w:t>
      </w:r>
      <w:r>
        <w:rPr>
          <w:color w:val="000000"/>
          <w:spacing w:val="0"/>
          <w:w w:val="100"/>
          <w:position w:val="0"/>
          <w:sz w:val="24"/>
          <w:szCs w:val="24"/>
        </w:rPr>
        <w:t>本集团能够取得该组成 部分的财务状况、经营成果和现金流量等有关会计信息。两个或多个经营分 部具有相似的经济特征，并且满足一定条件的，则可合并为一个经营分部。</w:t>
      </w:r>
    </w:p>
    <w:p>
      <w:pPr>
        <w:pStyle w:val="Style72"/>
        <w:keepNext w:val="0"/>
        <w:keepLines w:val="0"/>
        <w:widowControl w:val="0"/>
        <w:numPr>
          <w:ilvl w:val="0"/>
          <w:numId w:val="55"/>
        </w:numPr>
        <w:shd w:val="clear" w:color="auto" w:fill="auto"/>
        <w:tabs>
          <w:tab w:pos="702" w:val="left"/>
        </w:tabs>
        <w:bidi w:val="0"/>
        <w:spacing w:before="0" w:after="280" w:line="240" w:lineRule="auto"/>
        <w:ind w:left="0" w:right="0" w:firstLine="0"/>
        <w:jc w:val="left"/>
      </w:pPr>
      <w:bookmarkStart w:id="867" w:name="bookmark867"/>
      <w:bookmarkEnd w:id="867"/>
      <w:r>
        <w:rPr>
          <w:b/>
          <w:bCs/>
          <w:color w:val="000000"/>
          <w:spacing w:val="0"/>
          <w:w w:val="100"/>
          <w:position w:val="0"/>
          <w:sz w:val="24"/>
          <w:szCs w:val="24"/>
        </w:rPr>
        <w:t>重要会计估计和判断</w:t>
      </w:r>
    </w:p>
    <w:p>
      <w:pPr>
        <w:pStyle w:val="Style72"/>
        <w:keepNext w:val="0"/>
        <w:keepLines w:val="0"/>
        <w:widowControl w:val="0"/>
        <w:shd w:val="clear" w:color="auto" w:fill="auto"/>
        <w:bidi w:val="0"/>
        <w:spacing w:before="0" w:after="320" w:line="307" w:lineRule="exact"/>
        <w:ind w:right="0" w:firstLine="0"/>
        <w:jc w:val="both"/>
      </w:pPr>
      <w:r>
        <w:rPr>
          <w:color w:val="000000"/>
          <w:spacing w:val="0"/>
          <w:w w:val="100"/>
          <w:position w:val="0"/>
          <w:sz w:val="24"/>
          <w:szCs w:val="24"/>
        </w:rPr>
        <w:t>本集团根据历史经验和其他因素，包括对未来事项的合理预期，对所采用的 重要会计估计和关键判断进行持续的评价。</w:t>
      </w:r>
    </w:p>
    <w:p>
      <w:pPr>
        <w:pStyle w:val="Style72"/>
        <w:keepNext w:val="0"/>
        <w:keepLines w:val="0"/>
        <w:widowControl w:val="0"/>
        <w:numPr>
          <w:ilvl w:val="0"/>
          <w:numId w:val="57"/>
        </w:numPr>
        <w:shd w:val="clear" w:color="auto" w:fill="auto"/>
        <w:tabs>
          <w:tab w:pos="702" w:val="left"/>
        </w:tabs>
        <w:bidi w:val="0"/>
        <w:spacing w:before="0" w:after="280" w:line="271" w:lineRule="auto"/>
        <w:ind w:left="0" w:right="0" w:firstLine="0"/>
        <w:jc w:val="left"/>
      </w:pPr>
      <w:bookmarkStart w:id="868" w:name="bookmark868"/>
      <w:bookmarkEnd w:id="868"/>
      <w:r>
        <w:rPr>
          <w:color w:val="000000"/>
          <w:spacing w:val="0"/>
          <w:w w:val="100"/>
          <w:position w:val="0"/>
          <w:sz w:val="24"/>
          <w:szCs w:val="24"/>
        </w:rPr>
        <w:t>采用会计政策的关键判断</w:t>
      </w:r>
    </w:p>
    <w:p>
      <w:pPr>
        <w:pStyle w:val="Style72"/>
        <w:keepNext w:val="0"/>
        <w:keepLines w:val="0"/>
        <w:widowControl w:val="0"/>
        <w:shd w:val="clear" w:color="auto" w:fill="auto"/>
        <w:tabs>
          <w:tab w:pos="702" w:val="left"/>
        </w:tabs>
        <w:bidi w:val="0"/>
        <w:spacing w:before="0" w:after="280" w:line="312" w:lineRule="exact"/>
        <w:ind w:left="0" w:right="0" w:firstLine="0"/>
        <w:jc w:val="left"/>
      </w:pPr>
      <w:r>
        <w:rPr>
          <w:color w:val="000000"/>
          <w:spacing w:val="0"/>
          <w:w w:val="100"/>
          <w:position w:val="0"/>
          <w:sz w:val="24"/>
          <w:szCs w:val="24"/>
        </w:rPr>
        <w:t>⑴</w:t>
        <w:tab/>
        <w:t>存货跌价准备</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本集团将大量的流动资金投入存货，对于存货跌价准备的风险，本集团已经 执行了严格的措施加以监控。对于存货账龄清单上滞销的存货，本集团将了 解滞销原因并积极与供应商进行沟通，尝试对滞销存货执行退货处理；对于 无法向供应商退货的存货，或者已经不再与本集团进行交易的供应商，本集 团根据滞销存货的账面价值高于各自的可变现净值的差额计提存货跌价准 备。</w:t>
      </w:r>
    </w:p>
    <w:p>
      <w:pPr>
        <w:pStyle w:val="Style72"/>
        <w:keepNext w:val="0"/>
        <w:keepLines w:val="0"/>
        <w:widowControl w:val="0"/>
        <w:shd w:val="clear" w:color="auto" w:fill="auto"/>
        <w:tabs>
          <w:tab w:pos="713" w:val="left"/>
        </w:tabs>
        <w:bidi w:val="0"/>
        <w:spacing w:before="0" w:after="300" w:line="240" w:lineRule="auto"/>
        <w:ind w:left="0" w:right="0" w:firstLine="0"/>
        <w:jc w:val="both"/>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both"/>
        <w:rPr>
          <w:sz w:val="28"/>
          <w:szCs w:val="28"/>
        </w:rPr>
      </w:pPr>
      <w:r>
        <w:rPr>
          <w:rFonts w:ascii="Arial" w:eastAsia="Arial" w:hAnsi="Arial" w:cs="Arial"/>
          <w:color w:val="000000"/>
          <w:spacing w:val="0"/>
          <w:w w:val="100"/>
          <w:position w:val="0"/>
          <w:sz w:val="24"/>
          <w:szCs w:val="24"/>
        </w:rPr>
        <w:t>(29)</w:t>
      </w:r>
      <w:r>
        <w:rPr>
          <w:b/>
          <w:bCs/>
          <w:color w:val="000000"/>
          <w:spacing w:val="0"/>
          <w:w w:val="100"/>
          <w:position w:val="0"/>
          <w:sz w:val="24"/>
          <w:szCs w:val="24"/>
        </w:rPr>
        <w:t>重要会计估计和判断</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59"/>
        </w:numPr>
        <w:shd w:val="clear" w:color="auto" w:fill="auto"/>
        <w:tabs>
          <w:tab w:pos="713" w:val="left"/>
        </w:tabs>
        <w:bidi w:val="0"/>
        <w:spacing w:before="0" w:after="300" w:line="271" w:lineRule="auto"/>
        <w:ind w:left="0" w:right="0" w:firstLine="0"/>
        <w:jc w:val="both"/>
        <w:rPr>
          <w:sz w:val="28"/>
          <w:szCs w:val="28"/>
        </w:rPr>
      </w:pPr>
      <w:bookmarkStart w:id="869" w:name="bookmark869"/>
      <w:bookmarkEnd w:id="869"/>
      <w:r>
        <w:rPr>
          <w:color w:val="000000"/>
          <w:spacing w:val="0"/>
          <w:w w:val="100"/>
          <w:position w:val="0"/>
          <w:sz w:val="24"/>
          <w:szCs w:val="24"/>
        </w:rPr>
        <w:t>采用会计政策的关键判断</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61"/>
        </w:numPr>
        <w:shd w:val="clear" w:color="auto" w:fill="auto"/>
        <w:tabs>
          <w:tab w:pos="713" w:val="left"/>
        </w:tabs>
        <w:bidi w:val="0"/>
        <w:spacing w:before="0" w:after="260" w:line="271" w:lineRule="auto"/>
        <w:ind w:left="0" w:right="0" w:firstLine="0"/>
        <w:jc w:val="both"/>
      </w:pPr>
      <w:bookmarkStart w:id="870" w:name="bookmark870"/>
      <w:bookmarkEnd w:id="870"/>
      <w:r>
        <w:rPr>
          <w:color w:val="000000"/>
          <w:spacing w:val="0"/>
          <w:w w:val="100"/>
          <w:position w:val="0"/>
          <w:sz w:val="24"/>
          <w:szCs w:val="24"/>
        </w:rPr>
        <w:t>固定资产的折旧方法</w:t>
      </w:r>
    </w:p>
    <w:p>
      <w:pPr>
        <w:pStyle w:val="Style72"/>
        <w:keepNext w:val="0"/>
        <w:keepLines w:val="0"/>
        <w:widowControl w:val="0"/>
        <w:shd w:val="clear" w:color="auto" w:fill="auto"/>
        <w:bidi w:val="0"/>
        <w:spacing w:before="0" w:after="300" w:line="307" w:lineRule="exact"/>
        <w:ind w:right="0" w:firstLine="0"/>
        <w:jc w:val="both"/>
      </w:pPr>
      <w:r>
        <w:rPr>
          <w:color w:val="000000"/>
          <w:spacing w:val="0"/>
          <w:w w:val="100"/>
          <w:position w:val="0"/>
          <w:sz w:val="24"/>
          <w:szCs w:val="24"/>
        </w:rPr>
        <w:t>本集团对固定资产的预计使用寿命、预计净残值和折旧方法于每年年度终了 进行复核并作适当调整。</w:t>
      </w:r>
    </w:p>
    <w:p>
      <w:pPr>
        <w:pStyle w:val="Style72"/>
        <w:keepNext w:val="0"/>
        <w:keepLines w:val="0"/>
        <w:widowControl w:val="0"/>
        <w:numPr>
          <w:ilvl w:val="0"/>
          <w:numId w:val="61"/>
        </w:numPr>
        <w:shd w:val="clear" w:color="auto" w:fill="auto"/>
        <w:tabs>
          <w:tab w:pos="713" w:val="left"/>
        </w:tabs>
        <w:bidi w:val="0"/>
        <w:spacing w:before="0" w:after="260" w:line="312" w:lineRule="exact"/>
        <w:ind w:left="0" w:right="0" w:firstLine="0"/>
        <w:jc w:val="left"/>
      </w:pPr>
      <w:bookmarkStart w:id="871" w:name="bookmark871"/>
      <w:bookmarkEnd w:id="871"/>
      <w:r>
        <w:rPr>
          <w:color w:val="000000"/>
          <w:spacing w:val="0"/>
          <w:w w:val="100"/>
          <w:position w:val="0"/>
          <w:sz w:val="24"/>
          <w:szCs w:val="24"/>
        </w:rPr>
        <w:t>信用风险显著增加和已发生信用减值的判断</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本集团判断信用风险显著增加的主要标准为逾期天数超过</w:t>
      </w:r>
      <w:r>
        <w:rPr>
          <w:rFonts w:ascii="Arial" w:eastAsia="Arial" w:hAnsi="Arial" w:cs="Arial"/>
          <w:color w:val="000000"/>
          <w:spacing w:val="0"/>
          <w:w w:val="100"/>
          <w:position w:val="0"/>
          <w:sz w:val="24"/>
          <w:szCs w:val="24"/>
        </w:rPr>
        <w:t>30</w:t>
      </w:r>
      <w:r>
        <w:rPr>
          <w:color w:val="000000"/>
          <w:spacing w:val="0"/>
          <w:w w:val="100"/>
          <w:position w:val="0"/>
          <w:sz w:val="24"/>
          <w:szCs w:val="24"/>
        </w:rPr>
        <w:t>日，或者以下一 个或多个指标发生显著变化：债务人所处的经营环境、内外部信用评级、实 际或预期经营成果的显著变化、担保物价值或担保方信用评级的显著下降从 而将影响违约概率等。</w:t>
      </w:r>
    </w:p>
    <w:p>
      <w:pPr>
        <w:pStyle w:val="Style72"/>
        <w:keepNext w:val="0"/>
        <w:keepLines w:val="0"/>
        <w:widowControl w:val="0"/>
        <w:shd w:val="clear" w:color="auto" w:fill="auto"/>
        <w:bidi w:val="0"/>
        <w:spacing w:before="0" w:after="260" w:line="317" w:lineRule="exact"/>
        <w:ind w:right="0" w:firstLine="0"/>
        <w:jc w:val="both"/>
      </w:pPr>
      <w:r>
        <w:rPr>
          <w:color w:val="000000"/>
          <w:spacing w:val="0"/>
          <w:w w:val="100"/>
          <w:position w:val="0"/>
          <w:sz w:val="24"/>
          <w:szCs w:val="24"/>
        </w:rPr>
        <w:t>本集团判断已发生信用减值的主要标准为逾期天数超过</w:t>
      </w:r>
      <w:r>
        <w:rPr>
          <w:rFonts w:ascii="Arial" w:eastAsia="Arial" w:hAnsi="Arial" w:cs="Arial"/>
          <w:color w:val="000000"/>
          <w:spacing w:val="0"/>
          <w:w w:val="100"/>
          <w:position w:val="0"/>
          <w:sz w:val="24"/>
          <w:szCs w:val="24"/>
        </w:rPr>
        <w:t>90</w:t>
      </w:r>
      <w:r>
        <w:rPr>
          <w:color w:val="000000"/>
          <w:spacing w:val="0"/>
          <w:w w:val="100"/>
          <w:position w:val="0"/>
          <w:sz w:val="24"/>
          <w:szCs w:val="24"/>
        </w:rPr>
        <w:t>日</w:t>
      </w:r>
      <w:r>
        <w:rPr>
          <w:rFonts w:ascii="Arial" w:eastAsia="Arial" w:hAnsi="Arial" w:cs="Arial"/>
          <w:color w:val="000000"/>
          <w:spacing w:val="0"/>
          <w:w w:val="100"/>
          <w:position w:val="0"/>
          <w:sz w:val="24"/>
          <w:szCs w:val="24"/>
        </w:rPr>
        <w:t>(</w:t>
      </w:r>
      <w:r>
        <w:rPr>
          <w:color w:val="000000"/>
          <w:spacing w:val="0"/>
          <w:w w:val="100"/>
          <w:position w:val="0"/>
          <w:sz w:val="24"/>
          <w:szCs w:val="24"/>
        </w:rPr>
        <w:t>即，已发生违 约</w:t>
      </w:r>
      <w:r>
        <w:rPr>
          <w:rFonts w:ascii="Arial" w:eastAsia="Arial" w:hAnsi="Arial" w:cs="Arial"/>
          <w:color w:val="000000"/>
          <w:spacing w:val="0"/>
          <w:w w:val="100"/>
          <w:position w:val="0"/>
          <w:sz w:val="24"/>
          <w:szCs w:val="24"/>
        </w:rPr>
        <w:t>)</w:t>
      </w:r>
      <w:r>
        <w:rPr>
          <w:color w:val="000000"/>
          <w:spacing w:val="0"/>
          <w:w w:val="100"/>
          <w:position w:val="0"/>
          <w:sz w:val="24"/>
          <w:szCs w:val="24"/>
        </w:rPr>
        <w:t>，或者符合以下一个或多个条件：债务人发生重大财务困难，进行其他债 务重组或很可能破产等。</w:t>
      </w:r>
    </w:p>
    <w:p>
      <w:pPr>
        <w:pStyle w:val="Style72"/>
        <w:keepNext w:val="0"/>
        <w:keepLines w:val="0"/>
        <w:widowControl w:val="0"/>
        <w:shd w:val="clear" w:color="auto" w:fill="auto"/>
        <w:bidi w:val="0"/>
        <w:spacing w:before="0" w:after="300" w:line="317" w:lineRule="exact"/>
        <w:ind w:right="0" w:firstLine="0"/>
        <w:jc w:val="both"/>
      </w:pPr>
      <w:r>
        <w:rPr>
          <w:color w:val="000000"/>
          <w:spacing w:val="0"/>
          <w:w w:val="100"/>
          <w:position w:val="0"/>
          <w:sz w:val="24"/>
          <w:szCs w:val="24"/>
        </w:rPr>
        <w:t>本集团判断已发生信用减值的主要标准为符合以下一个或多个条件：债务人 发生重大财务困难，进行其他债务重组或很可能破产等。</w:t>
      </w:r>
    </w:p>
    <w:p>
      <w:pPr>
        <w:pStyle w:val="Style72"/>
        <w:keepNext w:val="0"/>
        <w:keepLines w:val="0"/>
        <w:widowControl w:val="0"/>
        <w:numPr>
          <w:ilvl w:val="0"/>
          <w:numId w:val="59"/>
        </w:numPr>
        <w:shd w:val="clear" w:color="auto" w:fill="auto"/>
        <w:tabs>
          <w:tab w:pos="713" w:val="left"/>
        </w:tabs>
        <w:bidi w:val="0"/>
        <w:spacing w:before="0" w:after="260" w:line="271" w:lineRule="auto"/>
        <w:ind w:left="0" w:right="0" w:firstLine="0"/>
        <w:jc w:val="left"/>
      </w:pPr>
      <w:bookmarkStart w:id="872" w:name="bookmark872"/>
      <w:bookmarkEnd w:id="872"/>
      <w:r>
        <w:rPr>
          <w:color w:val="000000"/>
          <w:spacing w:val="0"/>
          <w:w w:val="100"/>
          <w:position w:val="0"/>
          <w:sz w:val="24"/>
          <w:szCs w:val="24"/>
        </w:rPr>
        <w:t>重要会计估计及其关键假设</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下列重要会计估计及关键假设存在会导致下一会计年度资产和负债的账面价 值出现重大调整的重要风险：</w:t>
      </w:r>
    </w:p>
    <w:p>
      <w:pPr>
        <w:pStyle w:val="Style72"/>
        <w:keepNext w:val="0"/>
        <w:keepLines w:val="0"/>
        <w:widowControl w:val="0"/>
        <w:shd w:val="clear" w:color="auto" w:fill="auto"/>
        <w:tabs>
          <w:tab w:pos="713" w:val="left"/>
        </w:tabs>
        <w:bidi w:val="0"/>
        <w:spacing w:before="0" w:after="260" w:line="312" w:lineRule="exact"/>
        <w:ind w:left="0" w:right="0" w:firstLine="0"/>
        <w:jc w:val="left"/>
      </w:pPr>
      <w:r>
        <w:rPr>
          <w:color w:val="000000"/>
          <w:spacing w:val="0"/>
          <w:w w:val="100"/>
          <w:position w:val="0"/>
          <w:sz w:val="24"/>
          <w:szCs w:val="24"/>
        </w:rPr>
        <w:t>⑴</w:t>
        <w:tab/>
        <w:t>预期信用损失的计量</w:t>
      </w:r>
    </w:p>
    <w:p>
      <w:pPr>
        <w:pStyle w:val="Style72"/>
        <w:keepNext w:val="0"/>
        <w:keepLines w:val="0"/>
        <w:widowControl w:val="0"/>
        <w:shd w:val="clear" w:color="auto" w:fill="auto"/>
        <w:bidi w:val="0"/>
        <w:spacing w:before="0" w:after="260" w:line="312" w:lineRule="exact"/>
        <w:ind w:right="0" w:firstLine="0"/>
        <w:jc w:val="both"/>
        <w:sectPr>
          <w:footnotePr>
            <w:pos w:val="pageBottom"/>
            <w:numFmt w:val="decimal"/>
            <w:numStart w:val="1"/>
            <w:numRestart w:val="continuous"/>
            <w15:footnoteColumns w:val="1"/>
          </w:footnotePr>
          <w:pgSz w:w="11900" w:h="16840"/>
          <w:pgMar w:top="2338" w:right="1342" w:bottom="1896" w:left="1669" w:header="0" w:footer="3" w:gutter="0"/>
          <w:cols w:space="720"/>
          <w:noEndnote/>
          <w:rtlGutter w:val="0"/>
          <w:docGrid w:linePitch="360"/>
        </w:sectPr>
      </w:pPr>
      <w:r>
        <w:rPr>
          <w:color w:val="000000"/>
          <w:spacing w:val="0"/>
          <w:w w:val="100"/>
          <w:position w:val="0"/>
          <w:sz w:val="24"/>
          <w:szCs w:val="24"/>
        </w:rPr>
        <w:t>本集团通过违约风险敞口和预期信用损失率计算预期信用损失，并基于违约 概率和违约损失率确定预期信用损失率。在确定预期信用损失率时，本集团 使用内部历史信用损失经验等数据，并结合当前状况和前瞻性信息对历史数 据进行调整。</w:t>
      </w:r>
    </w:p>
    <w:p>
      <w:pPr>
        <w:pStyle w:val="Style72"/>
        <w:keepNext w:val="0"/>
        <w:keepLines w:val="0"/>
        <w:widowControl w:val="0"/>
        <w:shd w:val="clear" w:color="auto" w:fill="auto"/>
        <w:tabs>
          <w:tab w:pos="701" w:val="left"/>
        </w:tabs>
        <w:bidi w:val="0"/>
        <w:spacing w:before="0" w:after="28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20" w:line="240" w:lineRule="auto"/>
        <w:ind w:left="0" w:right="0" w:firstLine="0"/>
        <w:jc w:val="left"/>
        <w:rPr>
          <w:sz w:val="28"/>
          <w:szCs w:val="28"/>
        </w:rPr>
      </w:pPr>
      <w:r>
        <w:rPr>
          <w:rFonts w:ascii="Arial" w:eastAsia="Arial" w:hAnsi="Arial" w:cs="Arial"/>
          <w:color w:val="000000"/>
          <w:spacing w:val="0"/>
          <w:w w:val="100"/>
          <w:position w:val="0"/>
          <w:sz w:val="24"/>
          <w:szCs w:val="24"/>
        </w:rPr>
        <w:t>（29）</w:t>
      </w:r>
      <w:r>
        <w:rPr>
          <w:b/>
          <w:bCs/>
          <w:color w:val="000000"/>
          <w:spacing w:val="0"/>
          <w:w w:val="100"/>
          <w:position w:val="0"/>
          <w:sz w:val="24"/>
          <w:szCs w:val="24"/>
        </w:rPr>
        <w:t>重要会计估计和判断</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1" w:val="left"/>
        </w:tabs>
        <w:bidi w:val="0"/>
        <w:spacing w:before="0" w:after="280" w:line="271" w:lineRule="auto"/>
        <w:ind w:left="0" w:right="0" w:firstLine="0"/>
        <w:jc w:val="left"/>
        <w:rPr>
          <w:sz w:val="28"/>
          <w:szCs w:val="28"/>
        </w:rPr>
      </w:pPr>
      <w:bookmarkStart w:id="873" w:name="bookmark873"/>
      <w:r>
        <w:rPr>
          <w:rFonts w:ascii="Arial" w:eastAsia="Arial" w:hAnsi="Arial" w:cs="Arial"/>
          <w:color w:val="000000"/>
          <w:spacing w:val="0"/>
          <w:w w:val="100"/>
          <w:position w:val="0"/>
          <w:sz w:val="24"/>
          <w:szCs w:val="24"/>
        </w:rPr>
        <w:t>（</w:t>
      </w:r>
      <w:bookmarkEnd w:id="873"/>
      <w:r>
        <w:rPr>
          <w:rFonts w:ascii="Arial" w:eastAsia="Arial" w:hAnsi="Arial" w:cs="Arial"/>
          <w:color w:val="000000"/>
          <w:spacing w:val="0"/>
          <w:w w:val="100"/>
          <w:position w:val="0"/>
          <w:sz w:val="24"/>
          <w:szCs w:val="24"/>
        </w:rPr>
        <w:t>b）</w:t>
        <w:tab/>
      </w:r>
      <w:r>
        <w:rPr>
          <w:color w:val="000000"/>
          <w:spacing w:val="0"/>
          <w:w w:val="100"/>
          <w:position w:val="0"/>
          <w:sz w:val="24"/>
          <w:szCs w:val="24"/>
        </w:rPr>
        <w:t>重要会计估计及其关键假设</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1" w:val="left"/>
        </w:tabs>
        <w:bidi w:val="0"/>
        <w:spacing w:before="0" w:after="280" w:line="313" w:lineRule="exact"/>
        <w:ind w:left="0" w:right="0" w:firstLine="0"/>
        <w:jc w:val="left"/>
        <w:rPr>
          <w:sz w:val="28"/>
          <w:szCs w:val="28"/>
        </w:rPr>
      </w:pPr>
      <w:r>
        <w:rPr>
          <w:color w:val="000000"/>
          <w:spacing w:val="0"/>
          <w:w w:val="100"/>
          <w:position w:val="0"/>
          <w:sz w:val="24"/>
          <w:szCs w:val="24"/>
        </w:rPr>
        <w:t>⑴</w:t>
        <w:tab/>
        <w:t>预期信用损失的计量</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310" w:lineRule="exact"/>
        <w:ind w:right="0" w:firstLine="80"/>
        <w:jc w:val="both"/>
      </w:pPr>
      <w:r>
        <w:rPr>
          <w:color w:val="000000"/>
          <w:spacing w:val="0"/>
          <w:w w:val="100"/>
          <w:position w:val="0"/>
          <w:sz w:val="24"/>
          <w:szCs w:val="24"/>
        </w:rPr>
        <w:t>本集团通过违约风险敞口和预期信用损失率计算预期信用损失，并基于违约 概率和违约损失率确定预期信用损失率。在确定预期信用损失率时，本集团 使用内部历史信用损失经验等数据，并结合当前状况和前瞻性信息对历史数 据进行调整。</w:t>
      </w:r>
    </w:p>
    <w:p>
      <w:pPr>
        <w:pStyle w:val="Style72"/>
        <w:keepNext w:val="0"/>
        <w:keepLines w:val="0"/>
        <w:widowControl w:val="0"/>
        <w:shd w:val="clear" w:color="auto" w:fill="auto"/>
        <w:bidi w:val="0"/>
        <w:spacing w:before="0" w:after="280" w:line="313" w:lineRule="exact"/>
        <w:ind w:right="0" w:firstLine="80"/>
        <w:jc w:val="both"/>
      </w:pPr>
      <w:r>
        <w:rPr>
          <w:color w:val="000000"/>
          <w:spacing w:val="0"/>
          <w:w w:val="100"/>
          <w:position w:val="0"/>
          <w:sz w:val="24"/>
          <w:szCs w:val="24"/>
        </w:rPr>
        <w:t>在考虑前瞻性信息时，本集团考虑了不同的宏观经济情景。</w:t>
      </w:r>
      <w:r>
        <w:rPr>
          <w:rFonts w:ascii="Arial" w:eastAsia="Arial" w:hAnsi="Arial" w:cs="Arial"/>
          <w:color w:val="000000"/>
          <w:spacing w:val="0"/>
          <w:w w:val="100"/>
          <w:position w:val="0"/>
          <w:sz w:val="24"/>
          <w:szCs w:val="24"/>
        </w:rPr>
        <w:t>2021</w:t>
      </w:r>
      <w:r>
        <w:rPr>
          <w:color w:val="000000"/>
          <w:spacing w:val="0"/>
          <w:w w:val="100"/>
          <w:position w:val="0"/>
          <w:sz w:val="24"/>
          <w:szCs w:val="24"/>
        </w:rPr>
        <w:t>年度，</w:t>
      </w:r>
      <w:r>
        <w:rPr>
          <w:rFonts w:ascii="Arial" w:eastAsia="Arial" w:hAnsi="Arial" w:cs="Arial"/>
          <w:color w:val="000000"/>
          <w:spacing w:val="0"/>
          <w:w w:val="100"/>
          <w:position w:val="0"/>
          <w:sz w:val="24"/>
          <w:szCs w:val="24"/>
        </w:rPr>
        <w:t>“</w:t>
      </w:r>
      <w:r>
        <w:rPr>
          <w:color w:val="000000"/>
          <w:spacing w:val="0"/>
          <w:w w:val="100"/>
          <w:position w:val="0"/>
          <w:sz w:val="24"/>
          <w:szCs w:val="24"/>
        </w:rPr>
        <w:t>基 准</w:t>
      </w:r>
      <w:r>
        <w:rPr>
          <w:rFonts w:ascii="Arial" w:eastAsia="Arial" w:hAnsi="Arial" w:cs="Arial"/>
          <w:color w:val="000000"/>
          <w:spacing w:val="0"/>
          <w:w w:val="100"/>
          <w:position w:val="0"/>
          <w:sz w:val="24"/>
          <w:szCs w:val="24"/>
        </w:rPr>
        <w:t>”</w:t>
      </w:r>
      <w:r>
        <w:rPr>
          <w:color w:val="000000"/>
          <w:spacing w:val="0"/>
          <w:w w:val="100"/>
          <w:position w:val="0"/>
          <w:sz w:val="24"/>
          <w:szCs w:val="24"/>
        </w:rPr>
        <w:t>、</w:t>
      </w:r>
      <w:r>
        <w:rPr>
          <w:rFonts w:ascii="Arial" w:eastAsia="Arial" w:hAnsi="Arial" w:cs="Arial"/>
          <w:color w:val="000000"/>
          <w:spacing w:val="0"/>
          <w:w w:val="100"/>
          <w:position w:val="0"/>
          <w:sz w:val="24"/>
          <w:szCs w:val="24"/>
        </w:rPr>
        <w:t>“</w:t>
      </w:r>
      <w:r>
        <w:rPr>
          <w:color w:val="000000"/>
          <w:spacing w:val="0"/>
          <w:w w:val="100"/>
          <w:position w:val="0"/>
          <w:sz w:val="24"/>
          <w:szCs w:val="24"/>
        </w:rPr>
        <w:t>不利</w:t>
      </w:r>
      <w:r>
        <w:rPr>
          <w:rFonts w:ascii="Arial" w:eastAsia="Arial" w:hAnsi="Arial" w:cs="Arial"/>
          <w:color w:val="000000"/>
          <w:spacing w:val="0"/>
          <w:w w:val="100"/>
          <w:position w:val="0"/>
          <w:sz w:val="24"/>
          <w:szCs w:val="24"/>
        </w:rPr>
        <w:t>”</w:t>
      </w:r>
      <w:r>
        <w:rPr>
          <w:color w:val="000000"/>
          <w:spacing w:val="0"/>
          <w:w w:val="100"/>
          <w:position w:val="0"/>
          <w:sz w:val="24"/>
          <w:szCs w:val="24"/>
        </w:rPr>
        <w:t>及</w:t>
      </w:r>
      <w:r>
        <w:rPr>
          <w:rFonts w:ascii="Arial" w:eastAsia="Arial" w:hAnsi="Arial" w:cs="Arial"/>
          <w:color w:val="000000"/>
          <w:spacing w:val="0"/>
          <w:w w:val="100"/>
          <w:position w:val="0"/>
          <w:sz w:val="24"/>
          <w:szCs w:val="24"/>
        </w:rPr>
        <w:t>“</w:t>
      </w:r>
      <w:r>
        <w:rPr>
          <w:color w:val="000000"/>
          <w:spacing w:val="0"/>
          <w:w w:val="100"/>
          <w:position w:val="0"/>
          <w:sz w:val="24"/>
          <w:szCs w:val="24"/>
        </w:rPr>
        <w:t>有利</w:t>
      </w:r>
      <w:r>
        <w:rPr>
          <w:rFonts w:ascii="Arial" w:eastAsia="Arial" w:hAnsi="Arial" w:cs="Arial"/>
          <w:color w:val="000000"/>
          <w:spacing w:val="0"/>
          <w:w w:val="100"/>
          <w:position w:val="0"/>
          <w:sz w:val="24"/>
          <w:szCs w:val="24"/>
        </w:rPr>
        <w:t>”</w:t>
      </w:r>
      <w:r>
        <w:rPr>
          <w:color w:val="000000"/>
          <w:spacing w:val="0"/>
          <w:w w:val="100"/>
          <w:position w:val="0"/>
          <w:sz w:val="24"/>
          <w:szCs w:val="24"/>
        </w:rPr>
        <w:t>这三种经济情景的权重分别是</w:t>
      </w:r>
      <w:r>
        <w:rPr>
          <w:rFonts w:ascii="Arial" w:eastAsia="Arial" w:hAnsi="Arial" w:cs="Arial"/>
          <w:color w:val="000000"/>
          <w:spacing w:val="0"/>
          <w:w w:val="100"/>
          <w:position w:val="0"/>
          <w:sz w:val="24"/>
          <w:szCs w:val="24"/>
        </w:rPr>
        <w:t>80%</w:t>
      </w:r>
      <w:r>
        <w:rPr>
          <w:color w:val="000000"/>
          <w:spacing w:val="0"/>
          <w:w w:val="100"/>
          <w:position w:val="0"/>
          <w:sz w:val="24"/>
          <w:szCs w:val="24"/>
        </w:rPr>
        <w:t>、</w:t>
      </w:r>
      <w:r>
        <w:rPr>
          <w:rFonts w:ascii="Arial" w:eastAsia="Arial" w:hAnsi="Arial" w:cs="Arial"/>
          <w:color w:val="000000"/>
          <w:spacing w:val="0"/>
          <w:w w:val="100"/>
          <w:position w:val="0"/>
          <w:sz w:val="24"/>
          <w:szCs w:val="24"/>
        </w:rPr>
        <w:t>10%</w:t>
      </w:r>
      <w:r>
        <w:rPr>
          <w:color w:val="000000"/>
          <w:spacing w:val="0"/>
          <w:w w:val="100"/>
          <w:position w:val="0"/>
          <w:sz w:val="24"/>
          <w:szCs w:val="24"/>
        </w:rPr>
        <w:t>和</w:t>
      </w:r>
      <w:r>
        <w:rPr>
          <w:rFonts w:ascii="Arial" w:eastAsia="Arial" w:hAnsi="Arial" w:cs="Arial"/>
          <w:color w:val="000000"/>
          <w:spacing w:val="0"/>
          <w:w w:val="100"/>
          <w:position w:val="0"/>
          <w:sz w:val="24"/>
          <w:szCs w:val="24"/>
        </w:rPr>
        <w:t xml:space="preserve">10%（2020 </w:t>
      </w:r>
      <w:r>
        <w:rPr>
          <w:color w:val="000000"/>
          <w:spacing w:val="0"/>
          <w:w w:val="100"/>
          <w:position w:val="0"/>
          <w:sz w:val="24"/>
          <w:szCs w:val="24"/>
        </w:rPr>
        <w:t>年度：</w:t>
      </w:r>
      <w:r>
        <w:rPr>
          <w:rFonts w:ascii="Arial" w:eastAsia="Arial" w:hAnsi="Arial" w:cs="Arial"/>
          <w:color w:val="000000"/>
          <w:spacing w:val="0"/>
          <w:w w:val="100"/>
          <w:position w:val="0"/>
          <w:sz w:val="24"/>
          <w:szCs w:val="24"/>
        </w:rPr>
        <w:t>80%</w:t>
      </w:r>
      <w:r>
        <w:rPr>
          <w:color w:val="000000"/>
          <w:spacing w:val="0"/>
          <w:w w:val="100"/>
          <w:position w:val="0"/>
          <w:sz w:val="24"/>
          <w:szCs w:val="24"/>
        </w:rPr>
        <w:t>、</w:t>
      </w:r>
      <w:r>
        <w:rPr>
          <w:rFonts w:ascii="Arial" w:eastAsia="Arial" w:hAnsi="Arial" w:cs="Arial"/>
          <w:color w:val="000000"/>
          <w:spacing w:val="0"/>
          <w:w w:val="100"/>
          <w:position w:val="0"/>
          <w:sz w:val="24"/>
          <w:szCs w:val="24"/>
        </w:rPr>
        <w:t>10%</w:t>
      </w:r>
      <w:r>
        <w:rPr>
          <w:color w:val="000000"/>
          <w:spacing w:val="0"/>
          <w:w w:val="100"/>
          <w:position w:val="0"/>
          <w:sz w:val="24"/>
          <w:szCs w:val="24"/>
        </w:rPr>
        <w:t>和</w:t>
      </w:r>
      <w:r>
        <w:rPr>
          <w:rFonts w:ascii="Arial" w:eastAsia="Arial" w:hAnsi="Arial" w:cs="Arial"/>
          <w:color w:val="000000"/>
          <w:spacing w:val="0"/>
          <w:w w:val="100"/>
          <w:position w:val="0"/>
          <w:sz w:val="24"/>
          <w:szCs w:val="24"/>
        </w:rPr>
        <w:t>10%）</w:t>
      </w:r>
      <w:r>
        <w:rPr>
          <w:color w:val="000000"/>
          <w:spacing w:val="0"/>
          <w:w w:val="100"/>
          <w:position w:val="0"/>
          <w:sz w:val="24"/>
          <w:szCs w:val="24"/>
        </w:rPr>
        <w:t>。本集团定期监控并复核与预期信用损失计算相 关的重要宏观经济假设和参数，包括经济下滑的风险、外部市场环境、技术 环境、客户情况的变化、国内生产总值和消费者物价指数等。</w:t>
      </w:r>
      <w:r>
        <w:rPr>
          <w:rFonts w:ascii="Arial" w:eastAsia="Arial" w:hAnsi="Arial" w:cs="Arial"/>
          <w:color w:val="000000"/>
          <w:spacing w:val="0"/>
          <w:w w:val="100"/>
          <w:position w:val="0"/>
          <w:sz w:val="24"/>
          <w:szCs w:val="24"/>
        </w:rPr>
        <w:t>2021</w:t>
      </w:r>
      <w:r>
        <w:rPr>
          <w:color w:val="000000"/>
          <w:spacing w:val="0"/>
          <w:w w:val="100"/>
          <w:position w:val="0"/>
          <w:sz w:val="24"/>
          <w:szCs w:val="24"/>
        </w:rPr>
        <w:t>年度， 本集团已考虑了新冠肺炎疫情引发的不确定性，并相应更新了相关假设和参 数，各情景中所使用的关键宏观经济参数列示如下：</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经济情景</w:t>
      </w:r>
    </w:p>
    <w:tbl>
      <w:tblPr>
        <w:tblOverlap w:val="never"/>
        <w:jc w:val="right"/>
        <w:tblLayout w:type="fixed"/>
      </w:tblPr>
      <w:tblGrid>
        <w:gridCol w:w="2030"/>
        <w:gridCol w:w="2693"/>
        <w:gridCol w:w="1152"/>
        <w:gridCol w:w="1032"/>
        <w:gridCol w:w="950"/>
      </w:tblGrid>
      <w:tr>
        <w:trPr>
          <w:trHeight w:val="456" w:hRule="exact"/>
        </w:trPr>
        <w:tc>
          <w:tcPr>
            <w:gridSpan w:val="2"/>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SimSun" w:eastAsia="SimSun" w:hAnsi="SimSun" w:cs="SimSun"/>
                <w:color w:val="000000"/>
                <w:spacing w:val="0"/>
                <w:w w:val="100"/>
                <w:position w:val="0"/>
                <w:sz w:val="24"/>
                <w:szCs w:val="24"/>
              </w:rPr>
              <w:t>基准</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不利</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有利</w:t>
            </w:r>
          </w:p>
        </w:tc>
      </w:tr>
      <w:tr>
        <w:trPr>
          <w:trHeight w:val="58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国内生产总值</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2022</w:t>
            </w:r>
            <w:r>
              <w:rPr>
                <w:rFonts w:ascii="SimSun" w:eastAsia="SimSun" w:hAnsi="SimSun" w:cs="SimSun"/>
                <w:color w:val="000000"/>
                <w:spacing w:val="0"/>
                <w:w w:val="100"/>
                <w:position w:val="0"/>
                <w:sz w:val="24"/>
                <w:szCs w:val="24"/>
              </w:rPr>
              <w:t>年及以后年度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5.30%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4.60%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5.90%</w:t>
            </w:r>
          </w:p>
        </w:tc>
      </w:tr>
      <w:tr>
        <w:trPr>
          <w:trHeight w:val="43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消费者物价指数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2022</w:t>
            </w:r>
            <w:r>
              <w:rPr>
                <w:rFonts w:ascii="SimSun" w:eastAsia="SimSun" w:hAnsi="SimSun" w:cs="SimSun"/>
                <w:color w:val="000000"/>
                <w:spacing w:val="0"/>
                <w:w w:val="100"/>
                <w:position w:val="0"/>
                <w:sz w:val="24"/>
                <w:szCs w:val="24"/>
              </w:rPr>
              <w:t>年及以后年度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color w:val="000000"/>
                <w:spacing w:val="0"/>
                <w:w w:val="100"/>
                <w:position w:val="0"/>
                <w:sz w:val="24"/>
                <w:szCs w:val="24"/>
              </w:rPr>
              <w:t>2.13%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2.80%</w:t>
            </w:r>
          </w:p>
        </w:tc>
      </w:tr>
    </w:tbl>
    <w:p>
      <w:pPr>
        <w:widowControl w:val="0"/>
        <w:spacing w:after="279" w:line="1" w:lineRule="exact"/>
      </w:pPr>
    </w:p>
    <w:p>
      <w:pPr>
        <w:pStyle w:val="Style72"/>
        <w:keepNext w:val="0"/>
        <w:keepLines w:val="0"/>
        <w:widowControl w:val="0"/>
        <w:shd w:val="clear" w:color="auto" w:fill="auto"/>
        <w:bidi w:val="0"/>
        <w:spacing w:before="0" w:after="320" w:line="240" w:lineRule="auto"/>
        <w:ind w:left="0" w:right="0" w:firstLine="720"/>
        <w:jc w:val="left"/>
      </w:pPr>
      <w:r>
        <w:rPr>
          <w:rFonts w:ascii="Arial" w:eastAsia="Arial" w:hAnsi="Arial" w:cs="Arial"/>
          <w:color w:val="000000"/>
          <w:spacing w:val="0"/>
          <w:w w:val="100"/>
          <w:position w:val="0"/>
          <w:sz w:val="24"/>
          <w:szCs w:val="24"/>
        </w:rPr>
        <w:t>2020</w:t>
      </w:r>
      <w:r>
        <w:rPr>
          <w:color w:val="000000"/>
          <w:spacing w:val="0"/>
          <w:w w:val="100"/>
          <w:position w:val="0"/>
          <w:sz w:val="24"/>
          <w:szCs w:val="24"/>
        </w:rPr>
        <w:t>年度，本集团在各情景中所使用的关键宏观经济参数列示如下:</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经济情景</w:t>
      </w:r>
    </w:p>
    <w:tbl>
      <w:tblPr>
        <w:tblOverlap w:val="never"/>
        <w:jc w:val="right"/>
        <w:tblLayout w:type="fixed"/>
      </w:tblPr>
      <w:tblGrid>
        <w:gridCol w:w="2088"/>
        <w:gridCol w:w="2755"/>
        <w:gridCol w:w="1142"/>
        <w:gridCol w:w="1032"/>
        <w:gridCol w:w="888"/>
      </w:tblGrid>
      <w:tr>
        <w:trPr>
          <w:trHeight w:val="432" w:hRule="exact"/>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SimSun" w:eastAsia="SimSun" w:hAnsi="SimSun" w:cs="SimSun"/>
                <w:color w:val="000000"/>
                <w:spacing w:val="0"/>
                <w:w w:val="100"/>
                <w:position w:val="0"/>
                <w:sz w:val="24"/>
                <w:szCs w:val="24"/>
              </w:rPr>
              <w:t>基准</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不利</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有利</w:t>
            </w:r>
          </w:p>
        </w:tc>
      </w:tr>
      <w:tr>
        <w:trPr>
          <w:trHeight w:val="44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国内生产总值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 xml:space="preserve">2021 </w:t>
            </w:r>
            <w:r>
              <w:rPr>
                <w:rFonts w:ascii="SimSun" w:eastAsia="SimSun" w:hAnsi="SimSun" w:cs="SimSun"/>
                <w:color w:val="000000"/>
                <w:spacing w:val="0"/>
                <w:w w:val="100"/>
                <w:position w:val="0"/>
                <w:sz w:val="24"/>
                <w:szCs w:val="24"/>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color w:val="000000"/>
                <w:spacing w:val="0"/>
                <w:w w:val="100"/>
                <w:position w:val="0"/>
                <w:sz w:val="24"/>
                <w:szCs w:val="24"/>
              </w:rPr>
              <w:t>8.90%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24"/>
                <w:szCs w:val="24"/>
              </w:rPr>
              <w:t>7.36%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Arial" w:eastAsia="Arial" w:hAnsi="Arial" w:cs="Arial"/>
                <w:color w:val="000000"/>
                <w:spacing w:val="0"/>
                <w:w w:val="100"/>
                <w:position w:val="0"/>
                <w:sz w:val="24"/>
                <w:szCs w:val="24"/>
              </w:rPr>
              <w:t>9.70%</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2022</w:t>
            </w:r>
            <w:r>
              <w:rPr>
                <w:rFonts w:ascii="SimSun" w:eastAsia="SimSun" w:hAnsi="SimSun" w:cs="SimSun"/>
                <w:color w:val="000000"/>
                <w:spacing w:val="0"/>
                <w:w w:val="100"/>
                <w:position w:val="0"/>
                <w:sz w:val="24"/>
                <w:szCs w:val="24"/>
              </w:rPr>
              <w:t>年及以后年度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color w:val="000000"/>
                <w:spacing w:val="0"/>
                <w:w w:val="100"/>
                <w:position w:val="0"/>
                <w:sz w:val="24"/>
                <w:szCs w:val="24"/>
              </w:rPr>
              <w:t>5.50%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24"/>
                <w:szCs w:val="24"/>
              </w:rPr>
              <w:t>4.75%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Arial" w:eastAsia="Arial" w:hAnsi="Arial" w:cs="Arial"/>
                <w:color w:val="000000"/>
                <w:spacing w:val="0"/>
                <w:w w:val="100"/>
                <w:position w:val="0"/>
                <w:sz w:val="24"/>
                <w:szCs w:val="24"/>
              </w:rPr>
              <w:t>5.88%</w:t>
            </w:r>
          </w:p>
        </w:tc>
      </w:tr>
      <w:tr>
        <w:trPr>
          <w:trHeight w:val="43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消费者物价指数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年及以后年度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color w:val="000000"/>
                <w:spacing w:val="0"/>
                <w:w w:val="100"/>
                <w:position w:val="0"/>
                <w:sz w:val="24"/>
                <w:szCs w:val="24"/>
              </w:rPr>
              <w:t>1.34%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24"/>
                <w:szCs w:val="24"/>
              </w:rPr>
              <w:t>0.77%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Arial" w:eastAsia="Arial" w:hAnsi="Arial" w:cs="Arial"/>
                <w:color w:val="000000"/>
                <w:spacing w:val="0"/>
                <w:w w:val="100"/>
                <w:position w:val="0"/>
                <w:sz w:val="24"/>
                <w:szCs w:val="24"/>
              </w:rPr>
              <w:t>1.79%</w:t>
            </w:r>
          </w:p>
        </w:tc>
      </w:tr>
    </w:tbl>
    <w:p>
      <w:pPr>
        <w:pStyle w:val="Style72"/>
        <w:keepNext w:val="0"/>
        <w:keepLines w:val="0"/>
        <w:widowControl w:val="0"/>
        <w:shd w:val="clear" w:color="auto" w:fill="auto"/>
        <w:tabs>
          <w:tab w:pos="698"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rFonts w:ascii="Arial" w:eastAsia="Arial" w:hAnsi="Arial" w:cs="Arial"/>
          <w:color w:val="000000"/>
          <w:spacing w:val="0"/>
          <w:w w:val="100"/>
          <w:position w:val="0"/>
          <w:sz w:val="24"/>
          <w:szCs w:val="24"/>
        </w:rPr>
        <w:t>(29)</w:t>
      </w:r>
      <w:r>
        <w:rPr>
          <w:b/>
          <w:bCs/>
          <w:color w:val="000000"/>
          <w:spacing w:val="0"/>
          <w:w w:val="100"/>
          <w:position w:val="0"/>
          <w:sz w:val="24"/>
          <w:szCs w:val="24"/>
        </w:rPr>
        <w:t>重要会计估计和判断</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63"/>
        </w:numPr>
        <w:shd w:val="clear" w:color="auto" w:fill="auto"/>
        <w:tabs>
          <w:tab w:pos="698" w:val="left"/>
        </w:tabs>
        <w:bidi w:val="0"/>
        <w:spacing w:before="0" w:after="300" w:line="269" w:lineRule="auto"/>
        <w:ind w:left="0" w:right="0" w:firstLine="0"/>
        <w:jc w:val="left"/>
        <w:rPr>
          <w:sz w:val="28"/>
          <w:szCs w:val="28"/>
        </w:rPr>
      </w:pPr>
      <w:bookmarkStart w:id="874" w:name="bookmark874"/>
      <w:bookmarkEnd w:id="874"/>
      <w:r>
        <w:rPr>
          <w:color w:val="000000"/>
          <w:spacing w:val="0"/>
          <w:w w:val="100"/>
          <w:position w:val="0"/>
          <w:sz w:val="24"/>
          <w:szCs w:val="24"/>
        </w:rPr>
        <w:t>重要会计估计及其关键假设</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65"/>
        </w:numPr>
        <w:shd w:val="clear" w:color="auto" w:fill="auto"/>
        <w:tabs>
          <w:tab w:pos="698" w:val="left"/>
        </w:tabs>
        <w:bidi w:val="0"/>
        <w:spacing w:before="0" w:after="240" w:line="269" w:lineRule="auto"/>
        <w:ind w:left="0" w:right="0" w:firstLine="0"/>
        <w:jc w:val="left"/>
      </w:pPr>
      <w:bookmarkStart w:id="875" w:name="bookmark875"/>
      <w:bookmarkEnd w:id="875"/>
      <w:r>
        <w:rPr>
          <w:color w:val="000000"/>
          <w:spacing w:val="0"/>
          <w:w w:val="100"/>
          <w:position w:val="0"/>
          <w:sz w:val="24"/>
          <w:szCs w:val="24"/>
        </w:rPr>
        <w:t>奖励积分计划单独售价的估计</w:t>
      </w:r>
    </w:p>
    <w:p>
      <w:pPr>
        <w:pStyle w:val="Style72"/>
        <w:keepNext w:val="0"/>
        <w:keepLines w:val="0"/>
        <w:widowControl w:val="0"/>
        <w:shd w:val="clear" w:color="auto" w:fill="auto"/>
        <w:bidi w:val="0"/>
        <w:spacing w:before="0" w:line="306" w:lineRule="exact"/>
        <w:ind w:right="0" w:firstLine="0"/>
        <w:jc w:val="both"/>
      </w:pPr>
      <w:r>
        <w:rPr>
          <w:color w:val="000000"/>
          <w:spacing w:val="0"/>
          <w:w w:val="100"/>
          <w:position w:val="0"/>
          <w:sz w:val="24"/>
          <w:szCs w:val="24"/>
        </w:rPr>
        <w:t>如附注二</w:t>
      </w:r>
      <w:r>
        <w:rPr>
          <w:rFonts w:ascii="Arial" w:eastAsia="Arial" w:hAnsi="Arial" w:cs="Arial"/>
          <w:color w:val="000000"/>
          <w:spacing w:val="0"/>
          <w:w w:val="100"/>
          <w:position w:val="0"/>
          <w:sz w:val="24"/>
          <w:szCs w:val="24"/>
        </w:rPr>
        <w:t>(22)</w:t>
      </w:r>
      <w:r>
        <w:rPr>
          <w:color w:val="000000"/>
          <w:spacing w:val="0"/>
          <w:w w:val="100"/>
          <w:position w:val="0"/>
          <w:sz w:val="24"/>
          <w:szCs w:val="24"/>
        </w:rPr>
        <w:t>所述，本集团实施奖励积分计划，对于顾客因购买商品而产生 的奖励积分，根据销售商品和奖励积分各自单独售价的相对比例，将销售取 得的货款在商品销售收入与奖励积分之间进行分配。本集团根据已公布的奖 励积分使用方法和积分的预期兑付率确定其单独售价，其中，奖励积分的预 期兑付率根据本集团的历史经验，考虑奖励积分兑付情况的数理统计等因素 进行估计。于资产负债表日，本集团根据奖励积分的实际兑付情况和预期兑 付率，对合同负债的余额进行调整。</w:t>
      </w:r>
    </w:p>
    <w:p>
      <w:pPr>
        <w:pStyle w:val="Style72"/>
        <w:keepNext w:val="0"/>
        <w:keepLines w:val="0"/>
        <w:widowControl w:val="0"/>
        <w:numPr>
          <w:ilvl w:val="0"/>
          <w:numId w:val="65"/>
        </w:numPr>
        <w:shd w:val="clear" w:color="auto" w:fill="auto"/>
        <w:tabs>
          <w:tab w:pos="698" w:val="left"/>
        </w:tabs>
        <w:bidi w:val="0"/>
        <w:spacing w:before="0" w:after="240" w:line="269" w:lineRule="auto"/>
        <w:ind w:left="0" w:right="0" w:firstLine="0"/>
        <w:jc w:val="left"/>
      </w:pPr>
      <w:bookmarkStart w:id="876" w:name="bookmark876"/>
      <w:bookmarkEnd w:id="876"/>
      <w:r>
        <w:rPr>
          <w:color w:val="000000"/>
          <w:spacing w:val="0"/>
          <w:w w:val="100"/>
          <w:position w:val="0"/>
          <w:sz w:val="24"/>
          <w:szCs w:val="24"/>
        </w:rPr>
        <w:t>商誉减值准备的会计估计</w:t>
      </w:r>
    </w:p>
    <w:p>
      <w:pPr>
        <w:pStyle w:val="Style72"/>
        <w:keepNext w:val="0"/>
        <w:keepLines w:val="0"/>
        <w:widowControl w:val="0"/>
        <w:shd w:val="clear" w:color="auto" w:fill="auto"/>
        <w:bidi w:val="0"/>
        <w:spacing w:before="0" w:after="240" w:line="310" w:lineRule="exact"/>
        <w:ind w:right="0" w:firstLine="0"/>
        <w:jc w:val="both"/>
      </w:pPr>
      <w:r>
        <w:rPr>
          <w:color w:val="000000"/>
          <w:spacing w:val="0"/>
          <w:w w:val="100"/>
          <w:position w:val="0"/>
          <w:sz w:val="24"/>
          <w:szCs w:val="24"/>
        </w:rPr>
        <w:t>本集团每年对商誉进行减值测试。包含商誉的资产组或资产组组合的可收回 金额为资产组和资产组组合的公允价值减去处置费用后的净额与其预计未来 现金流量的现值两者之间的较高者，其计算需要采用会计估计</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(19))</w:t>
      </w:r>
      <w:r>
        <w:rPr>
          <w:color w:val="000000"/>
          <w:spacing w:val="0"/>
          <w:w w:val="100"/>
          <w:position w:val="0"/>
          <w:sz w:val="24"/>
          <w:szCs w:val="24"/>
        </w:rPr>
        <w:t>。</w:t>
      </w:r>
    </w:p>
    <w:p>
      <w:pPr>
        <w:pStyle w:val="Style72"/>
        <w:keepNext w:val="0"/>
        <w:keepLines w:val="0"/>
        <w:widowControl w:val="0"/>
        <w:shd w:val="clear" w:color="auto" w:fill="auto"/>
        <w:bidi w:val="0"/>
        <w:spacing w:before="0" w:after="300" w:line="298" w:lineRule="exact"/>
        <w:ind w:right="0" w:firstLine="0"/>
        <w:jc w:val="both"/>
      </w:pPr>
      <w:r>
        <w:rPr>
          <w:color w:val="000000"/>
          <w:spacing w:val="0"/>
          <w:w w:val="100"/>
          <w:position w:val="0"/>
          <w:sz w:val="24"/>
          <w:szCs w:val="24"/>
        </w:rPr>
        <w:t>本集团在进行商誉减值测试时，采用预计未来现金流量的现值确定其可收回 金额。由于新冠肺炎疫情的发展和防控存在不确定性，预计未来现金流量的 现值计算中所采用的收入增长率、预测期及稳定阶段毛利率、永续增长率及 税前折现率亦存在不确定性。</w:t>
      </w:r>
    </w:p>
    <w:p>
      <w:pPr>
        <w:pStyle w:val="Style72"/>
        <w:keepNext w:val="0"/>
        <w:keepLines w:val="0"/>
        <w:widowControl w:val="0"/>
        <w:shd w:val="clear" w:color="auto" w:fill="auto"/>
        <w:bidi w:val="0"/>
        <w:spacing w:before="0" w:after="240" w:line="314" w:lineRule="exact"/>
        <w:ind w:right="0" w:firstLine="0"/>
        <w:jc w:val="both"/>
      </w:pPr>
      <w:r>
        <w:rPr>
          <w:color w:val="000000"/>
          <w:spacing w:val="0"/>
          <w:w w:val="100"/>
          <w:position w:val="0"/>
          <w:sz w:val="24"/>
          <w:szCs w:val="24"/>
        </w:rPr>
        <w:t>如果管理层对资产组或资产组组合未来现金流量计算中采用的收入增长率进 行修订，修订后的收入增长率低于目前采用的收入增长率，本集团需对商誉 增加计提减值准备。</w:t>
      </w:r>
    </w:p>
    <w:p>
      <w:pPr>
        <w:pStyle w:val="Style72"/>
        <w:keepNext w:val="0"/>
        <w:keepLines w:val="0"/>
        <w:widowControl w:val="0"/>
        <w:shd w:val="clear" w:color="auto" w:fill="auto"/>
        <w:bidi w:val="0"/>
        <w:spacing w:before="0" w:after="240" w:line="312" w:lineRule="exact"/>
        <w:ind w:right="0" w:firstLine="0"/>
        <w:jc w:val="both"/>
      </w:pPr>
      <w:r>
        <w:rPr>
          <w:color w:val="000000"/>
          <w:spacing w:val="0"/>
          <w:w w:val="100"/>
          <w:position w:val="0"/>
          <w:sz w:val="24"/>
          <w:szCs w:val="24"/>
        </w:rPr>
        <w:t>如果管理层对资产组或资产组组合未来现金流量计算中采用的预测期和稳定 阶段毛利率进行修订，修订后的毛利率低于目前采用的毛利率，本集团需对 商誉增加计提减值准备。</w:t>
      </w:r>
    </w:p>
    <w:p>
      <w:pPr>
        <w:pStyle w:val="Style72"/>
        <w:keepNext w:val="0"/>
        <w:keepLines w:val="0"/>
        <w:widowControl w:val="0"/>
        <w:shd w:val="clear" w:color="auto" w:fill="auto"/>
        <w:bidi w:val="0"/>
        <w:spacing w:before="0" w:after="300" w:line="322" w:lineRule="exact"/>
        <w:ind w:right="0" w:firstLine="0"/>
        <w:jc w:val="both"/>
      </w:pPr>
      <w:r>
        <w:rPr>
          <w:color w:val="000000"/>
          <w:spacing w:val="0"/>
          <w:w w:val="100"/>
          <w:position w:val="0"/>
          <w:sz w:val="24"/>
          <w:szCs w:val="24"/>
        </w:rPr>
        <w:t>如果管理层对资产组或资产组组合未来现金流量计算中采用的永续增长率进 行修订，修订后的永续增长率低于目前采用的永续增长率，本集团需对商誉 增加计提减值准备。</w:t>
      </w:r>
    </w:p>
    <w:p>
      <w:pPr>
        <w:pStyle w:val="Style72"/>
        <w:keepNext w:val="0"/>
        <w:keepLines w:val="0"/>
        <w:widowControl w:val="0"/>
        <w:shd w:val="clear" w:color="auto" w:fill="auto"/>
        <w:bidi w:val="0"/>
        <w:spacing w:before="0" w:after="300" w:line="274" w:lineRule="exact"/>
        <w:ind w:right="0" w:firstLine="0"/>
        <w:jc w:val="both"/>
      </w:pPr>
      <w:r>
        <w:rPr>
          <w:color w:val="000000"/>
          <w:spacing w:val="0"/>
          <w:w w:val="100"/>
          <w:position w:val="0"/>
          <w:sz w:val="24"/>
          <w:szCs w:val="24"/>
        </w:rPr>
        <w:t>如果管理层对应用于现金流量折现的税前折现率进行重新修订，修订后的税 前折现率高于目前采用的折现率，本集团需对商誉增加计提减值准备。</w:t>
      </w:r>
    </w:p>
    <w:p>
      <w:pPr>
        <w:pStyle w:val="Style72"/>
        <w:keepNext w:val="0"/>
        <w:keepLines w:val="0"/>
        <w:widowControl w:val="0"/>
        <w:shd w:val="clear" w:color="auto" w:fill="auto"/>
        <w:tabs>
          <w:tab w:pos="706"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rFonts w:ascii="Arial" w:eastAsia="Arial" w:hAnsi="Arial" w:cs="Arial"/>
          <w:color w:val="000000"/>
          <w:spacing w:val="0"/>
          <w:w w:val="100"/>
          <w:position w:val="0"/>
          <w:sz w:val="24"/>
          <w:szCs w:val="24"/>
        </w:rPr>
        <w:t>(29)</w:t>
      </w:r>
      <w:r>
        <w:rPr>
          <w:b/>
          <w:bCs/>
          <w:color w:val="000000"/>
          <w:spacing w:val="0"/>
          <w:w w:val="100"/>
          <w:position w:val="0"/>
          <w:sz w:val="24"/>
          <w:szCs w:val="24"/>
        </w:rPr>
        <w:t>重要会计估计和判断</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67"/>
        </w:numPr>
        <w:shd w:val="clear" w:color="auto" w:fill="auto"/>
        <w:tabs>
          <w:tab w:pos="706" w:val="left"/>
        </w:tabs>
        <w:bidi w:val="0"/>
        <w:spacing w:before="0" w:after="260" w:line="271" w:lineRule="auto"/>
        <w:ind w:left="0" w:right="0" w:firstLine="0"/>
        <w:jc w:val="left"/>
        <w:rPr>
          <w:sz w:val="28"/>
          <w:szCs w:val="28"/>
        </w:rPr>
      </w:pPr>
      <w:bookmarkStart w:id="877" w:name="bookmark877"/>
      <w:bookmarkEnd w:id="877"/>
      <w:r>
        <w:rPr>
          <w:color w:val="000000"/>
          <w:spacing w:val="0"/>
          <w:w w:val="100"/>
          <w:position w:val="0"/>
          <w:sz w:val="24"/>
          <w:szCs w:val="24"/>
        </w:rPr>
        <w:t>重要会计估计及其关键假设</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69"/>
        </w:numPr>
        <w:shd w:val="clear" w:color="auto" w:fill="auto"/>
        <w:tabs>
          <w:tab w:pos="706" w:val="left"/>
        </w:tabs>
        <w:bidi w:val="0"/>
        <w:spacing w:before="0" w:after="260" w:line="271" w:lineRule="auto"/>
        <w:ind w:left="0" w:right="0" w:firstLine="0"/>
        <w:jc w:val="left"/>
        <w:rPr>
          <w:sz w:val="28"/>
          <w:szCs w:val="28"/>
        </w:rPr>
      </w:pPr>
      <w:bookmarkStart w:id="878" w:name="bookmark878"/>
      <w:bookmarkEnd w:id="878"/>
      <w:r>
        <w:rPr>
          <w:color w:val="000000"/>
          <w:spacing w:val="0"/>
          <w:w w:val="100"/>
          <w:position w:val="0"/>
          <w:sz w:val="24"/>
          <w:szCs w:val="24"/>
        </w:rPr>
        <w:t>商誉减值准备的会计估计</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98" w:lineRule="exact"/>
        <w:ind w:right="0" w:firstLine="0"/>
        <w:jc w:val="both"/>
      </w:pPr>
      <w:r>
        <w:rPr>
          <w:color w:val="000000"/>
          <w:spacing w:val="0"/>
          <w:w w:val="100"/>
          <w:position w:val="0"/>
          <w:sz w:val="24"/>
          <w:szCs w:val="24"/>
        </w:rPr>
        <w:t>如果实际增长率和毛利率高于或实际税前折现率低于管理层的估计，本集团 不能转回原已计提的商誉减值损失。</w:t>
      </w:r>
    </w:p>
    <w:p>
      <w:pPr>
        <w:pStyle w:val="Style72"/>
        <w:keepNext w:val="0"/>
        <w:keepLines w:val="0"/>
        <w:widowControl w:val="0"/>
        <w:numPr>
          <w:ilvl w:val="0"/>
          <w:numId w:val="69"/>
        </w:numPr>
        <w:shd w:val="clear" w:color="auto" w:fill="auto"/>
        <w:tabs>
          <w:tab w:pos="706" w:val="left"/>
        </w:tabs>
        <w:bidi w:val="0"/>
        <w:spacing w:before="0" w:after="260" w:line="312" w:lineRule="exact"/>
        <w:ind w:left="0" w:right="0" w:firstLine="0"/>
        <w:jc w:val="left"/>
        <w:rPr>
          <w:sz w:val="28"/>
          <w:szCs w:val="28"/>
        </w:rPr>
      </w:pPr>
      <w:bookmarkStart w:id="879" w:name="bookmark879"/>
      <w:bookmarkEnd w:id="879"/>
      <w:r>
        <w:rPr>
          <w:color w:val="000000"/>
          <w:spacing w:val="0"/>
          <w:w w:val="100"/>
          <w:position w:val="0"/>
          <w:sz w:val="24"/>
          <w:szCs w:val="24"/>
        </w:rPr>
        <w:t>除金融资产之外的非流动资产减值</w:t>
      </w:r>
      <w:r>
        <w:rPr>
          <w:rFonts w:ascii="Arial" w:eastAsia="Arial" w:hAnsi="Arial" w:cs="Arial"/>
          <w:color w:val="000000"/>
          <w:spacing w:val="0"/>
          <w:w w:val="100"/>
          <w:position w:val="0"/>
          <w:sz w:val="24"/>
          <w:szCs w:val="24"/>
        </w:rPr>
        <w:t>(</w:t>
      </w:r>
      <w:r>
        <w:rPr>
          <w:color w:val="000000"/>
          <w:spacing w:val="0"/>
          <w:w w:val="100"/>
          <w:position w:val="0"/>
          <w:sz w:val="24"/>
          <w:szCs w:val="24"/>
        </w:rPr>
        <w:t>除商誉外</w:t>
      </w:r>
      <w:r>
        <w:rPr>
          <w:color w:val="000000"/>
          <w:spacing w:val="0"/>
          <w:w w:val="100"/>
          <w:position w:val="0"/>
          <w:sz w:val="28"/>
          <w:szCs w:val="28"/>
        </w:rPr>
        <w:t>)</w:t>
      </w:r>
    </w:p>
    <w:p>
      <w:pPr>
        <w:pStyle w:val="Style72"/>
        <w:keepNext w:val="0"/>
        <w:keepLines w:val="0"/>
        <w:widowControl w:val="0"/>
        <w:shd w:val="clear" w:color="auto" w:fill="auto"/>
        <w:bidi w:val="0"/>
        <w:spacing w:before="0" w:after="300" w:line="311" w:lineRule="exact"/>
        <w:ind w:right="0" w:firstLine="0"/>
        <w:jc w:val="both"/>
      </w:pPr>
      <w:r>
        <w:rPr>
          <w:color w:val="000000"/>
          <w:spacing w:val="0"/>
          <w:w w:val="100"/>
          <w:position w:val="0"/>
          <w:sz w:val="24"/>
          <w:szCs w:val="24"/>
        </w:rPr>
        <w:t>本集团于资产负债表日对除金融资产之外的非流动资产判断是否存在减值迹 象。对使用寿命不确定和未达到预计可使用状态的无形资产，每年均进行减 值测试。其他除金融资产之外的非流动资产，当存在减值迹象时，进行减值 测试。当资产或资产组的账面价值高于可收回金额，即公允价值减去处置费 用后的净额和预计未来现金流量的现值中的较高者，表明发生了减值。管理 层采用现金流量折现的方法确定相应资产组可收回金额，在编制未来现金流 量现值时所采用的关键假设包括收入增长率、预测期毛利率及折现率。</w:t>
      </w:r>
    </w:p>
    <w:p>
      <w:pPr>
        <w:pStyle w:val="Style72"/>
        <w:keepNext w:val="0"/>
        <w:keepLines w:val="0"/>
        <w:widowControl w:val="0"/>
        <w:numPr>
          <w:ilvl w:val="0"/>
          <w:numId w:val="69"/>
        </w:numPr>
        <w:shd w:val="clear" w:color="auto" w:fill="auto"/>
        <w:tabs>
          <w:tab w:pos="706" w:val="left"/>
        </w:tabs>
        <w:bidi w:val="0"/>
        <w:spacing w:before="0" w:after="260" w:line="271" w:lineRule="auto"/>
        <w:ind w:left="0" w:right="0" w:firstLine="0"/>
        <w:jc w:val="left"/>
      </w:pPr>
      <w:bookmarkStart w:id="880" w:name="bookmark880"/>
      <w:bookmarkEnd w:id="880"/>
      <w:r>
        <w:rPr>
          <w:color w:val="000000"/>
          <w:spacing w:val="0"/>
          <w:w w:val="100"/>
          <w:position w:val="0"/>
          <w:sz w:val="24"/>
          <w:szCs w:val="24"/>
        </w:rPr>
        <w:t>所得税和递延所得税</w:t>
      </w:r>
    </w:p>
    <w:p>
      <w:pPr>
        <w:pStyle w:val="Style72"/>
        <w:keepNext w:val="0"/>
        <w:keepLines w:val="0"/>
        <w:widowControl w:val="0"/>
        <w:shd w:val="clear" w:color="auto" w:fill="auto"/>
        <w:bidi w:val="0"/>
        <w:spacing w:before="0" w:after="260" w:line="313" w:lineRule="exact"/>
        <w:ind w:right="0" w:firstLine="0"/>
        <w:jc w:val="both"/>
      </w:pPr>
      <w:r>
        <w:rPr>
          <w:color w:val="000000"/>
          <w:spacing w:val="0"/>
          <w:w w:val="100"/>
          <w:position w:val="0"/>
          <w:sz w:val="24"/>
          <w:szCs w:val="24"/>
        </w:rPr>
        <w:t>本集团在多个地区缴纳企业所得税。在正常的经营活动中，部分交易和事项 的最终税务处理存在不确定性。在计提各个地区的所得税费用时，本集团需 要作出重大判断。如果这些税务事项的最终认定结果与最初入账的金额存在 差异，该差异将对作出上述最终认定期间的所得税费用和递延所得税的金额 产生影响。</w:t>
      </w:r>
    </w:p>
    <w:p>
      <w:pPr>
        <w:pStyle w:val="Style72"/>
        <w:keepNext w:val="0"/>
        <w:keepLines w:val="0"/>
        <w:widowControl w:val="0"/>
        <w:shd w:val="clear" w:color="auto" w:fill="auto"/>
        <w:bidi w:val="0"/>
        <w:spacing w:before="0" w:after="0" w:line="312" w:lineRule="exact"/>
        <w:ind w:right="0" w:firstLine="0"/>
        <w:jc w:val="both"/>
      </w:pPr>
      <w:r>
        <w:rPr>
          <w:color w:val="000000"/>
          <w:spacing w:val="0"/>
          <w:w w:val="100"/>
          <w:position w:val="0"/>
          <w:sz w:val="24"/>
          <w:szCs w:val="24"/>
        </w:rPr>
        <w:t>如附注三</w:t>
      </w:r>
      <w:r>
        <w:rPr>
          <w:rFonts w:ascii="Arial" w:eastAsia="Arial" w:hAnsi="Arial" w:cs="Arial"/>
          <w:color w:val="000000"/>
          <w:spacing w:val="0"/>
          <w:w w:val="100"/>
          <w:position w:val="0"/>
          <w:sz w:val="24"/>
          <w:szCs w:val="24"/>
        </w:rPr>
        <w:t>(1)</w:t>
      </w:r>
      <w:r>
        <w:rPr>
          <w:color w:val="000000"/>
          <w:spacing w:val="0"/>
          <w:w w:val="100"/>
          <w:position w:val="0"/>
          <w:sz w:val="24"/>
          <w:szCs w:val="24"/>
        </w:rPr>
        <w:t>所述，本集团部分子公司为高新技术企业。高新技术企业资质的 有效期为三年，到期后需向相关政府部门重新提交高新技术企业认定申请。</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根据以往年度高新技术企业到期后重新认定的历史经验以及该等子公司的实 际情况，本集团认为该等子公司于未来年度能够持续取得高新技术企业认定， 进而按照</w:t>
      </w:r>
      <w:r>
        <w:rPr>
          <w:rFonts w:ascii="Arial" w:eastAsia="Arial" w:hAnsi="Arial" w:cs="Arial"/>
          <w:color w:val="000000"/>
          <w:spacing w:val="0"/>
          <w:w w:val="100"/>
          <w:position w:val="0"/>
          <w:sz w:val="24"/>
          <w:szCs w:val="24"/>
        </w:rPr>
        <w:t>15%</w:t>
      </w:r>
      <w:r>
        <w:rPr>
          <w:color w:val="000000"/>
          <w:spacing w:val="0"/>
          <w:w w:val="100"/>
          <w:position w:val="0"/>
          <w:sz w:val="24"/>
          <w:szCs w:val="24"/>
        </w:rPr>
        <w:t>的优惠税率计算其相应的递延所得税。倘若未来部分子公司于 高新技术企业资质到期后未能取得重新认定，则需按照</w:t>
      </w:r>
      <w:r>
        <w:rPr>
          <w:rFonts w:ascii="Arial" w:eastAsia="Arial" w:hAnsi="Arial" w:cs="Arial"/>
          <w:color w:val="000000"/>
          <w:spacing w:val="0"/>
          <w:w w:val="100"/>
          <w:position w:val="0"/>
          <w:sz w:val="24"/>
          <w:szCs w:val="24"/>
        </w:rPr>
        <w:t>25%</w:t>
      </w:r>
      <w:r>
        <w:rPr>
          <w:color w:val="000000"/>
          <w:spacing w:val="0"/>
          <w:w w:val="100"/>
          <w:position w:val="0"/>
          <w:sz w:val="24"/>
          <w:szCs w:val="24"/>
        </w:rPr>
        <w:t>的法定税率计算 所得税，进而将影响已确认的递延所得税资产、递延所得税负债及所得税费 用。</w:t>
      </w:r>
    </w:p>
    <w:p>
      <w:pPr>
        <w:pStyle w:val="Style72"/>
        <w:keepNext w:val="0"/>
        <w:keepLines w:val="0"/>
        <w:widowControl w:val="0"/>
        <w:shd w:val="clear" w:color="auto" w:fill="auto"/>
        <w:tabs>
          <w:tab w:pos="708"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8" w:val="left"/>
        </w:tabs>
        <w:bidi w:val="0"/>
        <w:spacing w:before="0" w:after="300" w:line="240" w:lineRule="auto"/>
        <w:ind w:left="0" w:right="0" w:firstLine="0"/>
        <w:jc w:val="left"/>
        <w:rPr>
          <w:sz w:val="28"/>
          <w:szCs w:val="28"/>
        </w:rPr>
      </w:pPr>
      <w:bookmarkStart w:id="881" w:name="bookmark881"/>
      <w:r>
        <w:rPr>
          <w:rFonts w:ascii="Arial" w:eastAsia="Arial" w:hAnsi="Arial" w:cs="Arial"/>
          <w:color w:val="000000"/>
          <w:spacing w:val="0"/>
          <w:w w:val="100"/>
          <w:position w:val="0"/>
          <w:sz w:val="24"/>
          <w:szCs w:val="24"/>
        </w:rPr>
        <w:t>（</w:t>
      </w:r>
      <w:bookmarkEnd w:id="881"/>
      <w:r>
        <w:rPr>
          <w:rFonts w:ascii="Arial" w:eastAsia="Arial" w:hAnsi="Arial" w:cs="Arial"/>
          <w:color w:val="000000"/>
          <w:spacing w:val="0"/>
          <w:w w:val="100"/>
          <w:position w:val="0"/>
          <w:sz w:val="24"/>
          <w:szCs w:val="24"/>
        </w:rPr>
        <w:t>29）</w:t>
        <w:tab/>
      </w:r>
      <w:r>
        <w:rPr>
          <w:b/>
          <w:bCs/>
          <w:color w:val="000000"/>
          <w:spacing w:val="0"/>
          <w:w w:val="100"/>
          <w:position w:val="0"/>
          <w:sz w:val="24"/>
          <w:szCs w:val="24"/>
        </w:rPr>
        <w:t>重要会计估计和判断</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8" w:val="left"/>
        </w:tabs>
        <w:bidi w:val="0"/>
        <w:spacing w:before="0" w:after="240" w:line="271" w:lineRule="auto"/>
        <w:ind w:left="0" w:right="0" w:firstLine="0"/>
        <w:jc w:val="left"/>
        <w:rPr>
          <w:sz w:val="28"/>
          <w:szCs w:val="28"/>
        </w:rPr>
      </w:pPr>
      <w:bookmarkStart w:id="882" w:name="bookmark882"/>
      <w:r>
        <w:rPr>
          <w:rFonts w:ascii="Arial" w:eastAsia="Arial" w:hAnsi="Arial" w:cs="Arial"/>
          <w:color w:val="000000"/>
          <w:spacing w:val="0"/>
          <w:w w:val="100"/>
          <w:position w:val="0"/>
          <w:sz w:val="24"/>
          <w:szCs w:val="24"/>
        </w:rPr>
        <w:t>（</w:t>
      </w:r>
      <w:bookmarkEnd w:id="882"/>
      <w:r>
        <w:rPr>
          <w:rFonts w:ascii="Arial" w:eastAsia="Arial" w:hAnsi="Arial" w:cs="Arial"/>
          <w:color w:val="000000"/>
          <w:spacing w:val="0"/>
          <w:w w:val="100"/>
          <w:position w:val="0"/>
          <w:sz w:val="24"/>
          <w:szCs w:val="24"/>
        </w:rPr>
        <w:t>b）</w:t>
        <w:tab/>
      </w:r>
      <w:r>
        <w:rPr>
          <w:color w:val="000000"/>
          <w:spacing w:val="0"/>
          <w:w w:val="100"/>
          <w:position w:val="0"/>
          <w:sz w:val="24"/>
          <w:szCs w:val="24"/>
        </w:rPr>
        <w:t>重要会计估计及其关键假设</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8" w:val="left"/>
        </w:tabs>
        <w:bidi w:val="0"/>
        <w:spacing w:before="0" w:after="240" w:line="271" w:lineRule="auto"/>
        <w:ind w:left="0" w:right="0" w:firstLine="0"/>
        <w:jc w:val="left"/>
        <w:rPr>
          <w:sz w:val="28"/>
          <w:szCs w:val="28"/>
        </w:rPr>
      </w:pPr>
      <w:bookmarkStart w:id="883" w:name="bookmark883"/>
      <w:r>
        <w:rPr>
          <w:rFonts w:ascii="Arial" w:eastAsia="Arial" w:hAnsi="Arial" w:cs="Arial"/>
          <w:color w:val="000000"/>
          <w:spacing w:val="0"/>
          <w:w w:val="100"/>
          <w:position w:val="0"/>
          <w:sz w:val="24"/>
          <w:szCs w:val="24"/>
        </w:rPr>
        <w:t>（</w:t>
      </w:r>
      <w:bookmarkEnd w:id="883"/>
      <w:r>
        <w:rPr>
          <w:rFonts w:ascii="Arial" w:eastAsia="Arial" w:hAnsi="Arial" w:cs="Arial"/>
          <w:color w:val="000000"/>
          <w:spacing w:val="0"/>
          <w:w w:val="100"/>
          <w:position w:val="0"/>
          <w:sz w:val="24"/>
          <w:szCs w:val="24"/>
        </w:rPr>
        <w:t>v）</w:t>
        <w:tab/>
      </w:r>
      <w:r>
        <w:rPr>
          <w:color w:val="000000"/>
          <w:spacing w:val="0"/>
          <w:w w:val="100"/>
          <w:position w:val="0"/>
          <w:sz w:val="24"/>
          <w:szCs w:val="24"/>
        </w:rPr>
        <w:t>所得税和递延所得税</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311" w:lineRule="exact"/>
        <w:ind w:right="0" w:firstLine="0"/>
        <w:jc w:val="both"/>
      </w:pPr>
      <w:r>
        <w:rPr>
          <w:color w:val="000000"/>
          <w:spacing w:val="0"/>
          <w:w w:val="100"/>
          <w:position w:val="0"/>
          <w:sz w:val="24"/>
          <w:szCs w:val="24"/>
        </w:rPr>
        <w:t>对于可抵扣暂时性差异和能够结转以后年度的可抵扣亏损，本集团以未来期 间很可能获得用来抵扣暂时性差异和可抵扣亏损的应纳税所得额为限，确认 相应的递延所得税资产。未来期间取得的应纳税所得额包括本集团通过正常 的生产经营活动能够实现的应纳税所得额，以及以前期间产生的应纳税暂时 性差异在未来期间转回时将增加的应纳税所得额。本集团在确定未来期间应 纳税所得额取得的时间和金额时，需要运用估计和判断。如果实际情况与估 计存在差异，可能导致对递延所得税资产的账面价值进行调整。以盈利预测 为基础预计未来应纳税所得额的过程中采用的关键假设主要包括收入增长率 和毛利率。</w:t>
      </w:r>
    </w:p>
    <w:p>
      <w:pPr>
        <w:pStyle w:val="Style72"/>
        <w:keepNext w:val="0"/>
        <w:keepLines w:val="0"/>
        <w:widowControl w:val="0"/>
        <w:shd w:val="clear" w:color="auto" w:fill="auto"/>
        <w:tabs>
          <w:tab w:pos="708" w:val="left"/>
        </w:tabs>
        <w:bidi w:val="0"/>
        <w:spacing w:before="0" w:after="240" w:line="271" w:lineRule="auto"/>
        <w:ind w:left="0" w:right="0" w:firstLine="0"/>
        <w:jc w:val="left"/>
      </w:pPr>
      <w:bookmarkStart w:id="884" w:name="bookmark884"/>
      <w:r>
        <w:rPr>
          <w:rFonts w:ascii="Arial" w:eastAsia="Arial" w:hAnsi="Arial" w:cs="Arial"/>
          <w:color w:val="000000"/>
          <w:spacing w:val="0"/>
          <w:w w:val="100"/>
          <w:position w:val="0"/>
          <w:sz w:val="24"/>
          <w:szCs w:val="24"/>
        </w:rPr>
        <w:t>（</w:t>
      </w:r>
      <w:bookmarkEnd w:id="884"/>
      <w:r>
        <w:rPr>
          <w:rFonts w:ascii="Arial" w:eastAsia="Arial" w:hAnsi="Arial" w:cs="Arial"/>
          <w:color w:val="000000"/>
          <w:spacing w:val="0"/>
          <w:w w:val="100"/>
          <w:position w:val="0"/>
          <w:sz w:val="24"/>
          <w:szCs w:val="24"/>
        </w:rPr>
        <w:t>vi）</w:t>
        <w:tab/>
      </w:r>
      <w:r>
        <w:rPr>
          <w:color w:val="000000"/>
          <w:spacing w:val="0"/>
          <w:w w:val="100"/>
          <w:position w:val="0"/>
          <w:sz w:val="24"/>
          <w:szCs w:val="24"/>
        </w:rPr>
        <w:t>金融工具的公允价值</w:t>
      </w:r>
    </w:p>
    <w:p>
      <w:pPr>
        <w:pStyle w:val="Style72"/>
        <w:keepNext w:val="0"/>
        <w:keepLines w:val="0"/>
        <w:widowControl w:val="0"/>
        <w:shd w:val="clear" w:color="auto" w:fill="auto"/>
        <w:bidi w:val="0"/>
        <w:spacing w:before="0" w:after="300" w:line="313" w:lineRule="exact"/>
        <w:ind w:right="0" w:firstLine="0"/>
        <w:jc w:val="both"/>
      </w:pPr>
      <w:r>
        <w:rPr>
          <w:color w:val="000000"/>
          <w:spacing w:val="0"/>
          <w:w w:val="100"/>
          <w:position w:val="0"/>
          <w:sz w:val="24"/>
          <w:szCs w:val="24"/>
        </w:rPr>
        <w:t>对于缺乏活跃市场的金融工具，本集团运用估值技术确定其公允价值。估值 技术包括参照在市场中具有完全信息且有买卖意愿的经济主体之间进行公平 交易时确定的交易价格，参考市场上另一类似金融工具的公允价值，或运用 现金流量折现分析及期权定价模型进行估算。估值技术在最大程度上利用市 场信息，然而，当市场信息无法获得时，本集团使用经校准的假设尽可能接 近市场可观察的数据。管理层将对本集团及交易对手的信用风险、市场波动 及相关性等作出估计。这些相关假设的变化将影响金融工具的公允价值。</w:t>
      </w:r>
    </w:p>
    <w:p>
      <w:pPr>
        <w:pStyle w:val="Style72"/>
        <w:keepNext w:val="0"/>
        <w:keepLines w:val="0"/>
        <w:widowControl w:val="0"/>
        <w:shd w:val="clear" w:color="auto" w:fill="auto"/>
        <w:tabs>
          <w:tab w:pos="708" w:val="left"/>
        </w:tabs>
        <w:bidi w:val="0"/>
        <w:spacing w:before="0" w:after="240" w:line="240" w:lineRule="auto"/>
        <w:ind w:left="0" w:right="0" w:firstLine="0"/>
        <w:jc w:val="left"/>
      </w:pPr>
      <w:bookmarkStart w:id="885" w:name="bookmark885"/>
      <w:r>
        <w:rPr>
          <w:rFonts w:ascii="Arial" w:eastAsia="Arial" w:hAnsi="Arial" w:cs="Arial"/>
          <w:color w:val="000000"/>
          <w:spacing w:val="0"/>
          <w:w w:val="100"/>
          <w:position w:val="0"/>
          <w:sz w:val="24"/>
          <w:szCs w:val="24"/>
        </w:rPr>
        <w:t>（</w:t>
      </w:r>
      <w:bookmarkEnd w:id="885"/>
      <w:r>
        <w:rPr>
          <w:rFonts w:ascii="Arial" w:eastAsia="Arial" w:hAnsi="Arial" w:cs="Arial"/>
          <w:color w:val="000000"/>
          <w:spacing w:val="0"/>
          <w:w w:val="100"/>
          <w:position w:val="0"/>
          <w:sz w:val="24"/>
          <w:szCs w:val="24"/>
        </w:rPr>
        <w:t>30）</w:t>
        <w:tab/>
      </w:r>
      <w:r>
        <w:rPr>
          <w:b/>
          <w:bCs/>
          <w:color w:val="000000"/>
          <w:spacing w:val="0"/>
          <w:w w:val="100"/>
          <w:position w:val="0"/>
          <w:sz w:val="24"/>
          <w:szCs w:val="24"/>
        </w:rPr>
        <w:t>重要会计政策变更</w:t>
      </w:r>
    </w:p>
    <w:p>
      <w:pPr>
        <w:pStyle w:val="Style72"/>
        <w:keepNext w:val="0"/>
        <w:keepLines w:val="0"/>
        <w:widowControl w:val="0"/>
        <w:shd w:val="clear" w:color="auto" w:fill="auto"/>
        <w:bidi w:val="0"/>
        <w:spacing w:before="0" w:after="280" w:line="315" w:lineRule="exact"/>
        <w:ind w:right="0" w:firstLine="0"/>
        <w:jc w:val="both"/>
        <w:sectPr>
          <w:footnotePr>
            <w:pos w:val="pageBottom"/>
            <w:numFmt w:val="decimal"/>
            <w:numStart w:val="1"/>
            <w:numRestart w:val="continuous"/>
            <w15:footnoteColumns w:val="1"/>
          </w:footnotePr>
          <w:pgSz w:w="11900" w:h="16840"/>
          <w:pgMar w:top="2338" w:right="1350" w:bottom="2189" w:left="1661" w:header="0" w:footer="3" w:gutter="0"/>
          <w:cols w:space="720"/>
          <w:noEndnote/>
          <w:rtlGutter w:val="0"/>
          <w:docGrid w:linePitch="360"/>
        </w:sectPr>
      </w:pPr>
      <w:r>
        <w:rPr>
          <w:color w:val="000000"/>
          <w:spacing w:val="0"/>
          <w:w w:val="100"/>
          <w:position w:val="0"/>
          <w:sz w:val="24"/>
          <w:szCs w:val="24"/>
        </w:rPr>
        <w:t>财政部于</w:t>
      </w:r>
      <w:r>
        <w:rPr>
          <w:rFonts w:ascii="Arial" w:eastAsia="Arial" w:hAnsi="Arial" w:cs="Arial"/>
          <w:color w:val="000000"/>
          <w:spacing w:val="0"/>
          <w:w w:val="100"/>
          <w:position w:val="0"/>
          <w:sz w:val="24"/>
          <w:szCs w:val="24"/>
        </w:rPr>
        <w:t>2018</w:t>
      </w:r>
      <w:r>
        <w:rPr>
          <w:color w:val="000000"/>
          <w:spacing w:val="0"/>
          <w:w w:val="100"/>
          <w:position w:val="0"/>
          <w:sz w:val="24"/>
          <w:szCs w:val="24"/>
        </w:rPr>
        <w:t>年颁布了修订后的《企业会计准则第</w:t>
      </w:r>
      <w:r>
        <w:rPr>
          <w:rFonts w:ascii="Arial" w:eastAsia="Arial" w:hAnsi="Arial" w:cs="Arial"/>
          <w:color w:val="000000"/>
          <w:spacing w:val="0"/>
          <w:w w:val="100"/>
          <w:position w:val="0"/>
          <w:sz w:val="24"/>
          <w:szCs w:val="24"/>
        </w:rPr>
        <w:t>21</w:t>
      </w:r>
      <w:r>
        <w:rPr>
          <w:color w:val="000000"/>
          <w:spacing w:val="0"/>
          <w:w w:val="100"/>
          <w:position w:val="0"/>
          <w:sz w:val="24"/>
          <w:szCs w:val="24"/>
        </w:rPr>
        <w:t>号——租赁》</w:t>
      </w:r>
      <w:r>
        <w:rPr>
          <w:color w:val="000000"/>
          <w:spacing w:val="0"/>
          <w:w w:val="100"/>
          <w:position w:val="0"/>
          <w:sz w:val="28"/>
          <w:szCs w:val="28"/>
        </w:rPr>
        <w:t>（</w:t>
      </w:r>
      <w:r>
        <w:rPr>
          <w:color w:val="000000"/>
          <w:spacing w:val="0"/>
          <w:w w:val="100"/>
          <w:position w:val="0"/>
          <w:sz w:val="24"/>
          <w:szCs w:val="24"/>
        </w:rPr>
        <w:t>以下简 称</w:t>
      </w:r>
      <w:r>
        <w:rPr>
          <w:rFonts w:ascii="Arial" w:eastAsia="Arial" w:hAnsi="Arial" w:cs="Arial"/>
          <w:color w:val="000000"/>
          <w:spacing w:val="0"/>
          <w:w w:val="100"/>
          <w:position w:val="0"/>
          <w:sz w:val="24"/>
          <w:szCs w:val="24"/>
        </w:rPr>
        <w:t>“</w:t>
      </w:r>
      <w:r>
        <w:rPr>
          <w:color w:val="000000"/>
          <w:spacing w:val="0"/>
          <w:w w:val="100"/>
          <w:position w:val="0"/>
          <w:sz w:val="24"/>
          <w:szCs w:val="24"/>
        </w:rPr>
        <w:t>新租赁准则</w:t>
      </w:r>
      <w:r>
        <w:rPr>
          <w:rFonts w:ascii="Arial" w:eastAsia="Arial" w:hAnsi="Arial" w:cs="Arial"/>
          <w:color w:val="000000"/>
          <w:spacing w:val="0"/>
          <w:w w:val="100"/>
          <w:position w:val="0"/>
          <w:sz w:val="24"/>
          <w:szCs w:val="24"/>
        </w:rPr>
        <w:t>”）</w:t>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年颁布了《关于调整</w:t>
      </w:r>
      <w:r>
        <w:rPr>
          <w:rFonts w:ascii="Arial" w:eastAsia="Arial" w:hAnsi="Arial" w:cs="Arial"/>
          <w:color w:val="000000"/>
          <w:spacing w:val="0"/>
          <w:w w:val="100"/>
          <w:position w:val="0"/>
          <w:sz w:val="24"/>
          <w:szCs w:val="24"/>
        </w:rPr>
        <w:t>＜</w:t>
      </w:r>
      <w:r>
        <w:rPr>
          <w:color w:val="000000"/>
          <w:spacing w:val="0"/>
          <w:w w:val="100"/>
          <w:position w:val="0"/>
          <w:sz w:val="24"/>
          <w:szCs w:val="24"/>
        </w:rPr>
        <w:t>新冠肺炎疫情相关租金减让 会计处理规定</w:t>
      </w:r>
      <w:r>
        <w:rPr>
          <w:color w:val="000000"/>
          <w:spacing w:val="0"/>
          <w:w w:val="100"/>
          <w:position w:val="0"/>
          <w:sz w:val="28"/>
          <w:szCs w:val="28"/>
        </w:rPr>
        <w:t>〉</w:t>
      </w:r>
      <w:r>
        <w:rPr>
          <w:color w:val="000000"/>
          <w:spacing w:val="0"/>
          <w:w w:val="100"/>
          <w:position w:val="0"/>
          <w:sz w:val="24"/>
          <w:szCs w:val="24"/>
        </w:rPr>
        <w:t>适用范围的通知》</w:t>
      </w:r>
      <w:r>
        <w:rPr>
          <w:color w:val="000000"/>
          <w:spacing w:val="0"/>
          <w:w w:val="100"/>
          <w:position w:val="0"/>
          <w:sz w:val="28"/>
          <w:szCs w:val="28"/>
        </w:rPr>
        <w:t>（</w:t>
      </w:r>
      <w:r>
        <w:rPr>
          <w:color w:val="000000"/>
          <w:spacing w:val="0"/>
          <w:w w:val="100"/>
          <w:position w:val="0"/>
          <w:sz w:val="24"/>
          <w:szCs w:val="24"/>
        </w:rPr>
        <w:t>财会</w:t>
      </w:r>
      <w:r>
        <w:rPr>
          <w:rFonts w:ascii="Arial" w:eastAsia="Arial" w:hAnsi="Arial" w:cs="Arial"/>
          <w:color w:val="000000"/>
          <w:spacing w:val="0"/>
          <w:w w:val="100"/>
          <w:position w:val="0"/>
          <w:sz w:val="24"/>
          <w:szCs w:val="24"/>
        </w:rPr>
        <w:t xml:space="preserve">[2021] </w:t>
      </w:r>
      <w:r>
        <w:rPr>
          <w:rFonts w:ascii="Arial" w:eastAsia="Arial" w:hAnsi="Arial" w:cs="Arial"/>
          <w:color w:val="000000"/>
          <w:spacing w:val="0"/>
          <w:w w:val="100"/>
          <w:position w:val="0"/>
          <w:sz w:val="24"/>
          <w:szCs w:val="24"/>
        </w:rPr>
        <w:t>9</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、《关于印发</w:t>
      </w:r>
      <w:r>
        <w:rPr>
          <w:color w:val="000000"/>
          <w:spacing w:val="0"/>
          <w:w w:val="100"/>
          <w:position w:val="0"/>
          <w:sz w:val="28"/>
          <w:szCs w:val="28"/>
        </w:rPr>
        <w:t>〈</w:t>
      </w:r>
      <w:r>
        <w:rPr>
          <w:color w:val="000000"/>
          <w:spacing w:val="0"/>
          <w:w w:val="100"/>
          <w:position w:val="0"/>
          <w:sz w:val="24"/>
          <w:szCs w:val="24"/>
        </w:rPr>
        <w:t>企业会计准 则解释第</w:t>
      </w:r>
      <w:r>
        <w:rPr>
          <w:rFonts w:ascii="Arial" w:eastAsia="Arial" w:hAnsi="Arial" w:cs="Arial"/>
          <w:color w:val="000000"/>
          <w:spacing w:val="0"/>
          <w:w w:val="100"/>
          <w:position w:val="0"/>
          <w:sz w:val="24"/>
          <w:szCs w:val="24"/>
        </w:rPr>
        <w:t>14</w:t>
      </w:r>
      <w:r>
        <w:rPr>
          <w:color w:val="000000"/>
          <w:spacing w:val="0"/>
          <w:w w:val="100"/>
          <w:position w:val="0"/>
          <w:sz w:val="24"/>
          <w:szCs w:val="24"/>
        </w:rPr>
        <w:t>号</w:t>
      </w:r>
      <w:r>
        <w:rPr>
          <w:color w:val="000000"/>
          <w:spacing w:val="0"/>
          <w:w w:val="100"/>
          <w:position w:val="0"/>
          <w:sz w:val="28"/>
          <w:szCs w:val="28"/>
        </w:rPr>
        <w:t>〉</w:t>
      </w:r>
      <w:r>
        <w:rPr>
          <w:color w:val="000000"/>
          <w:spacing w:val="0"/>
          <w:w w:val="100"/>
          <w:position w:val="0"/>
          <w:sz w:val="24"/>
          <w:szCs w:val="24"/>
        </w:rPr>
        <w:t>的通知》</w:t>
      </w:r>
      <w:r>
        <w:rPr>
          <w:color w:val="000000"/>
          <w:spacing w:val="0"/>
          <w:w w:val="100"/>
          <w:position w:val="0"/>
          <w:sz w:val="28"/>
          <w:szCs w:val="28"/>
        </w:rPr>
        <w:t>（</w:t>
      </w:r>
      <w:r>
        <w:rPr>
          <w:color w:val="000000"/>
          <w:spacing w:val="0"/>
          <w:w w:val="100"/>
          <w:position w:val="0"/>
          <w:sz w:val="24"/>
          <w:szCs w:val="24"/>
        </w:rPr>
        <w:t>财会</w:t>
      </w:r>
      <w:r>
        <w:rPr>
          <w:rFonts w:ascii="Arial" w:eastAsia="Arial" w:hAnsi="Arial" w:cs="Arial"/>
          <w:color w:val="000000"/>
          <w:spacing w:val="0"/>
          <w:w w:val="100"/>
          <w:position w:val="0"/>
          <w:sz w:val="24"/>
          <w:szCs w:val="24"/>
        </w:rPr>
        <w:t xml:space="preserve">[2021] </w:t>
      </w:r>
      <w:r>
        <w:rPr>
          <w:rFonts w:ascii="Arial" w:eastAsia="Arial" w:hAnsi="Arial" w:cs="Arial"/>
          <w:color w:val="000000"/>
          <w:spacing w:val="0"/>
          <w:w w:val="100"/>
          <w:position w:val="0"/>
          <w:sz w:val="24"/>
          <w:szCs w:val="24"/>
        </w:rPr>
        <w:t>1</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及《企业会计准则实施问答》，本 集团已采用上述准则、通知和实施问答编制</w:t>
      </w:r>
      <w:r>
        <w:rPr>
          <w:rFonts w:ascii="Arial" w:eastAsia="Arial" w:hAnsi="Arial" w:cs="Arial"/>
          <w:color w:val="000000"/>
          <w:spacing w:val="0"/>
          <w:w w:val="100"/>
          <w:position w:val="0"/>
          <w:sz w:val="24"/>
          <w:szCs w:val="24"/>
        </w:rPr>
        <w:t>2021</w:t>
      </w:r>
      <w:r>
        <w:rPr>
          <w:color w:val="000000"/>
          <w:spacing w:val="0"/>
          <w:w w:val="100"/>
          <w:position w:val="0"/>
          <w:sz w:val="24"/>
          <w:szCs w:val="24"/>
        </w:rPr>
        <w:t>年度财务报表，对本集团及 本公司财务报表的影响列示如下：</w:t>
      </w:r>
    </w:p>
    <w:p>
      <w:pPr>
        <w:pStyle w:val="Style72"/>
        <w:keepNext w:val="0"/>
        <w:keepLines w:val="0"/>
        <w:widowControl w:val="0"/>
        <w:shd w:val="clear" w:color="auto" w:fill="auto"/>
        <w:tabs>
          <w:tab w:pos="701" w:val="left"/>
        </w:tabs>
        <w:bidi w:val="0"/>
        <w:spacing w:before="0" w:after="30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rFonts w:ascii="Arial" w:eastAsia="Arial" w:hAnsi="Arial" w:cs="Arial"/>
          <w:color w:val="000000"/>
          <w:spacing w:val="0"/>
          <w:w w:val="100"/>
          <w:position w:val="0"/>
          <w:sz w:val="24"/>
          <w:szCs w:val="24"/>
        </w:rPr>
        <w:t>（30）</w:t>
      </w:r>
      <w:r>
        <w:rPr>
          <w:b/>
          <w:bCs/>
          <w:color w:val="000000"/>
          <w:spacing w:val="0"/>
          <w:w w:val="100"/>
          <w:position w:val="0"/>
          <w:sz w:val="24"/>
          <w:szCs w:val="24"/>
        </w:rPr>
        <w:t>重要会计政策变更</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01" w:val="left"/>
        </w:tabs>
        <w:bidi w:val="0"/>
        <w:spacing w:before="0" w:after="240" w:line="240" w:lineRule="auto"/>
        <w:ind w:left="0" w:right="0" w:firstLine="0"/>
        <w:jc w:val="left"/>
      </w:pPr>
      <w:bookmarkStart w:id="886" w:name="bookmark886"/>
      <w:r>
        <w:rPr>
          <w:color w:val="000000"/>
          <w:spacing w:val="0"/>
          <w:w w:val="100"/>
          <w:position w:val="0"/>
          <w:sz w:val="24"/>
          <w:szCs w:val="24"/>
        </w:rPr>
        <w:t>（</w:t>
      </w:r>
      <w:bookmarkEnd w:id="886"/>
      <w:r>
        <w:rPr>
          <w:color w:val="000000"/>
          <w:spacing w:val="0"/>
          <w:w w:val="100"/>
          <w:position w:val="0"/>
          <w:sz w:val="24"/>
          <w:szCs w:val="24"/>
        </w:rPr>
        <w:t>a）</w:t>
        <w:tab/>
      </w:r>
      <w:r>
        <w:rPr>
          <w:rFonts w:ascii="SimSun" w:eastAsia="SimSun" w:hAnsi="SimSun" w:cs="SimSun"/>
          <w:color w:val="000000"/>
          <w:spacing w:val="0"/>
          <w:w w:val="100"/>
          <w:position w:val="0"/>
          <w:sz w:val="24"/>
          <w:szCs w:val="24"/>
        </w:rPr>
        <w:t>租赁</w:t>
      </w:r>
    </w:p>
    <w:p>
      <w:pPr>
        <w:pStyle w:val="Style17"/>
        <w:keepNext w:val="0"/>
        <w:keepLines w:val="0"/>
        <w:widowControl w:val="0"/>
        <w:shd w:val="clear" w:color="auto" w:fill="auto"/>
        <w:bidi w:val="0"/>
        <w:spacing w:before="0" w:after="240" w:line="285" w:lineRule="exact"/>
        <w:ind w:left="740" w:right="0" w:firstLine="0"/>
        <w:jc w:val="both"/>
      </w:pPr>
      <w:r>
        <w:rPr>
          <w:color w:val="000000"/>
          <w:spacing w:val="0"/>
          <w:w w:val="100"/>
          <w:position w:val="0"/>
        </w:rPr>
        <w:t>本集团及本公司于</w:t>
      </w:r>
      <w:r>
        <w:rPr>
          <w:b/>
          <w:bCs/>
          <w:color w:val="000000"/>
          <w:spacing w:val="0"/>
          <w:w w:val="100"/>
          <w:position w:val="0"/>
        </w:rPr>
        <w:t>2021</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日首次执行新租赁准则，根据相关规定，本集团及 本公司对首次执行日前已存在的合同选择不再重新评估。本集团及本公司对于该准 则的累积影响数调整</w:t>
      </w:r>
      <w:r>
        <w:rPr>
          <w:b/>
          <w:bCs/>
          <w:color w:val="000000"/>
          <w:spacing w:val="0"/>
          <w:w w:val="100"/>
          <w:position w:val="0"/>
        </w:rPr>
        <w:t>2021</w:t>
      </w:r>
      <w:r>
        <w:rPr>
          <w:color w:val="000000"/>
          <w:spacing w:val="0"/>
          <w:w w:val="100"/>
          <w:position w:val="0"/>
        </w:rPr>
        <w:t>年年初财务报表相关项目金额，</w:t>
      </w:r>
      <w:r>
        <w:rPr>
          <w:b/>
          <w:bCs/>
          <w:color w:val="000000"/>
          <w:spacing w:val="0"/>
          <w:w w:val="100"/>
          <w:position w:val="0"/>
        </w:rPr>
        <w:t>2020</w:t>
      </w:r>
      <w:r>
        <w:rPr>
          <w:color w:val="000000"/>
          <w:spacing w:val="0"/>
          <w:w w:val="100"/>
          <w:position w:val="0"/>
        </w:rPr>
        <w:t>年度的比较财务 报表未重列。</w:t>
      </w:r>
    </w:p>
    <w:p>
      <w:pPr>
        <w:pStyle w:val="Style55"/>
        <w:keepNext w:val="0"/>
        <w:keepLines w:val="0"/>
        <w:widowControl w:val="0"/>
        <w:shd w:val="clear" w:color="auto" w:fill="auto"/>
        <w:bidi w:val="0"/>
        <w:spacing w:before="0" w:after="0" w:line="240" w:lineRule="auto"/>
        <w:ind w:left="0" w:right="840" w:firstLine="0"/>
        <w:jc w:val="right"/>
      </w:pPr>
      <w:r>
        <w:rPr>
          <w:color w:val="000000"/>
          <w:spacing w:val="0"/>
          <w:w w:val="100"/>
          <w:position w:val="0"/>
        </w:rPr>
        <w:t>影响金额</w:t>
      </w:r>
    </w:p>
    <w:p>
      <w:pPr>
        <w:pStyle w:val="Style55"/>
        <w:keepNext w:val="0"/>
        <w:keepLines w:val="0"/>
        <w:widowControl w:val="0"/>
        <w:shd w:val="clear" w:color="auto" w:fill="auto"/>
        <w:tabs>
          <w:tab w:pos="4614" w:val="left"/>
          <w:tab w:pos="6846" w:val="left"/>
        </w:tabs>
        <w:bidi w:val="0"/>
        <w:spacing w:before="0" w:after="100" w:line="240" w:lineRule="auto"/>
        <w:ind w:left="0" w:right="0" w:firstLine="740"/>
        <w:jc w:val="both"/>
      </w:pPr>
      <w:r>
        <w:rPr>
          <w:color w:val="000000"/>
          <w:spacing w:val="0"/>
          <w:w w:val="100"/>
          <w:position w:val="0"/>
        </w:rPr>
        <w:t>会计政策变更的内容和原因</w:t>
        <w:tab/>
        <w:t>受影响的报表项目</w:t>
        <w:tab/>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p>
      <w:pPr>
        <w:pStyle w:val="Style55"/>
        <w:keepNext w:val="0"/>
        <w:keepLines w:val="0"/>
        <w:widowControl w:val="0"/>
        <w:pBdr>
          <w:top w:val="single" w:sz="4" w:space="0" w:color="auto"/>
        </w:pBdr>
        <w:shd w:val="clear" w:color="auto" w:fill="auto"/>
        <w:tabs>
          <w:tab w:pos="1195" w:val="left"/>
        </w:tabs>
        <w:bidi w:val="0"/>
        <w:spacing w:before="0" w:after="240" w:line="240" w:lineRule="auto"/>
        <w:ind w:left="0" w:right="400" w:firstLine="0"/>
        <w:jc w:val="right"/>
      </w:pPr>
      <w:r>
        <w:rPr>
          <w:color w:val="000000"/>
          <w:spacing w:val="0"/>
          <w:w w:val="100"/>
          <w:position w:val="0"/>
        </w:rPr>
        <w:t>合并</w:t>
        <w:tab/>
        <w:t>公司</w:t>
      </w:r>
    </w:p>
    <w:p>
      <w:pPr>
        <w:widowControl w:val="0"/>
        <w:spacing w:after="7704" w:line="1" w:lineRule="exact"/>
      </w:pPr>
      <w:r>
        <mc:AlternateContent>
          <mc:Choice Requires="wps">
            <w:drawing>
              <wp:anchor distT="0" distB="0" distL="0" distR="0" simplePos="0" relativeHeight="62914694" behindDoc="1" locked="0" layoutInCell="1" allowOverlap="1">
                <wp:simplePos x="0" y="0"/>
                <wp:positionH relativeFrom="page">
                  <wp:posOffset>1567180</wp:posOffset>
                </wp:positionH>
                <wp:positionV relativeFrom="paragraph">
                  <wp:posOffset>76200</wp:posOffset>
                </wp:positionV>
                <wp:extent cx="2429510" cy="4815840"/>
                <wp:wrapNone/>
                <wp:docPr id="30" name="Shape 30"/>
                <a:graphic xmlns:a="http://schemas.openxmlformats.org/drawingml/2006/main">
                  <a:graphicData uri="http://schemas.microsoft.com/office/word/2010/wordprocessingShape">
                    <wps:wsp>
                      <wps:cNvSpPr txBox="1"/>
                      <wps:spPr>
                        <a:xfrm>
                          <a:ext cx="2429510" cy="4815840"/>
                        </a:xfrm>
                        <a:prstGeom prst="rect"/>
                        <a:noFill/>
                      </wps:spPr>
                      <wps:txbx>
                        <w:txbxContent>
                          <w:p>
                            <w:pPr>
                              <w:pStyle w:val="Style55"/>
                              <w:keepNext w:val="0"/>
                              <w:keepLines w:val="0"/>
                              <w:widowControl w:val="0"/>
                              <w:shd w:val="clear" w:color="auto" w:fill="auto"/>
                              <w:bidi w:val="0"/>
                              <w:spacing w:before="0" w:after="200" w:line="233" w:lineRule="exact"/>
                              <w:ind w:left="0" w:right="0" w:firstLine="0"/>
                              <w:jc w:val="both"/>
                            </w:pPr>
                            <w:r>
                              <w:rPr>
                                <w:color w:val="000000"/>
                                <w:spacing w:val="0"/>
                                <w:w w:val="100"/>
                                <w:position w:val="0"/>
                              </w:rPr>
                              <w:t>对于首次执行新租赁准则前已存在的经营租赁 合同，本集团及本公司按照剩余租赁期区分不同 的衔接方法：</w:t>
                            </w:r>
                          </w:p>
                          <w:p>
                            <w:pPr>
                              <w:pStyle w:val="Style55"/>
                              <w:keepNext w:val="0"/>
                              <w:keepLines w:val="0"/>
                              <w:widowControl w:val="0"/>
                              <w:shd w:val="clear" w:color="auto" w:fill="auto"/>
                              <w:bidi w:val="0"/>
                              <w:spacing w:before="0" w:after="200" w:line="234" w:lineRule="exact"/>
                              <w:ind w:left="0" w:right="0" w:firstLine="0"/>
                              <w:jc w:val="both"/>
                            </w:pPr>
                            <w:r>
                              <w:rPr>
                                <w:color w:val="000000"/>
                                <w:spacing w:val="0"/>
                                <w:w w:val="100"/>
                                <w:position w:val="0"/>
                              </w:rPr>
                              <w:t>剩余租赁期超过</w:t>
                            </w:r>
                            <w:r>
                              <w:rPr>
                                <w:rFonts w:ascii="Arial" w:eastAsia="Arial" w:hAnsi="Arial" w:cs="Arial"/>
                                <w:color w:val="000000"/>
                                <w:spacing w:val="0"/>
                                <w:w w:val="100"/>
                                <w:position w:val="0"/>
                              </w:rPr>
                              <w:t>12</w:t>
                            </w:r>
                            <w:r>
                              <w:rPr>
                                <w:color w:val="000000"/>
                                <w:spacing w:val="0"/>
                                <w:w w:val="100"/>
                                <w:position w:val="0"/>
                              </w:rPr>
                              <w:t>个月的，本集团及本公司根 据</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日的剩余租赁付款额和增 量借款利率确认租赁负债，并以与租赁负债相等 的金额，根据预付租金和应付租金进行必要调整 后确认使用权资产。本集团及本公司采用简化方 法评估首次执行日使用权资产是否存在减值，由 于在首次执行日不存在租赁亏损合同，对财务报 表无显著影响。</w:t>
                            </w:r>
                          </w:p>
                          <w:p>
                            <w:pPr>
                              <w:pStyle w:val="Style55"/>
                              <w:keepNext w:val="0"/>
                              <w:keepLines w:val="0"/>
                              <w:widowControl w:val="0"/>
                              <w:shd w:val="clear" w:color="auto" w:fill="auto"/>
                              <w:bidi w:val="0"/>
                              <w:spacing w:before="0" w:after="200" w:line="234" w:lineRule="exact"/>
                              <w:ind w:left="0" w:right="0" w:firstLine="0"/>
                              <w:jc w:val="both"/>
                            </w:pPr>
                            <w:r>
                              <w:rPr>
                                <w:color w:val="000000"/>
                                <w:spacing w:val="0"/>
                                <w:w w:val="100"/>
                                <w:position w:val="0"/>
                              </w:rPr>
                              <w:t>对于首次执行日前划分为经营租赁且在首次执 行日后仍存续的转租赁，本集团在首次执行日基 于原租赁和转租赁的剩余合同期限和条款进行 重新评估和分类，并于首次执行日，将其作为一 项新的融资租赁进行会计处理。</w:t>
                            </w:r>
                          </w:p>
                          <w:p>
                            <w:pPr>
                              <w:pStyle w:val="Style55"/>
                              <w:keepNext w:val="0"/>
                              <w:keepLines w:val="0"/>
                              <w:widowControl w:val="0"/>
                              <w:shd w:val="clear" w:color="auto" w:fill="auto"/>
                              <w:bidi w:val="0"/>
                              <w:spacing w:before="0" w:after="200" w:line="238" w:lineRule="exact"/>
                              <w:ind w:left="0" w:right="0" w:firstLine="0"/>
                              <w:jc w:val="both"/>
                            </w:pPr>
                            <w:r>
                              <w:rPr>
                                <w:color w:val="000000"/>
                                <w:spacing w:val="0"/>
                                <w:w w:val="100"/>
                                <w:position w:val="0"/>
                              </w:rPr>
                              <w:t>剩余租赁期不超过</w:t>
                            </w:r>
                            <w:r>
                              <w:rPr>
                                <w:rFonts w:ascii="Arial" w:eastAsia="Arial" w:hAnsi="Arial" w:cs="Arial"/>
                                <w:color w:val="000000"/>
                                <w:spacing w:val="0"/>
                                <w:w w:val="100"/>
                                <w:position w:val="0"/>
                              </w:rPr>
                              <w:t>12</w:t>
                            </w:r>
                            <w:r>
                              <w:rPr>
                                <w:color w:val="000000"/>
                                <w:spacing w:val="0"/>
                                <w:w w:val="100"/>
                                <w:position w:val="0"/>
                              </w:rPr>
                              <w:t>个月的，本集团及本公司 采用简化方法，不确认使用权资产和租赁负债， 对财务报表无显著影响。</w:t>
                            </w:r>
                          </w:p>
                          <w:p>
                            <w:pPr>
                              <w:pStyle w:val="Style55"/>
                              <w:keepNext w:val="0"/>
                              <w:keepLines w:val="0"/>
                              <w:widowControl w:val="0"/>
                              <w:shd w:val="clear" w:color="auto" w:fill="auto"/>
                              <w:bidi w:val="0"/>
                              <w:spacing w:before="0" w:after="200" w:line="230" w:lineRule="exact"/>
                              <w:ind w:left="0" w:right="0" w:firstLine="0"/>
                              <w:jc w:val="both"/>
                            </w:pPr>
                            <w:r>
                              <w:rPr>
                                <w:color w:val="000000"/>
                                <w:spacing w:val="0"/>
                                <w:w w:val="100"/>
                                <w:position w:val="0"/>
                              </w:rPr>
                              <w:t>对于首次执行新租赁准则前已存在的低价值资 产的经营租赁合同，本集团及本公司采用简化方 法，不确认使用权资产和租赁负债，对财务报表 无显著影响。</w:t>
                            </w:r>
                          </w:p>
                          <w:p>
                            <w:pPr>
                              <w:pStyle w:val="Style55"/>
                              <w:keepNext w:val="0"/>
                              <w:keepLines w:val="0"/>
                              <w:widowControl w:val="0"/>
                              <w:shd w:val="clear" w:color="auto" w:fill="auto"/>
                              <w:bidi w:val="0"/>
                              <w:spacing w:before="0" w:after="200" w:line="233" w:lineRule="exact"/>
                              <w:ind w:left="0" w:right="0" w:firstLine="0"/>
                              <w:jc w:val="both"/>
                            </w:pPr>
                            <w:r>
                              <w:rPr>
                                <w:color w:val="000000"/>
                                <w:spacing w:val="0"/>
                                <w:w w:val="100"/>
                                <w:position w:val="0"/>
                              </w:rPr>
                              <w:t>因执行新租赁准则，除与简化处理的短期租赁 和低价值资产租赁相关的预付租金和租赁保 证金支出仍计入经营活动现金流出外，其他的 预付租金和租赁保证金支出计入筹资活动现 金流出。</w:t>
                            </w:r>
                          </w:p>
                        </w:txbxContent>
                      </wps:txbx>
                      <wps:bodyPr lIns="0" tIns="0" rIns="0" bIns="0">
                        <a:noAutoFit/>
                      </wps:bodyPr>
                    </wps:wsp>
                  </a:graphicData>
                </a:graphic>
              </wp:anchor>
            </w:drawing>
          </mc:Choice>
          <mc:Fallback>
            <w:pict>
              <v:shape id="_x0000_s1056" type="#_x0000_t202" style="position:absolute;margin-left:123.40000000000001pt;margin-top:6.pt;width:191.30000000000001pt;height:379.19999999999999pt;z-index:-188744059;mso-wrap-distance-left:0;mso-wrap-distance-right:0;mso-position-horizontal-relative:page" wrapcoords="0 0" filled="f" stroked="f">
                <v:textbox inset="0,0,0,0">
                  <w:txbxContent>
                    <w:p>
                      <w:pPr>
                        <w:pStyle w:val="Style55"/>
                        <w:keepNext w:val="0"/>
                        <w:keepLines w:val="0"/>
                        <w:widowControl w:val="0"/>
                        <w:shd w:val="clear" w:color="auto" w:fill="auto"/>
                        <w:bidi w:val="0"/>
                        <w:spacing w:before="0" w:after="200" w:line="233" w:lineRule="exact"/>
                        <w:ind w:left="0" w:right="0" w:firstLine="0"/>
                        <w:jc w:val="both"/>
                      </w:pPr>
                      <w:r>
                        <w:rPr>
                          <w:color w:val="000000"/>
                          <w:spacing w:val="0"/>
                          <w:w w:val="100"/>
                          <w:position w:val="0"/>
                        </w:rPr>
                        <w:t>对于首次执行新租赁准则前已存在的经营租赁 合同，本集团及本公司按照剩余租赁期区分不同 的衔接方法：</w:t>
                      </w:r>
                    </w:p>
                    <w:p>
                      <w:pPr>
                        <w:pStyle w:val="Style55"/>
                        <w:keepNext w:val="0"/>
                        <w:keepLines w:val="0"/>
                        <w:widowControl w:val="0"/>
                        <w:shd w:val="clear" w:color="auto" w:fill="auto"/>
                        <w:bidi w:val="0"/>
                        <w:spacing w:before="0" w:after="200" w:line="234" w:lineRule="exact"/>
                        <w:ind w:left="0" w:right="0" w:firstLine="0"/>
                        <w:jc w:val="both"/>
                      </w:pPr>
                      <w:r>
                        <w:rPr>
                          <w:color w:val="000000"/>
                          <w:spacing w:val="0"/>
                          <w:w w:val="100"/>
                          <w:position w:val="0"/>
                        </w:rPr>
                        <w:t>剩余租赁期超过</w:t>
                      </w:r>
                      <w:r>
                        <w:rPr>
                          <w:rFonts w:ascii="Arial" w:eastAsia="Arial" w:hAnsi="Arial" w:cs="Arial"/>
                          <w:color w:val="000000"/>
                          <w:spacing w:val="0"/>
                          <w:w w:val="100"/>
                          <w:position w:val="0"/>
                        </w:rPr>
                        <w:t>12</w:t>
                      </w:r>
                      <w:r>
                        <w:rPr>
                          <w:color w:val="000000"/>
                          <w:spacing w:val="0"/>
                          <w:w w:val="100"/>
                          <w:position w:val="0"/>
                        </w:rPr>
                        <w:t>个月的，本集团及本公司根 据</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日的剩余租赁付款额和增 量借款利率确认租赁负债，并以与租赁负债相等 的金额，根据预付租金和应付租金进行必要调整 后确认使用权资产。本集团及本公司采用简化方 法评估首次执行日使用权资产是否存在减值，由 于在首次执行日不存在租赁亏损合同，对财务报 表无显著影响。</w:t>
                      </w:r>
                    </w:p>
                    <w:p>
                      <w:pPr>
                        <w:pStyle w:val="Style55"/>
                        <w:keepNext w:val="0"/>
                        <w:keepLines w:val="0"/>
                        <w:widowControl w:val="0"/>
                        <w:shd w:val="clear" w:color="auto" w:fill="auto"/>
                        <w:bidi w:val="0"/>
                        <w:spacing w:before="0" w:after="200" w:line="234" w:lineRule="exact"/>
                        <w:ind w:left="0" w:right="0" w:firstLine="0"/>
                        <w:jc w:val="both"/>
                      </w:pPr>
                      <w:r>
                        <w:rPr>
                          <w:color w:val="000000"/>
                          <w:spacing w:val="0"/>
                          <w:w w:val="100"/>
                          <w:position w:val="0"/>
                        </w:rPr>
                        <w:t>对于首次执行日前划分为经营租赁且在首次执 行日后仍存续的转租赁，本集团在首次执行日基 于原租赁和转租赁的剩余合同期限和条款进行 重新评估和分类，并于首次执行日，将其作为一 项新的融资租赁进行会计处理。</w:t>
                      </w:r>
                    </w:p>
                    <w:p>
                      <w:pPr>
                        <w:pStyle w:val="Style55"/>
                        <w:keepNext w:val="0"/>
                        <w:keepLines w:val="0"/>
                        <w:widowControl w:val="0"/>
                        <w:shd w:val="clear" w:color="auto" w:fill="auto"/>
                        <w:bidi w:val="0"/>
                        <w:spacing w:before="0" w:after="200" w:line="238" w:lineRule="exact"/>
                        <w:ind w:left="0" w:right="0" w:firstLine="0"/>
                        <w:jc w:val="both"/>
                      </w:pPr>
                      <w:r>
                        <w:rPr>
                          <w:color w:val="000000"/>
                          <w:spacing w:val="0"/>
                          <w:w w:val="100"/>
                          <w:position w:val="0"/>
                        </w:rPr>
                        <w:t>剩余租赁期不超过</w:t>
                      </w:r>
                      <w:r>
                        <w:rPr>
                          <w:rFonts w:ascii="Arial" w:eastAsia="Arial" w:hAnsi="Arial" w:cs="Arial"/>
                          <w:color w:val="000000"/>
                          <w:spacing w:val="0"/>
                          <w:w w:val="100"/>
                          <w:position w:val="0"/>
                        </w:rPr>
                        <w:t>12</w:t>
                      </w:r>
                      <w:r>
                        <w:rPr>
                          <w:color w:val="000000"/>
                          <w:spacing w:val="0"/>
                          <w:w w:val="100"/>
                          <w:position w:val="0"/>
                        </w:rPr>
                        <w:t>个月的，本集团及本公司 采用简化方法，不确认使用权资产和租赁负债， 对财务报表无显著影响。</w:t>
                      </w:r>
                    </w:p>
                    <w:p>
                      <w:pPr>
                        <w:pStyle w:val="Style55"/>
                        <w:keepNext w:val="0"/>
                        <w:keepLines w:val="0"/>
                        <w:widowControl w:val="0"/>
                        <w:shd w:val="clear" w:color="auto" w:fill="auto"/>
                        <w:bidi w:val="0"/>
                        <w:spacing w:before="0" w:after="200" w:line="230" w:lineRule="exact"/>
                        <w:ind w:left="0" w:right="0" w:firstLine="0"/>
                        <w:jc w:val="both"/>
                      </w:pPr>
                      <w:r>
                        <w:rPr>
                          <w:color w:val="000000"/>
                          <w:spacing w:val="0"/>
                          <w:w w:val="100"/>
                          <w:position w:val="0"/>
                        </w:rPr>
                        <w:t>对于首次执行新租赁准则前已存在的低价值资 产的经营租赁合同，本集团及本公司采用简化方 法，不确认使用权资产和租赁负债，对财务报表 无显著影响。</w:t>
                      </w:r>
                    </w:p>
                    <w:p>
                      <w:pPr>
                        <w:pStyle w:val="Style55"/>
                        <w:keepNext w:val="0"/>
                        <w:keepLines w:val="0"/>
                        <w:widowControl w:val="0"/>
                        <w:shd w:val="clear" w:color="auto" w:fill="auto"/>
                        <w:bidi w:val="0"/>
                        <w:spacing w:before="0" w:after="200" w:line="233" w:lineRule="exact"/>
                        <w:ind w:left="0" w:right="0" w:firstLine="0"/>
                        <w:jc w:val="both"/>
                      </w:pPr>
                      <w:r>
                        <w:rPr>
                          <w:color w:val="000000"/>
                          <w:spacing w:val="0"/>
                          <w:w w:val="100"/>
                          <w:position w:val="0"/>
                        </w:rPr>
                        <w:t>因执行新租赁准则，除与简化处理的短期租赁 和低价值资产租赁相关的预付租金和租赁保 证金支出仍计入经营活动现金流出外，其他的 预付租金和租赁保证金支出计入筹资活动现 金流出。</w:t>
                      </w:r>
                    </w:p>
                  </w:txbxContent>
                </v:textbox>
                <w10:wrap anchorx="page"/>
              </v:shape>
            </w:pict>
          </mc:Fallback>
        </mc:AlternateContent>
      </w:r>
      <w:r>
        <mc:AlternateContent>
          <mc:Choice Requires="wps">
            <w:drawing>
              <wp:anchor distT="0" distB="0" distL="0" distR="0" simplePos="0" relativeHeight="62914696" behindDoc="1" locked="0" layoutInCell="1" allowOverlap="1">
                <wp:simplePos x="0" y="0"/>
                <wp:positionH relativeFrom="page">
                  <wp:posOffset>4032885</wp:posOffset>
                </wp:positionH>
                <wp:positionV relativeFrom="paragraph">
                  <wp:posOffset>100330</wp:posOffset>
                </wp:positionV>
                <wp:extent cx="2621280" cy="1969135"/>
                <wp:wrapNone/>
                <wp:docPr id="32" name="Shape 32"/>
                <a:graphic xmlns:a="http://schemas.openxmlformats.org/drawingml/2006/main">
                  <a:graphicData uri="http://schemas.microsoft.com/office/word/2010/wordprocessingShape">
                    <wps:wsp>
                      <wps:cNvSpPr txBox="1"/>
                      <wps:spPr>
                        <a:xfrm>
                          <a:ext cx="2621280" cy="1969135"/>
                        </a:xfrm>
                        <a:prstGeom prst="rect"/>
                        <a:noFill/>
                      </wps:spPr>
                      <wps:txbx>
                        <w:txbxContent>
                          <w:tbl>
                            <w:tblPr>
                              <w:tblOverlap w:val="never"/>
                              <w:jc w:val="left"/>
                              <w:tblLayout w:type="fixed"/>
                            </w:tblPr>
                            <w:tblGrid>
                              <w:gridCol w:w="1848"/>
                              <w:gridCol w:w="1306"/>
                              <w:gridCol w:w="974"/>
                            </w:tblGrid>
                            <w:tr>
                              <w:trPr>
                                <w:tblHeade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使用权资产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35,127,128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229,038</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(30,146,008)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(130,887)</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(262,358)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(36,579)</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843,326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一年内到期的非流动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(4,974,976)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(61,572)</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长期待摊费用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(384,355)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无形资产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(1,349,329)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无形资产</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累计摊销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358,445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640,760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一年内到期的非流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动资产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147,368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widowControl w:val="0"/>
                              <w:spacing w:line="1" w:lineRule="exact"/>
                            </w:pPr>
                          </w:p>
                        </w:txbxContent>
                      </wps:txbx>
                      <wps:bodyPr lIns="0" tIns="0" rIns="0" bIns="0">
                        <a:noAutoFit/>
                      </wps:bodyPr>
                    </wps:wsp>
                  </a:graphicData>
                </a:graphic>
              </wp:anchor>
            </w:drawing>
          </mc:Choice>
          <mc:Fallback>
            <w:pict>
              <v:shape id="_x0000_s1058" type="#_x0000_t202" style="position:absolute;margin-left:317.55000000000001pt;margin-top:7.9000000000000004pt;width:206.40000000000001pt;height:155.05000000000001pt;z-index:-188744057;mso-wrap-distance-left:0;mso-wrap-distance-right:0;mso-position-horizontal-relative:page" wrapcoords="0 0" filled="f" stroked="f">
                <v:textbox inset="0,0,0,0">
                  <w:txbxContent>
                    <w:tbl>
                      <w:tblPr>
                        <w:tblOverlap w:val="never"/>
                        <w:jc w:val="left"/>
                        <w:tblLayout w:type="fixed"/>
                      </w:tblPr>
                      <w:tblGrid>
                        <w:gridCol w:w="1848"/>
                        <w:gridCol w:w="1306"/>
                        <w:gridCol w:w="974"/>
                      </w:tblGrid>
                      <w:tr>
                        <w:trPr>
                          <w:tblHeade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使用权资产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35,127,128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229,038</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(30,146,008)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(130,887)</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(262,358)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(36,579)</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843,326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一年内到期的非流动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(4,974,976)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(61,572)</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长期待摊费用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(384,355)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无形资产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(1,349,329)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无形资产</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累计摊销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358,445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640,760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一年内到期的非流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动资产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147,368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widowControl w:val="0"/>
                        <w:spacing w:line="1" w:lineRule="exact"/>
                      </w:pPr>
                    </w:p>
                  </w:txbxContent>
                </v:textbox>
                <w10:wrap anchorx="page"/>
              </v:shape>
            </w:pict>
          </mc:Fallback>
        </mc:AlternateContent>
      </w:r>
    </w:p>
    <w:p>
      <w:pPr>
        <w:pStyle w:val="Style72"/>
        <w:keepNext w:val="0"/>
        <w:keepLines w:val="0"/>
        <w:widowControl w:val="0"/>
        <w:shd w:val="clear" w:color="auto" w:fill="auto"/>
        <w:tabs>
          <w:tab w:pos="694" w:val="left"/>
        </w:tabs>
        <w:bidi w:val="0"/>
        <w:spacing w:before="0" w:after="26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60" w:line="240" w:lineRule="auto"/>
        <w:ind w:left="0" w:right="0" w:firstLine="0"/>
        <w:jc w:val="left"/>
        <w:rPr>
          <w:sz w:val="28"/>
          <w:szCs w:val="28"/>
        </w:rPr>
      </w:pPr>
      <w:r>
        <w:rPr>
          <w:rFonts w:ascii="Arial" w:eastAsia="Arial" w:hAnsi="Arial" w:cs="Arial"/>
          <w:color w:val="000000"/>
          <w:spacing w:val="0"/>
          <w:w w:val="100"/>
          <w:position w:val="0"/>
          <w:sz w:val="24"/>
          <w:szCs w:val="24"/>
        </w:rPr>
        <w:t>(30)</w:t>
      </w:r>
      <w:r>
        <w:rPr>
          <w:b/>
          <w:bCs/>
          <w:color w:val="000000"/>
          <w:spacing w:val="0"/>
          <w:w w:val="100"/>
          <w:position w:val="0"/>
          <w:sz w:val="24"/>
          <w:szCs w:val="24"/>
        </w:rPr>
        <w:t>重要会计政策变更</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numPr>
          <w:ilvl w:val="0"/>
          <w:numId w:val="71"/>
        </w:numPr>
        <w:shd w:val="clear" w:color="auto" w:fill="auto"/>
        <w:tabs>
          <w:tab w:pos="694" w:val="left"/>
        </w:tabs>
        <w:bidi w:val="0"/>
        <w:spacing w:before="0" w:line="276" w:lineRule="auto"/>
        <w:ind w:left="0" w:right="0" w:firstLine="0"/>
        <w:jc w:val="left"/>
        <w:rPr>
          <w:sz w:val="28"/>
          <w:szCs w:val="28"/>
        </w:rPr>
      </w:pPr>
      <w:bookmarkStart w:id="887" w:name="bookmark887"/>
      <w:bookmarkEnd w:id="887"/>
      <w:r>
        <w:rPr>
          <w:rFonts w:ascii="SimSun" w:eastAsia="SimSun" w:hAnsi="SimSun" w:cs="SimSun"/>
          <w:color w:val="000000"/>
          <w:spacing w:val="0"/>
          <w:w w:val="100"/>
          <w:position w:val="0"/>
          <w:sz w:val="24"/>
          <w:szCs w:val="24"/>
        </w:rPr>
        <w:t>租赁</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55"/>
        <w:keepNext w:val="0"/>
        <w:keepLines w:val="0"/>
        <w:widowControl w:val="0"/>
        <w:shd w:val="clear" w:color="auto" w:fill="auto"/>
        <w:bidi w:val="0"/>
        <w:spacing w:before="0" w:after="0" w:line="240" w:lineRule="auto"/>
        <w:ind w:left="7180" w:right="0" w:firstLine="0"/>
        <w:jc w:val="left"/>
      </w:pPr>
      <w:r>
        <w:rPr>
          <w:color w:val="000000"/>
          <w:spacing w:val="0"/>
          <w:w w:val="100"/>
          <w:position w:val="0"/>
        </w:rPr>
        <w:t>影响金额</w:t>
      </w:r>
    </w:p>
    <w:p>
      <w:pPr>
        <w:pStyle w:val="Style55"/>
        <w:keepNext w:val="0"/>
        <w:keepLines w:val="0"/>
        <w:widowControl w:val="0"/>
        <w:shd w:val="clear" w:color="auto" w:fill="auto"/>
        <w:tabs>
          <w:tab w:pos="694" w:val="left"/>
          <w:tab w:pos="4613" w:val="left"/>
          <w:tab w:pos="6845" w:val="left"/>
        </w:tabs>
        <w:bidi w:val="0"/>
        <w:spacing w:before="0" w:after="0" w:line="240" w:lineRule="auto"/>
        <w:ind w:left="0" w:right="0" w:firstLine="0"/>
        <w:jc w:val="left"/>
      </w:pPr>
      <w:r>
        <w:rPr>
          <w:rFonts w:ascii="Arial" w:eastAsia="Arial" w:hAnsi="Arial" w:cs="Arial"/>
          <w:color w:val="000000"/>
          <w:spacing w:val="0"/>
          <w:w w:val="100"/>
          <w:position w:val="0"/>
          <w:sz w:val="24"/>
          <w:szCs w:val="24"/>
        </w:rPr>
        <w:t>(I</w:t>
      </w:r>
      <w:r>
        <w:rPr>
          <w:color w:val="000000"/>
          <w:spacing w:val="0"/>
          <w:w w:val="100"/>
          <w:position w:val="0"/>
          <w:sz w:val="28"/>
          <w:szCs w:val="28"/>
        </w:rPr>
        <w:t>)</w:t>
      </w:r>
      <w:r>
        <w:rPr>
          <w:rFonts w:ascii="Arial" w:eastAsia="Arial" w:hAnsi="Arial" w:cs="Arial"/>
          <w:color w:val="000000"/>
          <w:spacing w:val="0"/>
          <w:w w:val="100"/>
          <w:position w:val="0"/>
          <w:sz w:val="24"/>
          <w:szCs w:val="24"/>
        </w:rPr>
        <w:tab/>
      </w:r>
      <w:r>
        <w:rPr>
          <w:color w:val="000000"/>
          <w:spacing w:val="0"/>
          <w:w w:val="100"/>
          <w:position w:val="0"/>
        </w:rPr>
        <w:t>会计政策变更的内容和原因</w:t>
        <w:tab/>
        <w:t>受影响的报表项目</w:t>
        <w:tab/>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p>
      <w:pPr>
        <w:pStyle w:val="Style55"/>
        <w:keepNext w:val="0"/>
        <w:keepLines w:val="0"/>
        <w:widowControl w:val="0"/>
        <w:pBdr>
          <w:top w:val="single" w:sz="4" w:space="0" w:color="auto"/>
        </w:pBdr>
        <w:shd w:val="clear" w:color="auto" w:fill="auto"/>
        <w:tabs>
          <w:tab w:pos="1195" w:val="left"/>
        </w:tabs>
        <w:bidi w:val="0"/>
        <w:spacing w:before="0" w:after="260" w:line="240" w:lineRule="auto"/>
        <w:ind w:left="0" w:right="520" w:firstLine="0"/>
        <w:jc w:val="right"/>
      </w:pPr>
      <w:r>
        <w:rPr>
          <w:color w:val="000000"/>
          <w:spacing w:val="0"/>
          <w:w w:val="100"/>
          <w:position w:val="0"/>
        </w:rPr>
        <w:t>合并</w:t>
        <w:tab/>
        <w:t>公司</w:t>
      </w:r>
    </w:p>
    <w:p>
      <w:pPr>
        <w:pStyle w:val="Style5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因执行新租赁准则，本集团及本公司将原计入</w:t>
      </w:r>
    </w:p>
    <w:p>
      <w:pPr>
        <w:pStyle w:val="Style5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无形资产的优惠承租权重分类至使用权资产</w:t>
      </w:r>
    </w:p>
    <w:p>
      <w:pPr>
        <w:pStyle w:val="Style55"/>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项目。</w:t>
      </w:r>
    </w:p>
    <w:p>
      <w:pPr>
        <w:pStyle w:val="Style5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对于由新冠肺炎疫情直接引发的、分别与承租</w:t>
      </w:r>
    </w:p>
    <w:p>
      <w:pPr>
        <w:pStyle w:val="Style55"/>
        <w:keepNext w:val="0"/>
        <w:keepLines w:val="0"/>
        <w:widowControl w:val="0"/>
        <w:shd w:val="clear" w:color="auto" w:fill="auto"/>
        <w:bidi w:val="0"/>
        <w:spacing w:before="0" w:after="0" w:line="240" w:lineRule="auto"/>
        <w:ind w:left="0" w:right="0" w:firstLine="720"/>
        <w:jc w:val="left"/>
      </w:pPr>
      <w:r>
        <w:rPr>
          <w:color w:val="000000"/>
          <w:spacing w:val="0"/>
          <w:w w:val="100"/>
          <w:position w:val="0"/>
        </w:rPr>
        <w:t>人和出租人达成的且仅针对</w:t>
      </w:r>
      <w:r>
        <w:rPr>
          <w:rFonts w:ascii="Arial" w:eastAsia="Arial" w:hAnsi="Arial" w:cs="Arial"/>
          <w:color w:val="000000"/>
          <w:spacing w:val="0"/>
          <w:w w:val="100"/>
          <w:position w:val="0"/>
        </w:rPr>
        <w:t>2022</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30</w:t>
      </w:r>
    </w:p>
    <w:p>
      <w:pPr>
        <w:pStyle w:val="Style5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日之前的租金减免，本集团及本公司在编制</w:t>
      </w:r>
    </w:p>
    <w:p>
      <w:pPr>
        <w:pStyle w:val="Style55"/>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2021</w:t>
      </w:r>
      <w:r>
        <w:rPr>
          <w:color w:val="000000"/>
          <w:spacing w:val="0"/>
          <w:w w:val="100"/>
          <w:position w:val="0"/>
        </w:rPr>
        <w:t>年度财务报表时，均已采用上述通知中</w:t>
      </w:r>
    </w:p>
    <w:p>
      <w:pPr>
        <w:pStyle w:val="Style55"/>
        <w:keepNext w:val="0"/>
        <w:keepLines w:val="0"/>
        <w:widowControl w:val="0"/>
        <w:shd w:val="clear" w:color="auto" w:fill="auto"/>
        <w:bidi w:val="0"/>
        <w:spacing w:before="0" w:after="0" w:line="240" w:lineRule="auto"/>
        <w:ind w:left="0" w:right="0" w:firstLine="720"/>
        <w:jc w:val="left"/>
      </w:pPr>
      <w:r>
        <w:rPr>
          <w:color w:val="000000"/>
          <w:spacing w:val="0"/>
          <w:w w:val="100"/>
          <w:position w:val="0"/>
        </w:rPr>
        <w:t>的简化方法进行处理</w:t>
      </w:r>
      <w:r>
        <w:rPr>
          <w:rFonts w:ascii="Arial" w:eastAsia="Arial" w:hAnsi="Arial" w:cs="Arial"/>
          <w:color w:val="000000"/>
          <w:spacing w:val="0"/>
          <w:w w:val="100"/>
          <w:position w:val="0"/>
        </w:rPr>
        <w:t>(</w:t>
      </w:r>
      <w:r>
        <w:rPr>
          <w:color w:val="000000"/>
          <w:spacing w:val="0"/>
          <w:w w:val="100"/>
          <w:position w:val="0"/>
        </w:rPr>
        <w:t>附注四</w:t>
      </w:r>
      <w:r>
        <w:rPr>
          <w:rFonts w:ascii="Arial" w:eastAsia="Arial" w:hAnsi="Arial" w:cs="Arial"/>
          <w:color w:val="000000"/>
          <w:spacing w:val="0"/>
          <w:w w:val="100"/>
          <w:position w:val="0"/>
        </w:rPr>
        <w:t>(46)</w:t>
      </w:r>
      <w:r>
        <w:rPr>
          <w:color w:val="000000"/>
          <w:spacing w:val="0"/>
          <w:w w:val="100"/>
          <w:position w:val="0"/>
        </w:rPr>
        <w:t>、附注四</w:t>
      </w:r>
    </w:p>
    <w:p>
      <w:pPr>
        <w:pStyle w:val="Style55"/>
        <w:keepNext w:val="0"/>
        <w:keepLines w:val="0"/>
        <w:widowControl w:val="0"/>
        <w:shd w:val="clear" w:color="auto" w:fill="auto"/>
        <w:bidi w:val="0"/>
        <w:spacing w:before="0" w:after="260" w:line="240" w:lineRule="auto"/>
        <w:ind w:left="0" w:right="0" w:firstLine="720"/>
        <w:jc w:val="left"/>
      </w:pPr>
      <w:r>
        <w:rPr>
          <w:rFonts w:ascii="Arial" w:eastAsia="Arial" w:hAnsi="Arial" w:cs="Arial"/>
          <w:color w:val="000000"/>
          <w:spacing w:val="0"/>
          <w:w w:val="100"/>
          <w:position w:val="0"/>
        </w:rPr>
        <w:t>(52))</w:t>
      </w:r>
      <w:r>
        <w:rPr>
          <w:color w:val="000000"/>
          <w:spacing w:val="0"/>
          <w:w w:val="100"/>
          <w:position w:val="0"/>
        </w:rPr>
        <w:t>，对财务报表无显著影响。</w:t>
      </w:r>
    </w:p>
    <w:p>
      <w:pPr>
        <w:pStyle w:val="Style72"/>
        <w:keepNext w:val="0"/>
        <w:keepLines w:val="0"/>
        <w:widowControl w:val="0"/>
        <w:shd w:val="clear" w:color="auto" w:fill="auto"/>
        <w:bidi w:val="0"/>
        <w:spacing w:before="0" w:after="260" w:line="317" w:lineRule="exact"/>
        <w:ind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日，本集团及本公司在计量租赁负债时，对于具有相似特征 的租赁合同采用同一折现率，所采用的增量借款利率的加权平均值为</w:t>
      </w:r>
      <w:r>
        <w:rPr>
          <w:rFonts w:ascii="Arial" w:eastAsia="Arial" w:hAnsi="Arial" w:cs="Arial"/>
          <w:color w:val="000000"/>
          <w:spacing w:val="0"/>
          <w:w w:val="100"/>
          <w:position w:val="0"/>
          <w:sz w:val="24"/>
          <w:szCs w:val="24"/>
        </w:rPr>
        <w:t>5.51%</w:t>
      </w:r>
      <w:r>
        <w:rPr>
          <w:color w:val="000000"/>
          <w:spacing w:val="0"/>
          <w:w w:val="100"/>
          <w:position w:val="0"/>
          <w:sz w:val="24"/>
          <w:szCs w:val="24"/>
        </w:rPr>
        <w:t>。</w:t>
      </w:r>
    </w:p>
    <w:p>
      <w:pPr>
        <w:pStyle w:val="Style72"/>
        <w:keepNext w:val="0"/>
        <w:keepLines w:val="0"/>
        <w:widowControl w:val="0"/>
        <w:shd w:val="clear" w:color="auto" w:fill="auto"/>
        <w:bidi w:val="0"/>
        <w:spacing w:before="0" w:after="300" w:line="322" w:lineRule="exact"/>
        <w:ind w:left="600" w:right="0" w:hanging="600"/>
        <w:jc w:val="left"/>
      </w:pPr>
      <w:r>
        <w:rPr>
          <w:rFonts w:ascii="Arial" w:eastAsia="Arial" w:hAnsi="Arial" w:cs="Arial"/>
          <w:color w:val="000000"/>
          <w:spacing w:val="0"/>
          <w:w w:val="100"/>
          <w:position w:val="0"/>
          <w:sz w:val="24"/>
          <w:szCs w:val="24"/>
        </w:rPr>
        <w:t>(ii)</w:t>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日，本集团及本公司将原租赁准则下披露的尚未支付的最 低经营租赁付款额调整为新租赁准则下确认的租赁负债的调节表如下：</w:t>
      </w:r>
    </w:p>
    <w:tbl>
      <w:tblPr>
        <w:tblOverlap w:val="never"/>
        <w:jc w:val="center"/>
        <w:tblLayout w:type="fixed"/>
      </w:tblPr>
      <w:tblGrid>
        <w:gridCol w:w="4829"/>
        <w:gridCol w:w="1891"/>
        <w:gridCol w:w="1296"/>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本集团</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24"/>
                <w:szCs w:val="24"/>
              </w:rPr>
            </w:pPr>
            <w:r>
              <w:rPr>
                <w:rFonts w:ascii="SimSun" w:eastAsia="SimSun" w:hAnsi="SimSun" w:cs="SimSun"/>
                <w:color w:val="000000"/>
                <w:spacing w:val="0"/>
                <w:w w:val="100"/>
                <w:position w:val="0"/>
                <w:sz w:val="24"/>
                <w:szCs w:val="24"/>
              </w:rPr>
              <w:t>本公司</w:t>
            </w:r>
          </w:p>
        </w:tc>
      </w:tr>
      <w:tr>
        <w:trPr>
          <w:trHeight w:val="720" w:hRule="exact"/>
        </w:trPr>
        <w:tc>
          <w:tcPr>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于</w:t>
            </w:r>
            <w:r>
              <w:rPr>
                <w:rFonts w:ascii="SimSun" w:eastAsia="SimSun" w:hAnsi="SimSun" w:cs="SimSun"/>
                <w:b/>
                <w:bCs/>
                <w:color w:val="000000"/>
                <w:spacing w:val="0"/>
                <w:w w:val="100"/>
                <w:position w:val="0"/>
                <w:sz w:val="20"/>
                <w:szCs w:val="20"/>
              </w:rPr>
              <w:t>2020</w:t>
            </w:r>
            <w:r>
              <w:rPr>
                <w:rFonts w:ascii="SimSun" w:eastAsia="SimSun" w:hAnsi="SimSun" w:cs="SimSun"/>
                <w:color w:val="000000"/>
                <w:spacing w:val="0"/>
                <w:w w:val="100"/>
                <w:position w:val="0"/>
                <w:sz w:val="20"/>
                <w:szCs w:val="20"/>
              </w:rPr>
              <w:t>年</w:t>
            </w:r>
            <w:r>
              <w:rPr>
                <w:rFonts w:ascii="SimSun" w:eastAsia="SimSun" w:hAnsi="SimSun" w:cs="SimSun"/>
                <w:b/>
                <w:bCs/>
                <w:color w:val="000000"/>
                <w:spacing w:val="0"/>
                <w:w w:val="100"/>
                <w:position w:val="0"/>
                <w:sz w:val="20"/>
                <w:szCs w:val="20"/>
              </w:rPr>
              <w:t>12</w:t>
            </w:r>
            <w:r>
              <w:rPr>
                <w:rFonts w:ascii="SimSun" w:eastAsia="SimSun" w:hAnsi="SimSun" w:cs="SimSun"/>
                <w:color w:val="000000"/>
                <w:spacing w:val="0"/>
                <w:w w:val="100"/>
                <w:position w:val="0"/>
                <w:sz w:val="20"/>
                <w:szCs w:val="20"/>
              </w:rPr>
              <w:t>月</w:t>
            </w:r>
            <w:r>
              <w:rPr>
                <w:rFonts w:ascii="SimSun" w:eastAsia="SimSun" w:hAnsi="SimSun" w:cs="SimSun"/>
                <w:b/>
                <w:bCs/>
                <w:color w:val="000000"/>
                <w:spacing w:val="0"/>
                <w:w w:val="100"/>
                <w:position w:val="0"/>
                <w:sz w:val="20"/>
                <w:szCs w:val="20"/>
              </w:rPr>
              <w:t>31</w:t>
            </w:r>
            <w:r>
              <w:rPr>
                <w:rFonts w:ascii="SimSun" w:eastAsia="SimSun" w:hAnsi="SimSun" w:cs="SimSun"/>
                <w:color w:val="000000"/>
                <w:spacing w:val="0"/>
                <w:w w:val="100"/>
                <w:position w:val="0"/>
                <w:sz w:val="20"/>
                <w:szCs w:val="20"/>
              </w:rPr>
              <w:t>日披露的未来最低经营租</w:t>
            </w:r>
          </w:p>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赁付款额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46,188,372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315,322</w:t>
            </w:r>
          </w:p>
        </w:tc>
      </w:tr>
      <w:tr>
        <w:trPr>
          <w:trHeight w:val="571" w:hRule="exact"/>
        </w:trPr>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按增量借款利率折现计算的上述最低经营租</w:t>
            </w:r>
          </w:p>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赁付款额的现值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40,678,507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215,402</w:t>
            </w:r>
          </w:p>
        </w:tc>
      </w:tr>
      <w:tr>
        <w:trPr>
          <w:trHeight w:val="27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减：不超过</w:t>
            </w:r>
            <w:r>
              <w:rPr>
                <w:rFonts w:ascii="SimSun" w:eastAsia="SimSun" w:hAnsi="SimSun" w:cs="SimSun"/>
                <w:b/>
                <w:bCs/>
                <w:color w:val="000000"/>
                <w:spacing w:val="0"/>
                <w:w w:val="100"/>
                <w:position w:val="0"/>
                <w:sz w:val="20"/>
                <w:szCs w:val="20"/>
              </w:rPr>
              <w:t>12</w:t>
            </w:r>
            <w:r>
              <w:rPr>
                <w:rFonts w:ascii="SimSun" w:eastAsia="SimSun" w:hAnsi="SimSun" w:cs="SimSun"/>
                <w:color w:val="000000"/>
                <w:spacing w:val="0"/>
                <w:w w:val="100"/>
                <w:position w:val="0"/>
                <w:sz w:val="20"/>
                <w:szCs w:val="20"/>
              </w:rPr>
              <w:t>个月的租赁合同付款额的现值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(1,712,835)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576" w:hRule="exact"/>
        </w:trPr>
        <w:tc>
          <w:tcPr>
            <w:tcBorders/>
            <w:shd w:val="clear" w:color="auto" w:fill="FFFFFF"/>
            <w:vAlign w:val="top"/>
          </w:tcPr>
          <w:p>
            <w:pPr>
              <w:pStyle w:val="Style29"/>
              <w:keepNext w:val="0"/>
              <w:keepLines w:val="0"/>
              <w:widowControl w:val="0"/>
              <w:shd w:val="clear" w:color="auto" w:fill="auto"/>
              <w:bidi w:val="0"/>
              <w:spacing w:before="0" w:after="0" w:line="283" w:lineRule="exact"/>
              <w:ind w:left="380" w:right="0" w:firstLine="400"/>
              <w:jc w:val="left"/>
              <w:rPr>
                <w:sz w:val="20"/>
                <w:szCs w:val="20"/>
              </w:rPr>
            </w:pPr>
            <w:r>
              <w:rPr>
                <w:rFonts w:ascii="SimSun" w:eastAsia="SimSun" w:hAnsi="SimSun" w:cs="SimSun"/>
                <w:color w:val="000000"/>
                <w:spacing w:val="0"/>
                <w:w w:val="100"/>
                <w:position w:val="0"/>
                <w:sz w:val="20"/>
                <w:szCs w:val="20"/>
              </w:rPr>
              <w:t>单项租赁资产全新时价值较低的租赁 合同付款额的现值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(53,732)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物业保洁等费用的现值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(3,790,956)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(22,943)</w:t>
            </w:r>
          </w:p>
        </w:tc>
      </w:tr>
      <w:tr>
        <w:trPr>
          <w:trHeight w:val="595"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88" w:lineRule="exact"/>
              <w:ind w:left="380" w:right="0" w:hanging="380"/>
              <w:jc w:val="left"/>
              <w:rPr>
                <w:sz w:val="20"/>
                <w:szCs w:val="20"/>
              </w:rPr>
            </w:pPr>
            <w:r>
              <w:rPr>
                <w:rFonts w:ascii="SimSun" w:eastAsia="SimSun" w:hAnsi="SimSun" w:cs="SimSun"/>
                <w:color w:val="000000"/>
                <w:spacing w:val="0"/>
                <w:w w:val="100"/>
                <w:position w:val="0"/>
                <w:sz w:val="20"/>
                <w:szCs w:val="20"/>
              </w:rPr>
              <w:t>于</w:t>
            </w:r>
            <w:r>
              <w:rPr>
                <w:rFonts w:ascii="SimSun" w:eastAsia="SimSun" w:hAnsi="SimSun" w:cs="SimSun"/>
                <w:b/>
                <w:bCs/>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SimSun" w:eastAsia="SimSun" w:hAnsi="SimSun" w:cs="SimSun"/>
                <w:b/>
                <w:bCs/>
                <w:color w:val="000000"/>
                <w:spacing w:val="0"/>
                <w:w w:val="100"/>
                <w:position w:val="0"/>
                <w:sz w:val="20"/>
                <w:szCs w:val="20"/>
              </w:rPr>
              <w:t>1</w:t>
            </w:r>
            <w:r>
              <w:rPr>
                <w:rFonts w:ascii="SimSun" w:eastAsia="SimSun" w:hAnsi="SimSun" w:cs="SimSun"/>
                <w:color w:val="000000"/>
                <w:spacing w:val="0"/>
                <w:w w:val="100"/>
                <w:position w:val="0"/>
                <w:sz w:val="20"/>
                <w:szCs w:val="20"/>
              </w:rPr>
              <w:t>月</w:t>
            </w:r>
            <w:r>
              <w:rPr>
                <w:rFonts w:ascii="SimSun" w:eastAsia="SimSun" w:hAnsi="SimSun" w:cs="SimSun"/>
                <w:b/>
                <w:bCs/>
                <w:color w:val="000000"/>
                <w:spacing w:val="0"/>
                <w:w w:val="100"/>
                <w:position w:val="0"/>
                <w:sz w:val="20"/>
                <w:szCs w:val="20"/>
              </w:rPr>
              <w:t>1</w:t>
            </w:r>
            <w:r>
              <w:rPr>
                <w:rFonts w:ascii="SimSun" w:eastAsia="SimSun" w:hAnsi="SimSun" w:cs="SimSun"/>
                <w:color w:val="000000"/>
                <w:spacing w:val="0"/>
                <w:w w:val="100"/>
                <w:position w:val="0"/>
                <w:sz w:val="20"/>
                <w:szCs w:val="20"/>
              </w:rPr>
              <w:t>日确认的租赁负债</w:t>
            </w:r>
            <w:r>
              <w:rPr>
                <w:rFonts w:ascii="SimSun" w:eastAsia="SimSun" w:hAnsi="SimSun" w:cs="SimSun"/>
                <w:b/>
                <w:bCs/>
                <w:color w:val="000000"/>
                <w:spacing w:val="0"/>
                <w:w w:val="100"/>
                <w:position w:val="0"/>
                <w:sz w:val="20"/>
                <w:szCs w:val="20"/>
              </w:rPr>
              <w:t>(</w:t>
            </w:r>
            <w:r>
              <w:rPr>
                <w:rFonts w:ascii="SimSun" w:eastAsia="SimSun" w:hAnsi="SimSun" w:cs="SimSun"/>
                <w:color w:val="000000"/>
                <w:spacing w:val="0"/>
                <w:w w:val="100"/>
                <w:position w:val="0"/>
                <w:sz w:val="20"/>
                <w:szCs w:val="20"/>
              </w:rPr>
              <w:t>含一年内 至</w:t>
            </w:r>
            <w:r>
              <w:rPr>
                <w:rFonts w:ascii="SimSun" w:eastAsia="SimSun" w:hAnsi="SimSun" w:cs="SimSun"/>
                <w:b/>
                <w:bCs/>
                <w:color w:val="000000"/>
                <w:spacing w:val="0"/>
                <w:w w:val="100"/>
                <w:position w:val="0"/>
                <w:sz w:val="20"/>
                <w:szCs w:val="20"/>
              </w:rPr>
              <w:t>U</w:t>
            </w:r>
            <w:r>
              <w:rPr>
                <w:rFonts w:ascii="SimSun" w:eastAsia="SimSun" w:hAnsi="SimSun" w:cs="SimSun"/>
                <w:color w:val="000000"/>
                <w:spacing w:val="0"/>
                <w:w w:val="100"/>
                <w:position w:val="0"/>
                <w:sz w:val="20"/>
                <w:szCs w:val="20"/>
              </w:rPr>
              <w:t>期的非流动负债</w:t>
            </w:r>
            <w:r>
              <w:rPr>
                <w:rFonts w:ascii="SimSun" w:eastAsia="SimSun" w:hAnsi="SimSun" w:cs="SimSun"/>
                <w:b/>
                <w:bCs/>
                <w:color w:val="000000"/>
                <w:spacing w:val="0"/>
                <w:w w:val="100"/>
                <w:position w:val="0"/>
                <w:sz w:val="20"/>
                <w:szCs w:val="20"/>
              </w:rPr>
              <w:t>)(</w:t>
            </w:r>
            <w:r>
              <w:rPr>
                <w:rFonts w:ascii="SimSun" w:eastAsia="SimSun" w:hAnsi="SimSun" w:cs="SimSun"/>
                <w:color w:val="000000"/>
                <w:spacing w:val="0"/>
                <w:w w:val="100"/>
                <w:position w:val="0"/>
                <w:sz w:val="20"/>
                <w:szCs w:val="20"/>
              </w:rPr>
              <w:t>附注二</w:t>
            </w:r>
            <w:r>
              <w:rPr>
                <w:rFonts w:ascii="SimSun" w:eastAsia="SimSun" w:hAnsi="SimSun" w:cs="SimSun"/>
                <w:b/>
                <w:bCs/>
                <w:color w:val="000000"/>
                <w:spacing w:val="0"/>
                <w:w w:val="100"/>
                <w:position w:val="0"/>
                <w:sz w:val="20"/>
                <w:szCs w:val="20"/>
              </w:rPr>
              <w:t>(30)(a)(i))</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35,120,984</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192,459</w:t>
            </w:r>
          </w:p>
        </w:tc>
      </w:tr>
    </w:tbl>
    <w:p>
      <w:pPr>
        <w:sectPr>
          <w:footnotePr>
            <w:pos w:val="pageBottom"/>
            <w:numFmt w:val="decimal"/>
            <w:numStart w:val="1"/>
            <w:numRestart w:val="continuous"/>
            <w15:footnoteColumns w:val="1"/>
          </w:footnotePr>
          <w:pgSz w:w="11900" w:h="16840"/>
          <w:pgMar w:top="2338" w:right="1327" w:bottom="2852" w:left="1679" w:header="0" w:footer="3" w:gutter="0"/>
          <w:cols w:space="720"/>
          <w:noEndnote/>
          <w:rtlGutter w:val="0"/>
          <w:docGrid w:linePitch="360"/>
        </w:sectPr>
      </w:pPr>
    </w:p>
    <w:p>
      <w:pPr>
        <w:pStyle w:val="Style72"/>
        <w:keepNext w:val="0"/>
        <w:keepLines w:val="0"/>
        <w:widowControl w:val="0"/>
        <w:shd w:val="clear" w:color="auto" w:fill="auto"/>
        <w:tabs>
          <w:tab w:pos="696" w:val="left"/>
        </w:tabs>
        <w:bidi w:val="0"/>
        <w:spacing w:before="0" w:after="260" w:line="240" w:lineRule="auto"/>
        <w:ind w:left="0" w:right="0" w:firstLine="0"/>
        <w:jc w:val="left"/>
        <w:rPr>
          <w:sz w:val="28"/>
          <w:szCs w:val="28"/>
        </w:rPr>
      </w:pPr>
      <w:r>
        <w:rPr>
          <w:b/>
          <w:bCs/>
          <w:color w:val="000000"/>
          <w:spacing w:val="0"/>
          <w:w w:val="100"/>
          <w:position w:val="0"/>
          <w:sz w:val="24"/>
          <w:szCs w:val="24"/>
        </w:rPr>
        <w:t>二</w:t>
        <w:tab/>
        <w:t>主要会计政策和会计估计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00" w:line="240" w:lineRule="auto"/>
        <w:ind w:left="0" w:right="0" w:firstLine="0"/>
        <w:jc w:val="left"/>
        <w:rPr>
          <w:sz w:val="28"/>
          <w:szCs w:val="28"/>
        </w:rPr>
      </w:pPr>
      <w:r>
        <w:rPr>
          <w:rFonts w:ascii="Arial" w:eastAsia="Arial" w:hAnsi="Arial" w:cs="Arial"/>
          <w:color w:val="000000"/>
          <w:spacing w:val="0"/>
          <w:w w:val="100"/>
          <w:position w:val="0"/>
          <w:sz w:val="24"/>
          <w:szCs w:val="24"/>
        </w:rPr>
        <w:t>(30)</w:t>
      </w:r>
      <w:r>
        <w:rPr>
          <w:b/>
          <w:bCs/>
          <w:color w:val="000000"/>
          <w:spacing w:val="0"/>
          <w:w w:val="100"/>
          <w:position w:val="0"/>
          <w:sz w:val="24"/>
          <w:szCs w:val="24"/>
        </w:rPr>
        <w:t>重要会计政策变更</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71"/>
        </w:numPr>
        <w:shd w:val="clear" w:color="auto" w:fill="auto"/>
        <w:tabs>
          <w:tab w:pos="696" w:val="left"/>
        </w:tabs>
        <w:bidi w:val="0"/>
        <w:spacing w:before="0" w:after="200" w:line="322" w:lineRule="exact"/>
        <w:ind w:right="0" w:hanging="720"/>
        <w:jc w:val="left"/>
      </w:pPr>
      <w:bookmarkStart w:id="888" w:name="bookmark888"/>
      <w:bookmarkEnd w:id="888"/>
      <w:r>
        <w:rPr>
          <w:color w:val="000000"/>
          <w:spacing w:val="0"/>
          <w:w w:val="100"/>
          <w:position w:val="0"/>
          <w:sz w:val="24"/>
          <w:szCs w:val="24"/>
        </w:rPr>
        <w:t>基准利率改革导致金融资产或金融负债合同现金流量的确定基础发生变更的 会计处理</w:t>
      </w:r>
    </w:p>
    <w:p>
      <w:pPr>
        <w:pStyle w:val="Style72"/>
        <w:keepNext w:val="0"/>
        <w:keepLines w:val="0"/>
        <w:widowControl w:val="0"/>
        <w:shd w:val="clear" w:color="auto" w:fill="auto"/>
        <w:bidi w:val="0"/>
        <w:spacing w:before="0" w:after="240" w:line="314" w:lineRule="exact"/>
        <w:ind w:left="620" w:right="0" w:firstLine="0"/>
        <w:jc w:val="both"/>
        <w:sectPr>
          <w:footnotePr>
            <w:pos w:val="pageBottom"/>
            <w:numFmt w:val="decimal"/>
            <w:numStart w:val="1"/>
            <w:numRestart w:val="continuous"/>
            <w15:footnoteColumns w:val="1"/>
          </w:footnotePr>
          <w:pgSz w:w="11900" w:h="16840"/>
          <w:pgMar w:top="2410" w:right="1503" w:bottom="2410" w:left="1699" w:header="0" w:footer="3" w:gutter="0"/>
          <w:cols w:space="720"/>
          <w:noEndnote/>
          <w:rtlGutter w:val="0"/>
          <w:docGrid w:linePitch="360"/>
        </w:sectPr>
      </w:pPr>
      <w:r>
        <w:rPr>
          <w:color w:val="000000"/>
          <w:spacing w:val="0"/>
          <w:w w:val="100"/>
          <w:position w:val="0"/>
          <w:sz w:val="24"/>
          <w:szCs w:val="24"/>
        </w:rPr>
        <w:t>本集团及本公司在编制</w:t>
      </w:r>
      <w:r>
        <w:rPr>
          <w:rFonts w:ascii="Arial" w:eastAsia="Arial" w:hAnsi="Arial" w:cs="Arial"/>
          <w:color w:val="000000"/>
          <w:spacing w:val="0"/>
          <w:w w:val="100"/>
          <w:position w:val="0"/>
          <w:sz w:val="24"/>
          <w:szCs w:val="24"/>
        </w:rPr>
        <w:t>2021</w:t>
      </w:r>
      <w:r>
        <w:rPr>
          <w:color w:val="000000"/>
          <w:spacing w:val="0"/>
          <w:w w:val="100"/>
          <w:position w:val="0"/>
          <w:sz w:val="24"/>
          <w:szCs w:val="24"/>
        </w:rPr>
        <w:t>年度财务报表时，已采用《企业会计准则解释 第</w:t>
      </w:r>
      <w:r>
        <w:rPr>
          <w:rFonts w:ascii="Arial" w:eastAsia="Arial" w:hAnsi="Arial" w:cs="Arial"/>
          <w:color w:val="000000"/>
          <w:spacing w:val="0"/>
          <w:w w:val="100"/>
          <w:position w:val="0"/>
          <w:sz w:val="24"/>
          <w:szCs w:val="24"/>
        </w:rPr>
        <w:t>14</w:t>
      </w:r>
      <w:r>
        <w:rPr>
          <w:color w:val="000000"/>
          <w:spacing w:val="0"/>
          <w:w w:val="100"/>
          <w:position w:val="0"/>
          <w:sz w:val="24"/>
          <w:szCs w:val="24"/>
        </w:rPr>
        <w:t>号》有关基准利率改革导致金融资产或金融负债合同现金流量的确定 基础发生变更的会计处理。截至</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日，本集团及本公司尚未 完成参考基准利率替换</w:t>
      </w:r>
      <w:r>
        <w:rPr>
          <w:rFonts w:ascii="Arial" w:eastAsia="Arial" w:hAnsi="Arial" w:cs="Arial"/>
          <w:color w:val="000000"/>
          <w:spacing w:val="0"/>
          <w:w w:val="100"/>
          <w:position w:val="0"/>
          <w:sz w:val="24"/>
          <w:szCs w:val="24"/>
        </w:rPr>
        <w:t>(</w:t>
      </w:r>
      <w:r>
        <w:rPr>
          <w:color w:val="000000"/>
          <w:spacing w:val="0"/>
          <w:w w:val="100"/>
          <w:position w:val="0"/>
          <w:sz w:val="24"/>
          <w:szCs w:val="24"/>
        </w:rPr>
        <w:t>附注十三</w:t>
      </w:r>
      <w:r>
        <w:rPr>
          <w:rFonts w:ascii="Arial" w:eastAsia="Arial" w:hAnsi="Arial" w:cs="Arial"/>
          <w:color w:val="000000"/>
          <w:spacing w:val="0"/>
          <w:w w:val="100"/>
          <w:position w:val="0"/>
          <w:sz w:val="24"/>
          <w:szCs w:val="24"/>
        </w:rPr>
        <w:t>(1)(b))</w:t>
      </w:r>
      <w:r>
        <w:rPr>
          <w:color w:val="000000"/>
          <w:spacing w:val="0"/>
          <w:w w:val="100"/>
          <w:position w:val="0"/>
          <w:sz w:val="24"/>
          <w:szCs w:val="24"/>
        </w:rPr>
        <w:t>。</w:t>
      </w:r>
    </w:p>
    <w:p>
      <w:pPr>
        <w:pStyle w:val="Style72"/>
        <w:keepNext w:val="0"/>
        <w:keepLines w:val="0"/>
        <w:widowControl w:val="0"/>
        <w:shd w:val="clear" w:color="auto" w:fill="auto"/>
        <w:tabs>
          <w:tab w:pos="672" w:val="left"/>
        </w:tabs>
        <w:bidi w:val="0"/>
        <w:spacing w:before="0" w:after="300" w:line="240" w:lineRule="auto"/>
        <w:ind w:left="0" w:right="0" w:firstLine="0"/>
        <w:jc w:val="both"/>
      </w:pPr>
      <w:r>
        <w:rPr>
          <w:b/>
          <w:bCs/>
          <w:color w:val="000000"/>
          <w:spacing w:val="0"/>
          <w:w w:val="100"/>
          <w:position w:val="0"/>
          <w:sz w:val="24"/>
          <w:szCs w:val="24"/>
        </w:rPr>
        <w:t>三</w:t>
        <w:tab/>
        <w:t>税项</w:t>
      </w:r>
    </w:p>
    <w:p>
      <w:pPr>
        <w:pStyle w:val="Style72"/>
        <w:keepNext w:val="0"/>
        <w:keepLines w:val="0"/>
        <w:widowControl w:val="0"/>
        <w:shd w:val="clear" w:color="auto" w:fill="auto"/>
        <w:tabs>
          <w:tab w:pos="672" w:val="left"/>
        </w:tabs>
        <w:bidi w:val="0"/>
        <w:spacing w:before="0" w:after="260" w:line="240" w:lineRule="auto"/>
        <w:ind w:left="0" w:right="0" w:firstLine="0"/>
        <w:jc w:val="both"/>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本集团适用的主要税种及其税率列示如下：</w:t>
      </w:r>
    </w:p>
    <w:p>
      <w:pPr>
        <w:pStyle w:val="Style72"/>
        <w:keepNext w:val="0"/>
        <w:keepLines w:val="0"/>
        <w:widowControl w:val="0"/>
        <w:shd w:val="clear" w:color="auto" w:fill="auto"/>
        <w:tabs>
          <w:tab w:pos="2309" w:val="left"/>
          <w:tab w:pos="4253" w:val="left"/>
        </w:tabs>
        <w:bidi w:val="0"/>
        <w:spacing w:before="0" w:after="260" w:line="312" w:lineRule="exact"/>
        <w:ind w:left="0" w:right="0" w:firstLine="720"/>
        <w:jc w:val="both"/>
      </w:pPr>
      <w:r>
        <w:rPr>
          <w:color w:val="000000"/>
          <w:spacing w:val="0"/>
          <w:w w:val="100"/>
          <w:position w:val="0"/>
          <w:sz w:val="24"/>
          <w:szCs w:val="24"/>
        </w:rPr>
        <w:t>税种</w:t>
        <w:tab/>
        <w:t>计税依据</w:t>
        <w:tab/>
        <w:t>税率</w:t>
      </w:r>
    </w:p>
    <w:p>
      <w:pPr>
        <w:pStyle w:val="Style72"/>
        <w:keepNext w:val="0"/>
        <w:keepLines w:val="0"/>
        <w:widowControl w:val="0"/>
        <w:shd w:val="clear" w:color="auto" w:fill="auto"/>
        <w:bidi w:val="0"/>
        <w:spacing w:before="0" w:after="260" w:line="312" w:lineRule="exact"/>
        <w:ind w:left="0" w:right="0" w:firstLine="720"/>
        <w:jc w:val="both"/>
      </w:pPr>
      <w:r>
        <w:rPr>
          <w:color w:val="000000"/>
          <w:spacing w:val="0"/>
          <w:w w:val="100"/>
          <w:position w:val="0"/>
          <w:sz w:val="24"/>
          <w:szCs w:val="24"/>
        </w:rPr>
        <w:t>本公司及境内子公司：</w:t>
      </w:r>
    </w:p>
    <w:p>
      <w:pPr>
        <w:pStyle w:val="Style72"/>
        <w:keepNext w:val="0"/>
        <w:keepLines w:val="0"/>
        <w:widowControl w:val="0"/>
        <w:shd w:val="clear" w:color="auto" w:fill="auto"/>
        <w:tabs>
          <w:tab w:pos="4253" w:val="left"/>
        </w:tabs>
        <w:bidi w:val="0"/>
        <w:spacing w:before="0" w:after="0" w:line="312" w:lineRule="exact"/>
        <w:ind w:left="0" w:right="0" w:firstLine="720"/>
        <w:jc w:val="both"/>
      </w:pPr>
      <w:r>
        <w:rPr>
          <w:color w:val="000000"/>
          <w:spacing w:val="0"/>
          <w:w w:val="100"/>
          <w:position w:val="0"/>
          <w:sz w:val="24"/>
          <w:szCs w:val="24"/>
        </w:rPr>
        <w:t>企业所得税</w:t>
      </w:r>
      <w:r>
        <w:rPr>
          <w:rFonts w:ascii="Arial" w:eastAsia="Arial" w:hAnsi="Arial" w:cs="Arial"/>
          <w:color w:val="000000"/>
          <w:spacing w:val="0"/>
          <w:w w:val="100"/>
          <w:position w:val="0"/>
          <w:sz w:val="24"/>
          <w:szCs w:val="24"/>
        </w:rPr>
        <w:t>(a)</w:t>
      </w:r>
      <w:r>
        <w:rPr>
          <w:color w:val="000000"/>
          <w:spacing w:val="0"/>
          <w:w w:val="100"/>
          <w:position w:val="0"/>
          <w:sz w:val="24"/>
          <w:szCs w:val="24"/>
        </w:rPr>
        <w:t>应纳税所得额</w:t>
        <w:tab/>
        <w:t>企业所得税税率一般为</w:t>
      </w:r>
      <w:r>
        <w:rPr>
          <w:rFonts w:ascii="Arial" w:eastAsia="Arial" w:hAnsi="Arial" w:cs="Arial"/>
          <w:color w:val="000000"/>
          <w:spacing w:val="0"/>
          <w:w w:val="100"/>
          <w:position w:val="0"/>
          <w:sz w:val="24"/>
          <w:szCs w:val="24"/>
        </w:rPr>
        <w:t>25%</w:t>
      </w:r>
      <w:r>
        <w:rPr>
          <w:color w:val="000000"/>
          <w:spacing w:val="0"/>
          <w:w w:val="100"/>
          <w:position w:val="0"/>
          <w:sz w:val="24"/>
          <w:szCs w:val="24"/>
        </w:rPr>
        <w:t>，部分子公司</w:t>
      </w:r>
    </w:p>
    <w:p>
      <w:pPr>
        <w:pStyle w:val="Style72"/>
        <w:keepNext w:val="0"/>
        <w:keepLines w:val="0"/>
        <w:widowControl w:val="0"/>
        <w:shd w:val="clear" w:color="auto" w:fill="auto"/>
        <w:bidi w:val="0"/>
        <w:spacing w:before="0" w:after="260" w:line="312" w:lineRule="exact"/>
        <w:ind w:left="4260" w:right="0" w:firstLine="0"/>
        <w:jc w:val="left"/>
      </w:pPr>
      <w:r>
        <w:rPr>
          <w:color w:val="000000"/>
          <w:spacing w:val="0"/>
          <w:w w:val="100"/>
          <w:position w:val="0"/>
          <w:sz w:val="24"/>
          <w:szCs w:val="24"/>
        </w:rPr>
        <w:t>可以享受企业所得税优惠税率：</w:t>
      </w:r>
    </w:p>
    <w:p>
      <w:pPr>
        <w:pStyle w:val="Style72"/>
        <w:keepNext w:val="0"/>
        <w:keepLines w:val="0"/>
        <w:widowControl w:val="0"/>
        <w:shd w:val="clear" w:color="auto" w:fill="auto"/>
        <w:bidi w:val="0"/>
        <w:spacing w:before="0" w:after="260" w:line="326" w:lineRule="exact"/>
        <w:ind w:left="4260" w:right="0" w:firstLine="0"/>
        <w:jc w:val="left"/>
      </w:pPr>
      <w:r>
        <w:rPr>
          <w:color w:val="000000"/>
          <w:spacing w:val="0"/>
          <w:w w:val="100"/>
          <w:position w:val="0"/>
          <w:sz w:val="24"/>
          <w:szCs w:val="24"/>
        </w:rPr>
        <w:t>对设在西部地区的鼓励类企业减按</w:t>
      </w:r>
      <w:r>
        <w:rPr>
          <w:rFonts w:ascii="Arial" w:eastAsia="Arial" w:hAnsi="Arial" w:cs="Arial"/>
          <w:color w:val="000000"/>
          <w:spacing w:val="0"/>
          <w:w w:val="100"/>
          <w:position w:val="0"/>
          <w:sz w:val="24"/>
          <w:szCs w:val="24"/>
        </w:rPr>
        <w:t>15%</w:t>
      </w:r>
      <w:r>
        <w:rPr>
          <w:color w:val="000000"/>
          <w:spacing w:val="0"/>
          <w:w w:val="100"/>
          <w:position w:val="0"/>
          <w:sz w:val="24"/>
          <w:szCs w:val="24"/>
        </w:rPr>
        <w:t>征 收企业所得税；</w:t>
      </w:r>
    </w:p>
    <w:p>
      <w:pPr>
        <w:pStyle w:val="Style72"/>
        <w:keepNext w:val="0"/>
        <w:keepLines w:val="0"/>
        <w:widowControl w:val="0"/>
        <w:shd w:val="clear" w:color="auto" w:fill="auto"/>
        <w:bidi w:val="0"/>
        <w:spacing w:before="0" w:after="300" w:line="312" w:lineRule="exact"/>
        <w:ind w:left="4260" w:right="0" w:firstLine="0"/>
        <w:jc w:val="left"/>
      </w:pPr>
      <w:r>
        <w:rPr>
          <w:color w:val="000000"/>
          <w:spacing w:val="0"/>
          <w:w w:val="100"/>
          <w:position w:val="0"/>
          <w:sz w:val="24"/>
          <w:szCs w:val="24"/>
        </w:rPr>
        <w:t>自</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日至</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 xml:space="preserve">日， 对小型微利企业年应纳税所得额不超过 </w:t>
      </w:r>
      <w:r>
        <w:rPr>
          <w:rFonts w:ascii="Arial" w:eastAsia="Arial" w:hAnsi="Arial" w:cs="Arial"/>
          <w:color w:val="000000"/>
          <w:spacing w:val="0"/>
          <w:w w:val="100"/>
          <w:position w:val="0"/>
          <w:sz w:val="24"/>
          <w:szCs w:val="24"/>
        </w:rPr>
        <w:t>100</w:t>
      </w:r>
      <w:r>
        <w:rPr>
          <w:color w:val="000000"/>
          <w:spacing w:val="0"/>
          <w:w w:val="100"/>
          <w:position w:val="0"/>
          <w:sz w:val="24"/>
          <w:szCs w:val="24"/>
        </w:rPr>
        <w:t>万元的部分，减按</w:t>
      </w:r>
      <w:r>
        <w:rPr>
          <w:rFonts w:ascii="Arial" w:eastAsia="Arial" w:hAnsi="Arial" w:cs="Arial"/>
          <w:color w:val="000000"/>
          <w:spacing w:val="0"/>
          <w:w w:val="100"/>
          <w:position w:val="0"/>
          <w:sz w:val="24"/>
          <w:szCs w:val="24"/>
        </w:rPr>
        <w:t>25%</w:t>
      </w:r>
      <w:r>
        <w:rPr>
          <w:color w:val="000000"/>
          <w:spacing w:val="0"/>
          <w:w w:val="100"/>
          <w:position w:val="0"/>
          <w:sz w:val="24"/>
          <w:szCs w:val="24"/>
        </w:rPr>
        <w:t>计入应纳税所 得额，按</w:t>
      </w:r>
      <w:r>
        <w:rPr>
          <w:rFonts w:ascii="Arial" w:eastAsia="Arial" w:hAnsi="Arial" w:cs="Arial"/>
          <w:color w:val="000000"/>
          <w:spacing w:val="0"/>
          <w:w w:val="100"/>
          <w:position w:val="0"/>
          <w:sz w:val="24"/>
          <w:szCs w:val="24"/>
        </w:rPr>
        <w:t>20%</w:t>
      </w:r>
      <w:r>
        <w:rPr>
          <w:color w:val="000000"/>
          <w:spacing w:val="0"/>
          <w:w w:val="100"/>
          <w:position w:val="0"/>
          <w:sz w:val="24"/>
          <w:szCs w:val="24"/>
        </w:rPr>
        <w:t>的税率缴纳企业所得税；对 年应纳税所得额超过</w:t>
      </w:r>
      <w:r>
        <w:rPr>
          <w:rFonts w:ascii="Arial" w:eastAsia="Arial" w:hAnsi="Arial" w:cs="Arial"/>
          <w:color w:val="000000"/>
          <w:spacing w:val="0"/>
          <w:w w:val="100"/>
          <w:position w:val="0"/>
          <w:sz w:val="24"/>
          <w:szCs w:val="24"/>
        </w:rPr>
        <w:t>100</w:t>
      </w:r>
      <w:r>
        <w:rPr>
          <w:color w:val="000000"/>
          <w:spacing w:val="0"/>
          <w:w w:val="100"/>
          <w:position w:val="0"/>
          <w:sz w:val="24"/>
          <w:szCs w:val="24"/>
        </w:rPr>
        <w:t xml:space="preserve">万元但不超过 </w:t>
      </w:r>
      <w:r>
        <w:rPr>
          <w:rFonts w:ascii="Arial" w:eastAsia="Arial" w:hAnsi="Arial" w:cs="Arial"/>
          <w:color w:val="000000"/>
          <w:spacing w:val="0"/>
          <w:w w:val="100"/>
          <w:position w:val="0"/>
          <w:sz w:val="24"/>
          <w:szCs w:val="24"/>
        </w:rPr>
        <w:t>300</w:t>
      </w:r>
      <w:r>
        <w:rPr>
          <w:color w:val="000000"/>
          <w:spacing w:val="0"/>
          <w:w w:val="100"/>
          <w:position w:val="0"/>
          <w:sz w:val="24"/>
          <w:szCs w:val="24"/>
        </w:rPr>
        <w:t>万元的部分，减按</w:t>
      </w:r>
      <w:r>
        <w:rPr>
          <w:rFonts w:ascii="Arial" w:eastAsia="Arial" w:hAnsi="Arial" w:cs="Arial"/>
          <w:color w:val="000000"/>
          <w:spacing w:val="0"/>
          <w:w w:val="100"/>
          <w:position w:val="0"/>
          <w:sz w:val="24"/>
          <w:szCs w:val="24"/>
        </w:rPr>
        <w:t>50%</w:t>
      </w:r>
      <w:r>
        <w:rPr>
          <w:color w:val="000000"/>
          <w:spacing w:val="0"/>
          <w:w w:val="100"/>
          <w:position w:val="0"/>
          <w:sz w:val="24"/>
          <w:szCs w:val="24"/>
        </w:rPr>
        <w:t>计入应纳税所 得额，按</w:t>
      </w:r>
      <w:r>
        <w:rPr>
          <w:rFonts w:ascii="Arial" w:eastAsia="Arial" w:hAnsi="Arial" w:cs="Arial"/>
          <w:color w:val="000000"/>
          <w:spacing w:val="0"/>
          <w:w w:val="100"/>
          <w:position w:val="0"/>
          <w:sz w:val="24"/>
          <w:szCs w:val="24"/>
        </w:rPr>
        <w:t>20%</w:t>
      </w:r>
      <w:r>
        <w:rPr>
          <w:color w:val="000000"/>
          <w:spacing w:val="0"/>
          <w:w w:val="100"/>
          <w:position w:val="0"/>
          <w:sz w:val="24"/>
          <w:szCs w:val="24"/>
        </w:rPr>
        <w:t xml:space="preserve">的税率缴纳企业所得税。自 </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日至</w:t>
      </w:r>
      <w:r>
        <w:rPr>
          <w:rFonts w:ascii="Arial" w:eastAsia="Arial" w:hAnsi="Arial" w:cs="Arial"/>
          <w:color w:val="000000"/>
          <w:spacing w:val="0"/>
          <w:w w:val="100"/>
          <w:position w:val="0"/>
          <w:sz w:val="24"/>
          <w:szCs w:val="24"/>
        </w:rPr>
        <w:t>2022</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 xml:space="preserve">日， 对小型微利企业年应纳税所得额不超过 </w:t>
      </w:r>
      <w:r>
        <w:rPr>
          <w:rFonts w:ascii="Arial" w:eastAsia="Arial" w:hAnsi="Arial" w:cs="Arial"/>
          <w:color w:val="000000"/>
          <w:spacing w:val="0"/>
          <w:w w:val="100"/>
          <w:position w:val="0"/>
          <w:sz w:val="24"/>
          <w:szCs w:val="24"/>
        </w:rPr>
        <w:t>100</w:t>
      </w:r>
      <w:r>
        <w:rPr>
          <w:color w:val="000000"/>
          <w:spacing w:val="0"/>
          <w:w w:val="100"/>
          <w:position w:val="0"/>
          <w:sz w:val="24"/>
          <w:szCs w:val="24"/>
        </w:rPr>
        <w:t>万元的部分，在上述优惠政策基础上， 再减半征收企业所得税。</w:t>
      </w:r>
    </w:p>
    <w:p>
      <w:pPr>
        <w:pStyle w:val="Style72"/>
        <w:keepNext w:val="0"/>
        <w:keepLines w:val="0"/>
        <w:widowControl w:val="0"/>
        <w:shd w:val="clear" w:color="auto" w:fill="auto"/>
        <w:bidi w:val="0"/>
        <w:spacing w:before="0" w:after="260" w:line="293" w:lineRule="exact"/>
        <w:ind w:left="4260" w:right="0" w:firstLine="0"/>
        <w:jc w:val="left"/>
        <w:sectPr>
          <w:footnotePr>
            <w:pos w:val="pageBottom"/>
            <w:numFmt w:val="decimal"/>
            <w:numStart w:val="1"/>
            <w:numRestart w:val="continuous"/>
            <w15:footnoteColumns w:val="1"/>
          </w:footnotePr>
          <w:pgSz w:w="11900" w:h="16840"/>
          <w:pgMar w:top="2338" w:right="1297" w:bottom="2338" w:left="1709" w:header="0" w:footer="3" w:gutter="0"/>
          <w:cols w:space="720"/>
          <w:noEndnote/>
          <w:rtlGutter w:val="0"/>
          <w:docGrid w:linePitch="360"/>
        </w:sectPr>
      </w:pPr>
      <w:r>
        <w:rPr>
          <w:color w:val="000000"/>
          <w:spacing w:val="0"/>
          <w:w w:val="100"/>
          <w:position w:val="0"/>
          <w:sz w:val="24"/>
          <w:szCs w:val="24"/>
        </w:rPr>
        <w:t xml:space="preserve">对国家需要重点扶持的高新技术企业，减按 </w:t>
      </w:r>
      <w:r>
        <w:rPr>
          <w:rFonts w:ascii="Arial" w:eastAsia="Arial" w:hAnsi="Arial" w:cs="Arial"/>
          <w:color w:val="000000"/>
          <w:spacing w:val="0"/>
          <w:w w:val="100"/>
          <w:position w:val="0"/>
          <w:sz w:val="24"/>
          <w:szCs w:val="24"/>
        </w:rPr>
        <w:t>15%</w:t>
      </w:r>
      <w:r>
        <w:rPr>
          <w:color w:val="000000"/>
          <w:spacing w:val="0"/>
          <w:w w:val="100"/>
          <w:position w:val="0"/>
          <w:sz w:val="24"/>
          <w:szCs w:val="24"/>
        </w:rPr>
        <w:t>的税率征收企业所得税。</w:t>
      </w:r>
    </w:p>
    <w:p>
      <w:pPr>
        <w:pStyle w:val="Style72"/>
        <w:keepNext w:val="0"/>
        <w:keepLines w:val="0"/>
        <w:widowControl w:val="0"/>
        <w:shd w:val="clear" w:color="auto" w:fill="auto"/>
        <w:tabs>
          <w:tab w:pos="701" w:val="left"/>
        </w:tabs>
        <w:bidi w:val="0"/>
        <w:spacing w:before="0" w:after="300" w:line="240" w:lineRule="auto"/>
        <w:ind w:left="0" w:right="0" w:firstLine="0"/>
        <w:jc w:val="both"/>
        <w:rPr>
          <w:sz w:val="28"/>
          <w:szCs w:val="28"/>
        </w:rPr>
      </w:pPr>
      <w:r>
        <w:rPr>
          <w:b/>
          <w:bCs/>
          <w:color w:val="000000"/>
          <w:spacing w:val="0"/>
          <w:w w:val="100"/>
          <w:position w:val="0"/>
          <w:sz w:val="24"/>
          <w:szCs w:val="24"/>
        </w:rPr>
        <w:t>三</w:t>
        <w:tab/>
        <w:t>税项</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1" w:val="left"/>
        </w:tabs>
        <w:bidi w:val="0"/>
        <w:spacing w:before="0" w:after="300" w:line="240" w:lineRule="auto"/>
        <w:ind w:left="0" w:right="0" w:firstLine="0"/>
        <w:jc w:val="both"/>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本集团适用的主要税种及其税率列示如下</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r>
        <w:rPr>
          <w:b/>
          <w:bCs/>
          <w:color w:val="000000"/>
          <w:spacing w:val="0"/>
          <w:w w:val="100"/>
          <w:position w:val="0"/>
          <w:sz w:val="24"/>
          <w:szCs w:val="24"/>
        </w:rPr>
        <w:t>：</w:t>
      </w:r>
    </w:p>
    <w:p>
      <w:pPr>
        <w:pStyle w:val="Style72"/>
        <w:keepNext w:val="0"/>
        <w:keepLines w:val="0"/>
        <w:widowControl w:val="0"/>
        <w:shd w:val="clear" w:color="auto" w:fill="auto"/>
        <w:tabs>
          <w:tab w:pos="2285" w:val="left"/>
          <w:tab w:pos="4229" w:val="left"/>
        </w:tabs>
        <w:bidi w:val="0"/>
        <w:spacing w:before="0" w:after="300" w:line="240" w:lineRule="auto"/>
        <w:ind w:left="0" w:right="0" w:firstLine="720"/>
        <w:jc w:val="both"/>
      </w:pPr>
      <w:r>
        <w:rPr>
          <w:color w:val="000000"/>
          <w:spacing w:val="0"/>
          <w:w w:val="100"/>
          <w:position w:val="0"/>
          <w:sz w:val="24"/>
          <w:szCs w:val="24"/>
        </w:rPr>
        <w:t>税种</w:t>
        <w:tab/>
        <w:t>计税依据</w:t>
        <w:tab/>
        <w:t>税率</w:t>
      </w:r>
    </w:p>
    <w:p>
      <w:pPr>
        <w:pStyle w:val="Style72"/>
        <w:keepNext w:val="0"/>
        <w:keepLines w:val="0"/>
        <w:widowControl w:val="0"/>
        <w:shd w:val="clear" w:color="auto" w:fill="auto"/>
        <w:bidi w:val="0"/>
        <w:spacing w:before="0" w:after="300" w:line="240" w:lineRule="auto"/>
        <w:ind w:left="0" w:right="0" w:firstLine="720"/>
        <w:jc w:val="both"/>
      </w:pPr>
      <w:r>
        <w:rPr>
          <w:color w:val="000000"/>
          <w:spacing w:val="0"/>
          <w:w w:val="100"/>
          <w:position w:val="0"/>
          <w:sz w:val="24"/>
          <w:szCs w:val="24"/>
        </w:rPr>
        <w:t>本公司及境内子公司</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tabs>
          <w:tab w:pos="2285" w:val="left"/>
          <w:tab w:pos="4229" w:val="left"/>
        </w:tabs>
        <w:bidi w:val="0"/>
        <w:spacing w:before="0" w:after="0" w:line="240" w:lineRule="auto"/>
        <w:ind w:left="0" w:right="0" w:firstLine="720"/>
        <w:jc w:val="both"/>
      </w:pPr>
      <w:r>
        <mc:AlternateContent>
          <mc:Choice Requires="wps">
            <w:drawing>
              <wp:anchor distT="0" distB="0" distL="114300" distR="114300" simplePos="0" relativeHeight="125829402" behindDoc="0" locked="0" layoutInCell="1" allowOverlap="1">
                <wp:simplePos x="0" y="0"/>
                <wp:positionH relativeFrom="page">
                  <wp:posOffset>2548255</wp:posOffset>
                </wp:positionH>
                <wp:positionV relativeFrom="paragraph">
                  <wp:posOffset>203200</wp:posOffset>
                </wp:positionV>
                <wp:extent cx="1106170" cy="1395730"/>
                <wp:wrapSquare wrapText="right"/>
                <wp:docPr id="34" name="Shape 34"/>
                <a:graphic xmlns:a="http://schemas.openxmlformats.org/drawingml/2006/main">
                  <a:graphicData uri="http://schemas.microsoft.com/office/word/2010/wordprocessingShape">
                    <wps:wsp>
                      <wps:cNvSpPr txBox="1"/>
                      <wps:spPr>
                        <a:xfrm>
                          <a:ext cx="1106170" cy="1395730"/>
                        </a:xfrm>
                        <a:prstGeom prst="rect"/>
                        <a:noFill/>
                      </wps:spPr>
                      <wps:txbx>
                        <w:txbxContent>
                          <w:p>
                            <w:pPr>
                              <w:pStyle w:val="Style72"/>
                              <w:keepNext w:val="0"/>
                              <w:keepLines w:val="0"/>
                              <w:widowControl w:val="0"/>
                              <w:shd w:val="clear" w:color="auto" w:fill="auto"/>
                              <w:bidi w:val="0"/>
                              <w:spacing w:before="0" w:after="0" w:line="313" w:lineRule="exact"/>
                              <w:ind w:left="0" w:right="0" w:firstLine="0"/>
                              <w:jc w:val="both"/>
                              <w:rPr>
                                <w:sz w:val="28"/>
                                <w:szCs w:val="28"/>
                              </w:rPr>
                            </w:pPr>
                            <w:r>
                              <w:rPr>
                                <w:rFonts w:ascii="Arial" w:eastAsia="Arial" w:hAnsi="Arial" w:cs="Arial"/>
                                <w:color w:val="000000"/>
                                <w:spacing w:val="0"/>
                                <w:w w:val="100"/>
                                <w:position w:val="0"/>
                                <w:sz w:val="24"/>
                                <w:szCs w:val="24"/>
                              </w:rPr>
                              <w:t>（</w:t>
                            </w:r>
                            <w:r>
                              <w:rPr>
                                <w:color w:val="000000"/>
                                <w:spacing w:val="0"/>
                                <w:w w:val="100"/>
                                <w:position w:val="0"/>
                                <w:sz w:val="24"/>
                                <w:szCs w:val="24"/>
                              </w:rPr>
                              <w:t>应纳税额按应 纳税销售额或应 税服务额乘以适 用税率扣除当期 允许抵扣的进项 税后的余额计 算</w:t>
                            </w:r>
                            <w:r>
                              <w:rPr>
                                <w:color w:val="000000"/>
                                <w:spacing w:val="0"/>
                                <w:w w:val="100"/>
                                <w:position w:val="0"/>
                                <w:sz w:val="28"/>
                                <w:szCs w:val="28"/>
                              </w:rPr>
                              <w:t>）</w:t>
                            </w:r>
                          </w:p>
                        </w:txbxContent>
                      </wps:txbx>
                      <wps:bodyPr lIns="0" tIns="0" rIns="0" bIns="0">
                        <a:noAutoFit/>
                      </wps:bodyPr>
                    </wps:wsp>
                  </a:graphicData>
                </a:graphic>
              </wp:anchor>
            </w:drawing>
          </mc:Choice>
          <mc:Fallback>
            <w:pict>
              <v:shape id="_x0000_s1060" type="#_x0000_t202" style="position:absolute;margin-left:200.65000000000001pt;margin-top:16.pt;width:87.100000000000009pt;height:109.90000000000001pt;z-index:-125829351;mso-wrap-distance-left:9.pt;mso-wrap-distance-right:9.pt;mso-position-horizontal-relative:page" filled="f" stroked="f">
                <v:textbox inset="0,0,0,0">
                  <w:txbxContent>
                    <w:p>
                      <w:pPr>
                        <w:pStyle w:val="Style72"/>
                        <w:keepNext w:val="0"/>
                        <w:keepLines w:val="0"/>
                        <w:widowControl w:val="0"/>
                        <w:shd w:val="clear" w:color="auto" w:fill="auto"/>
                        <w:bidi w:val="0"/>
                        <w:spacing w:before="0" w:after="0" w:line="313" w:lineRule="exact"/>
                        <w:ind w:left="0" w:right="0" w:firstLine="0"/>
                        <w:jc w:val="both"/>
                        <w:rPr>
                          <w:sz w:val="28"/>
                          <w:szCs w:val="28"/>
                        </w:rPr>
                      </w:pPr>
                      <w:r>
                        <w:rPr>
                          <w:rFonts w:ascii="Arial" w:eastAsia="Arial" w:hAnsi="Arial" w:cs="Arial"/>
                          <w:color w:val="000000"/>
                          <w:spacing w:val="0"/>
                          <w:w w:val="100"/>
                          <w:position w:val="0"/>
                          <w:sz w:val="24"/>
                          <w:szCs w:val="24"/>
                        </w:rPr>
                        <w:t>（</w:t>
                      </w:r>
                      <w:r>
                        <w:rPr>
                          <w:color w:val="000000"/>
                          <w:spacing w:val="0"/>
                          <w:w w:val="100"/>
                          <w:position w:val="0"/>
                          <w:sz w:val="24"/>
                          <w:szCs w:val="24"/>
                        </w:rPr>
                        <w:t>应纳税额按应 纳税销售额或应 税服务额乘以适 用税率扣除当期 允许抵扣的进项 税后的余额计 算</w:t>
                      </w:r>
                      <w:r>
                        <w:rPr>
                          <w:color w:val="000000"/>
                          <w:spacing w:val="0"/>
                          <w:w w:val="100"/>
                          <w:position w:val="0"/>
                          <w:sz w:val="28"/>
                          <w:szCs w:val="28"/>
                        </w:rPr>
                        <w:t>）</w:t>
                      </w:r>
                    </w:p>
                  </w:txbxContent>
                </v:textbox>
                <w10:wrap type="square" side="right" anchorx="page"/>
              </v:shape>
            </w:pict>
          </mc:Fallback>
        </mc:AlternateContent>
      </w:r>
      <w:r>
        <mc:AlternateContent>
          <mc:Choice Requires="wps">
            <w:drawing>
              <wp:anchor distT="0" distB="563880" distL="114300" distR="373380" simplePos="0" relativeHeight="125829404" behindDoc="0" locked="0" layoutInCell="1" allowOverlap="1">
                <wp:simplePos x="0" y="0"/>
                <wp:positionH relativeFrom="page">
                  <wp:posOffset>3785870</wp:posOffset>
                </wp:positionH>
                <wp:positionV relativeFrom="paragraph">
                  <wp:posOffset>203200</wp:posOffset>
                </wp:positionV>
                <wp:extent cx="2609215" cy="198120"/>
                <wp:wrapTopAndBottom/>
                <wp:docPr id="36" name="Shape 36"/>
                <a:graphic xmlns:a="http://schemas.openxmlformats.org/drawingml/2006/main">
                  <a:graphicData uri="http://schemas.microsoft.com/office/word/2010/wordprocessingShape">
                    <wps:wsp>
                      <wps:cNvSpPr txBox="1"/>
                      <wps:spPr>
                        <a:xfrm>
                          <a:ext cx="2609215" cy="19812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24"/>
                                <w:szCs w:val="24"/>
                              </w:rPr>
                              <w:t>3%</w:t>
                            </w:r>
                            <w:r>
                              <w:rPr>
                                <w:color w:val="000000"/>
                                <w:spacing w:val="0"/>
                                <w:w w:val="100"/>
                                <w:position w:val="0"/>
                                <w:sz w:val="24"/>
                                <w:szCs w:val="24"/>
                              </w:rPr>
                              <w:t>，一般纳税人增值税税率为</w:t>
                            </w:r>
                            <w:r>
                              <w:rPr>
                                <w:rFonts w:ascii="Arial" w:eastAsia="Arial" w:hAnsi="Arial" w:cs="Arial"/>
                                <w:color w:val="000000"/>
                                <w:spacing w:val="0"/>
                                <w:w w:val="100"/>
                                <w:position w:val="0"/>
                                <w:sz w:val="24"/>
                                <w:szCs w:val="24"/>
                              </w:rPr>
                              <w:t>13%</w:t>
                            </w:r>
                            <w:r>
                              <w:rPr>
                                <w:color w:val="000000"/>
                                <w:spacing w:val="0"/>
                                <w:w w:val="100"/>
                                <w:position w:val="0"/>
                                <w:sz w:val="24"/>
                                <w:szCs w:val="24"/>
                              </w:rPr>
                              <w:t>；</w:t>
                            </w:r>
                          </w:p>
                        </w:txbxContent>
                      </wps:txbx>
                      <wps:bodyPr wrap="none" lIns="0" tIns="0" rIns="0" bIns="0">
                        <a:noAutoFit/>
                      </wps:bodyPr>
                    </wps:wsp>
                  </a:graphicData>
                </a:graphic>
              </wp:anchor>
            </w:drawing>
          </mc:Choice>
          <mc:Fallback>
            <w:pict>
              <v:shape id="_x0000_s1062" type="#_x0000_t202" style="position:absolute;margin-left:298.10000000000002pt;margin-top:16.pt;width:205.45000000000002pt;height:15.6pt;z-index:-125829349;mso-wrap-distance-left:9.pt;mso-wrap-distance-right:29.400000000000002pt;mso-wrap-distance-bottom:44.39999999999999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24"/>
                          <w:szCs w:val="24"/>
                        </w:rPr>
                        <w:t>3%</w:t>
                      </w:r>
                      <w:r>
                        <w:rPr>
                          <w:color w:val="000000"/>
                          <w:spacing w:val="0"/>
                          <w:w w:val="100"/>
                          <w:position w:val="0"/>
                          <w:sz w:val="24"/>
                          <w:szCs w:val="24"/>
                        </w:rPr>
                        <w:t>，一般纳税人增值税税率为</w:t>
                      </w:r>
                      <w:r>
                        <w:rPr>
                          <w:rFonts w:ascii="Arial" w:eastAsia="Arial" w:hAnsi="Arial" w:cs="Arial"/>
                          <w:color w:val="000000"/>
                          <w:spacing w:val="0"/>
                          <w:w w:val="100"/>
                          <w:position w:val="0"/>
                          <w:sz w:val="24"/>
                          <w:szCs w:val="24"/>
                        </w:rPr>
                        <w:t>13%</w:t>
                      </w:r>
                      <w:r>
                        <w:rPr>
                          <w:color w:val="000000"/>
                          <w:spacing w:val="0"/>
                          <w:w w:val="100"/>
                          <w:position w:val="0"/>
                          <w:sz w:val="24"/>
                          <w:szCs w:val="24"/>
                        </w:rPr>
                        <w:t>；</w:t>
                      </w:r>
                    </w:p>
                  </w:txbxContent>
                </v:textbox>
                <w10:wrap type="topAndBottom" anchorx="page"/>
              </v:shape>
            </w:pict>
          </mc:Fallback>
        </mc:AlternateContent>
      </w:r>
      <w:r>
        <mc:AlternateContent>
          <mc:Choice Requires="wps">
            <w:drawing>
              <wp:anchor distT="374650" distB="0" distL="114300" distR="114300" simplePos="0" relativeHeight="125829406" behindDoc="0" locked="0" layoutInCell="1" allowOverlap="1">
                <wp:simplePos x="0" y="0"/>
                <wp:positionH relativeFrom="page">
                  <wp:posOffset>3785870</wp:posOffset>
                </wp:positionH>
                <wp:positionV relativeFrom="paragraph">
                  <wp:posOffset>577850</wp:posOffset>
                </wp:positionV>
                <wp:extent cx="2868295" cy="387350"/>
                <wp:wrapTopAndBottom/>
                <wp:docPr id="38" name="Shape 38"/>
                <a:graphic xmlns:a="http://schemas.openxmlformats.org/drawingml/2006/main">
                  <a:graphicData uri="http://schemas.microsoft.com/office/word/2010/wordprocessingShape">
                    <wps:wsp>
                      <wps:cNvSpPr txBox="1"/>
                      <wps:spPr>
                        <a:xfrm>
                          <a:ext cx="2868295" cy="387350"/>
                        </a:xfrm>
                        <a:prstGeom prst="rect"/>
                        <a:noFill/>
                      </wps:spPr>
                      <wps:txbx>
                        <w:txbxContent>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交通运输业服务：一般纳税人增值税税率为</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9%</w:t>
                            </w:r>
                            <w:r>
                              <w:rPr>
                                <w:color w:val="000000"/>
                                <w:spacing w:val="0"/>
                                <w:w w:val="100"/>
                                <w:position w:val="0"/>
                                <w:sz w:val="24"/>
                                <w:szCs w:val="24"/>
                              </w:rPr>
                              <w:t>；</w:t>
                            </w:r>
                          </w:p>
                        </w:txbxContent>
                      </wps:txbx>
                      <wps:bodyPr lIns="0" tIns="0" rIns="0" bIns="0">
                        <a:noAutoFit/>
                      </wps:bodyPr>
                    </wps:wsp>
                  </a:graphicData>
                </a:graphic>
              </wp:anchor>
            </w:drawing>
          </mc:Choice>
          <mc:Fallback>
            <w:pict>
              <v:shape id="_x0000_s1064" type="#_x0000_t202" style="position:absolute;margin-left:298.10000000000002pt;margin-top:45.5pt;width:225.84999999999999pt;height:30.5pt;z-index:-125829347;mso-wrap-distance-left:9.pt;mso-wrap-distance-top:29.5pt;mso-wrap-distance-right:9.pt;mso-position-horizontal-relative:page" filled="f" stroked="f">
                <v:textbox inset="0,0,0,0">
                  <w:txbxContent>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交通运输业服务：一般纳税人增值税税率为</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9%</w:t>
                      </w:r>
                      <w:r>
                        <w:rPr>
                          <w:color w:val="000000"/>
                          <w:spacing w:val="0"/>
                          <w:w w:val="100"/>
                          <w:position w:val="0"/>
                          <w:sz w:val="24"/>
                          <w:szCs w:val="24"/>
                        </w:rPr>
                        <w:t>；</w:t>
                      </w:r>
                    </w:p>
                  </w:txbxContent>
                </v:textbox>
                <w10:wrap type="topAndBottom" anchorx="page"/>
              </v:shape>
            </w:pict>
          </mc:Fallback>
        </mc:AlternateContent>
      </w:r>
      <w:r>
        <w:rPr>
          <w:color w:val="000000"/>
          <w:spacing w:val="0"/>
          <w:w w:val="100"/>
          <w:position w:val="0"/>
          <w:sz w:val="24"/>
          <w:szCs w:val="24"/>
        </w:rPr>
        <w:t>增值税</w:t>
      </w:r>
      <w:r>
        <w:rPr>
          <w:rFonts w:ascii="Arial" w:eastAsia="Arial" w:hAnsi="Arial" w:cs="Arial"/>
          <w:color w:val="000000"/>
          <w:spacing w:val="0"/>
          <w:w w:val="100"/>
          <w:position w:val="0"/>
          <w:sz w:val="24"/>
          <w:szCs w:val="24"/>
        </w:rPr>
        <w:t>（b）</w:t>
        <w:tab/>
      </w:r>
      <w:r>
        <w:rPr>
          <w:color w:val="000000"/>
          <w:spacing w:val="0"/>
          <w:w w:val="100"/>
          <w:position w:val="0"/>
          <w:sz w:val="24"/>
          <w:szCs w:val="24"/>
        </w:rPr>
        <w:t>应纳税营业额</w:t>
        <w:tab/>
        <w:t>家用电器销售：小规模纳税人增值税征收率</w:t>
      </w:r>
    </w:p>
    <w:p>
      <w:pPr>
        <w:pStyle w:val="Style72"/>
        <w:keepNext w:val="0"/>
        <w:keepLines w:val="0"/>
        <w:widowControl w:val="0"/>
        <w:shd w:val="clear" w:color="auto" w:fill="auto"/>
        <w:bidi w:val="0"/>
        <w:spacing w:before="300" w:after="300" w:line="304" w:lineRule="exact"/>
        <w:ind w:left="0" w:right="0" w:firstLine="0"/>
        <w:jc w:val="both"/>
      </w:pPr>
      <w:r>
        <w:rPr>
          <w:color w:val="000000"/>
          <w:spacing w:val="0"/>
          <w:w w:val="100"/>
          <w:position w:val="0"/>
          <w:sz w:val="24"/>
          <w:szCs w:val="24"/>
        </w:rPr>
        <w:t xml:space="preserve">销售不动产：一般纳税人增值税税率为 </w:t>
      </w:r>
      <w:r>
        <w:rPr>
          <w:rFonts w:ascii="Arial" w:eastAsia="Arial" w:hAnsi="Arial" w:cs="Arial"/>
          <w:color w:val="000000"/>
          <w:spacing w:val="0"/>
          <w:w w:val="100"/>
          <w:position w:val="0"/>
          <w:sz w:val="24"/>
          <w:szCs w:val="24"/>
        </w:rPr>
        <w:t>9%</w:t>
      </w:r>
      <w:r>
        <w:rPr>
          <w:color w:val="000000"/>
          <w:spacing w:val="0"/>
          <w:w w:val="100"/>
          <w:position w:val="0"/>
          <w:sz w:val="24"/>
          <w:szCs w:val="24"/>
        </w:rPr>
        <w:t>；房地产开发企业销售自行开发的房地 产老项目可选择按照</w:t>
      </w:r>
      <w:r>
        <w:rPr>
          <w:rFonts w:ascii="Arial" w:eastAsia="Arial" w:hAnsi="Arial" w:cs="Arial"/>
          <w:color w:val="000000"/>
          <w:spacing w:val="0"/>
          <w:w w:val="100"/>
          <w:position w:val="0"/>
          <w:sz w:val="24"/>
          <w:szCs w:val="24"/>
        </w:rPr>
        <w:t>5%</w:t>
      </w:r>
      <w:r>
        <w:rPr>
          <w:color w:val="000000"/>
          <w:spacing w:val="0"/>
          <w:w w:val="100"/>
          <w:position w:val="0"/>
          <w:sz w:val="24"/>
          <w:szCs w:val="24"/>
        </w:rPr>
        <w:t>的增值税率简易征 收；</w:t>
      </w:r>
    </w:p>
    <w:p>
      <w:pPr>
        <w:pStyle w:val="Style72"/>
        <w:keepNext w:val="0"/>
        <w:keepLines w:val="0"/>
        <w:widowControl w:val="0"/>
        <w:shd w:val="clear" w:color="auto" w:fill="auto"/>
        <w:bidi w:val="0"/>
        <w:spacing w:before="0" w:after="0" w:line="307" w:lineRule="exact"/>
        <w:ind w:left="4260" w:right="0" w:firstLine="0"/>
        <w:jc w:val="both"/>
      </w:pPr>
      <w:r>
        <w:rPr>
          <w:color w:val="000000"/>
          <w:spacing w:val="0"/>
          <w:w w:val="100"/>
          <w:position w:val="0"/>
          <w:sz w:val="24"/>
          <w:szCs w:val="24"/>
        </w:rPr>
        <w:t>移动通信转售业务包括：提供基础电信服 务，一般纳税人增值税税率为</w:t>
      </w:r>
      <w:r>
        <w:rPr>
          <w:rFonts w:ascii="Arial" w:eastAsia="Arial" w:hAnsi="Arial" w:cs="Arial"/>
          <w:color w:val="000000"/>
          <w:spacing w:val="0"/>
          <w:w w:val="100"/>
          <w:position w:val="0"/>
          <w:sz w:val="24"/>
          <w:szCs w:val="24"/>
        </w:rPr>
        <w:t>9%</w:t>
      </w:r>
      <w:r>
        <w:rPr>
          <w:color w:val="000000"/>
          <w:spacing w:val="0"/>
          <w:w w:val="100"/>
          <w:position w:val="0"/>
          <w:sz w:val="24"/>
          <w:szCs w:val="24"/>
        </w:rPr>
        <w:t>；提供增 值电信服务，一般纳税人增值税税率</w:t>
      </w:r>
      <w:r>
        <w:rPr>
          <w:rFonts w:ascii="Arial" w:eastAsia="Arial" w:hAnsi="Arial" w:cs="Arial"/>
          <w:color w:val="000000"/>
          <w:spacing w:val="0"/>
          <w:w w:val="100"/>
          <w:position w:val="0"/>
          <w:sz w:val="24"/>
          <w:szCs w:val="24"/>
        </w:rPr>
        <w:t>6%</w:t>
      </w:r>
      <w:r>
        <w:rPr>
          <w:color w:val="000000"/>
          <w:spacing w:val="0"/>
          <w:w w:val="100"/>
          <w:position w:val="0"/>
          <w:sz w:val="24"/>
          <w:szCs w:val="24"/>
        </w:rPr>
        <w:t xml:space="preserve">； </w:t>
      </w:r>
      <w:r>
        <w:rPr>
          <w:color w:val="000000"/>
          <w:spacing w:val="0"/>
          <w:w w:val="100"/>
          <w:position w:val="0"/>
          <w:sz w:val="24"/>
          <w:szCs w:val="24"/>
        </w:rPr>
        <w:t>有形动产租赁服务：一般纳税人增值税税率</w:t>
      </w:r>
    </w:p>
    <w:p>
      <w:pPr>
        <w:pStyle w:val="Style72"/>
        <w:keepNext w:val="0"/>
        <w:keepLines w:val="0"/>
        <w:widowControl w:val="0"/>
        <w:shd w:val="clear" w:color="auto" w:fill="auto"/>
        <w:bidi w:val="0"/>
        <w:spacing w:before="0" w:after="300" w:line="240" w:lineRule="auto"/>
        <w:ind w:left="4260" w:right="0" w:firstLine="0"/>
        <w:jc w:val="left"/>
        <w:sectPr>
          <w:footnotePr>
            <w:pos w:val="pageBottom"/>
            <w:numFmt w:val="decimal"/>
            <w:numStart w:val="1"/>
            <w:numRestart w:val="continuous"/>
            <w15:footnoteColumns w:val="1"/>
          </w:footnotePr>
          <w:pgSz w:w="11900" w:h="16840"/>
          <w:pgMar w:top="2338" w:right="1412" w:bottom="2338" w:left="1709" w:header="0" w:footer="3" w:gutter="0"/>
          <w:cols w:space="720"/>
          <w:noEndnote/>
          <w:rtlGutter w:val="0"/>
          <w:docGrid w:linePitch="360"/>
        </w:sectPr>
      </w:pPr>
      <w:r>
        <w:rPr>
          <w:color w:val="000000"/>
          <w:spacing w:val="0"/>
          <w:w w:val="100"/>
          <w:position w:val="0"/>
          <w:sz w:val="24"/>
          <w:szCs w:val="24"/>
        </w:rPr>
        <w:t xml:space="preserve">为 </w:t>
      </w:r>
      <w:r>
        <w:rPr>
          <w:rFonts w:ascii="Arial" w:eastAsia="Arial" w:hAnsi="Arial" w:cs="Arial"/>
          <w:color w:val="000000"/>
          <w:spacing w:val="0"/>
          <w:w w:val="100"/>
          <w:position w:val="0"/>
          <w:sz w:val="24"/>
          <w:szCs w:val="24"/>
        </w:rPr>
        <w:t>13%</w:t>
      </w:r>
      <w:r>
        <w:rPr>
          <w:color w:val="000000"/>
          <w:spacing w:val="0"/>
          <w:w w:val="100"/>
          <w:position w:val="0"/>
          <w:sz w:val="24"/>
          <w:szCs w:val="24"/>
        </w:rPr>
        <w:t>；</w:t>
      </w:r>
    </w:p>
    <w:p>
      <w:pPr>
        <w:pStyle w:val="Style72"/>
        <w:keepNext w:val="0"/>
        <w:keepLines w:val="0"/>
        <w:widowControl w:val="0"/>
        <w:shd w:val="clear" w:color="auto" w:fill="auto"/>
        <w:bidi w:val="0"/>
        <w:spacing w:before="0" w:after="280" w:line="240" w:lineRule="auto"/>
        <w:ind w:left="0" w:right="0" w:firstLine="0"/>
        <w:jc w:val="left"/>
        <w:rPr>
          <w:sz w:val="28"/>
          <w:szCs w:val="28"/>
        </w:rPr>
      </w:pPr>
      <w:r>
        <w:rPr>
          <w:b/>
          <w:bCs/>
          <w:color w:val="000000"/>
          <w:spacing w:val="0"/>
          <w:w w:val="100"/>
          <w:position w:val="0"/>
          <w:sz w:val="24"/>
          <w:szCs w:val="24"/>
        </w:rPr>
        <w:t>三 税项</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72" w:val="left"/>
        </w:tabs>
        <w:bidi w:val="0"/>
        <w:spacing w:before="0" w:after="280" w:line="240" w:lineRule="auto"/>
        <w:ind w:left="0" w:right="0" w:firstLine="0"/>
        <w:jc w:val="left"/>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本集团适用的主要税种及其税率列示如下</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r>
        <w:rPr>
          <w:b/>
          <w:bCs/>
          <w:color w:val="000000"/>
          <w:spacing w:val="0"/>
          <w:w w:val="100"/>
          <w:position w:val="0"/>
          <w:sz w:val="24"/>
          <w:szCs w:val="24"/>
        </w:rPr>
        <w:t>:</w:t>
      </w:r>
    </w:p>
    <w:p>
      <w:pPr>
        <w:pStyle w:val="Style72"/>
        <w:keepNext w:val="0"/>
        <w:keepLines w:val="0"/>
        <w:widowControl w:val="0"/>
        <w:shd w:val="clear" w:color="auto" w:fill="auto"/>
        <w:tabs>
          <w:tab w:pos="2298" w:val="left"/>
          <w:tab w:pos="4241" w:val="left"/>
        </w:tabs>
        <w:bidi w:val="0"/>
        <w:spacing w:before="0" w:after="280" w:line="240" w:lineRule="auto"/>
        <w:ind w:left="0" w:right="0" w:firstLine="720"/>
        <w:jc w:val="left"/>
      </w:pPr>
      <w:r>
        <w:rPr>
          <w:color w:val="000000"/>
          <w:spacing w:val="0"/>
          <w:w w:val="100"/>
          <w:position w:val="0"/>
          <w:sz w:val="24"/>
          <w:szCs w:val="24"/>
        </w:rPr>
        <w:t>税种</w:t>
        <w:tab/>
        <w:t>计税依据</w:t>
        <w:tab/>
        <w:t>税率</w:t>
      </w:r>
    </w:p>
    <w:p>
      <w:pPr>
        <w:pStyle w:val="Style72"/>
        <w:keepNext w:val="0"/>
        <w:keepLines w:val="0"/>
        <w:widowControl w:val="0"/>
        <w:shd w:val="clear" w:color="auto" w:fill="auto"/>
        <w:bidi w:val="0"/>
        <w:spacing w:before="0" w:after="280" w:line="240" w:lineRule="auto"/>
        <w:ind w:left="0" w:right="0" w:firstLine="720"/>
        <w:jc w:val="left"/>
      </w:pPr>
      <w:r>
        <w:rPr>
          <w:color w:val="000000"/>
          <w:spacing w:val="0"/>
          <w:w w:val="100"/>
          <w:position w:val="0"/>
          <w:sz w:val="24"/>
          <w:szCs w:val="24"/>
        </w:rPr>
        <w:t>本公司及境内子公司</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80" w:line="308" w:lineRule="exact"/>
        <w:ind w:left="0" w:right="0" w:firstLine="0"/>
        <w:jc w:val="both"/>
      </w:pPr>
      <w:r>
        <mc:AlternateContent>
          <mc:Choice Requires="wps">
            <w:drawing>
              <wp:anchor distT="18415" distB="1380490" distL="114300" distR="1562100" simplePos="0" relativeHeight="125829408" behindDoc="0" locked="0" layoutInCell="1" allowOverlap="1">
                <wp:simplePos x="0" y="0"/>
                <wp:positionH relativeFrom="page">
                  <wp:posOffset>1539240</wp:posOffset>
                </wp:positionH>
                <wp:positionV relativeFrom="paragraph">
                  <wp:posOffset>31115</wp:posOffset>
                </wp:positionV>
                <wp:extent cx="667385" cy="198120"/>
                <wp:wrapSquare wrapText="right"/>
                <wp:docPr id="40" name="Shape 40"/>
                <a:graphic xmlns:a="http://schemas.openxmlformats.org/drawingml/2006/main">
                  <a:graphicData uri="http://schemas.microsoft.com/office/word/2010/wordprocessingShape">
                    <wps:wsp>
                      <wps:cNvSpPr txBox="1"/>
                      <wps:spPr>
                        <a:xfrm>
                          <a:ext cx="667385" cy="19812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增值税</w:t>
                            </w:r>
                            <w:r>
                              <w:rPr>
                                <w:color w:val="000000"/>
                                <w:spacing w:val="0"/>
                                <w:w w:val="100"/>
                                <w:position w:val="0"/>
                                <w:sz w:val="24"/>
                                <w:szCs w:val="24"/>
                              </w:rPr>
                              <w:t>（b）</w:t>
                            </w:r>
                          </w:p>
                        </w:txbxContent>
                      </wps:txbx>
                      <wps:bodyPr wrap="none" lIns="0" tIns="0" rIns="0" bIns="0">
                        <a:noAutoFit/>
                      </wps:bodyPr>
                    </wps:wsp>
                  </a:graphicData>
                </a:graphic>
              </wp:anchor>
            </w:drawing>
          </mc:Choice>
          <mc:Fallback>
            <w:pict>
              <v:shape id="_x0000_s1066" type="#_x0000_t202" style="position:absolute;margin-left:121.2pt;margin-top:2.4500000000000002pt;width:52.550000000000004pt;height:15.6pt;z-index:-125829345;mso-wrap-distance-left:9.pt;mso-wrap-distance-top:1.45pt;mso-wrap-distance-right:123.pt;mso-wrap-distance-bottom:108.7pt;mso-position-horizontal-relative:page" filled="f" stroked="f">
                <v:textbox inset="0,0,0,0">
                  <w:txbxContent>
                    <w:p>
                      <w:pPr>
                        <w:pStyle w:val="Style9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增值税</w:t>
                      </w:r>
                      <w:r>
                        <w:rPr>
                          <w:color w:val="000000"/>
                          <w:spacing w:val="0"/>
                          <w:w w:val="100"/>
                          <w:position w:val="0"/>
                          <w:sz w:val="24"/>
                          <w:szCs w:val="24"/>
                        </w:rPr>
                        <w:t>（b）</w:t>
                      </w:r>
                    </w:p>
                  </w:txbxContent>
                </v:textbox>
                <w10:wrap type="square" side="right" anchorx="page"/>
              </v:shape>
            </w:pict>
          </mc:Fallback>
        </mc:AlternateContent>
      </w:r>
      <w:r>
        <mc:AlternateContent>
          <mc:Choice Requires="wps">
            <w:drawing>
              <wp:anchor distT="0" distB="0" distL="1123315" distR="114300" simplePos="0" relativeHeight="125829410" behindDoc="0" locked="0" layoutInCell="1" allowOverlap="1">
                <wp:simplePos x="0" y="0"/>
                <wp:positionH relativeFrom="page">
                  <wp:posOffset>2548255</wp:posOffset>
                </wp:positionH>
                <wp:positionV relativeFrom="paragraph">
                  <wp:posOffset>12700</wp:posOffset>
                </wp:positionV>
                <wp:extent cx="1106170" cy="1597025"/>
                <wp:wrapSquare wrapText="right"/>
                <wp:docPr id="42" name="Shape 42"/>
                <a:graphic xmlns:a="http://schemas.openxmlformats.org/drawingml/2006/main">
                  <a:graphicData uri="http://schemas.microsoft.com/office/word/2010/wordprocessingShape">
                    <wps:wsp>
                      <wps:cNvSpPr txBox="1"/>
                      <wps:spPr>
                        <a:xfrm>
                          <a:ext cx="1106170" cy="1597025"/>
                        </a:xfrm>
                        <a:prstGeom prst="rect"/>
                        <a:noFill/>
                      </wps:spPr>
                      <wps:txbx>
                        <w:txbxContent>
                          <w:p>
                            <w:pPr>
                              <w:pStyle w:val="Style72"/>
                              <w:keepNext w:val="0"/>
                              <w:keepLines w:val="0"/>
                              <w:widowControl w:val="0"/>
                              <w:shd w:val="clear" w:color="auto" w:fill="auto"/>
                              <w:bidi w:val="0"/>
                              <w:spacing w:before="0" w:after="0" w:line="312" w:lineRule="exact"/>
                              <w:ind w:left="0" w:right="0" w:firstLine="0"/>
                              <w:jc w:val="both"/>
                              <w:rPr>
                                <w:sz w:val="28"/>
                                <w:szCs w:val="28"/>
                              </w:rPr>
                            </w:pPr>
                            <w:r>
                              <w:rPr>
                                <w:color w:val="000000"/>
                                <w:spacing w:val="0"/>
                                <w:w w:val="100"/>
                                <w:position w:val="0"/>
                                <w:sz w:val="24"/>
                                <w:szCs w:val="24"/>
                              </w:rPr>
                              <w:t xml:space="preserve">应纳税营业额 </w:t>
                            </w:r>
                            <w:r>
                              <w:rPr>
                                <w:rFonts w:ascii="Arial" w:eastAsia="Arial" w:hAnsi="Arial" w:cs="Arial"/>
                                <w:color w:val="000000"/>
                                <w:spacing w:val="0"/>
                                <w:w w:val="100"/>
                                <w:position w:val="0"/>
                                <w:sz w:val="24"/>
                                <w:szCs w:val="24"/>
                              </w:rPr>
                              <w:t>（</w:t>
                            </w:r>
                            <w:r>
                              <w:rPr>
                                <w:color w:val="000000"/>
                                <w:spacing w:val="0"/>
                                <w:w w:val="100"/>
                                <w:position w:val="0"/>
                                <w:sz w:val="24"/>
                                <w:szCs w:val="24"/>
                              </w:rPr>
                              <w:t>应纳税额按应 纳税销售额或应 税服务额乘以适 用税率扣除当期 允许抵扣的进项 税后的余额计 算</w:t>
                            </w:r>
                            <w:r>
                              <w:rPr>
                                <w:color w:val="000000"/>
                                <w:spacing w:val="0"/>
                                <w:w w:val="100"/>
                                <w:position w:val="0"/>
                                <w:sz w:val="28"/>
                                <w:szCs w:val="28"/>
                              </w:rPr>
                              <w:t>）</w:t>
                            </w:r>
                          </w:p>
                        </w:txbxContent>
                      </wps:txbx>
                      <wps:bodyPr lIns="0" tIns="0" rIns="0" bIns="0">
                        <a:noAutoFit/>
                      </wps:bodyPr>
                    </wps:wsp>
                  </a:graphicData>
                </a:graphic>
              </wp:anchor>
            </w:drawing>
          </mc:Choice>
          <mc:Fallback>
            <w:pict>
              <v:shape id="_x0000_s1068" type="#_x0000_t202" style="position:absolute;margin-left:200.65000000000001pt;margin-top:1.pt;width:87.100000000000009pt;height:125.75pt;z-index:-125829343;mso-wrap-distance-left:88.450000000000003pt;mso-wrap-distance-right:9.pt;mso-position-horizontal-relative:page" filled="f" stroked="f">
                <v:textbox inset="0,0,0,0">
                  <w:txbxContent>
                    <w:p>
                      <w:pPr>
                        <w:pStyle w:val="Style72"/>
                        <w:keepNext w:val="0"/>
                        <w:keepLines w:val="0"/>
                        <w:widowControl w:val="0"/>
                        <w:shd w:val="clear" w:color="auto" w:fill="auto"/>
                        <w:bidi w:val="0"/>
                        <w:spacing w:before="0" w:after="0" w:line="312" w:lineRule="exact"/>
                        <w:ind w:left="0" w:right="0" w:firstLine="0"/>
                        <w:jc w:val="both"/>
                        <w:rPr>
                          <w:sz w:val="28"/>
                          <w:szCs w:val="28"/>
                        </w:rPr>
                      </w:pPr>
                      <w:r>
                        <w:rPr>
                          <w:color w:val="000000"/>
                          <w:spacing w:val="0"/>
                          <w:w w:val="100"/>
                          <w:position w:val="0"/>
                          <w:sz w:val="24"/>
                          <w:szCs w:val="24"/>
                        </w:rPr>
                        <w:t xml:space="preserve">应纳税营业额 </w:t>
                      </w:r>
                      <w:r>
                        <w:rPr>
                          <w:rFonts w:ascii="Arial" w:eastAsia="Arial" w:hAnsi="Arial" w:cs="Arial"/>
                          <w:color w:val="000000"/>
                          <w:spacing w:val="0"/>
                          <w:w w:val="100"/>
                          <w:position w:val="0"/>
                          <w:sz w:val="24"/>
                          <w:szCs w:val="24"/>
                        </w:rPr>
                        <w:t>（</w:t>
                      </w:r>
                      <w:r>
                        <w:rPr>
                          <w:color w:val="000000"/>
                          <w:spacing w:val="0"/>
                          <w:w w:val="100"/>
                          <w:position w:val="0"/>
                          <w:sz w:val="24"/>
                          <w:szCs w:val="24"/>
                        </w:rPr>
                        <w:t>应纳税额按应 纳税销售额或应 税服务额乘以适 用税率扣除当期 允许抵扣的进项 税后的余额计 算</w:t>
                      </w:r>
                      <w:r>
                        <w:rPr>
                          <w:color w:val="000000"/>
                          <w:spacing w:val="0"/>
                          <w:w w:val="100"/>
                          <w:position w:val="0"/>
                          <w:sz w:val="28"/>
                          <w:szCs w:val="28"/>
                        </w:rPr>
                        <w:t>）</w:t>
                      </w:r>
                    </w:p>
                  </w:txbxContent>
                </v:textbox>
                <w10:wrap type="square" side="right" anchorx="page"/>
              </v:shape>
            </w:pict>
          </mc:Fallback>
        </mc:AlternateContent>
      </w:r>
      <w:r>
        <w:rPr>
          <w:color w:val="000000"/>
          <w:spacing w:val="0"/>
          <w:w w:val="100"/>
          <w:position w:val="0"/>
          <w:sz w:val="24"/>
          <w:szCs w:val="24"/>
        </w:rPr>
        <w:t>不动产租赁服务：一般纳税人出租其</w:t>
      </w:r>
      <w:r>
        <w:rPr>
          <w:rFonts w:ascii="Arial" w:eastAsia="Arial" w:hAnsi="Arial" w:cs="Arial"/>
          <w:color w:val="000000"/>
          <w:spacing w:val="0"/>
          <w:w w:val="100"/>
          <w:position w:val="0"/>
          <w:sz w:val="24"/>
          <w:szCs w:val="24"/>
        </w:rPr>
        <w:t xml:space="preserve">2016 </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日后取得的不动产取得的租赁收 入增值税税率为</w:t>
      </w:r>
      <w:r>
        <w:rPr>
          <w:rFonts w:ascii="Arial" w:eastAsia="Arial" w:hAnsi="Arial" w:cs="Arial"/>
          <w:color w:val="000000"/>
          <w:spacing w:val="0"/>
          <w:w w:val="100"/>
          <w:position w:val="0"/>
          <w:sz w:val="24"/>
          <w:szCs w:val="24"/>
        </w:rPr>
        <w:t>9%</w:t>
      </w:r>
      <w:r>
        <w:rPr>
          <w:color w:val="000000"/>
          <w:spacing w:val="0"/>
          <w:w w:val="100"/>
          <w:position w:val="0"/>
          <w:sz w:val="24"/>
          <w:szCs w:val="24"/>
        </w:rPr>
        <w:t xml:space="preserve">； 一般纳税人出租其 </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日前取得的不动产取得的租 赁收入，可选择按照</w:t>
      </w:r>
      <w:r>
        <w:rPr>
          <w:rFonts w:ascii="Arial" w:eastAsia="Arial" w:hAnsi="Arial" w:cs="Arial"/>
          <w:color w:val="000000"/>
          <w:spacing w:val="0"/>
          <w:w w:val="100"/>
          <w:position w:val="0"/>
          <w:sz w:val="24"/>
          <w:szCs w:val="24"/>
        </w:rPr>
        <w:t>5%</w:t>
      </w:r>
      <w:r>
        <w:rPr>
          <w:color w:val="000000"/>
          <w:spacing w:val="0"/>
          <w:w w:val="100"/>
          <w:position w:val="0"/>
          <w:sz w:val="24"/>
          <w:szCs w:val="24"/>
        </w:rPr>
        <w:t xml:space="preserve">的增值税率简易征 收； </w:t>
      </w:r>
      <w:r>
        <w:rPr>
          <w:color w:val="000000"/>
          <w:spacing w:val="0"/>
          <w:w w:val="100"/>
          <w:position w:val="0"/>
          <w:sz w:val="24"/>
          <w:szCs w:val="24"/>
        </w:rPr>
        <w:t>其他现代服务业</w:t>
      </w:r>
      <w:r>
        <w:rPr>
          <w:rFonts w:ascii="Arial" w:eastAsia="Arial" w:hAnsi="Arial" w:cs="Arial"/>
          <w:color w:val="000000"/>
          <w:spacing w:val="0"/>
          <w:w w:val="100"/>
          <w:position w:val="0"/>
          <w:sz w:val="24"/>
          <w:szCs w:val="24"/>
        </w:rPr>
        <w:t>（</w:t>
      </w:r>
      <w:r>
        <w:rPr>
          <w:color w:val="000000"/>
          <w:spacing w:val="0"/>
          <w:w w:val="100"/>
          <w:position w:val="0"/>
          <w:sz w:val="24"/>
          <w:szCs w:val="24"/>
        </w:rPr>
        <w:t>研发和技术服务、信息技 术服务、广告服务、物流辅助服务、文化创 意服务、商务辅助服务、咨询服务以及租赁 服务</w:t>
      </w:r>
      <w:r>
        <w:rPr>
          <w:rFonts w:ascii="Arial" w:eastAsia="Arial" w:hAnsi="Arial" w:cs="Arial"/>
          <w:color w:val="000000"/>
          <w:spacing w:val="0"/>
          <w:w w:val="100"/>
          <w:position w:val="0"/>
          <w:sz w:val="24"/>
          <w:szCs w:val="24"/>
        </w:rPr>
        <w:t>（</w:t>
      </w:r>
      <w:r>
        <w:rPr>
          <w:color w:val="000000"/>
          <w:spacing w:val="0"/>
          <w:w w:val="100"/>
          <w:position w:val="0"/>
          <w:sz w:val="24"/>
          <w:szCs w:val="24"/>
        </w:rPr>
        <w:t>除有形动产租赁</w:t>
      </w:r>
      <w:r>
        <w:rPr>
          <w:rFonts w:ascii="Arial" w:eastAsia="Arial" w:hAnsi="Arial" w:cs="Arial"/>
          <w:color w:val="000000"/>
          <w:spacing w:val="0"/>
          <w:w w:val="100"/>
          <w:position w:val="0"/>
          <w:sz w:val="24"/>
          <w:szCs w:val="24"/>
        </w:rPr>
        <w:t>）</w:t>
      </w:r>
      <w:r>
        <w:rPr>
          <w:color w:val="000000"/>
          <w:spacing w:val="0"/>
          <w:w w:val="100"/>
          <w:position w:val="0"/>
          <w:sz w:val="24"/>
          <w:szCs w:val="24"/>
        </w:rPr>
        <w:t>、文化体育服务</w:t>
      </w:r>
      <w:r>
        <w:rPr>
          <w:rFonts w:ascii="Arial" w:eastAsia="Arial" w:hAnsi="Arial" w:cs="Arial"/>
          <w:color w:val="000000"/>
          <w:spacing w:val="0"/>
          <w:w w:val="100"/>
          <w:position w:val="0"/>
          <w:sz w:val="24"/>
          <w:szCs w:val="24"/>
        </w:rPr>
        <w:t>）</w:t>
      </w:r>
      <w:r>
        <w:rPr>
          <w:color w:val="000000"/>
          <w:spacing w:val="0"/>
          <w:w w:val="100"/>
          <w:position w:val="0"/>
          <w:sz w:val="24"/>
          <w:szCs w:val="24"/>
        </w:rPr>
        <w:t>等： 一般纳税人增值税税率</w:t>
      </w:r>
      <w:r>
        <w:rPr>
          <w:rFonts w:ascii="Arial" w:eastAsia="Arial" w:hAnsi="Arial" w:cs="Arial"/>
          <w:color w:val="000000"/>
          <w:spacing w:val="0"/>
          <w:w w:val="100"/>
          <w:position w:val="0"/>
          <w:sz w:val="24"/>
          <w:szCs w:val="24"/>
        </w:rPr>
        <w:t>6%</w:t>
      </w:r>
      <w:r>
        <w:rPr>
          <w:color w:val="000000"/>
          <w:spacing w:val="0"/>
          <w:w w:val="100"/>
          <w:position w:val="0"/>
          <w:sz w:val="24"/>
          <w:szCs w:val="24"/>
        </w:rPr>
        <w:t>；</w:t>
      </w:r>
    </w:p>
    <w:p>
      <w:pPr>
        <w:pStyle w:val="Style72"/>
        <w:keepNext w:val="0"/>
        <w:keepLines w:val="0"/>
        <w:widowControl w:val="0"/>
        <w:shd w:val="clear" w:color="auto" w:fill="auto"/>
        <w:bidi w:val="0"/>
        <w:spacing w:before="0" w:after="280" w:line="298" w:lineRule="exact"/>
        <w:ind w:left="4260" w:right="0" w:firstLine="0"/>
        <w:jc w:val="both"/>
      </w:pPr>
      <w:r>
        <w:rPr>
          <w:color w:val="000000"/>
          <w:spacing w:val="0"/>
          <w:w w:val="100"/>
          <w:position w:val="0"/>
          <w:sz w:val="24"/>
          <w:szCs w:val="24"/>
        </w:rPr>
        <w:t>上述应税服务小规模纳税人的增值税征收 率为</w:t>
      </w:r>
      <w:r>
        <w:rPr>
          <w:rFonts w:ascii="Arial" w:eastAsia="Arial" w:hAnsi="Arial" w:cs="Arial"/>
          <w:color w:val="000000"/>
          <w:spacing w:val="0"/>
          <w:w w:val="100"/>
          <w:position w:val="0"/>
          <w:sz w:val="24"/>
          <w:szCs w:val="24"/>
        </w:rPr>
        <w:t>3%</w:t>
      </w:r>
      <w:r>
        <w:rPr>
          <w:color w:val="000000"/>
          <w:spacing w:val="0"/>
          <w:w w:val="100"/>
          <w:position w:val="0"/>
          <w:sz w:val="24"/>
          <w:szCs w:val="24"/>
        </w:rPr>
        <w:t>。</w:t>
      </w:r>
    </w:p>
    <w:p>
      <w:pPr>
        <w:pStyle w:val="Style92"/>
        <w:keepNext w:val="0"/>
        <w:keepLines w:val="0"/>
        <w:widowControl w:val="0"/>
        <w:shd w:val="clear" w:color="auto" w:fill="auto"/>
        <w:bidi w:val="0"/>
        <w:spacing w:before="0" w:after="0" w:line="317" w:lineRule="exact"/>
        <w:ind w:left="4260" w:right="0" w:firstLine="0"/>
        <w:jc w:val="both"/>
      </w:pPr>
      <w:r>
        <w:rPr>
          <w:rFonts w:ascii="SimSun" w:eastAsia="SimSun" w:hAnsi="SimSun" w:cs="SimSun"/>
          <w:color w:val="000000"/>
          <w:spacing w:val="0"/>
          <w:w w:val="100"/>
          <w:position w:val="0"/>
          <w:sz w:val="24"/>
          <w:szCs w:val="24"/>
        </w:rPr>
        <w:t>自</w:t>
      </w:r>
      <w:r>
        <w:rPr>
          <w:color w:val="000000"/>
          <w:spacing w:val="0"/>
          <w:w w:val="100"/>
          <w:position w:val="0"/>
          <w:sz w:val="24"/>
          <w:szCs w:val="24"/>
        </w:rPr>
        <w:t>2019</w:t>
      </w:r>
      <w:r>
        <w:rPr>
          <w:rFonts w:ascii="SimSun" w:eastAsia="SimSun" w:hAnsi="SimSun" w:cs="SimSun"/>
          <w:color w:val="000000"/>
          <w:spacing w:val="0"/>
          <w:w w:val="100"/>
          <w:position w:val="0"/>
          <w:sz w:val="24"/>
          <w:szCs w:val="24"/>
        </w:rPr>
        <w:t>年</w:t>
      </w:r>
      <w:r>
        <w:rPr>
          <w:color w:val="000000"/>
          <w:spacing w:val="0"/>
          <w:w w:val="100"/>
          <w:position w:val="0"/>
          <w:sz w:val="24"/>
          <w:szCs w:val="24"/>
        </w:rPr>
        <w:t>1</w:t>
      </w:r>
      <w:r>
        <w:rPr>
          <w:rFonts w:ascii="SimSun" w:eastAsia="SimSun" w:hAnsi="SimSun" w:cs="SimSun"/>
          <w:color w:val="000000"/>
          <w:spacing w:val="0"/>
          <w:w w:val="100"/>
          <w:position w:val="0"/>
          <w:sz w:val="24"/>
          <w:szCs w:val="24"/>
        </w:rPr>
        <w:t>月</w:t>
      </w:r>
      <w:r>
        <w:rPr>
          <w:color w:val="000000"/>
          <w:spacing w:val="0"/>
          <w:w w:val="100"/>
          <w:position w:val="0"/>
          <w:sz w:val="24"/>
          <w:szCs w:val="24"/>
        </w:rPr>
        <w:t>1</w:t>
      </w:r>
      <w:r>
        <w:rPr>
          <w:rFonts w:ascii="SimSun" w:eastAsia="SimSun" w:hAnsi="SimSun" w:cs="SimSun"/>
          <w:color w:val="000000"/>
          <w:spacing w:val="0"/>
          <w:w w:val="100"/>
          <w:position w:val="0"/>
          <w:sz w:val="24"/>
          <w:szCs w:val="24"/>
        </w:rPr>
        <w:t>日至</w:t>
      </w: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72"/>
        <w:keepNext w:val="0"/>
        <w:keepLines w:val="0"/>
        <w:widowControl w:val="0"/>
        <w:shd w:val="clear" w:color="auto" w:fill="auto"/>
        <w:bidi w:val="0"/>
        <w:spacing w:before="0" w:after="280" w:line="317" w:lineRule="exact"/>
        <w:ind w:left="4260" w:right="0" w:firstLine="0"/>
        <w:jc w:val="both"/>
      </w:pPr>
      <w:r>
        <w:rPr>
          <w:color w:val="000000"/>
          <w:spacing w:val="0"/>
          <w:w w:val="100"/>
          <w:position w:val="0"/>
          <w:sz w:val="24"/>
          <w:szCs w:val="24"/>
        </w:rPr>
        <w:t>对月销售额</w:t>
      </w:r>
      <w:r>
        <w:rPr>
          <w:rFonts w:ascii="Arial" w:eastAsia="Arial" w:hAnsi="Arial" w:cs="Arial"/>
          <w:color w:val="000000"/>
          <w:spacing w:val="0"/>
          <w:w w:val="100"/>
          <w:position w:val="0"/>
          <w:sz w:val="24"/>
          <w:szCs w:val="24"/>
        </w:rPr>
        <w:t>10</w:t>
      </w:r>
      <w:r>
        <w:rPr>
          <w:color w:val="000000"/>
          <w:spacing w:val="0"/>
          <w:w w:val="100"/>
          <w:position w:val="0"/>
          <w:sz w:val="24"/>
          <w:szCs w:val="24"/>
        </w:rPr>
        <w:t>万元以下</w:t>
      </w:r>
      <w:r>
        <w:rPr>
          <w:rFonts w:ascii="Arial" w:eastAsia="Arial" w:hAnsi="Arial" w:cs="Arial"/>
          <w:color w:val="000000"/>
          <w:spacing w:val="0"/>
          <w:w w:val="100"/>
          <w:position w:val="0"/>
          <w:sz w:val="24"/>
          <w:szCs w:val="24"/>
        </w:rPr>
        <w:t>（</w:t>
      </w:r>
      <w:r>
        <w:rPr>
          <w:color w:val="000000"/>
          <w:spacing w:val="0"/>
          <w:w w:val="100"/>
          <w:position w:val="0"/>
          <w:sz w:val="24"/>
          <w:szCs w:val="24"/>
        </w:rPr>
        <w:t>含本数</w:t>
      </w:r>
      <w:r>
        <w:rPr>
          <w:rFonts w:ascii="Arial" w:eastAsia="Arial" w:hAnsi="Arial" w:cs="Arial"/>
          <w:color w:val="000000"/>
          <w:spacing w:val="0"/>
          <w:w w:val="100"/>
          <w:position w:val="0"/>
          <w:sz w:val="24"/>
          <w:szCs w:val="24"/>
        </w:rPr>
        <w:t>）</w:t>
      </w:r>
      <w:r>
        <w:rPr>
          <w:color w:val="000000"/>
          <w:spacing w:val="0"/>
          <w:w w:val="100"/>
          <w:position w:val="0"/>
          <w:sz w:val="24"/>
          <w:szCs w:val="24"/>
        </w:rPr>
        <w:t>的增值税 小规模纳税人，免征增值税。</w:t>
      </w:r>
    </w:p>
    <w:p>
      <w:pPr>
        <w:pStyle w:val="Style72"/>
        <w:keepNext w:val="0"/>
        <w:keepLines w:val="0"/>
        <w:widowControl w:val="0"/>
        <w:shd w:val="clear" w:color="auto" w:fill="auto"/>
        <w:bidi w:val="0"/>
        <w:spacing w:before="0" w:after="280" w:line="322" w:lineRule="exact"/>
        <w:ind w:left="4260" w:right="0" w:hanging="3540"/>
        <w:jc w:val="both"/>
      </w:pPr>
      <w:r>
        <w:rPr>
          <w:color w:val="000000"/>
          <w:spacing w:val="0"/>
          <w:w w:val="100"/>
          <w:position w:val="0"/>
          <w:sz w:val="24"/>
          <w:szCs w:val="24"/>
        </w:rPr>
        <w:t>土地增值税 房地产增值部分根据房地产增值率征收</w:t>
      </w:r>
      <w:r>
        <w:rPr>
          <w:rFonts w:ascii="Arial" w:eastAsia="Arial" w:hAnsi="Arial" w:cs="Arial"/>
          <w:color w:val="000000"/>
          <w:spacing w:val="0"/>
          <w:w w:val="100"/>
          <w:position w:val="0"/>
          <w:sz w:val="24"/>
          <w:szCs w:val="24"/>
        </w:rPr>
        <w:t>30%-60%</w:t>
      </w:r>
      <w:r>
        <w:rPr>
          <w:color w:val="000000"/>
          <w:spacing w:val="0"/>
          <w:w w:val="100"/>
          <w:position w:val="0"/>
          <w:sz w:val="24"/>
          <w:szCs w:val="24"/>
        </w:rPr>
        <w:t>四级超率 累进税率。</w:t>
      </w:r>
    </w:p>
    <w:p>
      <w:pPr>
        <w:pStyle w:val="Style72"/>
        <w:keepNext w:val="0"/>
        <w:keepLines w:val="0"/>
        <w:widowControl w:val="0"/>
        <w:shd w:val="clear" w:color="auto" w:fill="auto"/>
        <w:tabs>
          <w:tab w:pos="2298" w:val="left"/>
          <w:tab w:pos="4241" w:val="left"/>
        </w:tabs>
        <w:bidi w:val="0"/>
        <w:spacing w:before="0" w:after="0" w:line="317" w:lineRule="exact"/>
        <w:ind w:left="0" w:right="0" w:firstLine="720"/>
        <w:jc w:val="left"/>
      </w:pPr>
      <w:r>
        <w:rPr>
          <w:color w:val="000000"/>
          <w:spacing w:val="0"/>
          <w:w w:val="100"/>
          <w:position w:val="0"/>
          <w:sz w:val="24"/>
          <w:szCs w:val="24"/>
        </w:rPr>
        <w:t>城市维护建</w:t>
        <w:tab/>
        <w:t>缴纳的增值税及</w:t>
        <w:tab/>
        <w:t>所在地为市区的，税率为</w:t>
      </w:r>
      <w:r>
        <w:rPr>
          <w:rFonts w:ascii="Arial" w:eastAsia="Arial" w:hAnsi="Arial" w:cs="Arial"/>
          <w:color w:val="000000"/>
          <w:spacing w:val="0"/>
          <w:w w:val="100"/>
          <w:position w:val="0"/>
          <w:sz w:val="24"/>
          <w:szCs w:val="24"/>
        </w:rPr>
        <w:t>7%</w:t>
      </w:r>
      <w:r>
        <w:rPr>
          <w:color w:val="000000"/>
          <w:spacing w:val="0"/>
          <w:w w:val="100"/>
          <w:position w:val="0"/>
          <w:sz w:val="24"/>
          <w:szCs w:val="24"/>
        </w:rPr>
        <w:t>；</w:t>
      </w:r>
    </w:p>
    <w:p>
      <w:pPr>
        <w:pStyle w:val="Style72"/>
        <w:keepNext w:val="0"/>
        <w:keepLines w:val="0"/>
        <w:widowControl w:val="0"/>
        <w:shd w:val="clear" w:color="auto" w:fill="auto"/>
        <w:tabs>
          <w:tab w:pos="2298" w:val="left"/>
        </w:tabs>
        <w:bidi w:val="0"/>
        <w:spacing w:before="0" w:after="0" w:line="240" w:lineRule="auto"/>
        <w:ind w:left="0" w:right="0" w:firstLine="980"/>
        <w:jc w:val="left"/>
      </w:pPr>
      <w:r>
        <w:rPr>
          <w:color w:val="000000"/>
          <w:spacing w:val="0"/>
          <w:w w:val="100"/>
          <w:position w:val="0"/>
          <w:sz w:val="24"/>
          <w:szCs w:val="24"/>
        </w:rPr>
        <w:t>设税</w:t>
        <w:tab/>
        <w:t>消费税税额</w:t>
      </w:r>
    </w:p>
    <w:p>
      <w:pPr>
        <w:pStyle w:val="Style72"/>
        <w:keepNext w:val="0"/>
        <w:keepLines w:val="0"/>
        <w:widowControl w:val="0"/>
        <w:shd w:val="clear" w:color="auto" w:fill="auto"/>
        <w:bidi w:val="0"/>
        <w:spacing w:before="0" w:after="280" w:line="240" w:lineRule="auto"/>
        <w:ind w:left="4260" w:right="0" w:firstLine="0"/>
        <w:jc w:val="both"/>
      </w:pPr>
      <w:r>
        <w:rPr>
          <w:color w:val="000000"/>
          <w:spacing w:val="0"/>
          <w:w w:val="100"/>
          <w:position w:val="0"/>
          <w:sz w:val="24"/>
          <w:szCs w:val="24"/>
        </w:rPr>
        <w:t>所在地为县城、镇的，税率为</w:t>
      </w:r>
      <w:r>
        <w:rPr>
          <w:rFonts w:ascii="Arial" w:eastAsia="Arial" w:hAnsi="Arial" w:cs="Arial"/>
          <w:color w:val="000000"/>
          <w:spacing w:val="0"/>
          <w:w w:val="100"/>
          <w:position w:val="0"/>
          <w:sz w:val="24"/>
          <w:szCs w:val="24"/>
        </w:rPr>
        <w:t>5%</w:t>
      </w:r>
      <w:r>
        <w:rPr>
          <w:color w:val="000000"/>
          <w:spacing w:val="0"/>
          <w:w w:val="100"/>
          <w:position w:val="0"/>
          <w:sz w:val="24"/>
          <w:szCs w:val="24"/>
        </w:rPr>
        <w:t>；</w:t>
      </w:r>
    </w:p>
    <w:p>
      <w:pPr>
        <w:pStyle w:val="Style72"/>
        <w:keepNext w:val="0"/>
        <w:keepLines w:val="0"/>
        <w:widowControl w:val="0"/>
        <w:shd w:val="clear" w:color="auto" w:fill="auto"/>
        <w:bidi w:val="0"/>
        <w:spacing w:before="0" w:after="280" w:line="307" w:lineRule="exact"/>
        <w:ind w:left="4260" w:right="0" w:firstLine="0"/>
        <w:jc w:val="both"/>
      </w:pPr>
      <w:r>
        <w:rPr>
          <w:color w:val="000000"/>
          <w:spacing w:val="0"/>
          <w:w w:val="100"/>
          <w:position w:val="0"/>
          <w:sz w:val="24"/>
          <w:szCs w:val="24"/>
        </w:rPr>
        <w:t xml:space="preserve">所在地不在市区、县城或者镇的，税率为 </w:t>
      </w:r>
      <w:r>
        <w:rPr>
          <w:rFonts w:ascii="Arial" w:eastAsia="Arial" w:hAnsi="Arial" w:cs="Arial"/>
          <w:color w:val="000000"/>
          <w:spacing w:val="0"/>
          <w:w w:val="100"/>
          <w:position w:val="0"/>
          <w:sz w:val="24"/>
          <w:szCs w:val="24"/>
        </w:rPr>
        <w:t>1%</w:t>
      </w:r>
      <w:r>
        <w:rPr>
          <w:color w:val="000000"/>
          <w:spacing w:val="0"/>
          <w:w w:val="100"/>
          <w:position w:val="0"/>
          <w:sz w:val="24"/>
          <w:szCs w:val="24"/>
        </w:rPr>
        <w:t>。</w:t>
      </w:r>
    </w:p>
    <w:p>
      <w:pPr>
        <w:pStyle w:val="Style7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教育费附加缴纳的增值税及</w:t>
      </w:r>
      <w:r>
        <w:rPr>
          <w:rFonts w:ascii="Arial" w:eastAsia="Arial" w:hAnsi="Arial" w:cs="Arial"/>
          <w:color w:val="000000"/>
          <w:spacing w:val="0"/>
          <w:w w:val="100"/>
          <w:position w:val="0"/>
          <w:sz w:val="24"/>
          <w:szCs w:val="24"/>
        </w:rPr>
        <w:t>3%</w:t>
      </w:r>
    </w:p>
    <w:p>
      <w:pPr>
        <w:pStyle w:val="Style72"/>
        <w:keepNext w:val="0"/>
        <w:keepLines w:val="0"/>
        <w:widowControl w:val="0"/>
        <w:shd w:val="clear" w:color="auto" w:fill="auto"/>
        <w:bidi w:val="0"/>
        <w:spacing w:before="0" w:after="280" w:line="240" w:lineRule="auto"/>
        <w:ind w:left="2320" w:right="0" w:firstLine="0"/>
        <w:jc w:val="left"/>
      </w:pPr>
      <w:r>
        <w:rPr>
          <w:color w:val="000000"/>
          <w:spacing w:val="0"/>
          <w:w w:val="100"/>
          <w:position w:val="0"/>
          <w:sz w:val="24"/>
          <w:szCs w:val="24"/>
        </w:rPr>
        <w:t>消费税税额</w:t>
      </w:r>
    </w:p>
    <w:p>
      <w:pPr>
        <w:pStyle w:val="Style7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地方教育费缴纳的增值税及</w:t>
      </w:r>
      <w:r>
        <w:rPr>
          <w:rFonts w:ascii="Arial" w:eastAsia="Arial" w:hAnsi="Arial" w:cs="Arial"/>
          <w:color w:val="000000"/>
          <w:spacing w:val="0"/>
          <w:w w:val="100"/>
          <w:position w:val="0"/>
          <w:sz w:val="24"/>
          <w:szCs w:val="24"/>
        </w:rPr>
        <w:t>2%</w:t>
      </w:r>
    </w:p>
    <w:p>
      <w:pPr>
        <w:pStyle w:val="Style72"/>
        <w:keepNext w:val="0"/>
        <w:keepLines w:val="0"/>
        <w:widowControl w:val="0"/>
        <w:shd w:val="clear" w:color="auto" w:fill="auto"/>
        <w:tabs>
          <w:tab w:pos="2298" w:val="left"/>
        </w:tabs>
        <w:bidi w:val="0"/>
        <w:spacing w:before="0" w:after="280" w:line="240" w:lineRule="auto"/>
        <w:ind w:left="0" w:right="0" w:firstLine="980"/>
        <w:jc w:val="left"/>
        <w:sectPr>
          <w:footnotePr>
            <w:pos w:val="pageBottom"/>
            <w:numFmt w:val="decimal"/>
            <w:numStart w:val="1"/>
            <w:numRestart w:val="continuous"/>
            <w15:footnoteColumns w:val="1"/>
          </w:footnotePr>
          <w:pgSz w:w="11900" w:h="16840"/>
          <w:pgMar w:top="2338" w:right="1297" w:bottom="1618" w:left="1709" w:header="0" w:footer="3" w:gutter="0"/>
          <w:cols w:space="720"/>
          <w:noEndnote/>
          <w:rtlGutter w:val="0"/>
          <w:docGrid w:linePitch="360"/>
        </w:sectPr>
      </w:pPr>
      <w:r>
        <w:rPr>
          <w:color w:val="000000"/>
          <w:spacing w:val="0"/>
          <w:w w:val="100"/>
          <w:position w:val="0"/>
          <w:sz w:val="24"/>
          <w:szCs w:val="24"/>
        </w:rPr>
        <w:t>附加</w:t>
        <w:tab/>
        <w:t>消费税税额</w:t>
      </w:r>
    </w:p>
    <w:p>
      <w:pPr>
        <w:widowControl w:val="0"/>
        <w:spacing w:line="159" w:lineRule="exact"/>
        <w:rPr>
          <w:sz w:val="13"/>
          <w:szCs w:val="13"/>
        </w:rPr>
      </w:pPr>
    </w:p>
    <w:p>
      <w:pPr>
        <w:widowControl w:val="0"/>
        <w:spacing w:line="1" w:lineRule="exact"/>
        <w:sectPr>
          <w:footnotePr>
            <w:pos w:val="pageBottom"/>
            <w:numFmt w:val="decimal"/>
            <w:numStart w:val="1"/>
            <w:numRestart w:val="continuous"/>
            <w15:footnoteColumns w:val="1"/>
          </w:footnotePr>
          <w:pgSz w:w="11900" w:h="16840"/>
          <w:pgMar w:top="2131" w:right="1417" w:bottom="984" w:left="1723" w:header="0" w:footer="3" w:gutter="0"/>
          <w:cols w:space="720"/>
          <w:noEndnote/>
          <w:rtlGutter w:val="0"/>
          <w:docGrid w:linePitch="360"/>
        </w:sectPr>
      </w:pPr>
    </w:p>
    <w:p>
      <w:pPr>
        <w:pStyle w:val="Style72"/>
        <w:keepNext w:val="0"/>
        <w:keepLines w:val="0"/>
        <w:framePr w:w="5702" w:h="878" w:wrap="none" w:vAnchor="text" w:hAnchor="page" w:x="1724" w:y="21"/>
        <w:widowControl w:val="0"/>
        <w:shd w:val="clear" w:color="auto" w:fill="auto"/>
        <w:tabs>
          <w:tab w:pos="701" w:val="left"/>
        </w:tabs>
        <w:bidi w:val="0"/>
        <w:spacing w:before="0" w:after="300" w:line="240" w:lineRule="auto"/>
        <w:ind w:left="0" w:right="0" w:firstLine="0"/>
        <w:jc w:val="left"/>
        <w:rPr>
          <w:sz w:val="28"/>
          <w:szCs w:val="28"/>
        </w:rPr>
      </w:pPr>
      <w:r>
        <w:rPr>
          <w:b/>
          <w:bCs/>
          <w:color w:val="000000"/>
          <w:spacing w:val="0"/>
          <w:w w:val="100"/>
          <w:position w:val="0"/>
          <w:sz w:val="24"/>
          <w:szCs w:val="24"/>
        </w:rPr>
        <w:t>三</w:t>
        <w:tab/>
        <w:t>税项</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framePr w:w="5702" w:h="878" w:wrap="none" w:vAnchor="text" w:hAnchor="page" w:x="1724" w:y="21"/>
        <w:widowControl w:val="0"/>
        <w:shd w:val="clear" w:color="auto" w:fill="auto"/>
        <w:tabs>
          <w:tab w:pos="701" w:val="left"/>
        </w:tabs>
        <w:bidi w:val="0"/>
        <w:spacing w:before="0" w:after="0" w:line="240" w:lineRule="auto"/>
        <w:ind w:left="0" w:right="0" w:firstLine="0"/>
        <w:jc w:val="left"/>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本集团适用的主要税种及其税率列示如下</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r>
        <w:rPr>
          <w:b/>
          <w:bCs/>
          <w:color w:val="000000"/>
          <w:spacing w:val="0"/>
          <w:w w:val="100"/>
          <w:position w:val="0"/>
          <w:sz w:val="24"/>
          <w:szCs w:val="24"/>
        </w:rPr>
        <w:t>:</w:t>
      </w:r>
    </w:p>
    <w:p>
      <w:pPr>
        <w:pStyle w:val="Style72"/>
        <w:keepNext w:val="0"/>
        <w:keepLines w:val="0"/>
        <w:framePr w:w="3326" w:h="3029" w:wrap="none" w:vAnchor="text" w:hAnchor="page" w:x="2425" w:y="1115"/>
        <w:widowControl w:val="0"/>
        <w:shd w:val="clear" w:color="auto" w:fill="auto"/>
        <w:tabs>
          <w:tab w:pos="1574" w:val="left"/>
        </w:tabs>
        <w:bidi w:val="0"/>
        <w:spacing w:before="0" w:after="260" w:line="312" w:lineRule="exact"/>
        <w:ind w:left="0" w:right="0" w:firstLine="0"/>
        <w:jc w:val="left"/>
      </w:pPr>
      <w:r>
        <w:rPr>
          <w:color w:val="000000"/>
          <w:spacing w:val="0"/>
          <w:w w:val="100"/>
          <w:position w:val="0"/>
          <w:sz w:val="24"/>
          <w:szCs w:val="24"/>
        </w:rPr>
        <w:t>税种</w:t>
        <w:tab/>
        <w:t>计税依据</w:t>
      </w:r>
    </w:p>
    <w:p>
      <w:pPr>
        <w:pStyle w:val="Style72"/>
        <w:keepNext w:val="0"/>
        <w:keepLines w:val="0"/>
        <w:framePr w:w="3326" w:h="3029" w:wrap="none" w:vAnchor="text" w:hAnchor="page" w:x="2425" w:y="1115"/>
        <w:widowControl w:val="0"/>
        <w:shd w:val="clear" w:color="auto" w:fill="auto"/>
        <w:bidi w:val="0"/>
        <w:spacing w:before="0" w:after="260" w:line="312" w:lineRule="exact"/>
        <w:ind w:left="0" w:right="0" w:firstLine="0"/>
        <w:jc w:val="left"/>
      </w:pPr>
      <w:r>
        <w:rPr>
          <w:color w:val="000000"/>
          <w:spacing w:val="0"/>
          <w:w w:val="100"/>
          <w:position w:val="0"/>
          <w:sz w:val="24"/>
          <w:szCs w:val="24"/>
        </w:rPr>
        <w:t>本公司及境内子公司</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framePr w:w="3326" w:h="3029" w:wrap="none" w:vAnchor="text" w:hAnchor="page" w:x="2425" w:y="1115"/>
        <w:widowControl w:val="0"/>
        <w:shd w:val="clear" w:color="auto" w:fill="auto"/>
        <w:tabs>
          <w:tab w:pos="1570" w:val="left"/>
        </w:tabs>
        <w:bidi w:val="0"/>
        <w:spacing w:before="0" w:after="0" w:line="312" w:lineRule="exact"/>
        <w:ind w:left="0" w:right="0" w:firstLine="0"/>
        <w:jc w:val="left"/>
      </w:pPr>
      <w:r>
        <w:rPr>
          <w:color w:val="000000"/>
          <w:spacing w:val="0"/>
          <w:w w:val="100"/>
          <w:position w:val="0"/>
          <w:sz w:val="24"/>
          <w:szCs w:val="24"/>
        </w:rPr>
        <w:t>消费税</w:t>
        <w:tab/>
        <w:t>不含增值税的应</w:t>
      </w:r>
    </w:p>
    <w:p>
      <w:pPr>
        <w:pStyle w:val="Style72"/>
        <w:keepNext w:val="0"/>
        <w:keepLines w:val="0"/>
        <w:framePr w:w="3326" w:h="3029" w:wrap="none" w:vAnchor="text" w:hAnchor="page" w:x="2425" w:y="1115"/>
        <w:widowControl w:val="0"/>
        <w:shd w:val="clear" w:color="auto" w:fill="auto"/>
        <w:bidi w:val="0"/>
        <w:spacing w:before="0" w:after="260" w:line="312" w:lineRule="exact"/>
        <w:ind w:left="1600" w:right="0" w:firstLine="0"/>
        <w:jc w:val="left"/>
      </w:pPr>
      <w:r>
        <w:rPr>
          <w:color w:val="000000"/>
          <w:spacing w:val="0"/>
          <w:w w:val="100"/>
          <w:position w:val="0"/>
          <w:sz w:val="24"/>
          <w:szCs w:val="24"/>
        </w:rPr>
        <w:t>税消费品的销售 额</w:t>
      </w:r>
    </w:p>
    <w:p>
      <w:pPr>
        <w:pStyle w:val="Style72"/>
        <w:keepNext w:val="0"/>
        <w:keepLines w:val="0"/>
        <w:framePr w:w="3326" w:h="3029" w:wrap="none" w:vAnchor="text" w:hAnchor="page" w:x="2425" w:y="1115"/>
        <w:widowControl w:val="0"/>
        <w:shd w:val="clear" w:color="auto" w:fill="auto"/>
        <w:tabs>
          <w:tab w:pos="1584" w:val="left"/>
        </w:tabs>
        <w:bidi w:val="0"/>
        <w:spacing w:before="0" w:after="0" w:line="312" w:lineRule="exact"/>
        <w:ind w:left="0" w:right="0" w:firstLine="0"/>
        <w:jc w:val="left"/>
      </w:pPr>
      <w:r>
        <w:rPr>
          <w:color w:val="000000"/>
          <w:spacing w:val="0"/>
          <w:w w:val="100"/>
          <w:position w:val="0"/>
          <w:sz w:val="24"/>
          <w:szCs w:val="24"/>
        </w:rPr>
        <w:t>房产税</w:t>
        <w:tab/>
        <w:t>房产原值或租金</w:t>
      </w:r>
    </w:p>
    <w:p>
      <w:pPr>
        <w:pStyle w:val="Style72"/>
        <w:keepNext w:val="0"/>
        <w:keepLines w:val="0"/>
        <w:framePr w:w="3326" w:h="3029" w:wrap="none" w:vAnchor="text" w:hAnchor="page" w:x="2425" w:y="1115"/>
        <w:widowControl w:val="0"/>
        <w:shd w:val="clear" w:color="auto" w:fill="auto"/>
        <w:bidi w:val="0"/>
        <w:spacing w:before="0" w:after="260" w:line="312" w:lineRule="exact"/>
        <w:ind w:left="1600" w:right="0" w:firstLine="0"/>
        <w:jc w:val="left"/>
      </w:pPr>
      <w:r>
        <w:rPr>
          <w:color w:val="000000"/>
          <w:spacing w:val="0"/>
          <w:w w:val="100"/>
          <w:position w:val="0"/>
          <w:sz w:val="24"/>
          <w:szCs w:val="24"/>
        </w:rPr>
        <w:t>收入</w:t>
      </w:r>
    </w:p>
    <w:p>
      <w:pPr>
        <w:pStyle w:val="Style72"/>
        <w:keepNext w:val="0"/>
        <w:keepLines w:val="0"/>
        <w:framePr w:w="518" w:h="293" w:wrap="none" w:vAnchor="text" w:hAnchor="page" w:x="5963" w:y="1148"/>
        <w:widowControl w:val="0"/>
        <w:shd w:val="clear" w:color="auto" w:fill="auto"/>
        <w:bidi w:val="0"/>
        <w:spacing w:before="0" w:after="0" w:line="240" w:lineRule="auto"/>
        <w:ind w:left="0" w:right="0" w:firstLine="0"/>
        <w:jc w:val="center"/>
      </w:pPr>
      <w:r>
        <w:rPr>
          <w:color w:val="000000"/>
          <w:spacing w:val="0"/>
          <w:w w:val="100"/>
          <w:position w:val="0"/>
          <w:sz w:val="24"/>
          <w:szCs w:val="24"/>
        </w:rPr>
        <w:t>税率</w:t>
      </w:r>
    </w:p>
    <w:p>
      <w:pPr>
        <w:pStyle w:val="Style72"/>
        <w:keepNext w:val="0"/>
        <w:keepLines w:val="0"/>
        <w:framePr w:w="4517" w:h="610" w:wrap="none" w:vAnchor="text" w:hAnchor="page" w:x="5967" w:y="2319"/>
        <w:widowControl w:val="0"/>
        <w:shd w:val="clear" w:color="auto" w:fill="auto"/>
        <w:bidi w:val="0"/>
        <w:spacing w:before="0" w:after="0" w:line="278" w:lineRule="exact"/>
        <w:ind w:left="0" w:right="0" w:firstLine="0"/>
        <w:jc w:val="left"/>
      </w:pPr>
      <w:r>
        <w:rPr>
          <w:color w:val="000000"/>
          <w:spacing w:val="0"/>
          <w:w w:val="100"/>
          <w:position w:val="0"/>
          <w:sz w:val="24"/>
          <w:szCs w:val="24"/>
        </w:rPr>
        <w:t>金、银、铂金首饰和钻石、钻石饰品零售环 节税率为</w:t>
      </w:r>
      <w:r>
        <w:rPr>
          <w:rFonts w:ascii="Arial" w:eastAsia="Arial" w:hAnsi="Arial" w:cs="Arial"/>
          <w:color w:val="000000"/>
          <w:spacing w:val="0"/>
          <w:w w:val="100"/>
          <w:position w:val="0"/>
          <w:sz w:val="24"/>
          <w:szCs w:val="24"/>
        </w:rPr>
        <w:t>5%</w:t>
      </w:r>
      <w:r>
        <w:rPr>
          <w:color w:val="000000"/>
          <w:spacing w:val="0"/>
          <w:w w:val="100"/>
          <w:position w:val="0"/>
          <w:sz w:val="24"/>
          <w:szCs w:val="24"/>
        </w:rPr>
        <w:t>。</w:t>
      </w:r>
    </w:p>
    <w:p>
      <w:pPr>
        <w:pStyle w:val="Style72"/>
        <w:keepNext w:val="0"/>
        <w:keepLines w:val="0"/>
        <w:framePr w:w="3331" w:h="3725" w:wrap="none" w:vAnchor="text" w:hAnchor="page" w:x="2425" w:y="5607"/>
        <w:widowControl w:val="0"/>
        <w:shd w:val="clear" w:color="auto" w:fill="auto"/>
        <w:tabs>
          <w:tab w:pos="1574" w:val="left"/>
        </w:tabs>
        <w:bidi w:val="0"/>
        <w:spacing w:before="0" w:after="260" w:line="312" w:lineRule="exact"/>
        <w:ind w:left="260" w:right="0" w:hanging="260"/>
        <w:jc w:val="both"/>
      </w:pPr>
      <w:r>
        <w:rPr>
          <w:color w:val="000000"/>
          <w:spacing w:val="0"/>
          <w:w w:val="100"/>
          <w:position w:val="0"/>
          <w:sz w:val="24"/>
          <w:szCs w:val="24"/>
        </w:rPr>
        <w:t>城镇土地使实际占用土地面 用税</w:t>
        <w:tab/>
        <w:t>积</w:t>
      </w:r>
    </w:p>
    <w:p>
      <w:pPr>
        <w:pStyle w:val="Style72"/>
        <w:keepNext w:val="0"/>
        <w:keepLines w:val="0"/>
        <w:framePr w:w="3331" w:h="3725" w:wrap="none" w:vAnchor="text" w:hAnchor="page" w:x="2425" w:y="5607"/>
        <w:widowControl w:val="0"/>
        <w:shd w:val="clear" w:color="auto" w:fill="auto"/>
        <w:tabs>
          <w:tab w:pos="1570" w:val="left"/>
        </w:tabs>
        <w:bidi w:val="0"/>
        <w:spacing w:before="0" w:after="0" w:line="312" w:lineRule="exact"/>
        <w:ind w:left="0" w:right="0" w:firstLine="0"/>
        <w:jc w:val="right"/>
      </w:pPr>
      <w:r>
        <w:rPr>
          <w:color w:val="000000"/>
          <w:spacing w:val="0"/>
          <w:w w:val="100"/>
          <w:position w:val="0"/>
          <w:sz w:val="24"/>
          <w:szCs w:val="24"/>
        </w:rPr>
        <w:t>文化事业建计费销售额</w:t>
      </w:r>
      <w:r>
        <w:rPr>
          <w:rFonts w:ascii="Arial" w:eastAsia="Arial" w:hAnsi="Arial" w:cs="Arial"/>
          <w:color w:val="000000"/>
          <w:spacing w:val="0"/>
          <w:w w:val="100"/>
          <w:position w:val="0"/>
          <w:sz w:val="24"/>
          <w:szCs w:val="24"/>
        </w:rPr>
        <w:t>（</w:t>
      </w:r>
      <w:r>
        <w:rPr>
          <w:color w:val="000000"/>
          <w:spacing w:val="0"/>
          <w:w w:val="100"/>
          <w:position w:val="0"/>
          <w:sz w:val="24"/>
          <w:szCs w:val="24"/>
        </w:rPr>
        <w:t>即 设费</w:t>
        <w:tab/>
        <w:t>缴纳义务人提供</w:t>
      </w:r>
    </w:p>
    <w:p>
      <w:pPr>
        <w:pStyle w:val="Style72"/>
        <w:keepNext w:val="0"/>
        <w:keepLines w:val="0"/>
        <w:framePr w:w="3331" w:h="3725" w:wrap="none" w:vAnchor="text" w:hAnchor="page" w:x="2425" w:y="5607"/>
        <w:widowControl w:val="0"/>
        <w:shd w:val="clear" w:color="auto" w:fill="auto"/>
        <w:bidi w:val="0"/>
        <w:spacing w:before="0" w:after="0" w:line="312" w:lineRule="exact"/>
        <w:ind w:left="1600" w:right="0" w:firstLine="0"/>
        <w:jc w:val="both"/>
        <w:rPr>
          <w:sz w:val="28"/>
          <w:szCs w:val="28"/>
        </w:rPr>
      </w:pPr>
      <w:r>
        <w:rPr>
          <w:color w:val="000000"/>
          <w:spacing w:val="0"/>
          <w:w w:val="100"/>
          <w:position w:val="0"/>
          <w:sz w:val="24"/>
          <w:szCs w:val="24"/>
        </w:rPr>
        <w:t>广告服务取得的 全部含税价款和 价外费用，减除 支付给其他广告 公司或广告发布 者的含税广告发 布费后的余额</w:t>
      </w:r>
      <w:r>
        <w:rPr>
          <w:color w:val="000000"/>
          <w:spacing w:val="0"/>
          <w:w w:val="100"/>
          <w:position w:val="0"/>
          <w:sz w:val="28"/>
          <w:szCs w:val="28"/>
        </w:rPr>
        <w:t>）</w:t>
      </w:r>
    </w:p>
    <w:p>
      <w:pPr>
        <w:pStyle w:val="Style72"/>
        <w:keepNext w:val="0"/>
        <w:keepLines w:val="0"/>
        <w:framePr w:w="4522" w:h="2414" w:wrap="none" w:vAnchor="text" w:hAnchor="page" w:x="5963" w:y="3524"/>
        <w:widowControl w:val="0"/>
        <w:shd w:val="clear" w:color="auto" w:fill="auto"/>
        <w:bidi w:val="0"/>
        <w:spacing w:before="0" w:after="0" w:line="298" w:lineRule="exact"/>
        <w:ind w:left="0" w:right="0" w:firstLine="0"/>
        <w:jc w:val="left"/>
      </w:pPr>
      <w:r>
        <w:rPr>
          <w:color w:val="000000"/>
          <w:spacing w:val="0"/>
          <w:w w:val="100"/>
          <w:position w:val="0"/>
          <w:sz w:val="24"/>
          <w:szCs w:val="24"/>
        </w:rPr>
        <w:t>从价计征：依照房产原值一次减除</w:t>
      </w:r>
      <w:r>
        <w:rPr>
          <w:rFonts w:ascii="Arial" w:eastAsia="Arial" w:hAnsi="Arial" w:cs="Arial"/>
          <w:color w:val="000000"/>
          <w:spacing w:val="0"/>
          <w:w w:val="100"/>
          <w:position w:val="0"/>
          <w:sz w:val="24"/>
          <w:szCs w:val="24"/>
        </w:rPr>
        <w:t>10%</w:t>
      </w:r>
      <w:r>
        <w:rPr>
          <w:color w:val="000000"/>
          <w:spacing w:val="0"/>
          <w:w w:val="100"/>
          <w:position w:val="0"/>
          <w:sz w:val="24"/>
          <w:szCs w:val="24"/>
        </w:rPr>
        <w:t>至</w:t>
      </w:r>
    </w:p>
    <w:p>
      <w:pPr>
        <w:pStyle w:val="Style72"/>
        <w:keepNext w:val="0"/>
        <w:keepLines w:val="0"/>
        <w:framePr w:w="4522" w:h="2414" w:wrap="none" w:vAnchor="text" w:hAnchor="page" w:x="5963" w:y="3524"/>
        <w:widowControl w:val="0"/>
        <w:shd w:val="clear" w:color="auto" w:fill="auto"/>
        <w:bidi w:val="0"/>
        <w:spacing w:before="0" w:after="0" w:line="298" w:lineRule="exact"/>
        <w:ind w:left="0" w:right="0" w:firstLine="0"/>
        <w:jc w:val="left"/>
      </w:pPr>
      <w:r>
        <w:rPr>
          <w:rFonts w:ascii="Arial" w:eastAsia="Arial" w:hAnsi="Arial" w:cs="Arial"/>
          <w:color w:val="000000"/>
          <w:spacing w:val="0"/>
          <w:w w:val="100"/>
          <w:position w:val="0"/>
          <w:sz w:val="24"/>
          <w:szCs w:val="24"/>
        </w:rPr>
        <w:t>30%</w:t>
      </w:r>
      <w:r>
        <w:rPr>
          <w:color w:val="000000"/>
          <w:spacing w:val="0"/>
          <w:w w:val="100"/>
          <w:position w:val="0"/>
          <w:sz w:val="24"/>
          <w:szCs w:val="24"/>
        </w:rPr>
        <w:t>后的余值计算缴纳，税率为</w:t>
      </w:r>
      <w:r>
        <w:rPr>
          <w:rFonts w:ascii="Arial" w:eastAsia="Arial" w:hAnsi="Arial" w:cs="Arial"/>
          <w:color w:val="000000"/>
          <w:spacing w:val="0"/>
          <w:w w:val="100"/>
          <w:position w:val="0"/>
          <w:sz w:val="24"/>
          <w:szCs w:val="24"/>
        </w:rPr>
        <w:t>1.2% （</w:t>
      </w:r>
      <w:r>
        <w:rPr>
          <w:color w:val="000000"/>
          <w:spacing w:val="0"/>
          <w:w w:val="100"/>
          <w:position w:val="0"/>
          <w:sz w:val="24"/>
          <w:szCs w:val="24"/>
        </w:rPr>
        <w:t>还需</w:t>
      </w:r>
    </w:p>
    <w:p>
      <w:pPr>
        <w:pStyle w:val="Style72"/>
        <w:keepNext w:val="0"/>
        <w:keepLines w:val="0"/>
        <w:framePr w:w="4522" w:h="2414" w:wrap="none" w:vAnchor="text" w:hAnchor="page" w:x="5963" w:y="3524"/>
        <w:widowControl w:val="0"/>
        <w:shd w:val="clear" w:color="auto" w:fill="auto"/>
        <w:bidi w:val="0"/>
        <w:spacing w:before="0" w:after="300" w:line="298" w:lineRule="exact"/>
        <w:ind w:left="0" w:right="0" w:firstLine="0"/>
        <w:jc w:val="left"/>
      </w:pPr>
      <w:r>
        <w:rPr>
          <w:color w:val="000000"/>
          <w:spacing w:val="0"/>
          <w:w w:val="100"/>
          <w:position w:val="0"/>
          <w:sz w:val="24"/>
          <w:szCs w:val="24"/>
        </w:rPr>
        <w:t>扣除一定比率</w:t>
      </w:r>
      <w:r>
        <w:rPr>
          <w:rFonts w:ascii="Arial" w:eastAsia="Arial" w:hAnsi="Arial" w:cs="Arial"/>
          <w:color w:val="000000"/>
          <w:spacing w:val="0"/>
          <w:w w:val="100"/>
          <w:position w:val="0"/>
          <w:sz w:val="24"/>
          <w:szCs w:val="24"/>
        </w:rPr>
        <w:t>10%~30%）</w:t>
      </w:r>
      <w:r>
        <w:rPr>
          <w:color w:val="000000"/>
          <w:spacing w:val="0"/>
          <w:w w:val="100"/>
          <w:position w:val="0"/>
          <w:sz w:val="24"/>
          <w:szCs w:val="24"/>
        </w:rPr>
        <w:t>；</w:t>
      </w:r>
    </w:p>
    <w:p>
      <w:pPr>
        <w:pStyle w:val="Style72"/>
        <w:keepNext w:val="0"/>
        <w:keepLines w:val="0"/>
        <w:framePr w:w="4522" w:h="2414" w:wrap="none" w:vAnchor="text" w:hAnchor="page" w:x="5963" w:y="3524"/>
        <w:widowControl w:val="0"/>
        <w:shd w:val="clear" w:color="auto" w:fill="auto"/>
        <w:bidi w:val="0"/>
        <w:spacing w:before="0" w:after="300" w:line="298" w:lineRule="exact"/>
        <w:ind w:left="0" w:right="0" w:firstLine="0"/>
        <w:jc w:val="left"/>
      </w:pPr>
      <w:r>
        <w:rPr>
          <w:color w:val="000000"/>
          <w:spacing w:val="0"/>
          <w:w w:val="100"/>
          <w:position w:val="0"/>
          <w:sz w:val="24"/>
          <w:szCs w:val="24"/>
        </w:rPr>
        <w:t>从租计征：依照房产租金收入计算缴纳，税 率为</w:t>
      </w:r>
      <w:r>
        <w:rPr>
          <w:rFonts w:ascii="Arial" w:eastAsia="Arial" w:hAnsi="Arial" w:cs="Arial"/>
          <w:color w:val="000000"/>
          <w:spacing w:val="0"/>
          <w:w w:val="100"/>
          <w:position w:val="0"/>
          <w:sz w:val="24"/>
          <w:szCs w:val="24"/>
        </w:rPr>
        <w:t>12%</w:t>
      </w:r>
      <w:r>
        <w:rPr>
          <w:color w:val="000000"/>
          <w:spacing w:val="0"/>
          <w:w w:val="100"/>
          <w:position w:val="0"/>
          <w:sz w:val="24"/>
          <w:szCs w:val="24"/>
        </w:rPr>
        <w:t>。</w:t>
      </w:r>
    </w:p>
    <w:p>
      <w:pPr>
        <w:pStyle w:val="Style72"/>
        <w:keepNext w:val="0"/>
        <w:keepLines w:val="0"/>
        <w:framePr w:w="4522" w:h="2414" w:wrap="none" w:vAnchor="text" w:hAnchor="page" w:x="5963" w:y="3524"/>
        <w:widowControl w:val="0"/>
        <w:shd w:val="clear" w:color="auto" w:fill="auto"/>
        <w:bidi w:val="0"/>
        <w:spacing w:before="0" w:after="300" w:line="298" w:lineRule="exact"/>
        <w:ind w:left="0" w:right="0" w:firstLine="0"/>
        <w:jc w:val="left"/>
      </w:pPr>
      <w:r>
        <w:rPr>
          <w:color w:val="000000"/>
          <w:spacing w:val="0"/>
          <w:w w:val="100"/>
          <w:position w:val="0"/>
          <w:sz w:val="24"/>
          <w:szCs w:val="24"/>
        </w:rPr>
        <w:t>适用地区幅度差别定额税率</w:t>
      </w:r>
    </w:p>
    <w:p>
      <w:pPr>
        <w:pStyle w:val="Style92"/>
        <w:keepNext w:val="0"/>
        <w:keepLines w:val="0"/>
        <w:framePr w:w="389" w:h="298" w:wrap="none" w:vAnchor="text" w:hAnchor="page" w:x="5963" w:y="6519"/>
        <w:widowControl w:val="0"/>
        <w:shd w:val="clear" w:color="auto" w:fill="auto"/>
        <w:bidi w:val="0"/>
        <w:spacing w:before="0" w:after="0" w:line="240" w:lineRule="auto"/>
        <w:ind w:left="0" w:right="0" w:firstLine="0"/>
        <w:jc w:val="center"/>
      </w:pPr>
      <w:r>
        <w:rPr>
          <w:color w:val="000000"/>
          <w:spacing w:val="0"/>
          <w:w w:val="100"/>
          <w:position w:val="0"/>
          <w:sz w:val="24"/>
          <w:szCs w:val="24"/>
        </w:rPr>
        <w:t>3%</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0"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2131" w:right="1417" w:bottom="984" w:left="1723" w:header="0" w:footer="3" w:gutter="0"/>
          <w:cols w:space="720"/>
          <w:noEndnote/>
          <w:rtlGutter w:val="0"/>
          <w:docGrid w:linePitch="360"/>
        </w:sectPr>
      </w:pPr>
    </w:p>
    <w:p>
      <w:pPr>
        <w:pStyle w:val="Style7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三 税项</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4" w:val="left"/>
        </w:tabs>
        <w:bidi w:val="0"/>
        <w:spacing w:before="0" w:after="260" w:line="240" w:lineRule="auto"/>
        <w:ind w:left="0" w:right="0" w:firstLine="0"/>
        <w:jc w:val="left"/>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本集团适用的主要税种及其税率列示如下</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r>
        <w:rPr>
          <w:b/>
          <w:bCs/>
          <w:color w:val="000000"/>
          <w:spacing w:val="0"/>
          <w:w w:val="100"/>
          <w:position w:val="0"/>
          <w:sz w:val="24"/>
          <w:szCs w:val="24"/>
        </w:rPr>
        <w:t>:</w:t>
      </w:r>
    </w:p>
    <w:p>
      <w:pPr>
        <w:pStyle w:val="Style72"/>
        <w:keepNext w:val="0"/>
        <w:keepLines w:val="0"/>
        <w:widowControl w:val="0"/>
        <w:shd w:val="clear" w:color="auto" w:fill="auto"/>
        <w:tabs>
          <w:tab w:pos="694" w:val="left"/>
        </w:tabs>
        <w:bidi w:val="0"/>
        <w:spacing w:before="0" w:after="300" w:line="311" w:lineRule="exact"/>
        <w:ind w:left="700" w:right="0" w:hanging="700"/>
        <w:jc w:val="both"/>
      </w:pPr>
      <w:bookmarkStart w:id="889" w:name="bookmark889"/>
      <w:r>
        <w:rPr>
          <w:rFonts w:ascii="Arial" w:eastAsia="Arial" w:hAnsi="Arial" w:cs="Arial"/>
          <w:color w:val="000000"/>
          <w:spacing w:val="0"/>
          <w:w w:val="100"/>
          <w:position w:val="0"/>
          <w:sz w:val="24"/>
          <w:szCs w:val="24"/>
          <w:shd w:val="clear" w:color="auto" w:fill="FFFFFF"/>
        </w:rPr>
        <w:t>（</w:t>
      </w:r>
      <w:bookmarkEnd w:id="889"/>
      <w:r>
        <w:rPr>
          <w:rFonts w:ascii="Arial" w:eastAsia="Arial" w:hAnsi="Arial" w:cs="Arial"/>
          <w:color w:val="000000"/>
          <w:spacing w:val="0"/>
          <w:w w:val="100"/>
          <w:position w:val="0"/>
          <w:sz w:val="24"/>
          <w:szCs w:val="24"/>
          <w:shd w:val="clear" w:color="auto" w:fill="FFFFFF"/>
        </w:rPr>
        <w:t>a）</w:t>
      </w:r>
      <w:r>
        <w:rPr>
          <w:rFonts w:ascii="Arial" w:eastAsia="Arial" w:hAnsi="Arial" w:cs="Arial"/>
          <w:color w:val="000000"/>
          <w:spacing w:val="0"/>
          <w:w w:val="100"/>
          <w:position w:val="0"/>
          <w:sz w:val="24"/>
          <w:szCs w:val="24"/>
        </w:rPr>
        <w:tab/>
      </w:r>
      <w:r>
        <w:rPr>
          <w:color w:val="000000"/>
          <w:spacing w:val="0"/>
          <w:w w:val="100"/>
          <w:position w:val="0"/>
          <w:sz w:val="24"/>
          <w:szCs w:val="24"/>
        </w:rPr>
        <w:t>根据财政部、国家税务总局及海关总署颁布的《关于深化增值税改革有关政 策的公告》</w:t>
      </w:r>
      <w:r>
        <w:rPr>
          <w:rFonts w:ascii="Arial" w:eastAsia="Arial" w:hAnsi="Arial" w:cs="Arial"/>
          <w:color w:val="000000"/>
          <w:spacing w:val="0"/>
          <w:w w:val="100"/>
          <w:position w:val="0"/>
          <w:sz w:val="24"/>
          <w:szCs w:val="24"/>
        </w:rPr>
        <w:t>（</w:t>
      </w:r>
      <w:r>
        <w:rPr>
          <w:color w:val="000000"/>
          <w:spacing w:val="0"/>
          <w:w w:val="100"/>
          <w:position w:val="0"/>
          <w:sz w:val="24"/>
          <w:szCs w:val="24"/>
        </w:rPr>
        <w:t>财政部 税务总局 海关总署公告</w:t>
      </w:r>
      <w:r>
        <w:rPr>
          <w:rFonts w:ascii="Arial" w:eastAsia="Arial" w:hAnsi="Arial" w:cs="Arial"/>
          <w:color w:val="000000"/>
          <w:spacing w:val="0"/>
          <w:w w:val="100"/>
          <w:position w:val="0"/>
          <w:sz w:val="24"/>
          <w:szCs w:val="24"/>
        </w:rPr>
        <w:t>[2019]39</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及相关规定，自</w:t>
      </w:r>
      <w:r>
        <w:rPr>
          <w:rFonts w:ascii="Arial" w:eastAsia="Arial" w:hAnsi="Arial" w:cs="Arial"/>
          <w:color w:val="000000"/>
          <w:spacing w:val="0"/>
          <w:w w:val="100"/>
          <w:position w:val="0"/>
          <w:sz w:val="24"/>
          <w:szCs w:val="24"/>
        </w:rPr>
        <w:t xml:space="preserve">2019 </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日起，本公司的子公司北京苏宁易购销售有限公司等公司的一般商 品零售业务收入适用的增值税税率为</w:t>
      </w:r>
      <w:r>
        <w:rPr>
          <w:rFonts w:ascii="Arial" w:eastAsia="Arial" w:hAnsi="Arial" w:cs="Arial"/>
          <w:color w:val="000000"/>
          <w:spacing w:val="0"/>
          <w:w w:val="100"/>
          <w:position w:val="0"/>
          <w:sz w:val="24"/>
          <w:szCs w:val="24"/>
        </w:rPr>
        <w:t>13%</w:t>
      </w:r>
      <w:r>
        <w:rPr>
          <w:color w:val="000000"/>
          <w:spacing w:val="0"/>
          <w:w w:val="100"/>
          <w:position w:val="0"/>
          <w:sz w:val="24"/>
          <w:szCs w:val="24"/>
        </w:rPr>
        <w:t>；自</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 xml:space="preserve">日起，本公司 的子公司江苏苏宁物流有限公司等公司的运输服务收入适用的增值税税率为 </w:t>
      </w:r>
      <w:r>
        <w:rPr>
          <w:rFonts w:ascii="Arial" w:eastAsia="Arial" w:hAnsi="Arial" w:cs="Arial"/>
          <w:color w:val="000000"/>
          <w:spacing w:val="0"/>
          <w:w w:val="100"/>
          <w:position w:val="0"/>
          <w:sz w:val="24"/>
          <w:szCs w:val="24"/>
        </w:rPr>
        <w:t>9%</w:t>
      </w:r>
      <w:r>
        <w:rPr>
          <w:color w:val="000000"/>
          <w:spacing w:val="0"/>
          <w:w w:val="100"/>
          <w:position w:val="0"/>
          <w:sz w:val="24"/>
          <w:szCs w:val="24"/>
        </w:rPr>
        <w:t>；自</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 xml:space="preserve">日起，本公司的分公司苏宁易购集团股份有限公司南 京苏宁互联分公司等互联分公司的基础电信服务收入适用的增值税税率为 </w:t>
      </w:r>
      <w:r>
        <w:rPr>
          <w:rFonts w:ascii="Arial" w:eastAsia="Arial" w:hAnsi="Arial" w:cs="Arial"/>
          <w:color w:val="000000"/>
          <w:spacing w:val="0"/>
          <w:w w:val="100"/>
          <w:position w:val="0"/>
          <w:sz w:val="24"/>
          <w:szCs w:val="24"/>
        </w:rPr>
        <w:t>9%</w:t>
      </w:r>
      <w:r>
        <w:rPr>
          <w:color w:val="000000"/>
          <w:spacing w:val="0"/>
          <w:w w:val="100"/>
          <w:position w:val="0"/>
          <w:sz w:val="24"/>
          <w:szCs w:val="24"/>
        </w:rPr>
        <w:t>，；自</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日起，本公司的子公司江苏苏宁物流有限公司等公司 的有形动产租赁服务收入适用的增值税税率为</w:t>
      </w:r>
      <w:r>
        <w:rPr>
          <w:rFonts w:ascii="Arial" w:eastAsia="Arial" w:hAnsi="Arial" w:cs="Arial"/>
          <w:color w:val="000000"/>
          <w:spacing w:val="0"/>
          <w:w w:val="100"/>
          <w:position w:val="0"/>
          <w:sz w:val="24"/>
          <w:szCs w:val="24"/>
        </w:rPr>
        <w:t>13%</w:t>
      </w:r>
      <w:r>
        <w:rPr>
          <w:color w:val="000000"/>
          <w:spacing w:val="0"/>
          <w:w w:val="100"/>
          <w:position w:val="0"/>
          <w:sz w:val="24"/>
          <w:szCs w:val="24"/>
        </w:rPr>
        <w:t>；自</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 本公司的子公司广东苏宁易购销售有限公司等公司出租其</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 后取得的不动产取得的租赁收入，适用的增值税税率为</w:t>
      </w:r>
      <w:r>
        <w:rPr>
          <w:rFonts w:ascii="Arial" w:eastAsia="Arial" w:hAnsi="Arial" w:cs="Arial"/>
          <w:color w:val="000000"/>
          <w:spacing w:val="0"/>
          <w:w w:val="100"/>
          <w:position w:val="0"/>
          <w:sz w:val="24"/>
          <w:szCs w:val="24"/>
        </w:rPr>
        <w:t>9%</w:t>
      </w:r>
      <w:r>
        <w:rPr>
          <w:color w:val="000000"/>
          <w:spacing w:val="0"/>
          <w:w w:val="100"/>
          <w:position w:val="0"/>
          <w:sz w:val="24"/>
          <w:szCs w:val="24"/>
        </w:rPr>
        <w:t>。</w:t>
      </w:r>
    </w:p>
    <w:tbl>
      <w:tblPr>
        <w:tblOverlap w:val="never"/>
        <w:jc w:val="right"/>
        <w:tblLayout w:type="fixed"/>
      </w:tblPr>
      <w:tblGrid>
        <w:gridCol w:w="1570"/>
        <w:gridCol w:w="1968"/>
        <w:gridCol w:w="4522"/>
      </w:tblGrid>
      <w:tr>
        <w:trPr>
          <w:trHeight w:val="43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税种</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计税依据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税率</w:t>
            </w:r>
          </w:p>
        </w:tc>
      </w:tr>
      <w:tr>
        <w:trPr>
          <w:trHeight w:val="58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境外子公司：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07" w:hRule="exact"/>
        </w:trPr>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left"/>
              <w:rPr>
                <w:sz w:val="24"/>
                <w:szCs w:val="24"/>
              </w:rPr>
            </w:pPr>
            <w:r>
              <w:rPr>
                <w:rFonts w:ascii="SimSun" w:eastAsia="SimSun" w:hAnsi="SimSun" w:cs="SimSun"/>
                <w:color w:val="000000"/>
                <w:spacing w:val="0"/>
                <w:w w:val="100"/>
                <w:position w:val="0"/>
                <w:sz w:val="24"/>
                <w:szCs w:val="24"/>
              </w:rPr>
              <w:t>香港利得税</w:t>
            </w:r>
          </w:p>
        </w:tc>
        <w:tc>
          <w:tcPr>
            <w:tcBorders/>
            <w:shd w:val="clear" w:color="auto" w:fill="FFFFFF"/>
            <w:vAlign w:val="top"/>
          </w:tcPr>
          <w:p>
            <w:pPr>
              <w:pStyle w:val="Style29"/>
              <w:keepNext w:val="0"/>
              <w:keepLines w:val="0"/>
              <w:widowControl w:val="0"/>
              <w:shd w:val="clear" w:color="auto" w:fill="auto"/>
              <w:bidi w:val="0"/>
              <w:spacing w:before="120" w:after="0" w:line="298" w:lineRule="exact"/>
              <w:ind w:left="140" w:right="0" w:firstLine="0"/>
              <w:jc w:val="left"/>
              <w:rPr>
                <w:sz w:val="24"/>
                <w:szCs w:val="24"/>
              </w:rPr>
            </w:pPr>
            <w:r>
              <w:rPr>
                <w:rFonts w:ascii="SimSun" w:eastAsia="SimSun" w:hAnsi="SimSun" w:cs="SimSun"/>
                <w:color w:val="000000"/>
                <w:spacing w:val="0"/>
                <w:w w:val="100"/>
                <w:position w:val="0"/>
                <w:sz w:val="24"/>
                <w:szCs w:val="24"/>
              </w:rPr>
              <w:t>在香港地区产生 的利得</w:t>
            </w:r>
          </w:p>
        </w:tc>
        <w:tc>
          <w:tcPr>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4"/>
                <w:szCs w:val="24"/>
              </w:rPr>
            </w:pPr>
            <w:r>
              <w:rPr>
                <w:rFonts w:ascii="Arial" w:eastAsia="Arial" w:hAnsi="Arial" w:cs="Arial"/>
                <w:color w:val="000000"/>
                <w:spacing w:val="0"/>
                <w:w w:val="100"/>
                <w:position w:val="0"/>
                <w:sz w:val="24"/>
                <w:szCs w:val="24"/>
              </w:rPr>
              <w:t>2018/19</w:t>
            </w:r>
            <w:r>
              <w:rPr>
                <w:rFonts w:ascii="SimSun" w:eastAsia="SimSun" w:hAnsi="SimSun" w:cs="SimSun"/>
                <w:color w:val="000000"/>
                <w:spacing w:val="0"/>
                <w:w w:val="100"/>
                <w:position w:val="0"/>
                <w:sz w:val="24"/>
                <w:szCs w:val="24"/>
              </w:rPr>
              <w:t>年度及其后，不超过</w:t>
            </w:r>
            <w:r>
              <w:rPr>
                <w:rFonts w:ascii="Arial" w:eastAsia="Arial" w:hAnsi="Arial" w:cs="Arial"/>
                <w:color w:val="000000"/>
                <w:spacing w:val="0"/>
                <w:w w:val="100"/>
                <w:position w:val="0"/>
                <w:sz w:val="24"/>
                <w:szCs w:val="24"/>
              </w:rPr>
              <w:t xml:space="preserve">2,000,000 </w:t>
            </w:r>
            <w:r>
              <w:rPr>
                <w:rFonts w:ascii="SimSun" w:eastAsia="SimSun" w:hAnsi="SimSun" w:cs="SimSun"/>
                <w:color w:val="000000"/>
                <w:spacing w:val="0"/>
                <w:w w:val="100"/>
                <w:position w:val="0"/>
                <w:sz w:val="24"/>
                <w:szCs w:val="24"/>
              </w:rPr>
              <w:t>港币的应评税利润税率为</w:t>
            </w:r>
            <w:r>
              <w:rPr>
                <w:rFonts w:ascii="Arial" w:eastAsia="Arial" w:hAnsi="Arial" w:cs="Arial"/>
                <w:color w:val="000000"/>
                <w:spacing w:val="0"/>
                <w:w w:val="100"/>
                <w:position w:val="0"/>
                <w:sz w:val="24"/>
                <w:szCs w:val="24"/>
              </w:rPr>
              <w:t>8.25%</w:t>
            </w:r>
            <w:r>
              <w:rPr>
                <w:rFonts w:ascii="SimSun" w:eastAsia="SimSun" w:hAnsi="SimSun" w:cs="SimSun"/>
                <w:color w:val="000000"/>
                <w:spacing w:val="0"/>
                <w:w w:val="100"/>
                <w:position w:val="0"/>
                <w:sz w:val="24"/>
                <w:szCs w:val="24"/>
              </w:rPr>
              <w:t>；应评税 利润中超过</w:t>
            </w:r>
            <w:r>
              <w:rPr>
                <w:rFonts w:ascii="Arial" w:eastAsia="Arial" w:hAnsi="Arial" w:cs="Arial"/>
                <w:color w:val="000000"/>
                <w:spacing w:val="0"/>
                <w:w w:val="100"/>
                <w:position w:val="0"/>
                <w:sz w:val="24"/>
                <w:szCs w:val="24"/>
              </w:rPr>
              <w:t>2,000,000</w:t>
            </w:r>
            <w:r>
              <w:rPr>
                <w:rFonts w:ascii="SimSun" w:eastAsia="SimSun" w:hAnsi="SimSun" w:cs="SimSun"/>
                <w:color w:val="000000"/>
                <w:spacing w:val="0"/>
                <w:w w:val="100"/>
                <w:position w:val="0"/>
                <w:sz w:val="24"/>
                <w:szCs w:val="24"/>
              </w:rPr>
              <w:t xml:space="preserve">港币的部分税率为 </w:t>
            </w:r>
            <w:r>
              <w:rPr>
                <w:rFonts w:ascii="Arial" w:eastAsia="Arial" w:hAnsi="Arial" w:cs="Arial"/>
                <w:color w:val="000000"/>
                <w:spacing w:val="0"/>
                <w:w w:val="100"/>
                <w:position w:val="0"/>
                <w:sz w:val="24"/>
                <w:szCs w:val="24"/>
              </w:rPr>
              <w:t>16.5%</w:t>
            </w:r>
            <w:r>
              <w:rPr>
                <w:rFonts w:ascii="SimSun" w:eastAsia="SimSun" w:hAnsi="SimSun" w:cs="SimSun"/>
                <w:color w:val="000000"/>
                <w:spacing w:val="0"/>
                <w:w w:val="100"/>
                <w:position w:val="0"/>
                <w:sz w:val="24"/>
                <w:szCs w:val="24"/>
              </w:rPr>
              <w:t>。</w:t>
            </w:r>
          </w:p>
        </w:tc>
      </w:tr>
      <w:tr>
        <w:trPr>
          <w:trHeight w:val="912" w:hRule="exact"/>
        </w:trPr>
        <w:tc>
          <w:tcPr>
            <w:tcBorders/>
            <w:shd w:val="clear" w:color="auto" w:fill="FFFFFF"/>
            <w:vAlign w:val="top"/>
          </w:tcPr>
          <w:p>
            <w:pPr>
              <w:pStyle w:val="Style29"/>
              <w:keepNext w:val="0"/>
              <w:keepLines w:val="0"/>
              <w:widowControl w:val="0"/>
              <w:shd w:val="clear" w:color="auto" w:fill="auto"/>
              <w:bidi w:val="0"/>
              <w:spacing w:before="160" w:after="0" w:line="240" w:lineRule="auto"/>
              <w:ind w:left="0" w:right="0" w:firstLine="0"/>
              <w:jc w:val="left"/>
              <w:rPr>
                <w:sz w:val="24"/>
                <w:szCs w:val="24"/>
              </w:rPr>
            </w:pPr>
            <w:r>
              <w:rPr>
                <w:rFonts w:ascii="SimSun" w:eastAsia="SimSun" w:hAnsi="SimSun" w:cs="SimSun"/>
                <w:color w:val="000000"/>
                <w:spacing w:val="0"/>
                <w:w w:val="100"/>
                <w:position w:val="0"/>
                <w:sz w:val="24"/>
                <w:szCs w:val="24"/>
              </w:rPr>
              <w:t>开曼</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24"/>
                <w:szCs w:val="24"/>
              </w:rPr>
            </w:pPr>
            <w:r>
              <w:rPr>
                <w:rFonts w:ascii="SimSun" w:eastAsia="SimSun" w:hAnsi="SimSun" w:cs="SimSun"/>
                <w:color w:val="000000"/>
                <w:spacing w:val="0"/>
                <w:w w:val="100"/>
                <w:position w:val="0"/>
                <w:sz w:val="24"/>
                <w:szCs w:val="24"/>
              </w:rPr>
              <w:t>目前未对设立于开曼的公司之企业利润、 资本利得、工资等征税。</w:t>
            </w:r>
          </w:p>
        </w:tc>
      </w:tr>
      <w:tr>
        <w:trPr>
          <w:trHeight w:val="74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美国企业所</w:t>
            </w:r>
          </w:p>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得税</w:t>
            </w:r>
          </w:p>
        </w:tc>
        <w:tc>
          <w:tcPr>
            <w:tcBorders/>
            <w:shd w:val="clear" w:color="auto" w:fill="FFFFFF"/>
            <w:vAlign w:val="bottom"/>
          </w:tcPr>
          <w:p>
            <w:pPr>
              <w:pStyle w:val="Style29"/>
              <w:keepNext w:val="0"/>
              <w:keepLines w:val="0"/>
              <w:widowControl w:val="0"/>
              <w:shd w:val="clear" w:color="auto" w:fill="auto"/>
              <w:bidi w:val="0"/>
              <w:spacing w:before="0" w:after="0" w:line="312" w:lineRule="exact"/>
              <w:ind w:left="140" w:right="0" w:firstLine="0"/>
              <w:jc w:val="left"/>
              <w:rPr>
                <w:sz w:val="24"/>
                <w:szCs w:val="24"/>
              </w:rPr>
            </w:pPr>
            <w:r>
              <w:rPr>
                <w:rFonts w:ascii="SimSun" w:eastAsia="SimSun" w:hAnsi="SimSun" w:cs="SimSun"/>
                <w:color w:val="000000"/>
                <w:spacing w:val="0"/>
                <w:w w:val="100"/>
                <w:position w:val="0"/>
                <w:sz w:val="24"/>
                <w:szCs w:val="24"/>
              </w:rPr>
              <w:t>在美国地区产生 的利得</w:t>
            </w:r>
          </w:p>
        </w:tc>
        <w:tc>
          <w:tcPr>
            <w:tcBorders/>
            <w:shd w:val="clear" w:color="auto" w:fill="FFFFFF"/>
            <w:vAlign w:val="bottom"/>
          </w:tcPr>
          <w:p>
            <w:pPr>
              <w:pStyle w:val="Style29"/>
              <w:keepNext w:val="0"/>
              <w:keepLines w:val="0"/>
              <w:widowControl w:val="0"/>
              <w:shd w:val="clear" w:color="auto" w:fill="auto"/>
              <w:bidi w:val="0"/>
              <w:spacing w:before="0" w:after="0" w:line="307" w:lineRule="exact"/>
              <w:ind w:left="0" w:right="0" w:firstLine="0"/>
              <w:jc w:val="both"/>
              <w:rPr>
                <w:sz w:val="24"/>
                <w:szCs w:val="24"/>
              </w:rPr>
            </w:pPr>
            <w:r>
              <w:rPr>
                <w:rFonts w:ascii="SimSun" w:eastAsia="SimSun" w:hAnsi="SimSun" w:cs="SimSun"/>
                <w:color w:val="000000"/>
                <w:spacing w:val="0"/>
                <w:w w:val="100"/>
                <w:position w:val="0"/>
                <w:sz w:val="24"/>
                <w:szCs w:val="24"/>
              </w:rPr>
              <w:t>联邦税：根据计算出的应纳税所得额对应 的税率缴纳。</w:t>
            </w:r>
          </w:p>
        </w:tc>
      </w:tr>
    </w:tbl>
    <w:p>
      <w:pPr>
        <w:pStyle w:val="Style26"/>
        <w:keepNext w:val="0"/>
        <w:keepLines w:val="0"/>
        <w:widowControl w:val="0"/>
        <w:shd w:val="clear" w:color="auto" w:fill="auto"/>
        <w:bidi w:val="0"/>
        <w:spacing w:before="0" w:after="0" w:line="240" w:lineRule="auto"/>
        <w:ind w:left="0" w:right="0" w:firstLine="0"/>
        <w:jc w:val="center"/>
        <w:rPr>
          <w:sz w:val="24"/>
          <w:szCs w:val="24"/>
        </w:rPr>
        <w:sectPr>
          <w:footnotePr>
            <w:pos w:val="pageBottom"/>
            <w:numFmt w:val="decimal"/>
            <w:numStart w:val="1"/>
            <w:numRestart w:val="continuous"/>
            <w15:footnoteColumns w:val="1"/>
          </w:footnotePr>
          <w:pgSz w:w="11900" w:h="16840"/>
          <w:pgMar w:top="2338" w:right="1302" w:bottom="2338" w:left="1709" w:header="0" w:footer="3" w:gutter="0"/>
          <w:cols w:space="720"/>
          <w:noEndnote/>
          <w:rtlGutter w:val="0"/>
          <w:docGrid w:linePitch="360"/>
        </w:sectPr>
      </w:pPr>
      <w:r>
        <w:rPr>
          <w:color w:val="000000"/>
          <w:spacing w:val="0"/>
          <w:w w:val="100"/>
          <w:position w:val="0"/>
          <w:sz w:val="24"/>
          <w:szCs w:val="24"/>
        </w:rPr>
        <w:t>加州税：</w:t>
      </w:r>
      <w:r>
        <w:rPr>
          <w:rFonts w:ascii="Arial" w:eastAsia="Arial" w:hAnsi="Arial" w:cs="Arial"/>
          <w:color w:val="000000"/>
          <w:spacing w:val="0"/>
          <w:w w:val="100"/>
          <w:position w:val="0"/>
          <w:sz w:val="24"/>
          <w:szCs w:val="24"/>
        </w:rPr>
        <w:t>8.84%</w:t>
      </w:r>
    </w:p>
    <w:p>
      <w:pPr>
        <w:pStyle w:val="Style72"/>
        <w:keepNext w:val="0"/>
        <w:keepLines w:val="0"/>
        <w:widowControl w:val="0"/>
        <w:shd w:val="clear" w:color="auto" w:fill="auto"/>
        <w:tabs>
          <w:tab w:pos="704" w:val="left"/>
        </w:tabs>
        <w:bidi w:val="0"/>
        <w:spacing w:before="0" w:after="300" w:line="240" w:lineRule="auto"/>
        <w:ind w:left="0" w:right="0" w:firstLine="0"/>
        <w:jc w:val="left"/>
        <w:rPr>
          <w:sz w:val="28"/>
          <w:szCs w:val="28"/>
        </w:rPr>
      </w:pPr>
      <w:r>
        <w:rPr>
          <w:b/>
          <w:bCs/>
          <w:color w:val="000000"/>
          <w:spacing w:val="0"/>
          <w:w w:val="100"/>
          <w:position w:val="0"/>
          <w:sz w:val="24"/>
          <w:szCs w:val="24"/>
        </w:rPr>
        <w:t>三</w:t>
        <w:tab/>
        <w:t>税项</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4" w:val="left"/>
        </w:tabs>
        <w:bidi w:val="0"/>
        <w:spacing w:before="0" w:after="260" w:line="240" w:lineRule="auto"/>
        <w:ind w:left="0" w:right="0" w:firstLine="0"/>
        <w:jc w:val="left"/>
      </w:pPr>
      <w:r>
        <w:rPr>
          <w:rFonts w:ascii="Arial" w:eastAsia="Arial" w:hAnsi="Arial" w:cs="Arial"/>
          <w:color w:val="000000"/>
          <w:spacing w:val="0"/>
          <w:w w:val="100"/>
          <w:position w:val="0"/>
          <w:sz w:val="24"/>
          <w:szCs w:val="24"/>
        </w:rPr>
        <w:t>（2）</w:t>
        <w:tab/>
      </w:r>
      <w:r>
        <w:rPr>
          <w:b/>
          <w:bCs/>
          <w:color w:val="000000"/>
          <w:spacing w:val="0"/>
          <w:w w:val="100"/>
          <w:position w:val="0"/>
          <w:sz w:val="24"/>
          <w:szCs w:val="24"/>
        </w:rPr>
        <w:t>税收优惠及批文</w:t>
      </w:r>
    </w:p>
    <w:p>
      <w:pPr>
        <w:pStyle w:val="Style72"/>
        <w:keepNext w:val="0"/>
        <w:keepLines w:val="0"/>
        <w:widowControl w:val="0"/>
        <w:shd w:val="clear" w:color="auto" w:fill="auto"/>
        <w:tabs>
          <w:tab w:pos="704" w:val="left"/>
        </w:tabs>
        <w:bidi w:val="0"/>
        <w:spacing w:before="0" w:after="0" w:line="312" w:lineRule="exact"/>
        <w:ind w:right="0" w:hanging="720"/>
        <w:jc w:val="both"/>
      </w:pPr>
      <w:bookmarkStart w:id="890" w:name="bookmark890"/>
      <w:r>
        <w:rPr>
          <w:rFonts w:ascii="Arial" w:eastAsia="Arial" w:hAnsi="Arial" w:cs="Arial"/>
          <w:color w:val="000000"/>
          <w:spacing w:val="0"/>
          <w:w w:val="100"/>
          <w:position w:val="0"/>
          <w:sz w:val="24"/>
          <w:szCs w:val="24"/>
        </w:rPr>
        <w:t>（</w:t>
      </w:r>
      <w:bookmarkEnd w:id="890"/>
      <w:r>
        <w:rPr>
          <w:rFonts w:ascii="Arial" w:eastAsia="Arial" w:hAnsi="Arial" w:cs="Arial"/>
          <w:color w:val="000000"/>
          <w:spacing w:val="0"/>
          <w:w w:val="100"/>
          <w:position w:val="0"/>
          <w:sz w:val="24"/>
          <w:szCs w:val="24"/>
        </w:rPr>
        <w:t>a）</w:t>
        <w:tab/>
      </w:r>
      <w:r>
        <w:rPr>
          <w:color w:val="000000"/>
          <w:spacing w:val="0"/>
          <w:w w:val="100"/>
          <w:position w:val="0"/>
          <w:sz w:val="24"/>
          <w:szCs w:val="24"/>
        </w:rPr>
        <w:t>根据《财政部、税务总局、国家发展改革委关于延续西部大开发企业所得税 政策的公告》</w:t>
      </w:r>
      <w:r>
        <w:rPr>
          <w:color w:val="000000"/>
          <w:spacing w:val="0"/>
          <w:w w:val="100"/>
          <w:position w:val="0"/>
          <w:sz w:val="28"/>
          <w:szCs w:val="28"/>
        </w:rPr>
        <w:t>（</w:t>
      </w:r>
      <w:r>
        <w:rPr>
          <w:color w:val="000000"/>
          <w:spacing w:val="0"/>
          <w:w w:val="100"/>
          <w:position w:val="0"/>
          <w:sz w:val="24"/>
          <w:szCs w:val="24"/>
        </w:rPr>
        <w:t>财政部公告</w:t>
      </w:r>
      <w:r>
        <w:rPr>
          <w:rFonts w:ascii="Arial" w:eastAsia="Arial" w:hAnsi="Arial" w:cs="Arial"/>
          <w:color w:val="000000"/>
          <w:spacing w:val="0"/>
          <w:w w:val="100"/>
          <w:position w:val="0"/>
          <w:sz w:val="24"/>
          <w:szCs w:val="24"/>
        </w:rPr>
        <w:t>2020</w:t>
      </w:r>
      <w:r>
        <w:rPr>
          <w:color w:val="000000"/>
          <w:spacing w:val="0"/>
          <w:w w:val="100"/>
          <w:position w:val="0"/>
          <w:sz w:val="24"/>
          <w:szCs w:val="24"/>
        </w:rPr>
        <w:t>年第</w:t>
      </w:r>
      <w:r>
        <w:rPr>
          <w:rFonts w:ascii="Arial" w:eastAsia="Arial" w:hAnsi="Arial" w:cs="Arial"/>
          <w:color w:val="000000"/>
          <w:spacing w:val="0"/>
          <w:w w:val="100"/>
          <w:position w:val="0"/>
          <w:sz w:val="24"/>
          <w:szCs w:val="24"/>
        </w:rPr>
        <w:t>23</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的规定，自</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日至</w:t>
      </w:r>
      <w:r>
        <w:rPr>
          <w:rFonts w:ascii="Arial" w:eastAsia="Arial" w:hAnsi="Arial" w:cs="Arial"/>
          <w:color w:val="000000"/>
          <w:spacing w:val="0"/>
          <w:w w:val="100"/>
          <w:position w:val="0"/>
          <w:sz w:val="24"/>
          <w:szCs w:val="24"/>
        </w:rPr>
        <w:t>2030</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日，对设在西部地区的鼓励类产业企业减按</w:t>
      </w:r>
      <w:r>
        <w:rPr>
          <w:rFonts w:ascii="Arial" w:eastAsia="Arial" w:hAnsi="Arial" w:cs="Arial"/>
          <w:color w:val="000000"/>
          <w:spacing w:val="0"/>
          <w:w w:val="100"/>
          <w:position w:val="0"/>
          <w:sz w:val="24"/>
          <w:szCs w:val="24"/>
        </w:rPr>
        <w:t>15%</w:t>
      </w:r>
      <w:r>
        <w:rPr>
          <w:color w:val="000000"/>
          <w:spacing w:val="0"/>
          <w:w w:val="100"/>
          <w:position w:val="0"/>
          <w:sz w:val="24"/>
          <w:szCs w:val="24"/>
        </w:rPr>
        <w:t>的税率征收企业所得 税。本条所称鼓励类产业企业是指以《西部地区鼓励类产业目录》中规定的 产业项目为主营业务，且其主营业务收入占企业收入总额</w:t>
      </w:r>
      <w:r>
        <w:rPr>
          <w:rFonts w:ascii="Arial" w:eastAsia="Arial" w:hAnsi="Arial" w:cs="Arial"/>
          <w:color w:val="000000"/>
          <w:spacing w:val="0"/>
          <w:w w:val="100"/>
          <w:position w:val="0"/>
          <w:sz w:val="24"/>
          <w:szCs w:val="24"/>
        </w:rPr>
        <w:t>60%</w:t>
      </w:r>
      <w:r>
        <w:rPr>
          <w:color w:val="000000"/>
          <w:spacing w:val="0"/>
          <w:w w:val="100"/>
          <w:position w:val="0"/>
          <w:sz w:val="24"/>
          <w:szCs w:val="24"/>
        </w:rPr>
        <w:t>以上的企业。</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《西部地区鼓励类产业目录》</w:t>
      </w:r>
      <w:r>
        <w:rPr>
          <w:color w:val="000000"/>
          <w:spacing w:val="0"/>
          <w:w w:val="100"/>
          <w:position w:val="0"/>
          <w:sz w:val="28"/>
          <w:szCs w:val="28"/>
        </w:rPr>
        <w:t>（</w:t>
      </w:r>
      <w:r>
        <w:rPr>
          <w:color w:val="000000"/>
          <w:spacing w:val="0"/>
          <w:w w:val="100"/>
          <w:position w:val="0"/>
          <w:sz w:val="24"/>
          <w:szCs w:val="24"/>
        </w:rPr>
        <w:t>国家发展和改革委员会令</w:t>
      </w:r>
      <w:r>
        <w:rPr>
          <w:rFonts w:ascii="Arial" w:eastAsia="Arial" w:hAnsi="Arial" w:cs="Arial"/>
          <w:color w:val="000000"/>
          <w:spacing w:val="0"/>
          <w:w w:val="100"/>
          <w:position w:val="0"/>
          <w:sz w:val="24"/>
          <w:szCs w:val="24"/>
        </w:rPr>
        <w:t>[2014]15</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于</w:t>
      </w:r>
      <w:r>
        <w:rPr>
          <w:rFonts w:ascii="Arial" w:eastAsia="Arial" w:hAnsi="Arial" w:cs="Arial"/>
          <w:color w:val="000000"/>
          <w:spacing w:val="0"/>
          <w:w w:val="100"/>
          <w:position w:val="0"/>
          <w:sz w:val="24"/>
          <w:szCs w:val="24"/>
        </w:rPr>
        <w:t xml:space="preserve">2014 </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日起正式施行。《西部地区鼓励类产业目录</w:t>
      </w:r>
      <w:r>
        <w:rPr>
          <w:rFonts w:ascii="Arial" w:eastAsia="Arial" w:hAnsi="Arial" w:cs="Arial"/>
          <w:color w:val="000000"/>
          <w:spacing w:val="0"/>
          <w:w w:val="100"/>
          <w:position w:val="0"/>
          <w:sz w:val="24"/>
          <w:szCs w:val="24"/>
        </w:rPr>
        <w:t>（2020</w:t>
      </w:r>
      <w:r>
        <w:rPr>
          <w:color w:val="000000"/>
          <w:spacing w:val="0"/>
          <w:w w:val="100"/>
          <w:position w:val="0"/>
          <w:sz w:val="24"/>
          <w:szCs w:val="24"/>
        </w:rPr>
        <w:t>年本</w:t>
      </w:r>
      <w:r>
        <w:rPr>
          <w:rFonts w:ascii="Arial" w:eastAsia="Arial" w:hAnsi="Arial" w:cs="Arial"/>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8"/>
          <w:szCs w:val="28"/>
        </w:rPr>
        <w:t>（</w:t>
      </w:r>
      <w:r>
        <w:rPr>
          <w:color w:val="000000"/>
          <w:spacing w:val="0"/>
          <w:w w:val="100"/>
          <w:position w:val="0"/>
          <w:sz w:val="24"/>
          <w:szCs w:val="24"/>
        </w:rPr>
        <w:t>国家发展和 改革委员会令</w:t>
      </w:r>
      <w:r>
        <w:rPr>
          <w:rFonts w:ascii="Arial" w:eastAsia="Arial" w:hAnsi="Arial" w:cs="Arial"/>
          <w:color w:val="000000"/>
          <w:spacing w:val="0"/>
          <w:w w:val="100"/>
          <w:position w:val="0"/>
          <w:sz w:val="24"/>
          <w:szCs w:val="24"/>
        </w:rPr>
        <w:t>[2021]40</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日起施行，上述国家发展和改革委员 会</w:t>
      </w:r>
      <w:r>
        <w:rPr>
          <w:rFonts w:ascii="Arial" w:eastAsia="Arial" w:hAnsi="Arial" w:cs="Arial"/>
          <w:color w:val="000000"/>
          <w:spacing w:val="0"/>
          <w:w w:val="100"/>
          <w:position w:val="0"/>
          <w:sz w:val="24"/>
          <w:szCs w:val="24"/>
        </w:rPr>
        <w:t>2014</w:t>
      </w:r>
      <w:r>
        <w:rPr>
          <w:color w:val="000000"/>
          <w:spacing w:val="0"/>
          <w:w w:val="100"/>
          <w:position w:val="0"/>
          <w:sz w:val="24"/>
          <w:szCs w:val="24"/>
        </w:rPr>
        <w:t>年发布的《西部地区鼓励类产业目录》同时废止。《西部地区鼓励类产 业目录</w:t>
      </w:r>
      <w:r>
        <w:rPr>
          <w:rFonts w:ascii="Arial" w:eastAsia="Arial" w:hAnsi="Arial" w:cs="Arial"/>
          <w:color w:val="000000"/>
          <w:spacing w:val="0"/>
          <w:w w:val="100"/>
          <w:position w:val="0"/>
          <w:sz w:val="24"/>
          <w:szCs w:val="24"/>
        </w:rPr>
        <w:t>（2020</w:t>
      </w:r>
      <w:r>
        <w:rPr>
          <w:color w:val="000000"/>
          <w:spacing w:val="0"/>
          <w:w w:val="100"/>
          <w:position w:val="0"/>
          <w:sz w:val="24"/>
          <w:szCs w:val="24"/>
        </w:rPr>
        <w:t>年本</w:t>
      </w:r>
      <w:r>
        <w:rPr>
          <w:rFonts w:ascii="Arial" w:eastAsia="Arial" w:hAnsi="Arial" w:cs="Arial"/>
          <w:color w:val="000000"/>
          <w:spacing w:val="0"/>
          <w:w w:val="100"/>
          <w:position w:val="0"/>
          <w:sz w:val="24"/>
          <w:szCs w:val="24"/>
        </w:rPr>
        <w:t>）</w:t>
      </w:r>
      <w:r>
        <w:rPr>
          <w:color w:val="000000"/>
          <w:spacing w:val="0"/>
          <w:w w:val="100"/>
          <w:position w:val="0"/>
          <w:sz w:val="24"/>
          <w:szCs w:val="24"/>
        </w:rPr>
        <w:t>》包括了国家现有产业目录中的鼓励类产业，以及西部地区 新增鼓励类产业。《西部地区鼓励类产业目录</w:t>
      </w:r>
      <w:r>
        <w:rPr>
          <w:rFonts w:ascii="Arial" w:eastAsia="Arial" w:hAnsi="Arial" w:cs="Arial"/>
          <w:color w:val="000000"/>
          <w:spacing w:val="0"/>
          <w:w w:val="100"/>
          <w:position w:val="0"/>
          <w:sz w:val="24"/>
          <w:szCs w:val="24"/>
        </w:rPr>
        <w:t>（2020</w:t>
      </w:r>
      <w:r>
        <w:rPr>
          <w:color w:val="000000"/>
          <w:spacing w:val="0"/>
          <w:w w:val="100"/>
          <w:position w:val="0"/>
          <w:sz w:val="24"/>
          <w:szCs w:val="24"/>
        </w:rPr>
        <w:t>年本</w:t>
      </w:r>
      <w:r>
        <w:rPr>
          <w:rFonts w:ascii="Arial" w:eastAsia="Arial" w:hAnsi="Arial" w:cs="Arial"/>
          <w:color w:val="000000"/>
          <w:spacing w:val="0"/>
          <w:w w:val="100"/>
          <w:position w:val="0"/>
          <w:sz w:val="24"/>
          <w:szCs w:val="24"/>
        </w:rPr>
        <w:t>）</w:t>
      </w:r>
      <w:r>
        <w:rPr>
          <w:color w:val="000000"/>
          <w:spacing w:val="0"/>
          <w:w w:val="100"/>
          <w:position w:val="0"/>
          <w:sz w:val="24"/>
          <w:szCs w:val="24"/>
        </w:rPr>
        <w:t>》公布之后，原优惠 企业可继续享受西部大开发优惠政策。</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另根据国家税务总局关于发布修订后的《企业所得税优惠政策事项办理办法》 的公告</w:t>
      </w:r>
      <w:r>
        <w:rPr>
          <w:rFonts w:ascii="Arial" w:eastAsia="Arial" w:hAnsi="Arial" w:cs="Arial"/>
          <w:color w:val="000000"/>
          <w:spacing w:val="0"/>
          <w:w w:val="100"/>
          <w:position w:val="0"/>
          <w:sz w:val="24"/>
          <w:szCs w:val="24"/>
        </w:rPr>
        <w:t>（</w:t>
      </w:r>
      <w:r>
        <w:rPr>
          <w:color w:val="000000"/>
          <w:spacing w:val="0"/>
          <w:w w:val="100"/>
          <w:position w:val="0"/>
          <w:sz w:val="24"/>
          <w:szCs w:val="24"/>
        </w:rPr>
        <w:t>国家税务总局公告</w:t>
      </w:r>
      <w:r>
        <w:rPr>
          <w:rFonts w:ascii="Arial" w:eastAsia="Arial" w:hAnsi="Arial" w:cs="Arial"/>
          <w:color w:val="000000"/>
          <w:spacing w:val="0"/>
          <w:w w:val="100"/>
          <w:position w:val="0"/>
          <w:sz w:val="24"/>
          <w:szCs w:val="24"/>
        </w:rPr>
        <w:t>[2018]23</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第四条的规定：企业享受优惠事项采取 </w:t>
      </w:r>
      <w:r>
        <w:rPr>
          <w:rFonts w:ascii="Arial" w:eastAsia="Arial" w:hAnsi="Arial" w:cs="Arial"/>
          <w:color w:val="000000"/>
          <w:spacing w:val="0"/>
          <w:w w:val="100"/>
          <w:position w:val="0"/>
          <w:sz w:val="24"/>
          <w:szCs w:val="24"/>
        </w:rPr>
        <w:t>“</w:t>
      </w:r>
      <w:r>
        <w:rPr>
          <w:color w:val="000000"/>
          <w:spacing w:val="0"/>
          <w:w w:val="100"/>
          <w:position w:val="0"/>
          <w:sz w:val="24"/>
          <w:szCs w:val="24"/>
        </w:rPr>
        <w:t>自行判别、申报享受、相关资料留存备查</w:t>
      </w:r>
      <w:r>
        <w:rPr>
          <w:rFonts w:ascii="Arial" w:eastAsia="Arial" w:hAnsi="Arial" w:cs="Arial"/>
          <w:color w:val="000000"/>
          <w:spacing w:val="0"/>
          <w:w w:val="100"/>
          <w:position w:val="0"/>
          <w:sz w:val="24"/>
          <w:szCs w:val="24"/>
        </w:rPr>
        <w:t>”</w:t>
      </w:r>
      <w:r>
        <w:rPr>
          <w:color w:val="000000"/>
          <w:spacing w:val="0"/>
          <w:w w:val="100"/>
          <w:position w:val="0"/>
          <w:sz w:val="24"/>
          <w:szCs w:val="24"/>
        </w:rPr>
        <w:t>的办理方式。企业应当根据经营情 况以及相关税收规定自行判断是否符合优惠事项规定的条件，符合条件的可 以按照《企业所得税优惠事项管理目录</w:t>
      </w:r>
      <w:r>
        <w:rPr>
          <w:rFonts w:ascii="Arial" w:eastAsia="Arial" w:hAnsi="Arial" w:cs="Arial"/>
          <w:color w:val="000000"/>
          <w:spacing w:val="0"/>
          <w:w w:val="100"/>
          <w:position w:val="0"/>
          <w:sz w:val="24"/>
          <w:szCs w:val="24"/>
        </w:rPr>
        <w:t>（2017</w:t>
      </w:r>
      <w:r>
        <w:rPr>
          <w:color w:val="000000"/>
          <w:spacing w:val="0"/>
          <w:w w:val="100"/>
          <w:position w:val="0"/>
          <w:sz w:val="24"/>
          <w:szCs w:val="24"/>
        </w:rPr>
        <w:t>年版</w:t>
      </w:r>
      <w:r>
        <w:rPr>
          <w:rFonts w:ascii="Arial" w:eastAsia="Arial" w:hAnsi="Arial" w:cs="Arial"/>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8"/>
          <w:szCs w:val="28"/>
        </w:rPr>
        <w:t>（</w:t>
      </w:r>
      <w:r>
        <w:rPr>
          <w:color w:val="000000"/>
          <w:spacing w:val="0"/>
          <w:w w:val="100"/>
          <w:position w:val="0"/>
          <w:sz w:val="24"/>
          <w:szCs w:val="24"/>
        </w:rPr>
        <w:t>以下简称《目录》</w:t>
      </w:r>
      <w:r>
        <w:rPr>
          <w:color w:val="000000"/>
          <w:spacing w:val="0"/>
          <w:w w:val="100"/>
          <w:position w:val="0"/>
          <w:sz w:val="28"/>
          <w:szCs w:val="28"/>
        </w:rPr>
        <w:t>）</w:t>
      </w:r>
      <w:r>
        <w:rPr>
          <w:color w:val="000000"/>
          <w:spacing w:val="0"/>
          <w:w w:val="100"/>
          <w:position w:val="0"/>
          <w:sz w:val="24"/>
          <w:szCs w:val="24"/>
        </w:rPr>
        <w:t>列示 的时间自行计算减免税额，并通过填报企业所得税纳税申报表享受税收优惠。 同时，按照本办法的规定归集和留存相关资料备查。</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截至</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日止，本集团部分子公司原已取得的批复仍然有效，且已 获取相关地方发展和改革委员会确认及主管税务机关批准享受西部大开发税 收优惠政策减按</w:t>
      </w:r>
      <w:r>
        <w:rPr>
          <w:rFonts w:ascii="Arial" w:eastAsia="Arial" w:hAnsi="Arial" w:cs="Arial"/>
          <w:color w:val="000000"/>
          <w:spacing w:val="0"/>
          <w:w w:val="100"/>
          <w:position w:val="0"/>
          <w:sz w:val="24"/>
          <w:szCs w:val="24"/>
        </w:rPr>
        <w:t>15%</w:t>
      </w:r>
      <w:r>
        <w:rPr>
          <w:color w:val="000000"/>
          <w:spacing w:val="0"/>
          <w:w w:val="100"/>
          <w:position w:val="0"/>
          <w:sz w:val="24"/>
          <w:szCs w:val="24"/>
        </w:rPr>
        <w:t>缴纳企业所得税。</w:t>
      </w:r>
    </w:p>
    <w:p>
      <w:pPr>
        <w:pStyle w:val="Style72"/>
        <w:keepNext w:val="0"/>
        <w:keepLines w:val="0"/>
        <w:widowControl w:val="0"/>
        <w:shd w:val="clear" w:color="auto" w:fill="auto"/>
        <w:tabs>
          <w:tab w:pos="704" w:val="left"/>
        </w:tabs>
        <w:bidi w:val="0"/>
        <w:spacing w:before="0" w:after="260" w:line="313" w:lineRule="exact"/>
        <w:ind w:right="0" w:hanging="720"/>
        <w:jc w:val="both"/>
      </w:pPr>
      <w:bookmarkStart w:id="891" w:name="bookmark891"/>
      <w:r>
        <w:rPr>
          <w:rFonts w:ascii="Arial" w:eastAsia="Arial" w:hAnsi="Arial" w:cs="Arial"/>
          <w:color w:val="000000"/>
          <w:spacing w:val="0"/>
          <w:w w:val="100"/>
          <w:position w:val="0"/>
          <w:sz w:val="24"/>
          <w:szCs w:val="24"/>
        </w:rPr>
        <w:t>（</w:t>
      </w:r>
      <w:bookmarkEnd w:id="891"/>
      <w:r>
        <w:rPr>
          <w:rFonts w:ascii="Arial" w:eastAsia="Arial" w:hAnsi="Arial" w:cs="Arial"/>
          <w:color w:val="000000"/>
          <w:spacing w:val="0"/>
          <w:w w:val="100"/>
          <w:position w:val="0"/>
          <w:sz w:val="24"/>
          <w:szCs w:val="24"/>
        </w:rPr>
        <w:t>b）</w:t>
        <w:tab/>
      </w:r>
      <w:r>
        <w:rPr>
          <w:color w:val="000000"/>
          <w:spacing w:val="0"/>
          <w:w w:val="100"/>
          <w:position w:val="0"/>
          <w:sz w:val="24"/>
          <w:szCs w:val="24"/>
        </w:rPr>
        <w:t>根据财政部、税务总局及海关总署颁布的《关于深化增值税改革有关政策的 公告》</w:t>
      </w:r>
      <w:r>
        <w:rPr>
          <w:color w:val="000000"/>
          <w:spacing w:val="0"/>
          <w:w w:val="100"/>
          <w:position w:val="0"/>
          <w:sz w:val="28"/>
          <w:szCs w:val="28"/>
        </w:rPr>
        <w:t>（</w:t>
      </w:r>
      <w:r>
        <w:rPr>
          <w:color w:val="000000"/>
          <w:spacing w:val="0"/>
          <w:w w:val="100"/>
          <w:position w:val="0"/>
          <w:sz w:val="24"/>
          <w:szCs w:val="24"/>
        </w:rPr>
        <w:t>财政部税务总局海关总署公告</w:t>
      </w:r>
      <w:r>
        <w:rPr>
          <w:rFonts w:ascii="Arial" w:eastAsia="Arial" w:hAnsi="Arial" w:cs="Arial"/>
          <w:color w:val="000000"/>
          <w:spacing w:val="0"/>
          <w:w w:val="100"/>
          <w:position w:val="0"/>
          <w:sz w:val="24"/>
          <w:szCs w:val="24"/>
        </w:rPr>
        <w:t xml:space="preserve">[2019] </w:t>
      </w:r>
      <w:r>
        <w:rPr>
          <w:rFonts w:ascii="Arial" w:eastAsia="Arial" w:hAnsi="Arial" w:cs="Arial"/>
          <w:color w:val="000000"/>
          <w:spacing w:val="0"/>
          <w:w w:val="100"/>
          <w:position w:val="0"/>
          <w:sz w:val="24"/>
          <w:szCs w:val="24"/>
        </w:rPr>
        <w:t>39</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的相关规定，本公司的 子公司江苏苏宁易购电子商务有限公司、江苏苏宁物流有限公司等公司作为 生产性服务企业，自</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日至</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日，按照当期可抵 扣进项税额加计</w:t>
      </w:r>
      <w:r>
        <w:rPr>
          <w:rFonts w:ascii="Arial" w:eastAsia="Arial" w:hAnsi="Arial" w:cs="Arial"/>
          <w:color w:val="000000"/>
          <w:spacing w:val="0"/>
          <w:w w:val="100"/>
          <w:position w:val="0"/>
          <w:sz w:val="24"/>
          <w:szCs w:val="24"/>
        </w:rPr>
        <w:t>10%</w:t>
      </w:r>
      <w:r>
        <w:rPr>
          <w:color w:val="000000"/>
          <w:spacing w:val="0"/>
          <w:w w:val="100"/>
          <w:position w:val="0"/>
          <w:sz w:val="24"/>
          <w:szCs w:val="24"/>
        </w:rPr>
        <w:t>，抵减增值税应纳税额。</w:t>
      </w:r>
    </w:p>
    <w:p>
      <w:pPr>
        <w:pStyle w:val="Style72"/>
        <w:keepNext w:val="0"/>
        <w:keepLines w:val="0"/>
        <w:widowControl w:val="0"/>
        <w:shd w:val="clear" w:color="auto" w:fill="auto"/>
        <w:tabs>
          <w:tab w:pos="704" w:val="left"/>
        </w:tabs>
        <w:bidi w:val="0"/>
        <w:spacing w:before="0" w:after="260" w:line="312" w:lineRule="exact"/>
        <w:ind w:right="0" w:hanging="720"/>
        <w:jc w:val="both"/>
      </w:pPr>
      <w:bookmarkStart w:id="892" w:name="bookmark892"/>
      <w:r>
        <w:rPr>
          <w:rFonts w:ascii="Arial" w:eastAsia="Arial" w:hAnsi="Arial" w:cs="Arial"/>
          <w:color w:val="000000"/>
          <w:spacing w:val="0"/>
          <w:w w:val="100"/>
          <w:position w:val="0"/>
          <w:sz w:val="24"/>
          <w:szCs w:val="24"/>
        </w:rPr>
        <w:t>（</w:t>
      </w:r>
      <w:bookmarkEnd w:id="892"/>
      <w:r>
        <w:rPr>
          <w:rFonts w:ascii="Arial" w:eastAsia="Arial" w:hAnsi="Arial" w:cs="Arial"/>
          <w:color w:val="000000"/>
          <w:spacing w:val="0"/>
          <w:w w:val="100"/>
          <w:position w:val="0"/>
          <w:sz w:val="24"/>
          <w:szCs w:val="24"/>
        </w:rPr>
        <w:t>c）</w:t>
        <w:tab/>
      </w:r>
      <w:r>
        <w:rPr>
          <w:color w:val="000000"/>
          <w:spacing w:val="0"/>
          <w:w w:val="100"/>
          <w:position w:val="0"/>
          <w:sz w:val="24"/>
          <w:szCs w:val="24"/>
        </w:rPr>
        <w:t>根据财政部、税务总局颁布的《关于电影等行业税费支持政策的公告》</w:t>
      </w:r>
      <w:r>
        <w:rPr>
          <w:color w:val="000000"/>
          <w:spacing w:val="0"/>
          <w:w w:val="100"/>
          <w:position w:val="0"/>
          <w:sz w:val="28"/>
          <w:szCs w:val="28"/>
        </w:rPr>
        <w:t>（</w:t>
      </w:r>
      <w:r>
        <w:rPr>
          <w:color w:val="000000"/>
          <w:spacing w:val="0"/>
          <w:w w:val="100"/>
          <w:position w:val="0"/>
          <w:sz w:val="24"/>
          <w:szCs w:val="24"/>
        </w:rPr>
        <w:t>财政 部 税务总局公告</w:t>
      </w:r>
      <w:r>
        <w:rPr>
          <w:rFonts w:ascii="Arial" w:eastAsia="Arial" w:hAnsi="Arial" w:cs="Arial"/>
          <w:color w:val="000000"/>
          <w:spacing w:val="0"/>
          <w:w w:val="100"/>
          <w:position w:val="0"/>
          <w:sz w:val="24"/>
          <w:szCs w:val="24"/>
        </w:rPr>
        <w:t xml:space="preserve">[2020] </w:t>
      </w:r>
      <w:r>
        <w:rPr>
          <w:rFonts w:ascii="Arial" w:eastAsia="Arial" w:hAnsi="Arial" w:cs="Arial"/>
          <w:color w:val="000000"/>
          <w:spacing w:val="0"/>
          <w:w w:val="100"/>
          <w:position w:val="0"/>
          <w:sz w:val="24"/>
          <w:szCs w:val="24"/>
        </w:rPr>
        <w:t>25</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的相关规定，自</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日至</w:t>
      </w:r>
      <w:r>
        <w:rPr>
          <w:rFonts w:ascii="Arial" w:eastAsia="Arial" w:hAnsi="Arial" w:cs="Arial"/>
          <w:color w:val="000000"/>
          <w:spacing w:val="0"/>
          <w:w w:val="100"/>
          <w:position w:val="0"/>
          <w:sz w:val="24"/>
          <w:szCs w:val="24"/>
        </w:rPr>
        <w:t>2020</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日，免征文化事业建设费。根据财政部、税务总局关于延续实施应 对疫情部分税费优惠政策的公告</w:t>
      </w:r>
      <w:r>
        <w:rPr>
          <w:rFonts w:ascii="Arial" w:eastAsia="Arial" w:hAnsi="Arial" w:cs="Arial"/>
          <w:color w:val="000000"/>
          <w:spacing w:val="0"/>
          <w:w w:val="100"/>
          <w:position w:val="0"/>
          <w:sz w:val="24"/>
          <w:szCs w:val="24"/>
        </w:rPr>
        <w:t>（</w:t>
      </w:r>
      <w:r>
        <w:rPr>
          <w:color w:val="000000"/>
          <w:spacing w:val="0"/>
          <w:w w:val="100"/>
          <w:position w:val="0"/>
          <w:sz w:val="24"/>
          <w:szCs w:val="24"/>
        </w:rPr>
        <w:t>财政部税务总局公告</w:t>
      </w:r>
      <w:r>
        <w:rPr>
          <w:rFonts w:ascii="Arial" w:eastAsia="Arial" w:hAnsi="Arial" w:cs="Arial"/>
          <w:color w:val="000000"/>
          <w:spacing w:val="0"/>
          <w:w w:val="100"/>
          <w:position w:val="0"/>
          <w:sz w:val="24"/>
          <w:szCs w:val="24"/>
        </w:rPr>
        <w:t>2021</w:t>
      </w:r>
      <w:r>
        <w:rPr>
          <w:color w:val="000000"/>
          <w:spacing w:val="0"/>
          <w:w w:val="100"/>
          <w:position w:val="0"/>
          <w:sz w:val="24"/>
          <w:szCs w:val="24"/>
        </w:rPr>
        <w:t>年第</w:t>
      </w:r>
      <w:r>
        <w:rPr>
          <w:rFonts w:ascii="Arial" w:eastAsia="Arial" w:hAnsi="Arial" w:cs="Arial"/>
          <w:color w:val="000000"/>
          <w:spacing w:val="0"/>
          <w:w w:val="100"/>
          <w:position w:val="0"/>
          <w:sz w:val="24"/>
          <w:szCs w:val="24"/>
        </w:rPr>
        <w:t>7</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的相 关规定，文化事业建设费免征政策的执行期限延长至</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r>
    </w:p>
    <w:p>
      <w:pPr>
        <w:pStyle w:val="Style72"/>
        <w:keepNext w:val="0"/>
        <w:keepLines w:val="0"/>
        <w:widowControl w:val="0"/>
        <w:shd w:val="clear" w:color="auto" w:fill="auto"/>
        <w:tabs>
          <w:tab w:pos="696" w:val="left"/>
        </w:tabs>
        <w:bidi w:val="0"/>
        <w:spacing w:before="0" w:after="320" w:line="240" w:lineRule="auto"/>
        <w:ind w:left="0" w:right="0" w:firstLine="0"/>
        <w:jc w:val="left"/>
      </w:pPr>
      <w:r>
        <w:rPr>
          <w:b/>
          <w:bCs/>
          <w:color w:val="000000"/>
          <w:spacing w:val="0"/>
          <w:w w:val="100"/>
          <w:position w:val="0"/>
          <w:sz w:val="24"/>
          <w:szCs w:val="24"/>
        </w:rPr>
        <w:t>四</w:t>
        <w:tab/>
        <w:t>合并财务报表项目附注</w:t>
      </w:r>
    </w:p>
    <w:p>
      <w:pPr>
        <w:pStyle w:val="Style72"/>
        <w:keepNext w:val="0"/>
        <w:keepLines w:val="0"/>
        <w:widowControl w:val="0"/>
        <w:shd w:val="clear" w:color="auto" w:fill="auto"/>
        <w:tabs>
          <w:tab w:pos="696" w:val="left"/>
        </w:tabs>
        <w:bidi w:val="0"/>
        <w:spacing w:before="0" w:after="260" w:line="240" w:lineRule="auto"/>
        <w:ind w:left="0" w:right="0" w:firstLine="0"/>
        <w:jc w:val="left"/>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货币资金</w:t>
      </w:r>
    </w:p>
    <w:tbl>
      <w:tblPr>
        <w:tblOverlap w:val="never"/>
        <w:jc w:val="right"/>
        <w:tblLayout w:type="fixed"/>
      </w:tblPr>
      <w:tblGrid>
        <w:gridCol w:w="2990"/>
        <w:gridCol w:w="2635"/>
        <w:gridCol w:w="2443"/>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库存现金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22,806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25,403</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银行存款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3,905,751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rPr>
                <w:sz w:val="24"/>
                <w:szCs w:val="24"/>
              </w:rPr>
            </w:pPr>
            <w:r>
              <w:rPr>
                <w:rFonts w:ascii="Arial" w:eastAsia="Arial" w:hAnsi="Arial" w:cs="Arial"/>
                <w:color w:val="000000"/>
                <w:spacing w:val="0"/>
                <w:w w:val="100"/>
                <w:position w:val="0"/>
                <w:sz w:val="24"/>
                <w:szCs w:val="24"/>
              </w:rPr>
              <w:t>11,232,633</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其他货币资金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4"/>
                <w:szCs w:val="24"/>
              </w:rPr>
            </w:pPr>
            <w:r>
              <w:rPr>
                <w:rFonts w:ascii="Arial" w:eastAsia="Arial" w:hAnsi="Arial" w:cs="Arial"/>
                <w:color w:val="000000"/>
                <w:spacing w:val="0"/>
                <w:w w:val="100"/>
                <w:position w:val="0"/>
                <w:sz w:val="24"/>
                <w:szCs w:val="24"/>
              </w:rPr>
              <w:t>13,939,154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4"/>
                <w:szCs w:val="24"/>
              </w:rPr>
            </w:pPr>
            <w:r>
              <w:rPr>
                <w:rFonts w:ascii="Arial" w:eastAsia="Arial" w:hAnsi="Arial" w:cs="Arial"/>
                <w:color w:val="000000"/>
                <w:spacing w:val="0"/>
                <w:w w:val="100"/>
                <w:position w:val="0"/>
                <w:sz w:val="24"/>
                <w:szCs w:val="24"/>
              </w:rPr>
              <w:t>14,620,296</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应收利息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99,663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92,962</w:t>
            </w:r>
          </w:p>
        </w:tc>
      </w:tr>
      <w:tr>
        <w:trPr>
          <w:trHeight w:val="44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rPr>
                <w:sz w:val="24"/>
                <w:szCs w:val="24"/>
              </w:rPr>
            </w:pPr>
            <w:r>
              <w:rPr>
                <w:rFonts w:ascii="Arial" w:eastAsia="Arial" w:hAnsi="Arial" w:cs="Arial"/>
                <w:color w:val="000000"/>
                <w:spacing w:val="0"/>
                <w:w w:val="100"/>
                <w:position w:val="0"/>
                <w:sz w:val="24"/>
                <w:szCs w:val="24"/>
              </w:rPr>
              <w:t>17,967,374</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rPr>
                <w:sz w:val="24"/>
                <w:szCs w:val="24"/>
              </w:rPr>
            </w:pPr>
            <w:r>
              <w:rPr>
                <w:rFonts w:ascii="Arial" w:eastAsia="Arial" w:hAnsi="Arial" w:cs="Arial"/>
                <w:color w:val="000000"/>
                <w:spacing w:val="0"/>
                <w:w w:val="100"/>
                <w:position w:val="0"/>
                <w:sz w:val="24"/>
                <w:szCs w:val="24"/>
              </w:rPr>
              <w:t>25,971,294</w:t>
            </w:r>
          </w:p>
        </w:tc>
      </w:tr>
      <w:tr>
        <w:trPr>
          <w:trHeight w:val="43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减：损失准备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(83,543)</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4"/>
                <w:szCs w:val="24"/>
              </w:rPr>
            </w:pPr>
            <w:r>
              <w:rPr>
                <w:rFonts w:ascii="Arial" w:eastAsia="Arial" w:hAnsi="Arial" w:cs="Arial"/>
                <w:color w:val="000000"/>
                <w:spacing w:val="0"/>
                <w:w w:val="100"/>
                <w:position w:val="0"/>
                <w:sz w:val="24"/>
                <w:szCs w:val="24"/>
              </w:rPr>
              <w:t>17,967,374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4"/>
                <w:szCs w:val="24"/>
              </w:rPr>
            </w:pPr>
            <w:r>
              <w:rPr>
                <w:rFonts w:ascii="Arial" w:eastAsia="Arial" w:hAnsi="Arial" w:cs="Arial"/>
                <w:color w:val="000000"/>
                <w:spacing w:val="0"/>
                <w:w w:val="100"/>
                <w:position w:val="0"/>
                <w:sz w:val="24"/>
                <w:szCs w:val="24"/>
              </w:rPr>
              <w:t>25,887,751</w:t>
            </w:r>
          </w:p>
        </w:tc>
      </w:tr>
      <w:tr>
        <w:trPr>
          <w:trHeight w:val="63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其中：存放在境外的款项</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2,647,647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7,342,630</w:t>
            </w:r>
          </w:p>
        </w:tc>
      </w:tr>
    </w:tbl>
    <w:p>
      <w:pPr>
        <w:widowControl w:val="0"/>
        <w:spacing w:after="259" w:line="1" w:lineRule="exact"/>
      </w:pPr>
    </w:p>
    <w:p>
      <w:pPr>
        <w:pStyle w:val="Style72"/>
        <w:keepNext w:val="0"/>
        <w:keepLines w:val="0"/>
        <w:widowControl w:val="0"/>
        <w:shd w:val="clear" w:color="auto" w:fill="auto"/>
        <w:bidi w:val="0"/>
        <w:spacing w:before="0" w:after="260" w:line="314"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日，本集团约人民币</w:t>
      </w:r>
      <w:r>
        <w:rPr>
          <w:rFonts w:ascii="Arial" w:eastAsia="Arial" w:hAnsi="Arial" w:cs="Arial"/>
          <w:color w:val="000000"/>
          <w:spacing w:val="0"/>
          <w:w w:val="100"/>
          <w:position w:val="0"/>
          <w:sz w:val="24"/>
          <w:szCs w:val="24"/>
        </w:rPr>
        <w:t>34.77</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 约人民币</w:t>
      </w:r>
      <w:r>
        <w:rPr>
          <w:rFonts w:ascii="Arial" w:eastAsia="Arial" w:hAnsi="Arial" w:cs="Arial"/>
          <w:color w:val="000000"/>
          <w:spacing w:val="0"/>
          <w:w w:val="100"/>
          <w:position w:val="0"/>
          <w:sz w:val="24"/>
          <w:szCs w:val="24"/>
        </w:rPr>
        <w:t>43.65</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的其他货币资金质押给银行用于开立银行承兑汇票</w:t>
      </w:r>
      <w:r>
        <w:rPr>
          <w:rFonts w:ascii="Arial" w:eastAsia="Arial" w:hAnsi="Arial" w:cs="Arial"/>
          <w:color w:val="000000"/>
          <w:spacing w:val="0"/>
          <w:w w:val="100"/>
          <w:position w:val="0"/>
          <w:sz w:val="24"/>
          <w:szCs w:val="24"/>
        </w:rPr>
        <w:t>（</w:t>
      </w:r>
      <w:r>
        <w:rPr>
          <w:color w:val="000000"/>
          <w:spacing w:val="0"/>
          <w:w w:val="100"/>
          <w:position w:val="0"/>
          <w:sz w:val="24"/>
          <w:szCs w:val="24"/>
        </w:rPr>
        <w:t>附 注四</w:t>
      </w:r>
      <w:r>
        <w:rPr>
          <w:rFonts w:ascii="Arial" w:eastAsia="Arial" w:hAnsi="Arial" w:cs="Arial"/>
          <w:color w:val="000000"/>
          <w:spacing w:val="0"/>
          <w:w w:val="100"/>
          <w:position w:val="0"/>
          <w:sz w:val="24"/>
          <w:szCs w:val="24"/>
        </w:rPr>
        <w:t>（25））</w:t>
      </w:r>
      <w:r>
        <w:rPr>
          <w:color w:val="000000"/>
          <w:spacing w:val="0"/>
          <w:w w:val="100"/>
          <w:position w:val="0"/>
          <w:sz w:val="24"/>
          <w:szCs w:val="24"/>
        </w:rPr>
        <w:t>，约人民币</w:t>
      </w:r>
      <w:r>
        <w:rPr>
          <w:rFonts w:ascii="Arial" w:eastAsia="Arial" w:hAnsi="Arial" w:cs="Arial"/>
          <w:color w:val="000000"/>
          <w:spacing w:val="0"/>
          <w:w w:val="100"/>
          <w:position w:val="0"/>
          <w:sz w:val="24"/>
          <w:szCs w:val="24"/>
        </w:rPr>
        <w:t>6,000</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日：无</w:t>
      </w:r>
      <w:r>
        <w:rPr>
          <w:rFonts w:ascii="Arial" w:eastAsia="Arial" w:hAnsi="Arial" w:cs="Arial"/>
          <w:color w:val="000000"/>
          <w:spacing w:val="0"/>
          <w:w w:val="100"/>
          <w:position w:val="0"/>
          <w:sz w:val="24"/>
          <w:szCs w:val="24"/>
        </w:rPr>
        <w:t>）</w:t>
      </w:r>
      <w:r>
        <w:rPr>
          <w:color w:val="000000"/>
          <w:spacing w:val="0"/>
          <w:w w:val="100"/>
          <w:position w:val="0"/>
          <w:sz w:val="24"/>
          <w:szCs w:val="24"/>
        </w:rPr>
        <w:t>的其他货币资金质 押给银行用于开立国内信用证</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（26））</w:t>
      </w:r>
      <w:r>
        <w:rPr>
          <w:color w:val="000000"/>
          <w:spacing w:val="0"/>
          <w:w w:val="100"/>
          <w:position w:val="0"/>
          <w:sz w:val="24"/>
          <w:szCs w:val="24"/>
        </w:rPr>
        <w:t>。</w:t>
      </w:r>
    </w:p>
    <w:p>
      <w:pPr>
        <w:pStyle w:val="Style72"/>
        <w:keepNext w:val="0"/>
        <w:keepLines w:val="0"/>
        <w:widowControl w:val="0"/>
        <w:shd w:val="clear" w:color="auto" w:fill="auto"/>
        <w:bidi w:val="0"/>
        <w:spacing w:before="0" w:after="260" w:line="310"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日，本集团其他货币资金主要包括约人民币</w:t>
      </w:r>
      <w:r>
        <w:rPr>
          <w:rFonts w:ascii="Arial" w:eastAsia="Arial" w:hAnsi="Arial" w:cs="Arial"/>
          <w:color w:val="000000"/>
          <w:spacing w:val="0"/>
          <w:w w:val="100"/>
          <w:position w:val="0"/>
          <w:sz w:val="24"/>
          <w:szCs w:val="24"/>
        </w:rPr>
        <w:t>1.54</w:t>
      </w:r>
      <w:r>
        <w:rPr>
          <w:color w:val="000000"/>
          <w:spacing w:val="0"/>
          <w:w w:val="100"/>
          <w:position w:val="0"/>
          <w:sz w:val="24"/>
          <w:szCs w:val="24"/>
        </w:rPr>
        <w:t xml:space="preserve">亿元 </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6,564</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的保函保证金，约人民币</w:t>
      </w:r>
      <w:r>
        <w:rPr>
          <w:rFonts w:ascii="Arial" w:eastAsia="Arial" w:hAnsi="Arial" w:cs="Arial"/>
          <w:color w:val="000000"/>
          <w:spacing w:val="0"/>
          <w:w w:val="100"/>
          <w:position w:val="0"/>
          <w:sz w:val="24"/>
          <w:szCs w:val="24"/>
        </w:rPr>
        <w:t>216</w:t>
      </w:r>
      <w:r>
        <w:rPr>
          <w:color w:val="000000"/>
          <w:spacing w:val="0"/>
          <w:w w:val="100"/>
          <w:position w:val="0"/>
          <w:sz w:val="24"/>
          <w:szCs w:val="24"/>
        </w:rPr>
        <w:t>万 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日：无</w:t>
      </w:r>
      <w:r>
        <w:rPr>
          <w:rFonts w:ascii="Arial" w:eastAsia="Arial" w:hAnsi="Arial" w:cs="Arial"/>
          <w:color w:val="000000"/>
          <w:spacing w:val="0"/>
          <w:w w:val="100"/>
          <w:position w:val="0"/>
          <w:sz w:val="24"/>
          <w:szCs w:val="24"/>
        </w:rPr>
        <w:t>）</w:t>
      </w:r>
      <w:r>
        <w:rPr>
          <w:color w:val="000000"/>
          <w:spacing w:val="0"/>
          <w:w w:val="100"/>
          <w:position w:val="0"/>
          <w:sz w:val="24"/>
          <w:szCs w:val="24"/>
        </w:rPr>
        <w:t>的租赁保证金。</w:t>
      </w:r>
    </w:p>
    <w:p>
      <w:pPr>
        <w:pStyle w:val="Style72"/>
        <w:keepNext w:val="0"/>
        <w:keepLines w:val="0"/>
        <w:widowControl w:val="0"/>
        <w:shd w:val="clear" w:color="auto" w:fill="auto"/>
        <w:bidi w:val="0"/>
        <w:spacing w:before="0" w:after="260" w:line="313"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91.96</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 币</w:t>
      </w:r>
      <w:r>
        <w:rPr>
          <w:rFonts w:ascii="Arial" w:eastAsia="Arial" w:hAnsi="Arial" w:cs="Arial"/>
          <w:color w:val="000000"/>
          <w:spacing w:val="0"/>
          <w:w w:val="100"/>
          <w:position w:val="0"/>
          <w:sz w:val="24"/>
          <w:szCs w:val="24"/>
        </w:rPr>
        <w:t>96.6</w:t>
      </w:r>
      <w:r>
        <w:rPr>
          <w:rFonts w:ascii="Arial" w:eastAsia="Arial" w:hAnsi="Arial" w:cs="Arial"/>
          <w:color w:val="000000"/>
          <w:spacing w:val="0"/>
          <w:w w:val="100"/>
          <w:position w:val="0"/>
          <w:sz w:val="24"/>
          <w:szCs w:val="24"/>
        </w:rPr>
        <w:t>0</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的银行定期存款和保证金账户存款抵质押给银行作为短期借款 的抵质押物</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（24））</w:t>
      </w:r>
      <w:r>
        <w:rPr>
          <w:color w:val="000000"/>
          <w:spacing w:val="0"/>
          <w:w w:val="100"/>
          <w:position w:val="0"/>
          <w:sz w:val="24"/>
          <w:szCs w:val="24"/>
        </w:rPr>
        <w:t>，约人民币</w:t>
      </w:r>
      <w:r>
        <w:rPr>
          <w:rFonts w:ascii="Arial" w:eastAsia="Arial" w:hAnsi="Arial" w:cs="Arial"/>
          <w:color w:val="000000"/>
          <w:spacing w:val="0"/>
          <w:w w:val="100"/>
          <w:position w:val="0"/>
          <w:sz w:val="24"/>
          <w:szCs w:val="24"/>
        </w:rPr>
        <w:t>1.46</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 币</w:t>
      </w:r>
      <w:r>
        <w:rPr>
          <w:rFonts w:ascii="Arial" w:eastAsia="Arial" w:hAnsi="Arial" w:cs="Arial"/>
          <w:color w:val="000000"/>
          <w:spacing w:val="0"/>
          <w:w w:val="100"/>
          <w:position w:val="0"/>
          <w:sz w:val="24"/>
          <w:szCs w:val="24"/>
        </w:rPr>
        <w:t>7,818</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的股利所得质押于银行作为约人民币</w:t>
      </w:r>
      <w:r>
        <w:rPr>
          <w:rFonts w:ascii="Arial" w:eastAsia="Arial" w:hAnsi="Arial" w:cs="Arial"/>
          <w:color w:val="000000"/>
          <w:spacing w:val="0"/>
          <w:w w:val="100"/>
          <w:position w:val="0"/>
          <w:sz w:val="24"/>
          <w:szCs w:val="24"/>
        </w:rPr>
        <w:t>27.92</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 xml:space="preserve">月 </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27.94</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一年内到期的长期借款的担保</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（34））</w:t>
      </w:r>
      <w:r>
        <w:rPr>
          <w:color w:val="000000"/>
          <w:spacing w:val="0"/>
          <w:w w:val="100"/>
          <w:position w:val="0"/>
          <w:sz w:val="24"/>
          <w:szCs w:val="24"/>
        </w:rPr>
        <w:t>，约 人民币</w:t>
      </w:r>
      <w:r>
        <w:rPr>
          <w:rFonts w:ascii="Arial" w:eastAsia="Arial" w:hAnsi="Arial" w:cs="Arial"/>
          <w:color w:val="000000"/>
          <w:spacing w:val="0"/>
          <w:w w:val="100"/>
          <w:position w:val="0"/>
          <w:sz w:val="24"/>
          <w:szCs w:val="24"/>
        </w:rPr>
        <w:t>3.07</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1,932</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的其他货币资金 质押于银行作为约人民币</w:t>
      </w:r>
      <w:r>
        <w:rPr>
          <w:rFonts w:ascii="Arial" w:eastAsia="Arial" w:hAnsi="Arial" w:cs="Arial"/>
          <w:color w:val="000000"/>
          <w:spacing w:val="0"/>
          <w:w w:val="100"/>
          <w:position w:val="0"/>
          <w:sz w:val="24"/>
          <w:szCs w:val="24"/>
        </w:rPr>
        <w:t>10.58</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7.04</w:t>
      </w:r>
      <w:r>
        <w:rPr>
          <w:color w:val="000000"/>
          <w:spacing w:val="0"/>
          <w:w w:val="100"/>
          <w:position w:val="0"/>
          <w:sz w:val="24"/>
          <w:szCs w:val="24"/>
        </w:rPr>
        <w:t>亿 元</w:t>
      </w:r>
      <w:r>
        <w:rPr>
          <w:rFonts w:ascii="Arial" w:eastAsia="Arial" w:hAnsi="Arial" w:cs="Arial"/>
          <w:color w:val="000000"/>
          <w:spacing w:val="0"/>
          <w:w w:val="100"/>
          <w:position w:val="0"/>
          <w:sz w:val="24"/>
          <w:szCs w:val="24"/>
        </w:rPr>
        <w:t>）</w:t>
      </w:r>
      <w:r>
        <w:rPr>
          <w:color w:val="000000"/>
          <w:spacing w:val="0"/>
          <w:w w:val="100"/>
          <w:position w:val="0"/>
          <w:sz w:val="24"/>
          <w:szCs w:val="24"/>
        </w:rPr>
        <w:t>一年内到期的长期借款的担保</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（34））</w:t>
      </w:r>
      <w:r>
        <w:rPr>
          <w:color w:val="000000"/>
          <w:spacing w:val="0"/>
          <w:w w:val="100"/>
          <w:position w:val="0"/>
          <w:sz w:val="24"/>
          <w:szCs w:val="24"/>
        </w:rPr>
        <w:t>。</w:t>
      </w:r>
    </w:p>
    <w:p>
      <w:pPr>
        <w:pStyle w:val="Style72"/>
        <w:keepNext w:val="0"/>
        <w:keepLines w:val="0"/>
        <w:widowControl w:val="0"/>
        <w:shd w:val="clear" w:color="auto" w:fill="auto"/>
        <w:bidi w:val="0"/>
        <w:spacing w:before="0" w:after="260" w:line="309"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日，其他货币资金主要包含银行卡跨行交易的在途货款 约人民币</w:t>
      </w:r>
      <w:r>
        <w:rPr>
          <w:rFonts w:ascii="Arial" w:eastAsia="Arial" w:hAnsi="Arial" w:cs="Arial"/>
          <w:color w:val="000000"/>
          <w:spacing w:val="0"/>
          <w:w w:val="100"/>
          <w:position w:val="0"/>
          <w:sz w:val="24"/>
          <w:szCs w:val="24"/>
        </w:rPr>
        <w:t>2.34</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1.9</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，因诉讼导致银 行账户冻结资金约人民币</w:t>
      </w:r>
      <w:r>
        <w:rPr>
          <w:rFonts w:ascii="Arial" w:eastAsia="Arial" w:hAnsi="Arial" w:cs="Arial"/>
          <w:color w:val="000000"/>
          <w:spacing w:val="0"/>
          <w:w w:val="100"/>
          <w:position w:val="0"/>
          <w:sz w:val="24"/>
          <w:szCs w:val="24"/>
        </w:rPr>
        <w:t>3.58</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4,353</w:t>
      </w:r>
      <w:r>
        <w:rPr>
          <w:color w:val="000000"/>
          <w:spacing w:val="0"/>
          <w:w w:val="100"/>
          <w:position w:val="0"/>
          <w:sz w:val="24"/>
          <w:szCs w:val="24"/>
        </w:rPr>
        <w:t>万 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60" w:line="310" w:lineRule="exact"/>
        <w:ind w:left="700" w:right="0" w:firstLine="20"/>
        <w:jc w:val="both"/>
        <w:sectPr>
          <w:footnotePr>
            <w:pos w:val="pageBottom"/>
            <w:numFmt w:val="decimal"/>
            <w:numStart w:val="1"/>
            <w:numRestart w:val="continuous"/>
            <w15:footnoteColumns w:val="1"/>
          </w:footnotePr>
          <w:pgSz w:w="11900" w:h="16840"/>
          <w:pgMar w:top="2338" w:right="1302" w:bottom="1186" w:left="1709" w:header="0" w:footer="3" w:gutter="0"/>
          <w:cols w:space="720"/>
          <w:noEndnote/>
          <w:rtlGutter w:val="0"/>
          <w:docGrid w:linePitch="360"/>
        </w:sectPr>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日，无存放于本集团联营公司苏宁消费金融有限公司</w:t>
      </w:r>
      <w:r>
        <w:rPr>
          <w:rFonts w:ascii="Arial" w:eastAsia="Arial" w:hAnsi="Arial" w:cs="Arial"/>
          <w:color w:val="000000"/>
          <w:spacing w:val="0"/>
          <w:w w:val="100"/>
          <w:position w:val="0"/>
          <w:sz w:val="24"/>
          <w:szCs w:val="24"/>
        </w:rPr>
        <w:t>（“</w:t>
      </w:r>
      <w:r>
        <w:rPr>
          <w:color w:val="000000"/>
          <w:spacing w:val="0"/>
          <w:w w:val="100"/>
          <w:position w:val="0"/>
          <w:sz w:val="24"/>
          <w:szCs w:val="24"/>
        </w:rPr>
        <w:t>苏 宁消费金融</w:t>
      </w:r>
      <w:r>
        <w:rPr>
          <w:rFonts w:ascii="Arial" w:eastAsia="Arial" w:hAnsi="Arial" w:cs="Arial"/>
          <w:color w:val="000000"/>
          <w:spacing w:val="0"/>
          <w:w w:val="100"/>
          <w:position w:val="0"/>
          <w:sz w:val="24"/>
          <w:szCs w:val="24"/>
        </w:rPr>
        <w:t>”）</w:t>
      </w:r>
      <w:r>
        <w:rPr>
          <w:color w:val="000000"/>
          <w:spacing w:val="0"/>
          <w:w w:val="100"/>
          <w:position w:val="0"/>
          <w:sz w:val="24"/>
          <w:szCs w:val="24"/>
        </w:rPr>
        <w:t>的定期存款</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日：人民币</w:t>
      </w:r>
      <w:r>
        <w:rPr>
          <w:rFonts w:ascii="Arial" w:eastAsia="Arial" w:hAnsi="Arial" w:cs="Arial"/>
          <w:color w:val="000000"/>
          <w:spacing w:val="0"/>
          <w:w w:val="100"/>
          <w:position w:val="0"/>
          <w:sz w:val="24"/>
          <w:szCs w:val="24"/>
        </w:rPr>
        <w:t>2</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，存放于本集 团联营公司江苏苏宁银行股份有限公司</w:t>
      </w:r>
      <w:r>
        <w:rPr>
          <w:rFonts w:ascii="Arial" w:eastAsia="Arial" w:hAnsi="Arial" w:cs="Arial"/>
          <w:color w:val="000000"/>
          <w:spacing w:val="0"/>
          <w:w w:val="100"/>
          <w:position w:val="0"/>
          <w:sz w:val="24"/>
          <w:szCs w:val="24"/>
        </w:rPr>
        <w:t>（“</w:t>
      </w:r>
      <w:r>
        <w:rPr>
          <w:color w:val="000000"/>
          <w:spacing w:val="0"/>
          <w:w w:val="100"/>
          <w:position w:val="0"/>
          <w:sz w:val="24"/>
          <w:szCs w:val="24"/>
        </w:rPr>
        <w:t>苏宁银行</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的银行存款约人民币 </w:t>
      </w:r>
      <w:r>
        <w:rPr>
          <w:rFonts w:ascii="Arial" w:eastAsia="Arial" w:hAnsi="Arial" w:cs="Arial"/>
          <w:color w:val="000000"/>
          <w:spacing w:val="0"/>
          <w:w w:val="100"/>
          <w:position w:val="0"/>
          <w:sz w:val="24"/>
          <w:szCs w:val="24"/>
        </w:rPr>
        <w:t>4,342</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2.15</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附注八</w:t>
      </w:r>
      <w:r>
        <w:rPr>
          <w:rFonts w:ascii="Arial" w:eastAsia="Arial" w:hAnsi="Arial" w:cs="Arial"/>
          <w:color w:val="000000"/>
          <w:spacing w:val="0"/>
          <w:w w:val="100"/>
          <w:position w:val="0"/>
          <w:sz w:val="24"/>
          <w:szCs w:val="24"/>
        </w:rPr>
        <w:t>（8））</w:t>
      </w:r>
      <w:r>
        <w:rPr>
          <w:color w:val="000000"/>
          <w:spacing w:val="0"/>
          <w:w w:val="100"/>
          <w:position w:val="0"/>
          <w:sz w:val="24"/>
          <w:szCs w:val="24"/>
        </w:rPr>
        <w:t>。</w:t>
      </w:r>
    </w:p>
    <w:p>
      <w:pPr>
        <w:pStyle w:val="Style72"/>
        <w:keepNext w:val="0"/>
        <w:keepLines w:val="0"/>
        <w:widowControl w:val="0"/>
        <w:shd w:val="clear" w:color="auto" w:fill="auto"/>
        <w:bidi w:val="0"/>
        <w:spacing w:before="0" w:after="60" w:line="240" w:lineRule="auto"/>
        <w:ind w:left="0" w:right="0" w:firstLine="720"/>
        <w:jc w:val="both"/>
      </w:pPr>
      <w:r>
        <w:rPr>
          <w:b/>
          <w:bCs/>
          <w:color w:val="000000"/>
          <w:spacing w:val="0"/>
          <w:w w:val="100"/>
          <w:position w:val="0"/>
          <w:sz w:val="24"/>
          <w:szCs w:val="24"/>
        </w:rPr>
        <w:t>苏宁易购集团股份有限公司</w:t>
      </w:r>
    </w:p>
    <w:p>
      <w:pPr>
        <w:pStyle w:val="Style72"/>
        <w:keepNext w:val="0"/>
        <w:keepLines w:val="0"/>
        <w:widowControl w:val="0"/>
        <w:shd w:val="clear" w:color="auto" w:fill="auto"/>
        <w:bidi w:val="0"/>
        <w:spacing w:before="0" w:after="60" w:line="240" w:lineRule="auto"/>
        <w:ind w:left="0" w:right="0" w:firstLine="720"/>
        <w:jc w:val="both"/>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both"/>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20" w:line="240" w:lineRule="auto"/>
        <w:ind w:left="0" w:right="0" w:firstLine="720"/>
        <w:jc w:val="both"/>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tabs>
          <w:tab w:pos="696" w:val="left"/>
        </w:tabs>
        <w:bidi w:val="0"/>
        <w:spacing w:before="0" w:after="280" w:line="240" w:lineRule="auto"/>
        <w:ind w:left="0" w:right="0" w:firstLine="0"/>
        <w:jc w:val="left"/>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tabs>
          <w:tab w:pos="696" w:val="left"/>
        </w:tabs>
        <w:bidi w:val="0"/>
        <w:spacing w:before="0" w:after="320" w:line="240" w:lineRule="auto"/>
        <w:ind w:left="0" w:right="0" w:firstLine="0"/>
        <w:jc w:val="left"/>
      </w:pPr>
      <w:r>
        <w:rPr>
          <w:rFonts w:ascii="Arial" w:eastAsia="Arial" w:hAnsi="Arial" w:cs="Arial"/>
          <w:color w:val="000000"/>
          <w:spacing w:val="0"/>
          <w:w w:val="100"/>
          <w:position w:val="0"/>
          <w:sz w:val="24"/>
          <w:szCs w:val="24"/>
        </w:rPr>
        <w:t>（2）</w:t>
        <w:tab/>
      </w:r>
      <w:r>
        <w:rPr>
          <w:b/>
          <w:bCs/>
          <w:color w:val="000000"/>
          <w:spacing w:val="0"/>
          <w:w w:val="100"/>
          <w:position w:val="0"/>
          <w:sz w:val="24"/>
          <w:szCs w:val="24"/>
        </w:rPr>
        <w:t>交易性金融资产</w:t>
      </w:r>
    </w:p>
    <w:tbl>
      <w:tblPr>
        <w:tblOverlap w:val="never"/>
        <w:jc w:val="right"/>
        <w:tblLayout w:type="fixed"/>
      </w:tblPr>
      <w:tblGrid>
        <w:gridCol w:w="3230"/>
        <w:gridCol w:w="2390"/>
        <w:gridCol w:w="2443"/>
      </w:tblGrid>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理财产品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2,728,160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3,514,285</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交易性权益工具投资</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81,560</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以公允价值计量且其变动计入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当期损益的金融资产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11,472,730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12,303,803</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14,200,890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15,899,648</w:t>
            </w:r>
          </w:p>
        </w:tc>
      </w:tr>
    </w:tbl>
    <w:p>
      <w:pPr>
        <w:widowControl w:val="0"/>
        <w:spacing w:after="279" w:line="1" w:lineRule="exact"/>
      </w:pP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日，本集团理财产品中人民币</w:t>
      </w:r>
      <w:r>
        <w:rPr>
          <w:rFonts w:ascii="Arial" w:eastAsia="Arial" w:hAnsi="Arial" w:cs="Arial"/>
          <w:color w:val="000000"/>
          <w:spacing w:val="0"/>
          <w:w w:val="100"/>
          <w:position w:val="0"/>
          <w:sz w:val="24"/>
          <w:szCs w:val="24"/>
        </w:rPr>
        <w:t>13.1</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 xml:space="preserve">月 </w:t>
      </w:r>
      <w:r>
        <w:rPr>
          <w:rFonts w:ascii="Arial" w:eastAsia="Arial" w:hAnsi="Arial" w:cs="Arial"/>
          <w:color w:val="000000"/>
          <w:spacing w:val="0"/>
          <w:w w:val="100"/>
          <w:position w:val="0"/>
          <w:sz w:val="24"/>
          <w:szCs w:val="24"/>
        </w:rPr>
        <w:t>31</w:t>
      </w:r>
      <w:r>
        <w:rPr>
          <w:color w:val="000000"/>
          <w:spacing w:val="0"/>
          <w:w w:val="100"/>
          <w:position w:val="0"/>
          <w:sz w:val="24"/>
          <w:szCs w:val="24"/>
        </w:rPr>
        <w:t>日：</w:t>
      </w:r>
      <w:r>
        <w:rPr>
          <w:rFonts w:ascii="Arial" w:eastAsia="Arial" w:hAnsi="Arial" w:cs="Arial"/>
          <w:color w:val="000000"/>
          <w:spacing w:val="0"/>
          <w:w w:val="100"/>
          <w:position w:val="0"/>
          <w:sz w:val="24"/>
          <w:szCs w:val="24"/>
        </w:rPr>
        <w:t>1</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的结构性存款质押给银行作为短期借款的质押物</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（24））</w:t>
      </w:r>
      <w:r>
        <w:rPr>
          <w:color w:val="000000"/>
          <w:spacing w:val="0"/>
          <w:w w:val="100"/>
          <w:position w:val="0"/>
          <w:sz w:val="24"/>
          <w:szCs w:val="24"/>
        </w:rPr>
        <w:t>。</w:t>
      </w:r>
    </w:p>
    <w:p>
      <w:pPr>
        <w:pStyle w:val="Style72"/>
        <w:keepNext w:val="0"/>
        <w:keepLines w:val="0"/>
        <w:widowControl w:val="0"/>
        <w:shd w:val="clear" w:color="auto" w:fill="auto"/>
        <w:bidi w:val="0"/>
        <w:spacing w:before="0" w:after="320" w:line="314"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日，本集团以公允价值计量且其变动计入当期损益的金 融资产中所持有的大连万达商业管理集团股份有限公司</w:t>
      </w:r>
      <w:r>
        <w:rPr>
          <w:color w:val="000000"/>
          <w:spacing w:val="0"/>
          <w:w w:val="100"/>
          <w:position w:val="0"/>
          <w:sz w:val="28"/>
          <w:szCs w:val="28"/>
        </w:rPr>
        <w:t>（</w:t>
      </w:r>
      <w:r>
        <w:rPr>
          <w:rFonts w:ascii="Arial" w:eastAsia="Arial" w:hAnsi="Arial" w:cs="Arial"/>
          <w:color w:val="000000"/>
          <w:spacing w:val="0"/>
          <w:w w:val="100"/>
          <w:position w:val="0"/>
          <w:sz w:val="24"/>
          <w:szCs w:val="24"/>
        </w:rPr>
        <w:t>“</w:t>
      </w:r>
      <w:r>
        <w:rPr>
          <w:color w:val="000000"/>
          <w:spacing w:val="0"/>
          <w:w w:val="100"/>
          <w:position w:val="0"/>
          <w:sz w:val="24"/>
          <w:szCs w:val="24"/>
        </w:rPr>
        <w:t>万达商 管</w:t>
      </w:r>
      <w:r>
        <w:rPr>
          <w:rFonts w:ascii="Arial" w:eastAsia="Arial" w:hAnsi="Arial" w:cs="Arial"/>
          <w:color w:val="000000"/>
          <w:spacing w:val="0"/>
          <w:w w:val="100"/>
          <w:position w:val="0"/>
          <w:sz w:val="24"/>
          <w:szCs w:val="24"/>
        </w:rPr>
        <w:t>”）181,834,884</w:t>
      </w:r>
      <w:r>
        <w:rPr>
          <w:color w:val="000000"/>
          <w:spacing w:val="0"/>
          <w:w w:val="100"/>
          <w:position w:val="0"/>
          <w:sz w:val="24"/>
          <w:szCs w:val="24"/>
        </w:rPr>
        <w:t>股普通股</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日：无</w:t>
      </w:r>
      <w:r>
        <w:rPr>
          <w:rFonts w:ascii="Arial" w:eastAsia="Arial" w:hAnsi="Arial" w:cs="Arial"/>
          <w:color w:val="000000"/>
          <w:spacing w:val="0"/>
          <w:w w:val="100"/>
          <w:position w:val="0"/>
          <w:sz w:val="24"/>
          <w:szCs w:val="24"/>
        </w:rPr>
        <w:t>）</w:t>
      </w:r>
      <w:r>
        <w:rPr>
          <w:color w:val="000000"/>
          <w:spacing w:val="0"/>
          <w:w w:val="100"/>
          <w:position w:val="0"/>
          <w:sz w:val="24"/>
          <w:szCs w:val="24"/>
        </w:rPr>
        <w:t>质押给银行作为短期借款 的质押物</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（24））</w:t>
      </w:r>
      <w:r>
        <w:rPr>
          <w:color w:val="000000"/>
          <w:spacing w:val="0"/>
          <w:w w:val="100"/>
          <w:position w:val="0"/>
          <w:sz w:val="24"/>
          <w:szCs w:val="24"/>
        </w:rPr>
        <w:t>。</w:t>
      </w:r>
    </w:p>
    <w:p>
      <w:pPr>
        <w:pStyle w:val="Style26"/>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（3）</w:t>
        <w:tab/>
      </w:r>
      <w:r>
        <w:rPr>
          <w:b/>
          <w:bCs/>
          <w:color w:val="000000"/>
          <w:spacing w:val="0"/>
          <w:w w:val="100"/>
          <w:position w:val="0"/>
          <w:sz w:val="24"/>
          <w:szCs w:val="24"/>
        </w:rPr>
        <w:t>应收票据</w:t>
      </w:r>
    </w:p>
    <w:tbl>
      <w:tblPr>
        <w:tblOverlap w:val="never"/>
        <w:jc w:val="center"/>
        <w:tblLayout w:type="fixed"/>
      </w:tblPr>
      <w:tblGrid>
        <w:gridCol w:w="3274"/>
        <w:gridCol w:w="3101"/>
        <w:gridCol w:w="2410"/>
      </w:tblGrid>
      <w:tr>
        <w:trPr>
          <w:trHeight w:val="180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商业承兑汇票</w:t>
            </w:r>
          </w:p>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银行承兑汇票</w:t>
            </w:r>
          </w:p>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减：坏账准备</w:t>
            </w:r>
          </w:p>
        </w:tc>
        <w:tc>
          <w:tcPr>
            <w:tcBorders/>
            <w:shd w:val="clear" w:color="auto" w:fill="FFFFFF"/>
            <w:vAlign w:val="top"/>
          </w:tcPr>
          <w:p>
            <w:pPr>
              <w:pStyle w:val="Style29"/>
              <w:keepNext w:val="0"/>
              <w:keepLines w:val="0"/>
              <w:widowControl w:val="0"/>
              <w:shd w:val="clear" w:color="auto" w:fill="auto"/>
              <w:bidi w:val="0"/>
              <w:spacing w:before="0" w:after="320" w:line="240" w:lineRule="auto"/>
              <w:ind w:left="0" w:right="220" w:firstLine="0"/>
              <w:jc w:val="righ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177,509</w:t>
            </w:r>
          </w:p>
          <w:p>
            <w:pPr>
              <w:pStyle w:val="Style29"/>
              <w:keepNext w:val="0"/>
              <w:keepLines w:val="0"/>
              <w:widowControl w:val="0"/>
              <w:shd w:val="clear" w:color="auto" w:fill="auto"/>
              <w:bidi w:val="0"/>
              <w:spacing w:before="0" w:after="0" w:line="240" w:lineRule="auto"/>
              <w:ind w:left="2100" w:right="0" w:firstLine="0"/>
              <w:jc w:val="left"/>
              <w:rPr>
                <w:sz w:val="24"/>
                <w:szCs w:val="24"/>
              </w:rPr>
            </w:pPr>
            <w:r>
              <w:rPr>
                <w:rFonts w:ascii="Arial" w:eastAsia="Arial" w:hAnsi="Arial" w:cs="Arial"/>
                <w:color w:val="000000"/>
                <w:spacing w:val="0"/>
                <w:w w:val="100"/>
                <w:position w:val="0"/>
                <w:sz w:val="24"/>
                <w:szCs w:val="24"/>
              </w:rPr>
              <w:t>41,736</w:t>
            </w:r>
          </w:p>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(120,330)</w:t>
            </w:r>
          </w:p>
          <w:p>
            <w:pPr>
              <w:pStyle w:val="Style29"/>
              <w:keepNext w:val="0"/>
              <w:keepLines w:val="0"/>
              <w:widowControl w:val="0"/>
              <w:shd w:val="clear" w:color="auto" w:fill="auto"/>
              <w:bidi w:val="0"/>
              <w:spacing w:before="0" w:after="0" w:line="240" w:lineRule="auto"/>
              <w:ind w:left="2100" w:right="0" w:firstLine="0"/>
              <w:jc w:val="left"/>
              <w:rPr>
                <w:sz w:val="24"/>
                <w:szCs w:val="24"/>
              </w:rPr>
            </w:pPr>
            <w:r>
              <w:rPr>
                <w:rFonts w:ascii="Arial" w:eastAsia="Arial" w:hAnsi="Arial" w:cs="Arial"/>
                <w:color w:val="000000"/>
                <w:spacing w:val="0"/>
                <w:w w:val="100"/>
                <w:position w:val="0"/>
                <w:sz w:val="24"/>
                <w:szCs w:val="24"/>
              </w:rPr>
              <w:t>98,915</w:t>
            </w:r>
          </w:p>
        </w:tc>
        <w:tc>
          <w:tcPr>
            <w:tcBorders/>
            <w:shd w:val="clear" w:color="auto" w:fill="FFFFFF"/>
            <w:vAlign w:val="top"/>
          </w:tcPr>
          <w:p>
            <w:pPr>
              <w:pStyle w:val="Style29"/>
              <w:keepNext w:val="0"/>
              <w:keepLines w:val="0"/>
              <w:widowControl w:val="0"/>
              <w:shd w:val="clear" w:color="auto" w:fill="auto"/>
              <w:bidi w:val="0"/>
              <w:spacing w:before="0" w:after="32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bidi w:val="0"/>
              <w:spacing w:before="0" w:after="80" w:line="240" w:lineRule="auto"/>
              <w:ind w:left="0" w:right="0" w:firstLine="0"/>
              <w:jc w:val="right"/>
              <w:rPr>
                <w:sz w:val="24"/>
                <w:szCs w:val="24"/>
              </w:rPr>
            </w:pPr>
            <w:r>
              <w:rPr>
                <w:rFonts w:ascii="Arial" w:eastAsia="Arial" w:hAnsi="Arial" w:cs="Arial"/>
                <w:color w:val="000000"/>
                <w:spacing w:val="0"/>
                <w:w w:val="100"/>
                <w:position w:val="0"/>
                <w:sz w:val="24"/>
                <w:szCs w:val="24"/>
              </w:rPr>
              <w:t>1,721,371</w:t>
            </w:r>
          </w:p>
          <w:p>
            <w:pPr>
              <w:pStyle w:val="Style29"/>
              <w:keepNext w:val="0"/>
              <w:keepLines w:val="0"/>
              <w:widowControl w:val="0"/>
              <w:shd w:val="clear" w:color="auto" w:fill="auto"/>
              <w:bidi w:val="0"/>
              <w:spacing w:before="0" w:after="80" w:line="240" w:lineRule="auto"/>
              <w:ind w:left="0" w:right="0" w:firstLine="0"/>
              <w:jc w:val="right"/>
              <w:rPr>
                <w:sz w:val="24"/>
                <w:szCs w:val="24"/>
              </w:rPr>
            </w:pPr>
            <w:r>
              <w:rPr>
                <w:rFonts w:ascii="Arial" w:eastAsia="Arial" w:hAnsi="Arial" w:cs="Arial"/>
                <w:color w:val="000000"/>
                <w:spacing w:val="0"/>
                <w:w w:val="100"/>
                <w:position w:val="0"/>
                <w:sz w:val="24"/>
                <w:szCs w:val="24"/>
              </w:rPr>
              <w:t>-</w:t>
            </w:r>
          </w:p>
          <w:p>
            <w:pPr>
              <w:pStyle w:val="Style29"/>
              <w:keepNext w:val="0"/>
              <w:keepLines w:val="0"/>
              <w:widowControl w:val="0"/>
              <w:shd w:val="clear" w:color="auto" w:fill="auto"/>
              <w:tabs>
                <w:tab w:leader="underscore" w:pos="1334"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(24,822)</w:t>
            </w:r>
          </w:p>
          <w:p>
            <w:pPr>
              <w:pStyle w:val="Style29"/>
              <w:keepNext w:val="0"/>
              <w:keepLines w:val="0"/>
              <w:widowControl w:val="0"/>
              <w:shd w:val="clear" w:color="auto" w:fill="auto"/>
              <w:bidi w:val="0"/>
              <w:spacing w:before="0" w:after="200" w:line="240" w:lineRule="auto"/>
              <w:ind w:left="1160" w:right="0" w:firstLine="0"/>
              <w:jc w:val="left"/>
              <w:rPr>
                <w:sz w:val="24"/>
                <w:szCs w:val="24"/>
              </w:rPr>
            </w:pPr>
            <w:r>
              <w:rPr>
                <w:rFonts w:ascii="Arial" w:eastAsia="Arial" w:hAnsi="Arial" w:cs="Arial"/>
                <w:color w:val="000000"/>
                <w:spacing w:val="0"/>
                <w:w w:val="100"/>
                <w:position w:val="0"/>
                <w:sz w:val="24"/>
                <w:szCs w:val="24"/>
              </w:rPr>
              <w:t>1,696,549</w:t>
            </w:r>
          </w:p>
        </w:tc>
      </w:tr>
      <w:tr>
        <w:trPr>
          <w:trHeight w:val="734" w:hRule="exact"/>
        </w:trPr>
        <w:tc>
          <w:tcPr>
            <w:tcBorders/>
            <w:shd w:val="clear" w:color="auto" w:fill="FFFFFF"/>
            <w:vAlign w:val="center"/>
          </w:tcPr>
          <w:p>
            <w:pPr>
              <w:pStyle w:val="Style29"/>
              <w:keepNext w:val="0"/>
              <w:keepLines w:val="0"/>
              <w:widowControl w:val="0"/>
              <w:shd w:val="clear" w:color="auto" w:fill="auto"/>
              <w:tabs>
                <w:tab w:pos="715"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（a）</w:t>
              <w:tab/>
            </w:r>
            <w:r>
              <w:rPr>
                <w:rFonts w:ascii="SimSun" w:eastAsia="SimSun" w:hAnsi="SimSun" w:cs="SimSun"/>
                <w:color w:val="000000"/>
                <w:spacing w:val="0"/>
                <w:w w:val="100"/>
                <w:position w:val="0"/>
                <w:sz w:val="24"/>
                <w:szCs w:val="24"/>
              </w:rPr>
              <w:t>于</w:t>
            </w: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gridSpan w:val="2"/>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本集团已背书或已贴现但尚未到期的应收票据如下：</w:t>
            </w:r>
          </w:p>
        </w:tc>
      </w:tr>
      <w:tr>
        <w:trPr>
          <w:trHeight w:val="59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SimSun" w:eastAsia="SimSun" w:hAnsi="SimSun" w:cs="SimSun"/>
                <w:color w:val="000000"/>
                <w:spacing w:val="0"/>
                <w:w w:val="100"/>
                <w:position w:val="0"/>
                <w:sz w:val="24"/>
                <w:szCs w:val="24"/>
              </w:rPr>
              <w:t>已终止确认</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未终止确认</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商业承兑汇票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3,421</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银行承兑汇票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100" w:right="0" w:firstLine="0"/>
              <w:jc w:val="left"/>
              <w:rPr>
                <w:sz w:val="24"/>
                <w:szCs w:val="24"/>
              </w:rPr>
            </w:pPr>
            <w:r>
              <w:rPr>
                <w:rFonts w:ascii="Arial" w:eastAsia="Arial" w:hAnsi="Arial" w:cs="Arial"/>
                <w:color w:val="000000"/>
                <w:spacing w:val="0"/>
                <w:w w:val="100"/>
                <w:position w:val="0"/>
                <w:sz w:val="24"/>
                <w:szCs w:val="24"/>
              </w:rPr>
              <w:t>67,466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27,306</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00" w:right="0" w:firstLine="0"/>
              <w:jc w:val="left"/>
              <w:rPr>
                <w:sz w:val="24"/>
                <w:szCs w:val="24"/>
              </w:rPr>
            </w:pPr>
            <w:r>
              <w:rPr>
                <w:rFonts w:ascii="Arial" w:eastAsia="Arial" w:hAnsi="Arial" w:cs="Arial"/>
                <w:color w:val="000000"/>
                <w:spacing w:val="0"/>
                <w:w w:val="100"/>
                <w:position w:val="0"/>
                <w:sz w:val="24"/>
                <w:szCs w:val="24"/>
              </w:rPr>
              <w:t>67,466</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30,727</w:t>
            </w:r>
          </w:p>
        </w:tc>
      </w:tr>
    </w:tbl>
    <w:p>
      <w:pPr>
        <w:sectPr>
          <w:footnotePr>
            <w:pos w:val="pageBottom"/>
            <w:numFmt w:val="decimal"/>
            <w:numStart w:val="1"/>
            <w:numRestart w:val="continuous"/>
            <w15:footnoteColumns w:val="1"/>
          </w:footnotePr>
          <w:pgSz w:w="11900" w:h="16840"/>
          <w:pgMar w:top="778" w:right="1302" w:bottom="884" w:left="1709" w:header="0" w:footer="3" w:gutter="0"/>
          <w:cols w:space="720"/>
          <w:noEndnote/>
          <w:rtlGutter w:val="0"/>
          <w:docGrid w:linePitch="360"/>
        </w:sectPr>
      </w:pPr>
    </w:p>
    <w:p>
      <w:pPr>
        <w:pStyle w:val="Style72"/>
        <w:keepNext w:val="0"/>
        <w:keepLines w:val="0"/>
        <w:widowControl w:val="0"/>
        <w:shd w:val="clear" w:color="auto" w:fill="auto"/>
        <w:tabs>
          <w:tab w:pos="702"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02" w:val="left"/>
        </w:tabs>
        <w:bidi w:val="0"/>
        <w:spacing w:before="0"/>
        <w:ind w:left="0" w:right="0" w:firstLine="0"/>
        <w:jc w:val="left"/>
        <w:rPr>
          <w:sz w:val="28"/>
          <w:szCs w:val="28"/>
        </w:rPr>
      </w:pPr>
      <w:r>
        <w:rPr>
          <w:color w:val="000000"/>
          <w:spacing w:val="0"/>
          <w:w w:val="100"/>
          <w:position w:val="0"/>
          <w:sz w:val="24"/>
          <w:szCs w:val="24"/>
        </w:rPr>
        <w:t>（3）</w:t>
        <w:tab/>
      </w:r>
      <w:r>
        <w:rPr>
          <w:rFonts w:ascii="SimSun" w:eastAsia="SimSun" w:hAnsi="SimSun" w:cs="SimSun"/>
          <w:b/>
          <w:bCs/>
          <w:color w:val="000000"/>
          <w:spacing w:val="0"/>
          <w:w w:val="100"/>
          <w:position w:val="0"/>
          <w:sz w:val="24"/>
          <w:szCs w:val="24"/>
        </w:rPr>
        <w:t>应收票据</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702" w:val="left"/>
        </w:tabs>
        <w:bidi w:val="0"/>
        <w:spacing w:before="0" w:after="260" w:line="271" w:lineRule="auto"/>
        <w:ind w:left="0" w:right="0" w:firstLine="0"/>
        <w:jc w:val="left"/>
      </w:pPr>
      <w:bookmarkStart w:id="893" w:name="bookmark893"/>
      <w:r>
        <w:rPr>
          <w:rFonts w:ascii="Arial" w:eastAsia="Arial" w:hAnsi="Arial" w:cs="Arial"/>
          <w:color w:val="000000"/>
          <w:spacing w:val="0"/>
          <w:w w:val="100"/>
          <w:position w:val="0"/>
          <w:sz w:val="24"/>
          <w:szCs w:val="24"/>
        </w:rPr>
        <w:t>（</w:t>
      </w:r>
      <w:bookmarkEnd w:id="893"/>
      <w:r>
        <w:rPr>
          <w:rFonts w:ascii="Arial" w:eastAsia="Arial" w:hAnsi="Arial" w:cs="Arial"/>
          <w:color w:val="000000"/>
          <w:spacing w:val="0"/>
          <w:w w:val="100"/>
          <w:position w:val="0"/>
          <w:sz w:val="24"/>
          <w:szCs w:val="24"/>
        </w:rPr>
        <w:t>b）</w:t>
        <w:tab/>
      </w:r>
      <w:r>
        <w:rPr>
          <w:color w:val="000000"/>
          <w:spacing w:val="0"/>
          <w:w w:val="100"/>
          <w:position w:val="0"/>
          <w:sz w:val="24"/>
          <w:szCs w:val="24"/>
        </w:rPr>
        <w:t>坏账准备</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本集团的应收票据均因销售商品、提供劳务等日常经营活动产生，无论是否 存在重大融资成分，均按照整个存续期的预期信用损失计量损失准备。</w:t>
      </w:r>
    </w:p>
    <w:p>
      <w:pPr>
        <w:pStyle w:val="Style72"/>
        <w:keepNext w:val="0"/>
        <w:keepLines w:val="0"/>
        <w:widowControl w:val="0"/>
        <w:shd w:val="clear" w:color="auto" w:fill="auto"/>
        <w:bidi w:val="0"/>
        <w:spacing w:before="0" w:after="260" w:line="313"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日，原计入组合中的应收</w:t>
      </w:r>
      <w:r>
        <w:rPr>
          <w:rFonts w:ascii="Arial" w:eastAsia="Arial" w:hAnsi="Arial" w:cs="Arial"/>
          <w:color w:val="000000"/>
          <w:spacing w:val="0"/>
          <w:w w:val="100"/>
          <w:position w:val="0"/>
          <w:sz w:val="24"/>
          <w:szCs w:val="24"/>
        </w:rPr>
        <w:t>A</w:t>
      </w:r>
      <w:r>
        <w:rPr>
          <w:color w:val="000000"/>
          <w:spacing w:val="0"/>
          <w:w w:val="100"/>
          <w:position w:val="0"/>
          <w:sz w:val="24"/>
          <w:szCs w:val="24"/>
        </w:rPr>
        <w:t>类公司及其控股股东控制的 子公司商业承兑汇票约人民币</w:t>
      </w:r>
      <w:r>
        <w:rPr>
          <w:rFonts w:ascii="Arial" w:eastAsia="Arial" w:hAnsi="Arial" w:cs="Arial"/>
          <w:color w:val="000000"/>
          <w:spacing w:val="0"/>
          <w:w w:val="100"/>
          <w:position w:val="0"/>
          <w:sz w:val="24"/>
          <w:szCs w:val="24"/>
        </w:rPr>
        <w:t>1.74</w:t>
      </w:r>
      <w:r>
        <w:rPr>
          <w:color w:val="000000"/>
          <w:spacing w:val="0"/>
          <w:w w:val="100"/>
          <w:position w:val="0"/>
          <w:sz w:val="24"/>
          <w:szCs w:val="24"/>
        </w:rPr>
        <w:t>亿元，这些公司已发生重大财务困难，信 用风险已显著增加，本集团针对该笔款项评估了不同场景下预计可能回收的 现金流量，并根据其与合同应收的现金流量之间差额的现值，单独计提坏账 准备约人民币</w:t>
      </w:r>
      <w:r>
        <w:rPr>
          <w:rFonts w:ascii="Arial" w:eastAsia="Arial" w:hAnsi="Arial" w:cs="Arial"/>
          <w:color w:val="000000"/>
          <w:spacing w:val="0"/>
          <w:w w:val="100"/>
          <w:position w:val="0"/>
          <w:sz w:val="24"/>
          <w:szCs w:val="24"/>
        </w:rPr>
        <w:t>1.18</w:t>
      </w:r>
      <w:r>
        <w:rPr>
          <w:color w:val="000000"/>
          <w:spacing w:val="0"/>
          <w:w w:val="100"/>
          <w:position w:val="0"/>
          <w:sz w:val="24"/>
          <w:szCs w:val="24"/>
        </w:rPr>
        <w:t>亿元。于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日，原计入组合中的应收</w:t>
      </w:r>
      <w:r>
        <w:rPr>
          <w:rFonts w:ascii="Arial" w:eastAsia="Arial" w:hAnsi="Arial" w:cs="Arial"/>
          <w:color w:val="000000"/>
          <w:spacing w:val="0"/>
          <w:w w:val="100"/>
          <w:position w:val="0"/>
          <w:sz w:val="24"/>
          <w:szCs w:val="24"/>
        </w:rPr>
        <w:t>B</w:t>
      </w:r>
      <w:r>
        <w:rPr>
          <w:color w:val="000000"/>
          <w:spacing w:val="0"/>
          <w:w w:val="100"/>
          <w:position w:val="0"/>
          <w:sz w:val="24"/>
          <w:szCs w:val="24"/>
        </w:rPr>
        <w:t>类 公司及其控股股东控制的子公司商业承兑汇票约人民币</w:t>
      </w:r>
      <w:r>
        <w:rPr>
          <w:rFonts w:ascii="Arial" w:eastAsia="Arial" w:hAnsi="Arial" w:cs="Arial"/>
          <w:color w:val="000000"/>
          <w:spacing w:val="0"/>
          <w:w w:val="100"/>
          <w:position w:val="0"/>
          <w:sz w:val="24"/>
          <w:szCs w:val="24"/>
        </w:rPr>
        <w:t>318.24</w:t>
      </w:r>
      <w:r>
        <w:rPr>
          <w:color w:val="000000"/>
          <w:spacing w:val="0"/>
          <w:w w:val="100"/>
          <w:position w:val="0"/>
          <w:sz w:val="24"/>
          <w:szCs w:val="24"/>
        </w:rPr>
        <w:t>万元，这些公 司已发生重大财务困难，信用风险已显著增加，本集团针对该笔款项评估了 不同场景下预计可能回收的现金流量，并根据其与合同应收的现金流量之间 差额的现值，单独计提坏账准备约人民币</w:t>
      </w:r>
      <w:r>
        <w:rPr>
          <w:rFonts w:ascii="Arial" w:eastAsia="Arial" w:hAnsi="Arial" w:cs="Arial"/>
          <w:color w:val="000000"/>
          <w:spacing w:val="0"/>
          <w:w w:val="100"/>
          <w:position w:val="0"/>
          <w:sz w:val="24"/>
          <w:szCs w:val="24"/>
        </w:rPr>
        <w:t>180.03</w:t>
      </w:r>
      <w:r>
        <w:rPr>
          <w:color w:val="000000"/>
          <w:spacing w:val="0"/>
          <w:w w:val="100"/>
          <w:position w:val="0"/>
          <w:sz w:val="24"/>
          <w:szCs w:val="24"/>
        </w:rPr>
        <w:t>万元。</w:t>
      </w:r>
    </w:p>
    <w:p>
      <w:pPr>
        <w:pStyle w:val="Style72"/>
        <w:keepNext w:val="0"/>
        <w:keepLines w:val="0"/>
        <w:widowControl w:val="0"/>
        <w:shd w:val="clear" w:color="auto" w:fill="auto"/>
        <w:tabs>
          <w:tab w:pos="702" w:val="left"/>
        </w:tabs>
        <w:bidi w:val="0"/>
        <w:spacing w:before="0" w:after="260" w:line="313" w:lineRule="exact"/>
        <w:ind w:left="0" w:right="0" w:firstLine="0"/>
        <w:jc w:val="left"/>
      </w:pPr>
      <w:r>
        <w:rPr>
          <w:color w:val="000000"/>
          <w:spacing w:val="0"/>
          <w:w w:val="100"/>
          <w:position w:val="0"/>
          <w:sz w:val="24"/>
          <w:szCs w:val="24"/>
        </w:rPr>
        <w:t>⑴</w:t>
        <w:tab/>
        <w:t>组合计提坏账准备的应收票据分析如下：</w:t>
      </w:r>
    </w:p>
    <w:p>
      <w:pPr>
        <w:pStyle w:val="Style72"/>
        <w:keepNext w:val="0"/>
        <w:keepLines w:val="0"/>
        <w:widowControl w:val="0"/>
        <w:shd w:val="clear" w:color="auto" w:fill="auto"/>
        <w:bidi w:val="0"/>
        <w:spacing w:before="0" w:after="260" w:line="313" w:lineRule="exact"/>
        <w:ind w:left="0" w:right="0" w:firstLine="720"/>
        <w:jc w:val="left"/>
      </w:pPr>
      <w:r>
        <w:rPr>
          <w:color w:val="000000"/>
          <w:spacing w:val="0"/>
          <w:w w:val="100"/>
          <w:position w:val="0"/>
          <w:sz w:val="24"/>
          <w:szCs w:val="24"/>
        </w:rPr>
        <w:t>组合</w:t>
      </w:r>
      <w:r>
        <w:rPr>
          <w:color w:val="000000"/>
          <w:spacing w:val="0"/>
          <w:w w:val="100"/>
          <w:position w:val="0"/>
          <w:sz w:val="28"/>
          <w:szCs w:val="28"/>
        </w:rPr>
        <w:t>一</w:t>
      </w:r>
      <w:r>
        <w:rPr>
          <w:color w:val="000000"/>
          <w:spacing w:val="0"/>
          <w:w w:val="100"/>
          <w:position w:val="0"/>
          <w:sz w:val="24"/>
          <w:szCs w:val="24"/>
        </w:rPr>
        <w:t>银行承兑汇票及商业承兑汇票：</w:t>
      </w:r>
    </w:p>
    <w:p>
      <w:pPr>
        <w:pStyle w:val="Style72"/>
        <w:keepNext w:val="0"/>
        <w:keepLines w:val="0"/>
        <w:widowControl w:val="0"/>
        <w:shd w:val="clear" w:color="auto" w:fill="auto"/>
        <w:bidi w:val="0"/>
        <w:spacing w:before="0" w:after="260" w:line="312" w:lineRule="exact"/>
        <w:ind w:right="0" w:firstLine="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日，本集团按照整个存续期预期信用损失计量坏账准备， 相关金额约人民币</w:t>
      </w:r>
      <w:r>
        <w:rPr>
          <w:rFonts w:ascii="Arial" w:eastAsia="Arial" w:hAnsi="Arial" w:cs="Arial"/>
          <w:color w:val="000000"/>
          <w:spacing w:val="0"/>
          <w:w w:val="100"/>
          <w:position w:val="0"/>
          <w:sz w:val="24"/>
          <w:szCs w:val="24"/>
        </w:rPr>
        <w:t>8.3</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2,482</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。本 集团认为所持有的应收承兑汇票不存在重大的信用风险，不会因交易对手方 违约而产生重大损失。</w:t>
      </w:r>
    </w:p>
    <w:p>
      <w:pPr>
        <w:pStyle w:val="Style72"/>
        <w:keepNext w:val="0"/>
        <w:keepLines w:val="0"/>
        <w:widowControl w:val="0"/>
        <w:shd w:val="clear" w:color="auto" w:fill="auto"/>
        <w:tabs>
          <w:tab w:pos="702" w:val="left"/>
        </w:tabs>
        <w:bidi w:val="0"/>
        <w:spacing w:before="0" w:after="0" w:line="313" w:lineRule="exact"/>
        <w:ind w:left="0" w:right="0" w:firstLine="0"/>
        <w:jc w:val="both"/>
      </w:pPr>
      <w:r>
        <w:rPr>
          <w:rFonts w:ascii="Arial" w:eastAsia="Arial" w:hAnsi="Arial" w:cs="Arial"/>
          <w:color w:val="000000"/>
          <w:spacing w:val="0"/>
          <w:w w:val="100"/>
          <w:position w:val="0"/>
          <w:sz w:val="24"/>
          <w:szCs w:val="24"/>
        </w:rPr>
        <w:t>（ii）</w:t>
        <w:tab/>
      </w:r>
      <w:r>
        <w:rPr>
          <w:color w:val="000000"/>
          <w:spacing w:val="0"/>
          <w:w w:val="100"/>
          <w:position w:val="0"/>
          <w:sz w:val="24"/>
          <w:szCs w:val="24"/>
        </w:rPr>
        <w:t>本年度计提的坏账准备金额约人民币</w:t>
      </w:r>
      <w:r>
        <w:rPr>
          <w:rFonts w:ascii="Arial" w:eastAsia="Arial" w:hAnsi="Arial" w:cs="Arial"/>
          <w:color w:val="000000"/>
          <w:spacing w:val="0"/>
          <w:w w:val="100"/>
          <w:position w:val="0"/>
          <w:sz w:val="24"/>
          <w:szCs w:val="24"/>
        </w:rPr>
        <w:t>1.19</w:t>
      </w:r>
      <w:r>
        <w:rPr>
          <w:color w:val="000000"/>
          <w:spacing w:val="0"/>
          <w:w w:val="100"/>
          <w:position w:val="0"/>
          <w:sz w:val="24"/>
          <w:szCs w:val="24"/>
        </w:rPr>
        <w:t>亿元，其中收回或转回的坏账准备</w:t>
      </w:r>
    </w:p>
    <w:p>
      <w:pPr>
        <w:pStyle w:val="Style72"/>
        <w:keepNext w:val="0"/>
        <w:keepLines w:val="0"/>
        <w:widowControl w:val="0"/>
        <w:shd w:val="clear" w:color="auto" w:fill="auto"/>
        <w:bidi w:val="0"/>
        <w:spacing w:before="0" w:after="260" w:line="331" w:lineRule="exact"/>
        <w:ind w:right="0" w:firstLine="0"/>
        <w:jc w:val="both"/>
      </w:pPr>
      <w:r>
        <w:rPr>
          <w:color w:val="000000"/>
          <w:spacing w:val="0"/>
          <w:w w:val="100"/>
          <w:position w:val="0"/>
          <w:sz w:val="24"/>
          <w:szCs w:val="24"/>
        </w:rPr>
        <w:t>金额约人民币</w:t>
      </w:r>
      <w:r>
        <w:rPr>
          <w:rFonts w:ascii="Arial" w:eastAsia="Arial" w:hAnsi="Arial" w:cs="Arial"/>
          <w:color w:val="000000"/>
          <w:spacing w:val="0"/>
          <w:w w:val="100"/>
          <w:position w:val="0"/>
          <w:sz w:val="24"/>
          <w:szCs w:val="24"/>
        </w:rPr>
        <w:t>2,377</w:t>
      </w:r>
      <w:r>
        <w:rPr>
          <w:color w:val="000000"/>
          <w:spacing w:val="0"/>
          <w:w w:val="100"/>
          <w:position w:val="0"/>
          <w:sz w:val="24"/>
          <w:szCs w:val="24"/>
        </w:rPr>
        <w:t>万元，相应的账面余额约人民币</w:t>
      </w:r>
      <w:r>
        <w:rPr>
          <w:rFonts w:ascii="Arial" w:eastAsia="Arial" w:hAnsi="Arial" w:cs="Arial"/>
          <w:color w:val="000000"/>
          <w:spacing w:val="0"/>
          <w:w w:val="100"/>
          <w:position w:val="0"/>
          <w:sz w:val="24"/>
          <w:szCs w:val="24"/>
        </w:rPr>
        <w:t>15.5</w:t>
      </w:r>
      <w:r>
        <w:rPr>
          <w:color w:val="000000"/>
          <w:spacing w:val="0"/>
          <w:w w:val="100"/>
          <w:position w:val="0"/>
          <w:sz w:val="24"/>
          <w:szCs w:val="24"/>
        </w:rPr>
        <w:t>亿元。重大的收回 或转回金额列式如下：</w:t>
      </w:r>
    </w:p>
    <w:p>
      <w:pPr>
        <w:widowControl w:val="0"/>
        <w:spacing w:after="1600" w:line="1" w:lineRule="exact"/>
      </w:pPr>
      <w:r>
        <mc:AlternateContent>
          <mc:Choice Requires="wps">
            <w:drawing>
              <wp:anchor distT="0" distB="0" distL="0" distR="0" simplePos="0" relativeHeight="62914698" behindDoc="1" locked="0" layoutInCell="1" allowOverlap="1">
                <wp:simplePos x="0" y="0"/>
                <wp:positionH relativeFrom="page">
                  <wp:posOffset>3069590</wp:posOffset>
                </wp:positionH>
                <wp:positionV relativeFrom="paragraph">
                  <wp:posOffset>101600</wp:posOffset>
                </wp:positionV>
                <wp:extent cx="594360" cy="298450"/>
                <wp:wrapNone/>
                <wp:docPr id="44" name="Shape 44"/>
                <a:graphic xmlns:a="http://schemas.openxmlformats.org/drawingml/2006/main">
                  <a:graphicData uri="http://schemas.microsoft.com/office/word/2010/wordprocessingShape">
                    <wps:wsp>
                      <wps:cNvSpPr txBox="1"/>
                      <wps:spPr>
                        <a:xfrm>
                          <a:ext cx="594360" cy="2984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转回或收回</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原因</w:t>
                            </w:r>
                          </w:p>
                        </w:txbxContent>
                      </wps:txbx>
                      <wps:bodyPr lIns="0" tIns="0" rIns="0" bIns="0">
                        <a:noAutoFit/>
                      </wps:bodyPr>
                    </wps:wsp>
                  </a:graphicData>
                </a:graphic>
              </wp:anchor>
            </w:drawing>
          </mc:Choice>
          <mc:Fallback>
            <w:pict>
              <v:shape id="_x0000_s1070" type="#_x0000_t202" style="position:absolute;margin-left:241.70000000000002pt;margin-top:8.pt;width:46.800000000000004pt;height:23.5pt;z-index:-188744055;mso-wrap-distance-left:0;mso-wrap-distance-right:0;mso-position-horizontal-relative:page" wrapcoords="0 0"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转回或收回</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原因</w:t>
                      </w:r>
                    </w:p>
                  </w:txbxContent>
                </v:textbox>
                <w10:wrap anchorx="page"/>
              </v:shape>
            </w:pict>
          </mc:Fallback>
        </mc:AlternateContent>
      </w:r>
      <w:r>
        <mc:AlternateContent>
          <mc:Choice Requires="wps">
            <w:drawing>
              <wp:anchor distT="0" distB="0" distL="0" distR="0" simplePos="0" relativeHeight="62914700" behindDoc="1" locked="0" layoutInCell="1" allowOverlap="1">
                <wp:simplePos x="0" y="0"/>
                <wp:positionH relativeFrom="page">
                  <wp:posOffset>3871595</wp:posOffset>
                </wp:positionH>
                <wp:positionV relativeFrom="paragraph">
                  <wp:posOffset>101600</wp:posOffset>
                </wp:positionV>
                <wp:extent cx="1054735" cy="298450"/>
                <wp:wrapNone/>
                <wp:docPr id="46" name="Shape 46"/>
                <a:graphic xmlns:a="http://schemas.openxmlformats.org/drawingml/2006/main">
                  <a:graphicData uri="http://schemas.microsoft.com/office/word/2010/wordprocessingShape">
                    <wps:wsp>
                      <wps:cNvSpPr txBox="1"/>
                      <wps:spPr>
                        <a:xfrm>
                          <a:ext cx="1054735" cy="2984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确定原坏账</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准备的依据及合理性</w:t>
                            </w:r>
                          </w:p>
                        </w:txbxContent>
                      </wps:txbx>
                      <wps:bodyPr lIns="0" tIns="0" rIns="0" bIns="0">
                        <a:noAutoFit/>
                      </wps:bodyPr>
                    </wps:wsp>
                  </a:graphicData>
                </a:graphic>
              </wp:anchor>
            </w:drawing>
          </mc:Choice>
          <mc:Fallback>
            <w:pict>
              <v:shape id="_x0000_s1072" type="#_x0000_t202" style="position:absolute;margin-left:304.85000000000002pt;margin-top:8.pt;width:83.049999999999997pt;height:23.5pt;z-index:-188744053;mso-wrap-distance-left:0;mso-wrap-distance-right:0;mso-position-horizontal-relative:page" wrapcoords="0 0"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确定原坏账</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准备的依据及合理性</w:t>
                      </w:r>
                    </w:p>
                  </w:txbxContent>
                </v:textbox>
                <w10:wrap anchorx="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5087620</wp:posOffset>
                </wp:positionH>
                <wp:positionV relativeFrom="paragraph">
                  <wp:posOffset>101600</wp:posOffset>
                </wp:positionV>
                <wp:extent cx="597535" cy="292735"/>
                <wp:wrapNone/>
                <wp:docPr id="48" name="Shape 48"/>
                <a:graphic xmlns:a="http://schemas.openxmlformats.org/drawingml/2006/main">
                  <a:graphicData uri="http://schemas.microsoft.com/office/word/2010/wordprocessingShape">
                    <wps:wsp>
                      <wps:cNvSpPr txBox="1"/>
                      <wps:spPr>
                        <a:xfrm>
                          <a:ext cx="597535" cy="29273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转回或收回</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xbxContent>
                      </wps:txbx>
                      <wps:bodyPr lIns="0" tIns="0" rIns="0" bIns="0">
                        <a:noAutoFit/>
                      </wps:bodyPr>
                    </wps:wsp>
                  </a:graphicData>
                </a:graphic>
              </wp:anchor>
            </w:drawing>
          </mc:Choice>
          <mc:Fallback>
            <w:pict>
              <v:shape id="_x0000_s1074" type="#_x0000_t202" style="position:absolute;margin-left:400.60000000000002pt;margin-top:8.pt;width:47.050000000000004pt;height:23.050000000000001pt;z-index:-188744051;mso-wrap-distance-left:0;mso-wrap-distance-right:0;mso-position-horizontal-relative:page" wrapcoords="0 0"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转回或收回</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xbxContent>
                </v:textbox>
                <w10:wrap anchorx="page"/>
              </v:shape>
            </w:pict>
          </mc:Fallback>
        </mc:AlternateContent>
      </w:r>
      <w:r>
        <mc:AlternateContent>
          <mc:Choice Requires="wps">
            <w:drawing>
              <wp:anchor distT="0" distB="0" distL="0" distR="0" simplePos="0" relativeHeight="62914704" behindDoc="1" locked="0" layoutInCell="1" allowOverlap="1">
                <wp:simplePos x="0" y="0"/>
                <wp:positionH relativeFrom="page">
                  <wp:posOffset>6123940</wp:posOffset>
                </wp:positionH>
                <wp:positionV relativeFrom="paragraph">
                  <wp:posOffset>101600</wp:posOffset>
                </wp:positionV>
                <wp:extent cx="478790" cy="149225"/>
                <wp:wrapNone/>
                <wp:docPr id="50" name="Shape 50"/>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收回方式</w:t>
                            </w:r>
                          </w:p>
                        </w:txbxContent>
                      </wps:txbx>
                      <wps:bodyPr wrap="none" lIns="0" tIns="0" rIns="0" bIns="0">
                        <a:noAutoFit/>
                      </wps:bodyPr>
                    </wps:wsp>
                  </a:graphicData>
                </a:graphic>
              </wp:anchor>
            </w:drawing>
          </mc:Choice>
          <mc:Fallback>
            <w:pict>
              <v:shape id="_x0000_s1076" type="#_x0000_t202" style="position:absolute;margin-left:482.19999999999999pt;margin-top:8.pt;width:37.700000000000003pt;height:11.75pt;z-index:-188744049;mso-wrap-distance-left:0;mso-wrap-distance-right:0;mso-position-horizontal-relative:page" wrapcoords="0 0"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收回方式</w:t>
                      </w:r>
                    </w:p>
                  </w:txbxContent>
                </v:textbox>
                <w10:wrap anchorx="page"/>
              </v:shape>
            </w:pict>
          </mc:Fallback>
        </mc:AlternateContent>
      </w:r>
      <w:r>
        <mc:AlternateContent>
          <mc:Choice Requires="wps">
            <w:drawing>
              <wp:anchor distT="0" distB="0" distL="0" distR="0" simplePos="0" relativeHeight="62914706" behindDoc="1" locked="0" layoutInCell="1" allowOverlap="1">
                <wp:simplePos x="0" y="0"/>
                <wp:positionH relativeFrom="page">
                  <wp:posOffset>1551940</wp:posOffset>
                </wp:positionH>
                <wp:positionV relativeFrom="paragraph">
                  <wp:posOffset>534670</wp:posOffset>
                </wp:positionV>
                <wp:extent cx="2115185" cy="472440"/>
                <wp:wrapNone/>
                <wp:docPr id="52" name="Shape 52"/>
                <a:graphic xmlns:a="http://schemas.openxmlformats.org/drawingml/2006/main">
                  <a:graphicData uri="http://schemas.microsoft.com/office/word/2010/wordprocessingShape">
                    <wps:wsp>
                      <wps:cNvSpPr txBox="1"/>
                      <wps:spPr>
                        <a:xfrm>
                          <a:ext cx="2115185" cy="4724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r>
                              <w:rPr>
                                <w:color w:val="000000"/>
                                <w:spacing w:val="0"/>
                                <w:w w:val="100"/>
                                <w:position w:val="0"/>
                                <w:sz w:val="22"/>
                                <w:szCs w:val="22"/>
                              </w:rPr>
                              <w:t>一</w:t>
                            </w:r>
                            <w:r>
                              <w:rPr>
                                <w:rFonts w:ascii="Arial" w:eastAsia="Arial" w:hAnsi="Arial" w:cs="Arial"/>
                                <w:color w:val="000000"/>
                                <w:spacing w:val="0"/>
                                <w:w w:val="100"/>
                                <w:position w:val="0"/>
                              </w:rPr>
                              <w:t>A</w:t>
                            </w:r>
                            <w:r>
                              <w:rPr>
                                <w:color w:val="000000"/>
                                <w:spacing w:val="0"/>
                                <w:w w:val="100"/>
                                <w:position w:val="0"/>
                              </w:rPr>
                              <w:t>类公司及</w:t>
                            </w:r>
                          </w:p>
                          <w:p>
                            <w:pPr>
                              <w:pStyle w:val="Style5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其控股股东控制的子</w:t>
                            </w:r>
                          </w:p>
                          <w:p>
                            <w:pPr>
                              <w:pStyle w:val="Style55"/>
                              <w:keepNext w:val="0"/>
                              <w:keepLines w:val="0"/>
                              <w:widowControl w:val="0"/>
                              <w:shd w:val="clear" w:color="auto" w:fill="auto"/>
                              <w:tabs>
                                <w:tab w:pos="2214" w:val="left"/>
                              </w:tabs>
                              <w:bidi w:val="0"/>
                              <w:spacing w:before="0" w:after="0" w:line="240" w:lineRule="auto"/>
                              <w:ind w:left="0" w:right="0" w:firstLine="380"/>
                              <w:jc w:val="left"/>
                            </w:pPr>
                            <w:r>
                              <w:rPr>
                                <w:color w:val="000000"/>
                                <w:spacing w:val="0"/>
                                <w:w w:val="100"/>
                                <w:position w:val="0"/>
                              </w:rPr>
                              <w:t>公司</w:t>
                              <w:tab/>
                              <w:t>票据到期兑付</w:t>
                            </w:r>
                          </w:p>
                        </w:txbxContent>
                      </wps:txbx>
                      <wps:bodyPr lIns="0" tIns="0" rIns="0" bIns="0">
                        <a:noAutoFit/>
                      </wps:bodyPr>
                    </wps:wsp>
                  </a:graphicData>
                </a:graphic>
              </wp:anchor>
            </w:drawing>
          </mc:Choice>
          <mc:Fallback>
            <w:pict>
              <v:shape id="_x0000_s1078" type="#_x0000_t202" style="position:absolute;margin-left:122.2pt;margin-top:42.100000000000001pt;width:166.55000000000001pt;height:37.200000000000003pt;z-index:-188744047;mso-wrap-distance-left:0;mso-wrap-distance-right:0;mso-position-horizontal-relative:page" wrapcoords="0 0"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r>
                        <w:rPr>
                          <w:color w:val="000000"/>
                          <w:spacing w:val="0"/>
                          <w:w w:val="100"/>
                          <w:position w:val="0"/>
                          <w:sz w:val="22"/>
                          <w:szCs w:val="22"/>
                        </w:rPr>
                        <w:t>一</w:t>
                      </w:r>
                      <w:r>
                        <w:rPr>
                          <w:rFonts w:ascii="Arial" w:eastAsia="Arial" w:hAnsi="Arial" w:cs="Arial"/>
                          <w:color w:val="000000"/>
                          <w:spacing w:val="0"/>
                          <w:w w:val="100"/>
                          <w:position w:val="0"/>
                        </w:rPr>
                        <w:t>A</w:t>
                      </w:r>
                      <w:r>
                        <w:rPr>
                          <w:color w:val="000000"/>
                          <w:spacing w:val="0"/>
                          <w:w w:val="100"/>
                          <w:position w:val="0"/>
                        </w:rPr>
                        <w:t>类公司及</w:t>
                      </w:r>
                    </w:p>
                    <w:p>
                      <w:pPr>
                        <w:pStyle w:val="Style5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其控股股东控制的子</w:t>
                      </w:r>
                    </w:p>
                    <w:p>
                      <w:pPr>
                        <w:pStyle w:val="Style55"/>
                        <w:keepNext w:val="0"/>
                        <w:keepLines w:val="0"/>
                        <w:widowControl w:val="0"/>
                        <w:shd w:val="clear" w:color="auto" w:fill="auto"/>
                        <w:tabs>
                          <w:tab w:pos="2214" w:val="left"/>
                        </w:tabs>
                        <w:bidi w:val="0"/>
                        <w:spacing w:before="0" w:after="0" w:line="240" w:lineRule="auto"/>
                        <w:ind w:left="0" w:right="0" w:firstLine="380"/>
                        <w:jc w:val="left"/>
                      </w:pPr>
                      <w:r>
                        <w:rPr>
                          <w:color w:val="000000"/>
                          <w:spacing w:val="0"/>
                          <w:w w:val="100"/>
                          <w:position w:val="0"/>
                        </w:rPr>
                        <w:t>公司</w:t>
                        <w:tab/>
                        <w:t>票据到期兑付</w:t>
                      </w:r>
                    </w:p>
                  </w:txbxContent>
                </v:textbox>
                <w10:wrap anchorx="page"/>
              </v:shape>
            </w:pict>
          </mc:Fallback>
        </mc:AlternateContent>
      </w:r>
      <w:r>
        <mc:AlternateContent>
          <mc:Choice Requires="wps">
            <w:drawing>
              <wp:anchor distT="0" distB="0" distL="0" distR="0" simplePos="0" relativeHeight="62914708" behindDoc="1" locked="0" layoutInCell="1" allowOverlap="1">
                <wp:simplePos x="0" y="0"/>
                <wp:positionH relativeFrom="page">
                  <wp:posOffset>3758565</wp:posOffset>
                </wp:positionH>
                <wp:positionV relativeFrom="paragraph">
                  <wp:posOffset>695960</wp:posOffset>
                </wp:positionV>
                <wp:extent cx="1167130" cy="311150"/>
                <wp:wrapNone/>
                <wp:docPr id="54" name="Shape 54"/>
                <a:graphic xmlns:a="http://schemas.openxmlformats.org/drawingml/2006/main">
                  <a:graphicData uri="http://schemas.microsoft.com/office/word/2010/wordprocessingShape">
                    <wps:wsp>
                      <wps:cNvSpPr txBox="1"/>
                      <wps:spPr>
                        <a:xfrm>
                          <a:ext cx="1167130" cy="311150"/>
                        </a:xfrm>
                        <a:prstGeom prst="rect"/>
                        <a:noFill/>
                      </wps:spPr>
                      <wps:txbx>
                        <w:txbxContent>
                          <w:p>
                            <w:pPr>
                              <w:pStyle w:val="Style55"/>
                              <w:keepNext w:val="0"/>
                              <w:keepLines w:val="0"/>
                              <w:widowControl w:val="0"/>
                              <w:shd w:val="clear" w:color="auto" w:fill="auto"/>
                              <w:bidi w:val="0"/>
                              <w:spacing w:before="0" w:after="0" w:line="235" w:lineRule="exact"/>
                              <w:ind w:left="0" w:right="0" w:firstLine="0"/>
                              <w:jc w:val="right"/>
                            </w:pPr>
                            <w:r>
                              <w:rPr>
                                <w:color w:val="000000"/>
                                <w:spacing w:val="0"/>
                                <w:w w:val="100"/>
                                <w:position w:val="0"/>
                              </w:rPr>
                              <w:t>按照整个存续期预期 信用损失计量坏账准备</w:t>
                            </w:r>
                          </w:p>
                        </w:txbxContent>
                      </wps:txbx>
                      <wps:bodyPr lIns="0" tIns="0" rIns="0" bIns="0">
                        <a:noAutoFit/>
                      </wps:bodyPr>
                    </wps:wsp>
                  </a:graphicData>
                </a:graphic>
              </wp:anchor>
            </w:drawing>
          </mc:Choice>
          <mc:Fallback>
            <w:pict>
              <v:shape id="_x0000_s1080" type="#_x0000_t202" style="position:absolute;margin-left:295.94999999999999pt;margin-top:54.800000000000004pt;width:91.900000000000006pt;height:24.5pt;z-index:-188744045;mso-wrap-distance-left:0;mso-wrap-distance-right:0;mso-position-horizontal-relative:page" wrapcoords="0 0" filled="f" stroked="f">
                <v:textbox inset="0,0,0,0">
                  <w:txbxContent>
                    <w:p>
                      <w:pPr>
                        <w:pStyle w:val="Style55"/>
                        <w:keepNext w:val="0"/>
                        <w:keepLines w:val="0"/>
                        <w:widowControl w:val="0"/>
                        <w:shd w:val="clear" w:color="auto" w:fill="auto"/>
                        <w:bidi w:val="0"/>
                        <w:spacing w:before="0" w:after="0" w:line="235" w:lineRule="exact"/>
                        <w:ind w:left="0" w:right="0" w:firstLine="0"/>
                        <w:jc w:val="right"/>
                      </w:pPr>
                      <w:r>
                        <w:rPr>
                          <w:color w:val="000000"/>
                          <w:spacing w:val="0"/>
                          <w:w w:val="100"/>
                          <w:position w:val="0"/>
                        </w:rPr>
                        <w:t>按照整个存续期预期 信用损失计量坏账准备</w:t>
                      </w:r>
                    </w:p>
                  </w:txbxContent>
                </v:textbox>
                <w10:wrap anchorx="page"/>
              </v:shape>
            </w:pict>
          </mc:Fallback>
        </mc:AlternateContent>
      </w:r>
      <w:r>
        <mc:AlternateContent>
          <mc:Choice Requires="wps">
            <w:drawing>
              <wp:anchor distT="0" distB="0" distL="0" distR="0" simplePos="0" relativeHeight="62914710" behindDoc="1" locked="0" layoutInCell="1" allowOverlap="1">
                <wp:simplePos x="0" y="0"/>
                <wp:positionH relativeFrom="page">
                  <wp:posOffset>5307330</wp:posOffset>
                </wp:positionH>
                <wp:positionV relativeFrom="paragraph">
                  <wp:posOffset>872490</wp:posOffset>
                </wp:positionV>
                <wp:extent cx="377825" cy="143510"/>
                <wp:wrapNone/>
                <wp:docPr id="56" name="Shape 56"/>
                <a:graphic xmlns:a="http://schemas.openxmlformats.org/drawingml/2006/main">
                  <a:graphicData uri="http://schemas.microsoft.com/office/word/2010/wordprocessingShape">
                    <wps:wsp>
                      <wps:cNvSpPr txBox="1"/>
                      <wps:spPr>
                        <a:xfrm>
                          <a:ext cx="377825" cy="143510"/>
                        </a:xfrm>
                        <a:prstGeom prst="rect"/>
                        <a:noFill/>
                      </wps:spPr>
                      <wps:txbx>
                        <w:txbxContent>
                          <w:p>
                            <w:pPr>
                              <w:pStyle w:val="Style2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23,772</w:t>
                            </w:r>
                          </w:p>
                        </w:txbxContent>
                      </wps:txbx>
                      <wps:bodyPr wrap="none" lIns="0" tIns="0" rIns="0" bIns="0">
                        <a:noAutoFit/>
                      </wps:bodyPr>
                    </wps:wsp>
                  </a:graphicData>
                </a:graphic>
              </wp:anchor>
            </w:drawing>
          </mc:Choice>
          <mc:Fallback>
            <w:pict>
              <v:shape id="_x0000_s1082" type="#_x0000_t202" style="position:absolute;margin-left:417.90000000000003pt;margin-top:68.700000000000003pt;width:29.75pt;height:11.300000000000001pt;z-index:-188744043;mso-wrap-distance-left:0;mso-wrap-distance-right:0;mso-position-horizontal-relative:page" wrapcoords="0 0" filled="f" stroked="f">
                <v:textbox inset="0,0,0,0">
                  <w:txbxContent>
                    <w:p>
                      <w:pPr>
                        <w:pStyle w:val="Style29"/>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23,772</w:t>
                      </w:r>
                    </w:p>
                  </w:txbxContent>
                </v:textbox>
                <w10:wrap anchorx="page"/>
              </v:shape>
            </w:pict>
          </mc:Fallback>
        </mc:AlternateContent>
      </w:r>
      <w:r>
        <mc:AlternateContent>
          <mc:Choice Requires="wps">
            <w:drawing>
              <wp:anchor distT="0" distB="0" distL="0" distR="0" simplePos="0" relativeHeight="62914712" behindDoc="1" locked="0" layoutInCell="1" allowOverlap="1">
                <wp:simplePos x="0" y="0"/>
                <wp:positionH relativeFrom="page">
                  <wp:posOffset>5858510</wp:posOffset>
                </wp:positionH>
                <wp:positionV relativeFrom="paragraph">
                  <wp:posOffset>711200</wp:posOffset>
                </wp:positionV>
                <wp:extent cx="743585" cy="295910"/>
                <wp:wrapNone/>
                <wp:docPr id="58" name="Shape 58"/>
                <a:graphic xmlns:a="http://schemas.openxmlformats.org/drawingml/2006/main">
                  <a:graphicData uri="http://schemas.microsoft.com/office/word/2010/wordprocessingShape">
                    <wps:wsp>
                      <wps:cNvSpPr txBox="1"/>
                      <wps:spPr>
                        <a:xfrm>
                          <a:ext cx="743585" cy="2959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现金收款</w:t>
                            </w:r>
                            <w:r>
                              <w:rPr>
                                <w:rFonts w:ascii="Arial" w:eastAsia="Arial" w:hAnsi="Arial" w:cs="Arial"/>
                                <w:color w:val="000000"/>
                                <w:spacing w:val="0"/>
                                <w:w w:val="100"/>
                                <w:position w:val="0"/>
                              </w:rPr>
                              <w:t>/</w:t>
                            </w:r>
                            <w:r>
                              <w:rPr>
                                <w:color w:val="000000"/>
                                <w:spacing w:val="0"/>
                                <w:w w:val="100"/>
                                <w:position w:val="0"/>
                              </w:rPr>
                              <w:t>背书</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第三方</w:t>
                            </w:r>
                          </w:p>
                        </w:txbxContent>
                      </wps:txbx>
                      <wps:bodyPr lIns="0" tIns="0" rIns="0" bIns="0">
                        <a:noAutoFit/>
                      </wps:bodyPr>
                    </wps:wsp>
                  </a:graphicData>
                </a:graphic>
              </wp:anchor>
            </w:drawing>
          </mc:Choice>
          <mc:Fallback>
            <w:pict>
              <v:shape id="_x0000_s1084" type="#_x0000_t202" style="position:absolute;margin-left:461.30000000000001pt;margin-top:56.pt;width:58.550000000000004pt;height:23.300000000000001pt;z-index:-188744041;mso-wrap-distance-left:0;mso-wrap-distance-right:0;mso-position-horizontal-relative:page" wrapcoords="0 0"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现金收款</w:t>
                      </w:r>
                      <w:r>
                        <w:rPr>
                          <w:rFonts w:ascii="Arial" w:eastAsia="Arial" w:hAnsi="Arial" w:cs="Arial"/>
                          <w:color w:val="000000"/>
                          <w:spacing w:val="0"/>
                          <w:w w:val="100"/>
                          <w:position w:val="0"/>
                        </w:rPr>
                        <w:t>/</w:t>
                      </w:r>
                      <w:r>
                        <w:rPr>
                          <w:color w:val="000000"/>
                          <w:spacing w:val="0"/>
                          <w:w w:val="100"/>
                          <w:position w:val="0"/>
                        </w:rPr>
                        <w:t>背书</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第三方</w:t>
                      </w:r>
                    </w:p>
                  </w:txbxContent>
                </v:textbox>
                <w10:wrap anchorx="page"/>
              </v:shape>
            </w:pict>
          </mc:Fallback>
        </mc:AlternateContent>
      </w:r>
    </w:p>
    <w:p>
      <w:pPr>
        <w:pStyle w:val="Style72"/>
        <w:keepNext w:val="0"/>
        <w:keepLines w:val="0"/>
        <w:widowControl w:val="0"/>
        <w:shd w:val="clear" w:color="auto" w:fill="auto"/>
        <w:tabs>
          <w:tab w:pos="709" w:val="left"/>
        </w:tabs>
        <w:bidi w:val="0"/>
        <w:spacing w:before="0" w:after="280" w:line="240" w:lineRule="auto"/>
        <w:ind w:left="0" w:right="0" w:firstLine="0"/>
        <w:jc w:val="both"/>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9" w:val="left"/>
        </w:tabs>
        <w:bidi w:val="0"/>
        <w:spacing w:before="0" w:after="280" w:line="240" w:lineRule="auto"/>
        <w:ind w:left="0" w:right="0" w:firstLine="0"/>
        <w:jc w:val="both"/>
      </w:pPr>
      <w:r>
        <w:rPr>
          <w:rFonts w:ascii="Arial" w:eastAsia="Arial" w:hAnsi="Arial" w:cs="Arial"/>
          <w:color w:val="000000"/>
          <w:spacing w:val="0"/>
          <w:w w:val="100"/>
          <w:position w:val="0"/>
          <w:sz w:val="24"/>
          <w:szCs w:val="24"/>
        </w:rPr>
        <w:t>(4)</w:t>
        <w:tab/>
      </w:r>
      <w:r>
        <w:rPr>
          <w:b/>
          <w:bCs/>
          <w:color w:val="000000"/>
          <w:spacing w:val="0"/>
          <w:w w:val="100"/>
          <w:position w:val="0"/>
          <w:sz w:val="24"/>
          <w:szCs w:val="24"/>
        </w:rPr>
        <w:t>应收账款</w:t>
      </w:r>
    </w:p>
    <w:p>
      <w:pPr>
        <w:pStyle w:val="Style92"/>
        <w:keepNext w:val="0"/>
        <w:keepLines w:val="0"/>
        <w:widowControl w:val="0"/>
        <w:shd w:val="clear" w:color="auto" w:fill="auto"/>
        <w:bidi w:val="0"/>
        <w:spacing w:before="0" w:after="280" w:line="240" w:lineRule="auto"/>
        <w:ind w:left="4020" w:right="0" w:firstLine="0"/>
        <w:jc w:val="both"/>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92"/>
        <w:keepNext w:val="0"/>
        <w:keepLines w:val="0"/>
        <w:widowControl w:val="0"/>
        <w:shd w:val="clear" w:color="auto" w:fill="auto"/>
        <w:tabs>
          <w:tab w:pos="5030" w:val="left"/>
          <w:tab w:pos="7530" w:val="lef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应收账款</w:t>
        <w:tab/>
      </w:r>
      <w:r>
        <w:rPr>
          <w:color w:val="000000"/>
          <w:spacing w:val="0"/>
          <w:w w:val="100"/>
          <w:position w:val="0"/>
          <w:sz w:val="24"/>
          <w:szCs w:val="24"/>
        </w:rPr>
        <w:t>8,273,522</w:t>
        <w:tab/>
        <w:t>8,369,678</w:t>
      </w:r>
    </w:p>
    <w:p>
      <w:pPr>
        <w:pStyle w:val="Style92"/>
        <w:keepNext w:val="0"/>
        <w:keepLines w:val="0"/>
        <w:widowControl w:val="0"/>
        <w:shd w:val="clear" w:color="auto" w:fill="auto"/>
        <w:tabs>
          <w:tab w:pos="3955" w:val="left"/>
          <w:tab w:pos="6462" w:val="lef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减：坏账准备</w:t>
        <w:tab/>
      </w:r>
      <w:r>
        <w:rPr>
          <w:color w:val="000000"/>
          <w:spacing w:val="0"/>
          <w:w w:val="100"/>
          <w:position w:val="0"/>
          <w:sz w:val="24"/>
          <w:szCs w:val="24"/>
          <w:u w:val="single"/>
        </w:rPr>
        <w:t>(2,806,809)</w:t>
      </w:r>
      <w:r>
        <w:rPr>
          <w:color w:val="000000"/>
          <w:spacing w:val="0"/>
          <w:w w:val="100"/>
          <w:position w:val="0"/>
          <w:sz w:val="24"/>
          <w:szCs w:val="24"/>
        </w:rPr>
        <w:tab/>
      </w:r>
      <w:r>
        <w:rPr>
          <w:color w:val="000000"/>
          <w:spacing w:val="0"/>
          <w:w w:val="100"/>
          <w:position w:val="0"/>
          <w:sz w:val="24"/>
          <w:szCs w:val="24"/>
          <w:u w:val="single"/>
        </w:rPr>
        <w:t>(673,229)</w:t>
      </w:r>
    </w:p>
    <w:p>
      <w:pPr>
        <w:pStyle w:val="Style92"/>
        <w:keepNext w:val="0"/>
        <w:keepLines w:val="0"/>
        <w:widowControl w:val="0"/>
        <w:shd w:val="clear" w:color="auto" w:fill="auto"/>
        <w:tabs>
          <w:tab w:pos="7530" w:val="left"/>
        </w:tabs>
        <w:bidi w:val="0"/>
        <w:spacing w:before="0" w:after="280" w:line="240" w:lineRule="auto"/>
        <w:ind w:left="5040" w:right="0" w:firstLine="0"/>
        <w:jc w:val="both"/>
      </w:pPr>
      <w:r>
        <w:rPr>
          <w:color w:val="000000"/>
          <w:spacing w:val="0"/>
          <w:w w:val="100"/>
          <w:position w:val="0"/>
          <w:sz w:val="24"/>
          <w:szCs w:val="24"/>
        </w:rPr>
        <w:t>5,466,713</w:t>
        <w:tab/>
        <w:t>7,696,449</w:t>
      </w:r>
    </w:p>
    <w:p>
      <w:pPr>
        <w:pStyle w:val="Style72"/>
        <w:keepNext w:val="0"/>
        <w:keepLines w:val="0"/>
        <w:widowControl w:val="0"/>
        <w:numPr>
          <w:ilvl w:val="0"/>
          <w:numId w:val="73"/>
        </w:numPr>
        <w:shd w:val="clear" w:color="auto" w:fill="auto"/>
        <w:tabs>
          <w:tab w:pos="709" w:val="left"/>
        </w:tabs>
        <w:bidi w:val="0"/>
        <w:spacing w:before="0" w:after="280" w:line="240" w:lineRule="auto"/>
        <w:ind w:left="0" w:right="0" w:firstLine="0"/>
        <w:jc w:val="left"/>
      </w:pPr>
      <w:bookmarkStart w:id="894" w:name="bookmark894"/>
      <w:bookmarkEnd w:id="894"/>
      <w:r>
        <w:rPr>
          <w:color w:val="000000"/>
          <w:spacing w:val="0"/>
          <w:w w:val="100"/>
          <w:position w:val="0"/>
          <w:sz w:val="24"/>
          <w:szCs w:val="24"/>
        </w:rPr>
        <w:t>应收账款账龄分析如下：</w:t>
      </w:r>
    </w:p>
    <w:p>
      <w:pPr>
        <w:pStyle w:val="Style92"/>
        <w:keepNext w:val="0"/>
        <w:keepLines w:val="0"/>
        <w:widowControl w:val="0"/>
        <w:shd w:val="clear" w:color="auto" w:fill="auto"/>
        <w:tabs>
          <w:tab w:pos="6462" w:val="left"/>
        </w:tabs>
        <w:bidi w:val="0"/>
        <w:spacing w:before="0" w:after="280" w:line="240" w:lineRule="auto"/>
        <w:ind w:left="4020" w:right="0" w:firstLine="0"/>
        <w:jc w:val="both"/>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92"/>
        <w:keepNext w:val="0"/>
        <w:keepLines w:val="0"/>
        <w:widowControl w:val="0"/>
        <w:shd w:val="clear" w:color="auto" w:fill="auto"/>
        <w:tabs>
          <w:tab w:pos="6110" w:val="right"/>
          <w:tab w:pos="8586" w:val="righ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一年以内</w:t>
        <w:tab/>
      </w:r>
      <w:r>
        <w:rPr>
          <w:color w:val="000000"/>
          <w:spacing w:val="0"/>
          <w:w w:val="100"/>
          <w:position w:val="0"/>
          <w:sz w:val="24"/>
          <w:szCs w:val="24"/>
        </w:rPr>
        <w:t>5,939,173</w:t>
        <w:tab/>
        <w:t>7,599,895</w:t>
      </w:r>
    </w:p>
    <w:p>
      <w:pPr>
        <w:pStyle w:val="Style92"/>
        <w:keepNext w:val="0"/>
        <w:keepLines w:val="0"/>
        <w:widowControl w:val="0"/>
        <w:shd w:val="clear" w:color="auto" w:fill="auto"/>
        <w:tabs>
          <w:tab w:pos="6110" w:val="right"/>
          <w:tab w:pos="8586" w:val="righ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一到二年</w:t>
        <w:tab/>
      </w:r>
      <w:r>
        <w:rPr>
          <w:color w:val="000000"/>
          <w:spacing w:val="0"/>
          <w:w w:val="100"/>
          <w:position w:val="0"/>
          <w:sz w:val="24"/>
          <w:szCs w:val="24"/>
        </w:rPr>
        <w:t>1,660,214</w:t>
        <w:tab/>
        <w:t>556,282</w:t>
      </w:r>
    </w:p>
    <w:p>
      <w:pPr>
        <w:pStyle w:val="Style92"/>
        <w:keepNext w:val="0"/>
        <w:keepLines w:val="0"/>
        <w:widowControl w:val="0"/>
        <w:shd w:val="clear" w:color="auto" w:fill="auto"/>
        <w:tabs>
          <w:tab w:pos="6110" w:val="right"/>
          <w:tab w:pos="8586" w:val="righ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二到三年</w:t>
        <w:tab/>
      </w:r>
      <w:r>
        <w:rPr>
          <w:color w:val="000000"/>
          <w:spacing w:val="0"/>
          <w:w w:val="100"/>
          <w:position w:val="0"/>
          <w:sz w:val="24"/>
          <w:szCs w:val="24"/>
        </w:rPr>
        <w:t>488,975</w:t>
        <w:tab/>
        <w:t>110,906</w:t>
      </w:r>
    </w:p>
    <w:p>
      <w:pPr>
        <w:pStyle w:val="Style92"/>
        <w:keepNext w:val="0"/>
        <w:keepLines w:val="0"/>
        <w:widowControl w:val="0"/>
        <w:shd w:val="clear" w:color="auto" w:fill="auto"/>
        <w:tabs>
          <w:tab w:pos="6110" w:val="right"/>
          <w:tab w:pos="8586" w:val="righ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三到四年</w:t>
        <w:tab/>
      </w:r>
      <w:r>
        <w:rPr>
          <w:color w:val="000000"/>
          <w:spacing w:val="0"/>
          <w:w w:val="100"/>
          <w:position w:val="0"/>
          <w:sz w:val="24"/>
          <w:szCs w:val="24"/>
        </w:rPr>
        <w:t>96,144</w:t>
        <w:tab/>
        <w:t>63,083</w:t>
      </w:r>
    </w:p>
    <w:p>
      <w:pPr>
        <w:pStyle w:val="Style92"/>
        <w:keepNext w:val="0"/>
        <w:keepLines w:val="0"/>
        <w:widowControl w:val="0"/>
        <w:shd w:val="clear" w:color="auto" w:fill="auto"/>
        <w:tabs>
          <w:tab w:pos="6110" w:val="right"/>
          <w:tab w:pos="8586" w:val="righ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四到五年</w:t>
        <w:tab/>
      </w:r>
      <w:r>
        <w:rPr>
          <w:color w:val="000000"/>
          <w:spacing w:val="0"/>
          <w:w w:val="100"/>
          <w:position w:val="0"/>
          <w:sz w:val="24"/>
          <w:szCs w:val="24"/>
        </w:rPr>
        <w:t>57,818</w:t>
        <w:tab/>
        <w:t>26,859</w:t>
      </w:r>
    </w:p>
    <w:p>
      <w:pPr>
        <w:pStyle w:val="Style92"/>
        <w:keepNext w:val="0"/>
        <w:keepLines w:val="0"/>
        <w:widowControl w:val="0"/>
        <w:shd w:val="clear" w:color="auto" w:fill="auto"/>
        <w:tabs>
          <w:tab w:pos="6110" w:val="right"/>
          <w:tab w:pos="8586" w:val="righ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五年以上</w:t>
        <w:tab/>
      </w:r>
      <w:r>
        <w:rPr>
          <w:color w:val="000000"/>
          <w:spacing w:val="0"/>
          <w:w w:val="100"/>
          <w:position w:val="0"/>
          <w:sz w:val="24"/>
          <w:szCs w:val="24"/>
          <w:u w:val="single"/>
        </w:rPr>
        <w:t>31,198</w:t>
      </w:r>
      <w:r>
        <w:rPr>
          <w:color w:val="000000"/>
          <w:spacing w:val="0"/>
          <w:w w:val="100"/>
          <w:position w:val="0"/>
          <w:sz w:val="24"/>
          <w:szCs w:val="24"/>
        </w:rPr>
        <w:tab/>
      </w:r>
      <w:r>
        <w:rPr>
          <w:color w:val="000000"/>
          <w:spacing w:val="0"/>
          <w:w w:val="100"/>
          <w:position w:val="0"/>
          <w:sz w:val="24"/>
          <w:szCs w:val="24"/>
          <w:u w:val="single"/>
        </w:rPr>
        <w:t>12,653</w:t>
      </w:r>
    </w:p>
    <w:p>
      <w:pPr>
        <w:pStyle w:val="Style92"/>
        <w:keepNext w:val="0"/>
        <w:keepLines w:val="0"/>
        <w:widowControl w:val="0"/>
        <w:shd w:val="clear" w:color="auto" w:fill="auto"/>
        <w:tabs>
          <w:tab w:pos="7530" w:val="left"/>
        </w:tabs>
        <w:bidi w:val="0"/>
        <w:spacing w:before="0" w:after="280" w:line="240" w:lineRule="auto"/>
        <w:ind w:left="5040" w:right="0" w:firstLine="0"/>
        <w:jc w:val="both"/>
      </w:pPr>
      <w:r>
        <w:rPr>
          <w:color w:val="000000"/>
          <w:spacing w:val="0"/>
          <w:w w:val="100"/>
          <w:position w:val="0"/>
          <w:sz w:val="24"/>
          <w:szCs w:val="24"/>
        </w:rPr>
        <w:t>8,273,522</w:t>
        <w:tab/>
        <w:t>8,369,678</w:t>
      </w:r>
    </w:p>
    <w:p>
      <w:pPr>
        <w:pStyle w:val="Style72"/>
        <w:keepNext w:val="0"/>
        <w:keepLines w:val="0"/>
        <w:widowControl w:val="0"/>
        <w:numPr>
          <w:ilvl w:val="0"/>
          <w:numId w:val="73"/>
        </w:numPr>
        <w:shd w:val="clear" w:color="auto" w:fill="auto"/>
        <w:tabs>
          <w:tab w:pos="709" w:val="left"/>
        </w:tabs>
        <w:bidi w:val="0"/>
        <w:spacing w:before="0" w:after="280" w:line="312" w:lineRule="exact"/>
        <w:ind w:right="0" w:hanging="720"/>
        <w:jc w:val="left"/>
      </w:pPr>
      <w:bookmarkStart w:id="895" w:name="bookmark895"/>
      <w:bookmarkEnd w:id="895"/>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日，按欠款方归集的余额前五名的应收账款汇总分析如 下：</w:t>
      </w:r>
    </w:p>
    <w:p>
      <w:pPr>
        <w:pStyle w:val="Style72"/>
        <w:keepNext w:val="0"/>
        <w:keepLines w:val="0"/>
        <w:widowControl w:val="0"/>
        <w:shd w:val="clear" w:color="auto" w:fill="auto"/>
        <w:bidi w:val="0"/>
        <w:spacing w:before="0" w:after="0" w:line="324" w:lineRule="exact"/>
        <w:ind w:left="0" w:right="0" w:firstLine="0"/>
        <w:jc w:val="right"/>
      </w:pPr>
      <w:r>
        <w:rPr>
          <w:color w:val="000000"/>
          <w:spacing w:val="0"/>
          <w:w w:val="100"/>
          <w:position w:val="0"/>
          <w:sz w:val="24"/>
          <w:szCs w:val="24"/>
        </w:rPr>
        <w:t>占应收账款</w:t>
      </w:r>
    </w:p>
    <w:p>
      <w:pPr>
        <w:pStyle w:val="Style72"/>
        <w:keepNext w:val="0"/>
        <w:keepLines w:val="0"/>
        <w:widowControl w:val="0"/>
        <w:shd w:val="clear" w:color="auto" w:fill="auto"/>
        <w:bidi w:val="0"/>
        <w:spacing w:before="0" w:after="460" w:line="324" w:lineRule="exact"/>
        <w:ind w:left="0" w:right="0" w:firstLine="0"/>
        <w:jc w:val="right"/>
      </w:pPr>
      <w:r>
        <w:rPr>
          <w:color w:val="000000"/>
          <w:spacing w:val="0"/>
          <w:w w:val="100"/>
          <w:position w:val="0"/>
          <w:sz w:val="24"/>
          <w:szCs w:val="24"/>
        </w:rPr>
        <w:t>余额坏账准备金额余额总额比例</w:t>
      </w:r>
    </w:p>
    <w:p>
      <w:pPr>
        <w:pStyle w:val="Style92"/>
        <w:keepNext w:val="0"/>
        <w:keepLines w:val="0"/>
        <w:widowControl w:val="0"/>
        <w:shd w:val="clear" w:color="auto" w:fill="auto"/>
        <w:tabs>
          <w:tab w:pos="4162" w:val="left"/>
          <w:tab w:pos="5962" w:val="left"/>
          <w:tab w:pos="7819" w:val="left"/>
        </w:tabs>
        <w:bidi w:val="0"/>
        <w:spacing w:before="0" w:after="280" w:line="324" w:lineRule="exact"/>
        <w:ind w:left="0" w:right="0" w:firstLine="720"/>
        <w:jc w:val="both"/>
      </w:pPr>
      <w:r>
        <w:rPr>
          <w:rFonts w:ascii="SimSun" w:eastAsia="SimSun" w:hAnsi="SimSun" w:cs="SimSun"/>
          <w:color w:val="000000"/>
          <w:spacing w:val="0"/>
          <w:w w:val="100"/>
          <w:position w:val="0"/>
          <w:sz w:val="24"/>
          <w:szCs w:val="24"/>
        </w:rPr>
        <w:t>余额前五名的应收账款总额</w:t>
        <w:tab/>
      </w:r>
      <w:r>
        <w:rPr>
          <w:color w:val="000000"/>
          <w:spacing w:val="0"/>
          <w:w w:val="100"/>
          <w:position w:val="0"/>
          <w:sz w:val="24"/>
          <w:szCs w:val="24"/>
          <w:u w:val="single"/>
        </w:rPr>
        <w:t>1,151,956</w:t>
        <w:tab/>
        <w:t>(145,108)</w:t>
        <w:tab/>
        <w:t>13.80%</w:t>
      </w:r>
    </w:p>
    <w:p>
      <w:pPr>
        <w:pStyle w:val="Style72"/>
        <w:keepNext w:val="0"/>
        <w:keepLines w:val="0"/>
        <w:widowControl w:val="0"/>
        <w:numPr>
          <w:ilvl w:val="0"/>
          <w:numId w:val="73"/>
        </w:numPr>
        <w:shd w:val="clear" w:color="auto" w:fill="auto"/>
        <w:tabs>
          <w:tab w:pos="709" w:val="left"/>
        </w:tabs>
        <w:bidi w:val="0"/>
        <w:spacing w:before="0" w:after="280" w:line="336" w:lineRule="exact"/>
        <w:ind w:right="0" w:hanging="720"/>
        <w:jc w:val="both"/>
        <w:sectPr>
          <w:footnotePr>
            <w:pos w:val="pageBottom"/>
            <w:numFmt w:val="decimal"/>
            <w:numStart w:val="1"/>
            <w:numRestart w:val="continuous"/>
            <w15:footnoteColumns w:val="1"/>
          </w:footnotePr>
          <w:pgSz w:w="11900" w:h="16840"/>
          <w:pgMar w:top="2410" w:right="1324" w:bottom="4642" w:left="1681" w:header="0" w:footer="3" w:gutter="0"/>
          <w:cols w:space="720"/>
          <w:noEndnote/>
          <w:rtlGutter w:val="0"/>
          <w:docGrid w:linePitch="360"/>
        </w:sectPr>
      </w:pPr>
      <w:bookmarkStart w:id="896" w:name="bookmark896"/>
      <w:bookmarkEnd w:id="896"/>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年度，本集团不存在因金融资产转移而终止确认的应收账款</w:t>
      </w:r>
      <w:r>
        <w:rPr>
          <w:rFonts w:ascii="Arial" w:eastAsia="Arial" w:hAnsi="Arial" w:cs="Arial"/>
          <w:color w:val="000000"/>
          <w:spacing w:val="0"/>
          <w:w w:val="100"/>
          <w:position w:val="0"/>
          <w:sz w:val="24"/>
          <w:szCs w:val="24"/>
        </w:rPr>
        <w:t>(2020</w:t>
      </w:r>
      <w:r>
        <w:rPr>
          <w:color w:val="000000"/>
          <w:spacing w:val="0"/>
          <w:w w:val="100"/>
          <w:position w:val="0"/>
          <w:sz w:val="24"/>
          <w:szCs w:val="24"/>
        </w:rPr>
        <w:t>年 度：无</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tabs>
          <w:tab w:pos="691" w:val="left"/>
        </w:tabs>
        <w:bidi w:val="0"/>
        <w:spacing w:before="0" w:after="300" w:line="240" w:lineRule="auto"/>
        <w:ind w:left="0" w:right="0" w:firstLine="0"/>
        <w:jc w:val="both"/>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1" w:val="left"/>
        </w:tabs>
        <w:bidi w:val="0"/>
        <w:spacing w:before="0" w:after="240" w:line="276" w:lineRule="auto"/>
        <w:ind w:left="0" w:right="0" w:firstLine="0"/>
        <w:jc w:val="both"/>
        <w:rPr>
          <w:sz w:val="28"/>
          <w:szCs w:val="28"/>
        </w:rPr>
      </w:pPr>
      <w:r>
        <w:rPr>
          <w:color w:val="000000"/>
          <w:spacing w:val="0"/>
          <w:w w:val="100"/>
          <w:position w:val="0"/>
          <w:sz w:val="24"/>
          <w:szCs w:val="24"/>
        </w:rPr>
        <w:t>（4）</w:t>
        <w:tab/>
      </w:r>
      <w:r>
        <w:rPr>
          <w:rFonts w:ascii="SimSun" w:eastAsia="SimSun" w:hAnsi="SimSun" w:cs="SimSun"/>
          <w:b/>
          <w:bCs/>
          <w:color w:val="000000"/>
          <w:spacing w:val="0"/>
          <w:w w:val="100"/>
          <w:position w:val="0"/>
          <w:sz w:val="24"/>
          <w:szCs w:val="24"/>
        </w:rPr>
        <w:t>应收账款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91" w:val="left"/>
        </w:tabs>
        <w:bidi w:val="0"/>
        <w:spacing w:before="0" w:after="240" w:line="276" w:lineRule="auto"/>
        <w:ind w:left="0" w:right="0" w:firstLine="0"/>
        <w:jc w:val="both"/>
      </w:pPr>
      <w:bookmarkStart w:id="897" w:name="bookmark897"/>
      <w:r>
        <w:rPr>
          <w:rFonts w:ascii="Arial" w:eastAsia="Arial" w:hAnsi="Arial" w:cs="Arial"/>
          <w:color w:val="000000"/>
          <w:spacing w:val="0"/>
          <w:w w:val="100"/>
          <w:position w:val="0"/>
          <w:sz w:val="24"/>
          <w:szCs w:val="24"/>
        </w:rPr>
        <w:t>（</w:t>
      </w:r>
      <w:bookmarkEnd w:id="897"/>
      <w:r>
        <w:rPr>
          <w:rFonts w:ascii="Arial" w:eastAsia="Arial" w:hAnsi="Arial" w:cs="Arial"/>
          <w:color w:val="000000"/>
          <w:spacing w:val="0"/>
          <w:w w:val="100"/>
          <w:position w:val="0"/>
          <w:sz w:val="24"/>
          <w:szCs w:val="24"/>
        </w:rPr>
        <w:t>d）</w:t>
        <w:tab/>
      </w:r>
      <w:r>
        <w:rPr>
          <w:color w:val="000000"/>
          <w:spacing w:val="0"/>
          <w:w w:val="100"/>
          <w:position w:val="0"/>
          <w:sz w:val="24"/>
          <w:szCs w:val="24"/>
        </w:rPr>
        <w:t>坏账准备</w:t>
      </w:r>
    </w:p>
    <w:p>
      <w:pPr>
        <w:pStyle w:val="Style72"/>
        <w:keepNext w:val="0"/>
        <w:keepLines w:val="0"/>
        <w:widowControl w:val="0"/>
        <w:shd w:val="clear" w:color="auto" w:fill="auto"/>
        <w:bidi w:val="0"/>
        <w:spacing w:before="0" w:after="240" w:line="317" w:lineRule="exact"/>
        <w:ind w:left="700" w:right="0" w:firstLine="20"/>
        <w:jc w:val="both"/>
      </w:pPr>
      <w:r>
        <w:rPr>
          <w:color w:val="000000"/>
          <w:spacing w:val="0"/>
          <w:w w:val="100"/>
          <w:position w:val="0"/>
          <w:sz w:val="24"/>
          <w:szCs w:val="24"/>
        </w:rPr>
        <w:t>本集团对于应收账款，无论是否存在重大融资成分，均按照整个存续期的预 期信用损失计量损失准备。</w:t>
      </w:r>
    </w:p>
    <w:p>
      <w:pPr>
        <w:pStyle w:val="Style72"/>
        <w:keepNext w:val="0"/>
        <w:keepLines w:val="0"/>
        <w:widowControl w:val="0"/>
        <w:shd w:val="clear" w:color="auto" w:fill="auto"/>
        <w:bidi w:val="0"/>
        <w:spacing w:before="0" w:after="240" w:line="314"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日，应收</w:t>
      </w:r>
      <w:r>
        <w:rPr>
          <w:rFonts w:ascii="Arial" w:eastAsia="Arial" w:hAnsi="Arial" w:cs="Arial"/>
          <w:color w:val="000000"/>
          <w:spacing w:val="0"/>
          <w:w w:val="100"/>
          <w:position w:val="0"/>
          <w:sz w:val="24"/>
          <w:szCs w:val="24"/>
        </w:rPr>
        <w:t>C</w:t>
      </w:r>
      <w:r>
        <w:rPr>
          <w:color w:val="000000"/>
          <w:spacing w:val="0"/>
          <w:w w:val="100"/>
          <w:position w:val="0"/>
          <w:sz w:val="24"/>
          <w:szCs w:val="24"/>
        </w:rPr>
        <w:t>类公司加盟费约人民币</w:t>
      </w:r>
      <w:r>
        <w:rPr>
          <w:rFonts w:ascii="Arial" w:eastAsia="Arial" w:hAnsi="Arial" w:cs="Arial"/>
          <w:color w:val="000000"/>
          <w:spacing w:val="0"/>
          <w:w w:val="100"/>
          <w:position w:val="0"/>
          <w:sz w:val="24"/>
          <w:szCs w:val="24"/>
        </w:rPr>
        <w:t>1.09</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 xml:space="preserve">12 </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1.52</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，加盟商长期经营困难，该等应收款项逾期已 久且经多次追讨仍无法收回，因此单独全额计提坏账准备。应收</w:t>
      </w:r>
      <w:r>
        <w:rPr>
          <w:rFonts w:ascii="Arial" w:eastAsia="Arial" w:hAnsi="Arial" w:cs="Arial"/>
          <w:color w:val="000000"/>
          <w:spacing w:val="0"/>
          <w:w w:val="100"/>
          <w:position w:val="0"/>
          <w:sz w:val="24"/>
          <w:szCs w:val="24"/>
        </w:rPr>
        <w:t>D</w:t>
      </w:r>
      <w:r>
        <w:rPr>
          <w:color w:val="000000"/>
          <w:spacing w:val="0"/>
          <w:w w:val="100"/>
          <w:position w:val="0"/>
          <w:sz w:val="24"/>
          <w:szCs w:val="24"/>
        </w:rPr>
        <w:t>公司约人 民币</w:t>
      </w:r>
      <w:r>
        <w:rPr>
          <w:rFonts w:ascii="Arial" w:eastAsia="Arial" w:hAnsi="Arial" w:cs="Arial"/>
          <w:color w:val="000000"/>
          <w:spacing w:val="0"/>
          <w:w w:val="100"/>
          <w:position w:val="0"/>
          <w:sz w:val="24"/>
          <w:szCs w:val="24"/>
        </w:rPr>
        <w:t>1.77</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1.77</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，因</w:t>
      </w:r>
      <w:r>
        <w:rPr>
          <w:rFonts w:ascii="Arial" w:eastAsia="Arial" w:hAnsi="Arial" w:cs="Arial"/>
          <w:color w:val="000000"/>
          <w:spacing w:val="0"/>
          <w:w w:val="100"/>
          <w:position w:val="0"/>
          <w:sz w:val="24"/>
          <w:szCs w:val="24"/>
        </w:rPr>
        <w:t>D</w:t>
      </w:r>
      <w:r>
        <w:rPr>
          <w:color w:val="000000"/>
          <w:spacing w:val="0"/>
          <w:w w:val="100"/>
          <w:position w:val="0"/>
          <w:sz w:val="24"/>
          <w:szCs w:val="24"/>
        </w:rPr>
        <w:t>公司已停止 运营，本集团认为该应收账款难以收回，因此单独全额计提坏账准备。</w:t>
      </w:r>
    </w:p>
    <w:p>
      <w:pPr>
        <w:pStyle w:val="Style72"/>
        <w:keepNext w:val="0"/>
        <w:keepLines w:val="0"/>
        <w:widowControl w:val="0"/>
        <w:shd w:val="clear" w:color="auto" w:fill="auto"/>
        <w:bidi w:val="0"/>
        <w:spacing w:before="0" w:after="240" w:line="314"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日，原计入组合中的应收</w:t>
      </w:r>
      <w:r>
        <w:rPr>
          <w:rFonts w:ascii="Arial" w:eastAsia="Arial" w:hAnsi="Arial" w:cs="Arial"/>
          <w:color w:val="000000"/>
          <w:spacing w:val="0"/>
          <w:w w:val="100"/>
          <w:position w:val="0"/>
          <w:sz w:val="24"/>
          <w:szCs w:val="24"/>
        </w:rPr>
        <w:t>A</w:t>
      </w:r>
      <w:r>
        <w:rPr>
          <w:color w:val="000000"/>
          <w:spacing w:val="0"/>
          <w:w w:val="100"/>
          <w:position w:val="0"/>
          <w:sz w:val="24"/>
          <w:szCs w:val="24"/>
        </w:rPr>
        <w:t>类公司及其控股股东控制的 子公司、</w:t>
      </w:r>
      <w:r>
        <w:rPr>
          <w:rFonts w:ascii="Arial" w:eastAsia="Arial" w:hAnsi="Arial" w:cs="Arial"/>
          <w:color w:val="000000"/>
          <w:spacing w:val="0"/>
          <w:w w:val="100"/>
          <w:position w:val="0"/>
          <w:sz w:val="24"/>
          <w:szCs w:val="24"/>
        </w:rPr>
        <w:t>B</w:t>
      </w:r>
      <w:r>
        <w:rPr>
          <w:color w:val="000000"/>
          <w:spacing w:val="0"/>
          <w:w w:val="100"/>
          <w:position w:val="0"/>
          <w:sz w:val="24"/>
          <w:szCs w:val="24"/>
        </w:rPr>
        <w:t>类公司及其控股股东控制的子公司、</w:t>
      </w:r>
      <w:r>
        <w:rPr>
          <w:rFonts w:ascii="Arial" w:eastAsia="Arial" w:hAnsi="Arial" w:cs="Arial"/>
          <w:color w:val="000000"/>
          <w:spacing w:val="0"/>
          <w:w w:val="100"/>
          <w:position w:val="0"/>
          <w:sz w:val="24"/>
          <w:szCs w:val="24"/>
        </w:rPr>
        <w:t>E</w:t>
      </w:r>
      <w:r>
        <w:rPr>
          <w:color w:val="000000"/>
          <w:spacing w:val="0"/>
          <w:w w:val="100"/>
          <w:position w:val="0"/>
          <w:sz w:val="24"/>
          <w:szCs w:val="24"/>
        </w:rPr>
        <w:t>类公司及其控股股东控制的 子公司、</w:t>
      </w:r>
      <w:r>
        <w:rPr>
          <w:rFonts w:ascii="Arial" w:eastAsia="Arial" w:hAnsi="Arial" w:cs="Arial"/>
          <w:color w:val="000000"/>
          <w:spacing w:val="0"/>
          <w:w w:val="100"/>
          <w:position w:val="0"/>
          <w:sz w:val="24"/>
          <w:szCs w:val="24"/>
        </w:rPr>
        <w:t>F</w:t>
      </w:r>
      <w:r>
        <w:rPr>
          <w:color w:val="000000"/>
          <w:spacing w:val="0"/>
          <w:w w:val="100"/>
          <w:position w:val="0"/>
          <w:sz w:val="24"/>
          <w:szCs w:val="24"/>
        </w:rPr>
        <w:t>类公司及其控股股东控制的子公司、</w:t>
      </w:r>
      <w:r>
        <w:rPr>
          <w:rFonts w:ascii="Arial" w:eastAsia="Arial" w:hAnsi="Arial" w:cs="Arial"/>
          <w:color w:val="000000"/>
          <w:spacing w:val="0"/>
          <w:w w:val="100"/>
          <w:position w:val="0"/>
          <w:sz w:val="24"/>
          <w:szCs w:val="24"/>
        </w:rPr>
        <w:t>G</w:t>
      </w:r>
      <w:r>
        <w:rPr>
          <w:color w:val="000000"/>
          <w:spacing w:val="0"/>
          <w:w w:val="100"/>
          <w:position w:val="0"/>
          <w:sz w:val="24"/>
          <w:szCs w:val="24"/>
        </w:rPr>
        <w:t>公司及</w:t>
      </w:r>
      <w:r>
        <w:rPr>
          <w:rFonts w:ascii="Arial" w:eastAsia="Arial" w:hAnsi="Arial" w:cs="Arial"/>
          <w:color w:val="000000"/>
          <w:spacing w:val="0"/>
          <w:w w:val="100"/>
          <w:position w:val="0"/>
          <w:sz w:val="24"/>
          <w:szCs w:val="24"/>
        </w:rPr>
        <w:t>H</w:t>
      </w:r>
      <w:r>
        <w:rPr>
          <w:color w:val="000000"/>
          <w:spacing w:val="0"/>
          <w:w w:val="100"/>
          <w:position w:val="0"/>
          <w:sz w:val="24"/>
          <w:szCs w:val="24"/>
        </w:rPr>
        <w:t>公司款项共约人 民币</w:t>
      </w:r>
      <w:r>
        <w:rPr>
          <w:rFonts w:ascii="Arial" w:eastAsia="Arial" w:hAnsi="Arial" w:cs="Arial"/>
          <w:color w:val="000000"/>
          <w:spacing w:val="0"/>
          <w:w w:val="100"/>
          <w:position w:val="0"/>
          <w:sz w:val="24"/>
          <w:szCs w:val="24"/>
        </w:rPr>
        <w:t>44.45</w:t>
      </w:r>
      <w:r>
        <w:rPr>
          <w:color w:val="000000"/>
          <w:spacing w:val="0"/>
          <w:w w:val="100"/>
          <w:position w:val="0"/>
          <w:sz w:val="24"/>
          <w:szCs w:val="24"/>
        </w:rPr>
        <w:t>亿元，由该些公司发生重大财务困难，信用风险已显著增加，因 此本集团针对该些款项评估了不同场景下预计可能回收的现金流量，并根据 其与合同应收的现金流量之间差额的现值，计提坏账准备约人民币</w:t>
      </w:r>
      <w:r>
        <w:rPr>
          <w:rFonts w:ascii="Arial" w:eastAsia="Arial" w:hAnsi="Arial" w:cs="Arial"/>
          <w:color w:val="000000"/>
          <w:spacing w:val="0"/>
          <w:w w:val="100"/>
          <w:position w:val="0"/>
          <w:sz w:val="24"/>
          <w:szCs w:val="24"/>
        </w:rPr>
        <w:t>23.03</w:t>
      </w:r>
      <w:r>
        <w:rPr>
          <w:color w:val="000000"/>
          <w:spacing w:val="0"/>
          <w:w w:val="100"/>
          <w:position w:val="0"/>
          <w:sz w:val="24"/>
          <w:szCs w:val="24"/>
        </w:rPr>
        <w:t>亿 元。</w:t>
      </w:r>
    </w:p>
    <w:p>
      <w:pPr>
        <w:pStyle w:val="Style72"/>
        <w:keepNext w:val="0"/>
        <w:keepLines w:val="0"/>
        <w:widowControl w:val="0"/>
        <w:shd w:val="clear" w:color="auto" w:fill="auto"/>
        <w:tabs>
          <w:tab w:pos="691" w:val="left"/>
        </w:tabs>
        <w:bidi w:val="0"/>
        <w:spacing w:before="0" w:after="240" w:line="314" w:lineRule="exact"/>
        <w:ind w:left="0" w:right="0" w:firstLine="0"/>
        <w:jc w:val="left"/>
      </w:pPr>
      <w:r>
        <w:rPr>
          <w:color w:val="000000"/>
          <w:spacing w:val="0"/>
          <w:w w:val="100"/>
          <w:position w:val="0"/>
          <w:sz w:val="24"/>
          <w:szCs w:val="24"/>
        </w:rPr>
        <w:t>⑴</w:t>
        <w:tab/>
        <w:t>组合计提坏账准备的应收账款分析如下：</w:t>
      </w:r>
    </w:p>
    <w:p>
      <w:pPr>
        <w:pStyle w:val="Style72"/>
        <w:keepNext w:val="0"/>
        <w:keepLines w:val="0"/>
        <w:widowControl w:val="0"/>
        <w:shd w:val="clear" w:color="auto" w:fill="auto"/>
        <w:bidi w:val="0"/>
        <w:spacing w:before="0" w:after="300" w:line="314" w:lineRule="exact"/>
        <w:ind w:left="0" w:right="0" w:firstLine="700"/>
        <w:jc w:val="both"/>
      </w:pPr>
      <w:r>
        <w:rPr>
          <w:color w:val="000000"/>
          <w:spacing w:val="0"/>
          <w:w w:val="100"/>
          <w:position w:val="0"/>
          <w:sz w:val="24"/>
          <w:szCs w:val="24"/>
        </w:rPr>
        <w:t>组合</w:t>
      </w:r>
      <w:r>
        <w:rPr>
          <w:color w:val="000000"/>
          <w:spacing w:val="0"/>
          <w:w w:val="100"/>
          <w:position w:val="0"/>
          <w:sz w:val="28"/>
          <w:szCs w:val="28"/>
        </w:rPr>
        <w:t>一</w:t>
      </w:r>
      <w:r>
        <w:rPr>
          <w:color w:val="000000"/>
          <w:spacing w:val="0"/>
          <w:w w:val="100"/>
          <w:position w:val="0"/>
          <w:sz w:val="24"/>
          <w:szCs w:val="24"/>
        </w:rPr>
        <w:t>按账龄分类的客户</w:t>
      </w:r>
    </w:p>
    <w:tbl>
      <w:tblPr>
        <w:tblOverlap w:val="never"/>
        <w:jc w:val="right"/>
        <w:tblLayout w:type="fixed"/>
      </w:tblPr>
      <w:tblGrid>
        <w:gridCol w:w="1219"/>
        <w:gridCol w:w="1392"/>
        <w:gridCol w:w="1253"/>
        <w:gridCol w:w="984"/>
        <w:gridCol w:w="1051"/>
        <w:gridCol w:w="1253"/>
        <w:gridCol w:w="917"/>
      </w:tblGrid>
      <w:tr>
        <w:trPr>
          <w:trHeight w:val="235"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245"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坏账准备</w:t>
            </w:r>
          </w:p>
        </w:tc>
      </w:tr>
      <w:tr>
        <w:trPr>
          <w:trHeight w:val="821" w:hRule="exact"/>
        </w:trPr>
        <w:tc>
          <w:tcPr>
            <w:vMerge/>
            <w:tcBorders/>
            <w:shd w:val="clear" w:color="auto" w:fill="FFFFFF"/>
            <w:vAlign w:val="top"/>
          </w:tcPr>
          <w:p>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SimSun" w:eastAsia="SimSun" w:hAnsi="SimSun" w:cs="SimSun"/>
                <w:color w:val="000000"/>
                <w:spacing w:val="0"/>
                <w:w w:val="100"/>
                <w:position w:val="0"/>
                <w:sz w:val="18"/>
                <w:szCs w:val="18"/>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整个存续期</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预期信用损</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失率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金额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整个存续期</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预期信用损</w:t>
            </w:r>
          </w:p>
          <w:p>
            <w:pPr>
              <w:pStyle w:val="Style29"/>
              <w:keepNext w:val="0"/>
              <w:keepLines w:val="0"/>
              <w:widowControl w:val="0"/>
              <w:shd w:val="clear" w:color="auto" w:fill="auto"/>
              <w:bidi w:val="0"/>
              <w:spacing w:before="0" w:after="0" w:line="240" w:lineRule="auto"/>
              <w:ind w:left="0" w:right="240" w:firstLine="0"/>
              <w:jc w:val="right"/>
              <w:rPr>
                <w:sz w:val="18"/>
                <w:szCs w:val="18"/>
              </w:rPr>
            </w:pPr>
            <w:r>
              <w:rPr>
                <w:rFonts w:ascii="SimSun" w:eastAsia="SimSun" w:hAnsi="SimSun" w:cs="SimSun"/>
                <w:color w:val="000000"/>
                <w:spacing w:val="0"/>
                <w:w w:val="100"/>
                <w:position w:val="0"/>
                <w:sz w:val="18"/>
                <w:szCs w:val="18"/>
              </w:rPr>
              <w:t>失率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金额</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3,106,474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(65,133)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7,347,800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color w:val="000000"/>
                <w:spacing w:val="0"/>
                <w:w w:val="100"/>
                <w:position w:val="0"/>
                <w:sz w:val="18"/>
                <w:szCs w:val="18"/>
              </w:rPr>
              <w:t>2.40%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(176,603)</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一到二年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273,575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16.50%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(45,134)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534,449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13.84%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(73,956)</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二到三年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78,007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40.23%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(31,382)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94,291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37.50%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(35,362)</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三到四年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35,385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76.72%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(27,149)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38,957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85.03%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(33,127)</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30,925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(30,925)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14,274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(14,274)</w:t>
            </w: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17,597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(17,597)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11,248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(11,248)</w:t>
            </w:r>
          </w:p>
        </w:tc>
      </w:tr>
      <w:tr>
        <w:trPr>
          <w:trHeight w:val="25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3,541,963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(217,320)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8,041,019</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(344,570)</w:t>
            </w:r>
          </w:p>
        </w:tc>
      </w:tr>
    </w:tbl>
    <w:p>
      <w:pPr>
        <w:widowControl w:val="0"/>
        <w:spacing w:after="239" w:line="1" w:lineRule="exact"/>
      </w:pPr>
    </w:p>
    <w:p>
      <w:pPr>
        <w:pStyle w:val="Style72"/>
        <w:keepNext w:val="0"/>
        <w:keepLines w:val="0"/>
        <w:widowControl w:val="0"/>
        <w:shd w:val="clear" w:color="auto" w:fill="auto"/>
        <w:bidi w:val="0"/>
        <w:spacing w:before="0" w:after="240" w:line="317" w:lineRule="exact"/>
        <w:ind w:left="700" w:right="0" w:firstLine="20"/>
        <w:jc w:val="both"/>
      </w:pPr>
      <w:r>
        <w:rPr>
          <w:color w:val="000000"/>
          <w:spacing w:val="0"/>
          <w:w w:val="100"/>
          <w:position w:val="0"/>
          <w:sz w:val="24"/>
          <w:szCs w:val="24"/>
        </w:rPr>
        <w:t>新冠肺炎疫情的持续影响下，本集团组合的应收账款出现回收进度减缓及逾 期加剧的情况，应收账款的预期信用损失率相应上升。</w:t>
      </w:r>
    </w:p>
    <w:p>
      <w:pPr>
        <w:pStyle w:val="Style72"/>
        <w:keepNext w:val="0"/>
        <w:keepLines w:val="0"/>
        <w:widowControl w:val="0"/>
        <w:shd w:val="clear" w:color="auto" w:fill="auto"/>
        <w:tabs>
          <w:tab w:pos="3485" w:val="right"/>
        </w:tabs>
        <w:bidi w:val="0"/>
        <w:spacing w:before="0" w:after="280" w:line="240" w:lineRule="auto"/>
        <w:ind w:left="0" w:right="0" w:firstLine="0"/>
        <w:jc w:val="both"/>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numPr>
          <w:ilvl w:val="0"/>
          <w:numId w:val="75"/>
        </w:numPr>
        <w:shd w:val="clear" w:color="auto" w:fill="auto"/>
        <w:tabs>
          <w:tab w:pos="712" w:val="left"/>
        </w:tabs>
        <w:bidi w:val="0"/>
        <w:spacing w:before="0" w:after="280" w:line="266" w:lineRule="auto"/>
        <w:ind w:left="0" w:right="0" w:firstLine="0"/>
        <w:jc w:val="both"/>
        <w:rPr>
          <w:sz w:val="28"/>
          <w:szCs w:val="28"/>
        </w:rPr>
      </w:pPr>
      <w:bookmarkStart w:id="898" w:name="bookmark898"/>
      <w:bookmarkEnd w:id="898"/>
      <w:r>
        <w:rPr>
          <w:rFonts w:ascii="SimSun" w:eastAsia="SimSun" w:hAnsi="SimSun" w:cs="SimSun"/>
          <w:b/>
          <w:bCs/>
          <w:color w:val="000000"/>
          <w:spacing w:val="0"/>
          <w:w w:val="100"/>
          <w:position w:val="0"/>
          <w:sz w:val="24"/>
          <w:szCs w:val="24"/>
        </w:rPr>
        <w:t>应收账款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numPr>
          <w:ilvl w:val="0"/>
          <w:numId w:val="73"/>
        </w:numPr>
        <w:shd w:val="clear" w:color="auto" w:fill="auto"/>
        <w:tabs>
          <w:tab w:pos="2054" w:val="right"/>
        </w:tabs>
        <w:bidi w:val="0"/>
        <w:spacing w:before="0" w:after="280" w:line="266" w:lineRule="auto"/>
        <w:ind w:left="0" w:right="0" w:firstLine="0"/>
        <w:jc w:val="both"/>
        <w:rPr>
          <w:sz w:val="28"/>
          <w:szCs w:val="28"/>
        </w:rPr>
      </w:pPr>
      <w:bookmarkStart w:id="899" w:name="bookmark899"/>
      <w:bookmarkEnd w:id="899"/>
      <w:r>
        <w:rPr>
          <w:rFonts w:ascii="SimSun" w:eastAsia="SimSun" w:hAnsi="SimSun" w:cs="SimSun"/>
          <w:color w:val="000000"/>
          <w:spacing w:val="0"/>
          <w:w w:val="100"/>
          <w:position w:val="0"/>
          <w:sz w:val="24"/>
          <w:szCs w:val="24"/>
        </w:rPr>
        <w:t>坏账准备</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numPr>
          <w:ilvl w:val="0"/>
          <w:numId w:val="77"/>
        </w:numPr>
        <w:shd w:val="clear" w:color="auto" w:fill="auto"/>
        <w:tabs>
          <w:tab w:pos="712" w:val="left"/>
        </w:tabs>
        <w:bidi w:val="0"/>
        <w:spacing w:before="0" w:after="280" w:line="307" w:lineRule="exact"/>
        <w:ind w:left="700" w:right="0" w:hanging="700"/>
        <w:jc w:val="both"/>
      </w:pPr>
      <w:bookmarkStart w:id="900" w:name="bookmark900"/>
      <w:bookmarkEnd w:id="900"/>
      <w:r>
        <w:rPr>
          <w:color w:val="000000"/>
          <w:spacing w:val="0"/>
          <w:w w:val="100"/>
          <w:position w:val="0"/>
          <w:sz w:val="24"/>
          <w:szCs w:val="24"/>
        </w:rPr>
        <w:t>本年度计提的坏账准备金额约人民币</w:t>
      </w:r>
      <w:r>
        <w:rPr>
          <w:rFonts w:ascii="Arial" w:eastAsia="Arial" w:hAnsi="Arial" w:cs="Arial"/>
          <w:color w:val="000000"/>
          <w:spacing w:val="0"/>
          <w:w w:val="100"/>
          <w:position w:val="0"/>
          <w:sz w:val="24"/>
          <w:szCs w:val="24"/>
        </w:rPr>
        <w:t>23.03</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年：约人民币</w:t>
      </w:r>
      <w:r>
        <w:rPr>
          <w:rFonts w:ascii="Arial" w:eastAsia="Arial" w:hAnsi="Arial" w:cs="Arial"/>
          <w:color w:val="000000"/>
          <w:spacing w:val="0"/>
          <w:w w:val="100"/>
          <w:position w:val="0"/>
          <w:sz w:val="24"/>
          <w:szCs w:val="24"/>
        </w:rPr>
        <w:t>3.16</w:t>
      </w:r>
      <w:r>
        <w:rPr>
          <w:color w:val="000000"/>
          <w:spacing w:val="0"/>
          <w:w w:val="100"/>
          <w:position w:val="0"/>
          <w:sz w:val="24"/>
          <w:szCs w:val="24"/>
        </w:rPr>
        <w:t>亿 元</w:t>
      </w:r>
      <w:r>
        <w:rPr>
          <w:rFonts w:ascii="Arial" w:eastAsia="Arial" w:hAnsi="Arial" w:cs="Arial"/>
          <w:color w:val="000000"/>
          <w:spacing w:val="0"/>
          <w:w w:val="100"/>
          <w:position w:val="0"/>
          <w:sz w:val="24"/>
          <w:szCs w:val="24"/>
        </w:rPr>
        <w:t>)</w:t>
      </w:r>
      <w:r>
        <w:rPr>
          <w:color w:val="000000"/>
          <w:spacing w:val="0"/>
          <w:w w:val="100"/>
          <w:position w:val="0"/>
          <w:sz w:val="24"/>
          <w:szCs w:val="24"/>
        </w:rPr>
        <w:t>，本年收回或转回的坏账准备金额约人民币</w:t>
      </w:r>
      <w:r>
        <w:rPr>
          <w:rFonts w:ascii="Arial" w:eastAsia="Arial" w:hAnsi="Arial" w:cs="Arial"/>
          <w:color w:val="000000"/>
          <w:spacing w:val="0"/>
          <w:w w:val="100"/>
          <w:position w:val="0"/>
          <w:sz w:val="24"/>
          <w:szCs w:val="24"/>
        </w:rPr>
        <w:t>1.57</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 xml:space="preserve">年：约人民币 </w:t>
      </w:r>
      <w:r>
        <w:rPr>
          <w:rFonts w:ascii="Arial" w:eastAsia="Arial" w:hAnsi="Arial" w:cs="Arial"/>
          <w:color w:val="000000"/>
          <w:spacing w:val="0"/>
          <w:w w:val="100"/>
          <w:position w:val="0"/>
          <w:sz w:val="24"/>
          <w:szCs w:val="24"/>
        </w:rPr>
        <w:t xml:space="preserve">1,154 </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numPr>
          <w:ilvl w:val="0"/>
          <w:numId w:val="77"/>
        </w:numPr>
        <w:shd w:val="clear" w:color="auto" w:fill="auto"/>
        <w:tabs>
          <w:tab w:pos="712" w:val="left"/>
        </w:tabs>
        <w:bidi w:val="0"/>
        <w:spacing w:before="0" w:after="280" w:line="302" w:lineRule="exact"/>
        <w:ind w:left="700" w:right="0" w:hanging="700"/>
        <w:jc w:val="both"/>
      </w:pPr>
      <w:bookmarkStart w:id="901" w:name="bookmark901"/>
      <w:bookmarkEnd w:id="901"/>
      <w:r>
        <w:rPr>
          <w:color w:val="000000"/>
          <w:spacing w:val="0"/>
          <w:w w:val="100"/>
          <w:position w:val="0"/>
          <w:sz w:val="24"/>
          <w:szCs w:val="24"/>
        </w:rPr>
        <w:t>本年度实际核销的应收账款账面余额约人民币</w:t>
      </w:r>
      <w:r>
        <w:rPr>
          <w:rFonts w:ascii="Arial" w:eastAsia="Arial" w:hAnsi="Arial" w:cs="Arial"/>
          <w:color w:val="000000"/>
          <w:spacing w:val="0"/>
          <w:w w:val="100"/>
          <w:position w:val="0"/>
          <w:sz w:val="24"/>
          <w:szCs w:val="24"/>
        </w:rPr>
        <w:t>1,178</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 xml:space="preserve">年：约人民币 </w:t>
      </w:r>
      <w:r>
        <w:rPr>
          <w:rFonts w:ascii="Arial" w:eastAsia="Arial" w:hAnsi="Arial" w:cs="Arial"/>
          <w:color w:val="000000"/>
          <w:spacing w:val="0"/>
          <w:w w:val="100"/>
          <w:position w:val="0"/>
          <w:sz w:val="24"/>
          <w:szCs w:val="24"/>
        </w:rPr>
        <w:t>1,327</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，本年度无重大的应收账款核销。</w:t>
      </w:r>
    </w:p>
    <w:p>
      <w:pPr>
        <w:pStyle w:val="Style72"/>
        <w:keepNext w:val="0"/>
        <w:keepLines w:val="0"/>
        <w:widowControl w:val="0"/>
        <w:numPr>
          <w:ilvl w:val="0"/>
          <w:numId w:val="75"/>
        </w:numPr>
        <w:shd w:val="clear" w:color="auto" w:fill="auto"/>
        <w:tabs>
          <w:tab w:pos="712" w:val="left"/>
        </w:tabs>
        <w:bidi w:val="0"/>
        <w:spacing w:before="0" w:after="280" w:line="240" w:lineRule="auto"/>
        <w:ind w:left="0" w:right="0" w:firstLine="0"/>
        <w:jc w:val="both"/>
      </w:pPr>
      <w:bookmarkStart w:id="902" w:name="bookmark902"/>
      <w:bookmarkEnd w:id="902"/>
      <w:r>
        <w:rPr>
          <w:b/>
          <w:bCs/>
          <w:color w:val="000000"/>
          <w:spacing w:val="0"/>
          <w:w w:val="100"/>
          <w:position w:val="0"/>
          <w:sz w:val="24"/>
          <w:szCs w:val="24"/>
        </w:rPr>
        <w:t>预付款项</w:t>
      </w:r>
    </w:p>
    <w:p>
      <w:pPr>
        <w:pStyle w:val="Style72"/>
        <w:keepNext w:val="0"/>
        <w:keepLines w:val="0"/>
        <w:widowControl w:val="0"/>
        <w:numPr>
          <w:ilvl w:val="0"/>
          <w:numId w:val="79"/>
        </w:numPr>
        <w:shd w:val="clear" w:color="auto" w:fill="auto"/>
        <w:tabs>
          <w:tab w:pos="712" w:val="left"/>
        </w:tabs>
        <w:bidi w:val="0"/>
        <w:spacing w:before="0" w:after="280" w:line="266" w:lineRule="auto"/>
        <w:ind w:left="0" w:right="0" w:firstLine="0"/>
        <w:jc w:val="both"/>
      </w:pPr>
      <w:bookmarkStart w:id="903" w:name="bookmark903"/>
      <w:bookmarkEnd w:id="903"/>
      <w:r>
        <w:rPr>
          <w:color w:val="000000"/>
          <w:spacing w:val="0"/>
          <w:w w:val="100"/>
          <w:position w:val="0"/>
          <w:sz w:val="24"/>
          <w:szCs w:val="24"/>
        </w:rPr>
        <w:t>预付款项账龄分析如下：</w:t>
      </w:r>
    </w:p>
    <w:p>
      <w:pPr>
        <w:pStyle w:val="Style26"/>
        <w:keepNext w:val="0"/>
        <w:keepLines w:val="0"/>
        <w:widowControl w:val="0"/>
        <w:shd w:val="clear" w:color="auto" w:fill="auto"/>
        <w:tabs>
          <w:tab w:pos="3058" w:val="left"/>
        </w:tabs>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tab/>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r>
    </w:p>
    <w:tbl>
      <w:tblPr>
        <w:tblOverlap w:val="never"/>
        <w:jc w:val="right"/>
        <w:tblLayout w:type="fixed"/>
      </w:tblPr>
      <w:tblGrid>
        <w:gridCol w:w="1781"/>
        <w:gridCol w:w="1771"/>
        <w:gridCol w:w="1469"/>
        <w:gridCol w:w="1565"/>
        <w:gridCol w:w="1421"/>
      </w:tblGrid>
      <w:tr>
        <w:trPr>
          <w:trHeight w:val="47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rPr>
                <w:sz w:val="24"/>
                <w:szCs w:val="24"/>
              </w:rPr>
            </w:pPr>
            <w:r>
              <w:rPr>
                <w:rFonts w:ascii="SimSun" w:eastAsia="SimSun" w:hAnsi="SimSun" w:cs="SimSun"/>
                <w:color w:val="000000"/>
                <w:spacing w:val="0"/>
                <w:w w:val="100"/>
                <w:position w:val="0"/>
                <w:sz w:val="24"/>
                <w:szCs w:val="24"/>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占总额比例</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SimSun" w:eastAsia="SimSun" w:hAnsi="SimSun" w:cs="SimSun"/>
                <w:color w:val="000000"/>
                <w:spacing w:val="0"/>
                <w:w w:val="100"/>
                <w:position w:val="0"/>
                <w:sz w:val="24"/>
                <w:szCs w:val="24"/>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占总额比例</w:t>
            </w:r>
          </w:p>
        </w:tc>
      </w:tr>
      <w:tr>
        <w:trPr>
          <w:trHeight w:val="46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20,650,302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98.80%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Fonts w:ascii="Arial" w:eastAsia="Arial" w:hAnsi="Arial" w:cs="Arial"/>
                <w:color w:val="000000"/>
                <w:spacing w:val="0"/>
                <w:w w:val="100"/>
                <w:position w:val="0"/>
                <w:sz w:val="24"/>
                <w:szCs w:val="24"/>
              </w:rPr>
              <w:t>24,324,798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98.14%</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一到二年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Arial" w:eastAsia="Arial" w:hAnsi="Arial" w:cs="Arial"/>
                <w:color w:val="000000"/>
                <w:spacing w:val="0"/>
                <w:w w:val="100"/>
                <w:position w:val="0"/>
                <w:sz w:val="24"/>
                <w:szCs w:val="24"/>
              </w:rPr>
              <w:t>114,597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24"/>
                <w:szCs w:val="24"/>
              </w:rPr>
            </w:pPr>
            <w:r>
              <w:rPr>
                <w:rFonts w:ascii="Arial" w:eastAsia="Arial" w:hAnsi="Arial" w:cs="Arial"/>
                <w:color w:val="000000"/>
                <w:spacing w:val="0"/>
                <w:w w:val="100"/>
                <w:position w:val="0"/>
                <w:sz w:val="24"/>
                <w:szCs w:val="24"/>
              </w:rPr>
              <w:t>0.55%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rPr>
              <w:t>461,926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1.86%</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二年以上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Arial" w:eastAsia="Arial" w:hAnsi="Arial" w:cs="Arial"/>
                <w:color w:val="000000"/>
                <w:spacing w:val="0"/>
                <w:w w:val="100"/>
                <w:position w:val="0"/>
                <w:sz w:val="24"/>
                <w:szCs w:val="24"/>
              </w:rPr>
              <w:t>137,106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4"/>
                <w:szCs w:val="24"/>
              </w:rPr>
            </w:pPr>
            <w:r>
              <w:rPr>
                <w:rFonts w:ascii="Arial" w:eastAsia="Arial" w:hAnsi="Arial" w:cs="Arial"/>
                <w:color w:val="000000"/>
                <w:spacing w:val="0"/>
                <w:w w:val="100"/>
                <w:position w:val="0"/>
                <w:sz w:val="24"/>
                <w:szCs w:val="24"/>
              </w:rPr>
              <w:t>0.65%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43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20,902,005</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100.00%</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Fonts w:ascii="Arial" w:eastAsia="Arial" w:hAnsi="Arial" w:cs="Arial"/>
                <w:color w:val="000000"/>
                <w:spacing w:val="0"/>
                <w:w w:val="100"/>
                <w:position w:val="0"/>
                <w:sz w:val="24"/>
                <w:szCs w:val="24"/>
              </w:rPr>
              <w:t>24,786,724</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100.00%</w:t>
            </w:r>
          </w:p>
        </w:tc>
      </w:tr>
      <w:tr>
        <w:trPr>
          <w:trHeight w:val="44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减：减值准备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(519,109)</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20,382,896</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Fonts w:ascii="Arial" w:eastAsia="Arial" w:hAnsi="Arial" w:cs="Arial"/>
                <w:color w:val="000000"/>
                <w:spacing w:val="0"/>
                <w:w w:val="100"/>
                <w:position w:val="0"/>
                <w:sz w:val="24"/>
                <w:szCs w:val="24"/>
              </w:rPr>
              <w:t>24,786,724</w:t>
            </w:r>
          </w:p>
        </w:tc>
        <w:tc>
          <w:tcPr>
            <w:tcBorders/>
            <w:shd w:val="clear" w:color="auto" w:fill="FFFFFF"/>
            <w:vAlign w:val="top"/>
          </w:tcPr>
          <w:p>
            <w:pPr>
              <w:widowControl w:val="0"/>
              <w:rPr>
                <w:sz w:val="10"/>
                <w:szCs w:val="10"/>
              </w:rPr>
            </w:pPr>
          </w:p>
        </w:tc>
      </w:tr>
    </w:tbl>
    <w:p>
      <w:pPr>
        <w:widowControl w:val="0"/>
        <w:spacing w:after="279" w:line="1" w:lineRule="exact"/>
      </w:pPr>
    </w:p>
    <w:p>
      <w:pPr>
        <w:pStyle w:val="Style72"/>
        <w:keepNext w:val="0"/>
        <w:keepLines w:val="0"/>
        <w:widowControl w:val="0"/>
        <w:numPr>
          <w:ilvl w:val="0"/>
          <w:numId w:val="79"/>
        </w:numPr>
        <w:shd w:val="clear" w:color="auto" w:fill="auto"/>
        <w:tabs>
          <w:tab w:pos="712" w:val="left"/>
        </w:tabs>
        <w:bidi w:val="0"/>
        <w:spacing w:before="0" w:after="40" w:line="240" w:lineRule="auto"/>
        <w:ind w:left="0" w:right="0" w:firstLine="0"/>
        <w:jc w:val="both"/>
      </w:pPr>
      <w:bookmarkStart w:id="904" w:name="bookmark904"/>
      <w:bookmarkEnd w:id="904"/>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日，按欠款方归集的余额前五名的预付款项汇总分析如</w:t>
      </w:r>
    </w:p>
    <w:p>
      <w:pPr>
        <w:pStyle w:val="Style72"/>
        <w:keepNext w:val="0"/>
        <w:keepLines w:val="0"/>
        <w:widowControl w:val="0"/>
        <w:shd w:val="clear" w:color="auto" w:fill="auto"/>
        <w:bidi w:val="0"/>
        <w:spacing w:before="0" w:after="360" w:line="240" w:lineRule="auto"/>
        <w:ind w:left="0" w:right="0" w:firstLine="700"/>
        <w:jc w:val="both"/>
      </w:pPr>
      <w:r>
        <w:rPr>
          <w:color w:val="000000"/>
          <w:spacing w:val="0"/>
          <w:w w:val="100"/>
          <w:position w:val="0"/>
          <w:sz w:val="24"/>
          <w:szCs w:val="24"/>
        </w:rPr>
        <w:t>下：</w:t>
      </w:r>
    </w:p>
    <w:p>
      <w:pPr>
        <w:pStyle w:val="Style72"/>
        <w:keepNext w:val="0"/>
        <w:keepLines w:val="0"/>
        <w:widowControl w:val="0"/>
        <w:shd w:val="clear" w:color="auto" w:fill="auto"/>
        <w:bidi w:val="0"/>
        <w:spacing w:before="0" w:after="280" w:line="240" w:lineRule="auto"/>
        <w:ind w:left="0" w:right="140" w:firstLine="0"/>
        <w:jc w:val="right"/>
      </w:pPr>
      <w:r>
        <w:rPr>
          <w:color w:val="000000"/>
          <w:spacing w:val="0"/>
          <w:w w:val="100"/>
          <w:position w:val="0"/>
          <w:sz w:val="24"/>
          <w:szCs w:val="24"/>
        </w:rPr>
        <w:t>金额占预付账款总额比例</w:t>
      </w:r>
    </w:p>
    <w:p>
      <w:pPr>
        <w:pStyle w:val="Style92"/>
        <w:keepNext w:val="0"/>
        <w:keepLines w:val="0"/>
        <w:widowControl w:val="0"/>
        <w:shd w:val="clear" w:color="auto" w:fill="auto"/>
        <w:bidi w:val="0"/>
        <w:spacing w:before="0" w:after="280" w:line="240" w:lineRule="auto"/>
        <w:ind w:left="0" w:right="0" w:firstLine="700"/>
        <w:jc w:val="both"/>
      </w:pPr>
      <w:r>
        <w:rPr>
          <w:rFonts w:ascii="SimSun" w:eastAsia="SimSun" w:hAnsi="SimSun" w:cs="SimSun"/>
          <w:color w:val="000000"/>
          <w:spacing w:val="0"/>
          <w:w w:val="100"/>
          <w:position w:val="0"/>
          <w:sz w:val="24"/>
          <w:szCs w:val="24"/>
        </w:rPr>
        <w:t xml:space="preserve">余额前五名的预付款项总额 </w:t>
      </w:r>
      <w:r>
        <w:rPr>
          <w:color w:val="000000"/>
          <w:spacing w:val="0"/>
          <w:w w:val="100"/>
          <w:position w:val="0"/>
          <w:sz w:val="24"/>
          <w:szCs w:val="24"/>
          <w:u w:val="single"/>
        </w:rPr>
        <w:t>5,261,668</w:t>
      </w:r>
      <w:r>
        <w:rPr>
          <w:color w:val="000000"/>
          <w:spacing w:val="0"/>
          <w:w w:val="100"/>
          <w:position w:val="0"/>
          <w:sz w:val="24"/>
          <w:szCs w:val="24"/>
        </w:rPr>
        <w:t xml:space="preserve"> </w:t>
      </w:r>
      <w:r>
        <w:rPr>
          <w:color w:val="000000"/>
          <w:spacing w:val="0"/>
          <w:w w:val="100"/>
          <w:position w:val="0"/>
          <w:sz w:val="24"/>
          <w:szCs w:val="24"/>
          <w:u w:val="single"/>
        </w:rPr>
        <w:t>25.17%</w:t>
      </w:r>
      <w:r>
        <w:br w:type="page"/>
      </w:r>
    </w:p>
    <w:p>
      <w:pPr>
        <w:pStyle w:val="Style72"/>
        <w:keepNext w:val="0"/>
        <w:keepLines w:val="0"/>
        <w:widowControl w:val="0"/>
        <w:shd w:val="clear" w:color="auto" w:fill="auto"/>
        <w:tabs>
          <w:tab w:pos="696"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6"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(6)</w:t>
        <w:tab/>
      </w:r>
      <w:r>
        <w:rPr>
          <w:b/>
          <w:bCs/>
          <w:color w:val="000000"/>
          <w:spacing w:val="0"/>
          <w:w w:val="100"/>
          <w:position w:val="0"/>
          <w:sz w:val="24"/>
          <w:szCs w:val="24"/>
        </w:rPr>
        <w:t>其他应收款</w:t>
      </w:r>
    </w:p>
    <w:p>
      <w:pPr>
        <w:pStyle w:val="Style92"/>
        <w:keepNext w:val="0"/>
        <w:keepLines w:val="0"/>
        <w:widowControl w:val="0"/>
        <w:shd w:val="clear" w:color="auto" w:fill="auto"/>
        <w:bidi w:val="0"/>
        <w:spacing w:before="0" w:after="300" w:line="240" w:lineRule="auto"/>
        <w:ind w:left="0" w:right="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bl>
      <w:tblPr>
        <w:tblOverlap w:val="never"/>
        <w:jc w:val="center"/>
        <w:tblLayout w:type="fixed"/>
      </w:tblPr>
      <w:tblGrid>
        <w:gridCol w:w="3893"/>
        <w:gridCol w:w="2309"/>
        <w:gridCol w:w="1867"/>
      </w:tblGrid>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应收股权转让款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Arial" w:eastAsia="Arial" w:hAnsi="Arial" w:cs="Arial"/>
                <w:color w:val="000000"/>
                <w:spacing w:val="0"/>
                <w:w w:val="100"/>
                <w:position w:val="0"/>
                <w:sz w:val="24"/>
                <w:szCs w:val="24"/>
              </w:rPr>
              <w:t>676,090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101,784</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应收股利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Arial" w:eastAsia="Arial" w:hAnsi="Arial" w:cs="Arial"/>
                <w:color w:val="000000"/>
                <w:spacing w:val="0"/>
                <w:w w:val="100"/>
                <w:position w:val="0"/>
                <w:sz w:val="24"/>
                <w:szCs w:val="24"/>
              </w:rPr>
              <w:t>181,835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1,512</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加盟商往来款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Arial" w:eastAsia="Arial" w:hAnsi="Arial" w:cs="Arial"/>
                <w:color w:val="000000"/>
                <w:spacing w:val="0"/>
                <w:w w:val="100"/>
                <w:position w:val="0"/>
                <w:sz w:val="24"/>
                <w:szCs w:val="24"/>
              </w:rPr>
              <w:t>137,318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196,770</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押金及保证金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Arial" w:eastAsia="Arial" w:hAnsi="Arial" w:cs="Arial"/>
                <w:color w:val="000000"/>
                <w:spacing w:val="0"/>
                <w:w w:val="100"/>
                <w:position w:val="0"/>
                <w:sz w:val="24"/>
                <w:szCs w:val="24"/>
              </w:rPr>
              <w:t>123,810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206,653</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应收房产处置款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Arial" w:eastAsia="Arial" w:hAnsi="Arial" w:cs="Arial"/>
                <w:color w:val="000000"/>
                <w:spacing w:val="0"/>
                <w:w w:val="100"/>
                <w:position w:val="0"/>
                <w:sz w:val="24"/>
                <w:szCs w:val="24"/>
              </w:rPr>
              <w:t>110,000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员工借款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69,763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33,532</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应收代垫水电费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49,081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54,524</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应收信息服务费返还</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24"/>
                <w:szCs w:val="24"/>
              </w:rPr>
            </w:pPr>
            <w:r>
              <w:rPr>
                <w:rFonts w:ascii="Arial" w:eastAsia="Arial" w:hAnsi="Arial" w:cs="Arial"/>
                <w:color w:val="000000"/>
                <w:spacing w:val="0"/>
                <w:w w:val="100"/>
                <w:position w:val="0"/>
                <w:sz w:val="24"/>
                <w:szCs w:val="24"/>
              </w:rPr>
              <w:t>8,274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402,428</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有还款担保的第三方资金往来款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24"/>
                <w:szCs w:val="24"/>
              </w:rPr>
            </w:pPr>
            <w:r>
              <w:rPr>
                <w:rFonts w:ascii="Arial" w:eastAsia="Arial" w:hAnsi="Arial" w:cs="Arial"/>
                <w:color w:val="000000"/>
                <w:spacing w:val="0"/>
                <w:w w:val="100"/>
                <w:position w:val="0"/>
                <w:sz w:val="24"/>
                <w:szCs w:val="24"/>
              </w:rPr>
              <w:t>7,575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7,575</w:t>
            </w:r>
          </w:p>
        </w:tc>
      </w:tr>
      <w:tr>
        <w:trPr>
          <w:trHeight w:val="33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应收理财产品处置款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72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125,658</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Arial" w:eastAsia="Arial" w:hAnsi="Arial" w:cs="Arial"/>
                <w:color w:val="000000"/>
                <w:spacing w:val="0"/>
                <w:w w:val="100"/>
                <w:position w:val="0"/>
                <w:sz w:val="24"/>
                <w:szCs w:val="24"/>
              </w:rPr>
              <w:t>725,841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319,569</w:t>
            </w: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rPr>
              <w:t>2,089,587</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1,450,005</w:t>
            </w:r>
          </w:p>
        </w:tc>
      </w:tr>
      <w:tr>
        <w:trPr>
          <w:trHeight w:val="44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减：坏账准备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(643,127)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(208,142)</w:t>
            </w:r>
          </w:p>
        </w:tc>
      </w:tr>
      <w:tr>
        <w:trPr>
          <w:trHeight w:val="32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tabs>
                <w:tab w:pos="1882" w:val="left"/>
              </w:tabs>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u w:val="single"/>
              </w:rPr>
              <w:t>1,446,460</w:t>
            </w:r>
            <w:r>
              <w:rPr>
                <w:rFonts w:ascii="Arial" w:eastAsia="Arial" w:hAnsi="Arial" w:cs="Arial"/>
                <w:color w:val="000000"/>
                <w:spacing w:val="0"/>
                <w:w w:val="100"/>
                <w:position w:val="0"/>
                <w:sz w:val="24"/>
                <w:szCs w:val="24"/>
              </w:rPr>
              <w:tab/>
              <w:t>_</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1,241,863</w:t>
            </w:r>
          </w:p>
        </w:tc>
      </w:tr>
    </w:tbl>
    <w:p>
      <w:pPr>
        <w:pStyle w:val="Style26"/>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 xml:space="preserve">(a) </w:t>
      </w:r>
      <w:r>
        <w:rPr>
          <w:color w:val="000000"/>
          <w:spacing w:val="0"/>
          <w:w w:val="100"/>
          <w:position w:val="0"/>
          <w:sz w:val="24"/>
          <w:szCs w:val="24"/>
        </w:rPr>
        <w:t>其他应收款账龄分析如下:</w:t>
      </w:r>
    </w:p>
    <w:p>
      <w:pPr>
        <w:widowControl w:val="0"/>
        <w:spacing w:after="299" w:line="1" w:lineRule="exact"/>
      </w:pPr>
    </w:p>
    <w:tbl>
      <w:tblPr>
        <w:tblOverlap w:val="never"/>
        <w:jc w:val="right"/>
        <w:tblLayout w:type="fixed"/>
      </w:tblPr>
      <w:tblGrid>
        <w:gridCol w:w="2184"/>
        <w:gridCol w:w="3470"/>
        <w:gridCol w:w="2333"/>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1,594,946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1,107,249</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一到二年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282,454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125,849</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二到三年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76,110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129,236</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三年以上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136,077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87,671</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2,089,587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1,450,005</w:t>
            </w:r>
          </w:p>
        </w:tc>
      </w:tr>
    </w:tbl>
    <w:p>
      <w:pPr>
        <w:sectPr>
          <w:footnotePr>
            <w:pos w:val="pageBottom"/>
            <w:numFmt w:val="decimal"/>
            <w:numStart w:val="1"/>
            <w:numRestart w:val="continuous"/>
            <w15:footnoteColumns w:val="1"/>
          </w:footnotePr>
          <w:pgSz w:w="11900" w:h="16840"/>
          <w:pgMar w:top="2338" w:right="1407" w:bottom="2448" w:left="1709" w:header="0" w:footer="3" w:gutter="0"/>
          <w:cols w:space="720"/>
          <w:noEndnote/>
          <w:rtlGutter w:val="0"/>
          <w:docGrid w:linePitch="360"/>
        </w:sectPr>
      </w:pPr>
    </w:p>
    <w:p>
      <w:pPr>
        <w:pStyle w:val="Style72"/>
        <w:keepNext w:val="0"/>
        <w:keepLines w:val="0"/>
        <w:widowControl w:val="0"/>
        <w:shd w:val="clear" w:color="auto" w:fill="auto"/>
        <w:tabs>
          <w:tab w:pos="767"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67" w:val="left"/>
        </w:tabs>
        <w:bidi w:val="0"/>
        <w:spacing w:before="0" w:after="300" w:line="240" w:lineRule="auto"/>
        <w:ind w:left="0" w:right="0" w:firstLine="0"/>
        <w:jc w:val="left"/>
        <w:rPr>
          <w:sz w:val="28"/>
          <w:szCs w:val="28"/>
        </w:rPr>
      </w:pPr>
      <w:r>
        <w:rPr>
          <w:rFonts w:ascii="Arial" w:eastAsia="Arial" w:hAnsi="Arial" w:cs="Arial"/>
          <w:color w:val="000000"/>
          <w:spacing w:val="0"/>
          <w:w w:val="100"/>
          <w:position w:val="0"/>
          <w:sz w:val="24"/>
          <w:szCs w:val="24"/>
        </w:rPr>
        <w:t>（6）</w:t>
        <w:tab/>
      </w:r>
      <w:r>
        <w:rPr>
          <w:b/>
          <w:bCs/>
          <w:color w:val="000000"/>
          <w:spacing w:val="0"/>
          <w:w w:val="100"/>
          <w:position w:val="0"/>
          <w:sz w:val="24"/>
          <w:szCs w:val="24"/>
        </w:rPr>
        <w:t>其他应收款</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67" w:val="left"/>
        </w:tabs>
        <w:bidi w:val="0"/>
        <w:spacing w:before="0" w:after="360" w:line="240" w:lineRule="auto"/>
        <w:ind w:left="0" w:right="0" w:firstLine="0"/>
        <w:jc w:val="left"/>
      </w:pPr>
      <w:bookmarkStart w:id="905" w:name="bookmark905"/>
      <w:r>
        <w:rPr>
          <w:rFonts w:ascii="Arial" w:eastAsia="Arial" w:hAnsi="Arial" w:cs="Arial"/>
          <w:color w:val="000000"/>
          <w:spacing w:val="0"/>
          <w:w w:val="100"/>
          <w:position w:val="0"/>
          <w:sz w:val="24"/>
          <w:szCs w:val="24"/>
        </w:rPr>
        <w:t>（</w:t>
      </w:r>
      <w:bookmarkEnd w:id="905"/>
      <w:r>
        <w:rPr>
          <w:rFonts w:ascii="Arial" w:eastAsia="Arial" w:hAnsi="Arial" w:cs="Arial"/>
          <w:color w:val="000000"/>
          <w:spacing w:val="0"/>
          <w:w w:val="100"/>
          <w:position w:val="0"/>
          <w:sz w:val="24"/>
          <w:szCs w:val="24"/>
        </w:rPr>
        <w:t>b）</w:t>
        <w:tab/>
      </w:r>
      <w:r>
        <w:rPr>
          <w:color w:val="000000"/>
          <w:spacing w:val="0"/>
          <w:w w:val="100"/>
          <w:position w:val="0"/>
          <w:sz w:val="24"/>
          <w:szCs w:val="24"/>
        </w:rPr>
        <w:t>损失准备及其账面余额变动表:</w:t>
      </w:r>
    </w:p>
    <w:p>
      <w:pPr>
        <w:pStyle w:val="Style26"/>
        <w:keepNext w:val="0"/>
        <w:keepLines w:val="0"/>
        <w:widowControl w:val="0"/>
        <w:shd w:val="clear" w:color="auto" w:fill="auto"/>
        <w:tabs>
          <w:tab w:pos="6038" w:val="left"/>
          <w:tab w:pos="9888" w:val="left"/>
        </w:tabs>
        <w:bidi w:val="0"/>
        <w:spacing w:before="0" w:after="0" w:line="240" w:lineRule="auto"/>
        <w:ind w:left="2558" w:right="0" w:firstLine="0"/>
        <w:jc w:val="left"/>
        <w:rPr>
          <w:sz w:val="11"/>
          <w:szCs w:val="11"/>
        </w:rPr>
      </w:pPr>
      <w:r>
        <w:rPr>
          <w:color w:val="000000"/>
          <w:spacing w:val="0"/>
          <w:w w:val="100"/>
          <w:position w:val="0"/>
          <w:sz w:val="11"/>
          <w:szCs w:val="11"/>
        </w:rPr>
        <w:t>第一阶段</w:t>
        <w:tab/>
        <w:t>第二阶段</w:t>
        <w:tab/>
        <w:t>第三阶段</w:t>
      </w:r>
    </w:p>
    <w:tbl>
      <w:tblPr>
        <w:tblOverlap w:val="never"/>
        <w:jc w:val="center"/>
        <w:tblLayout w:type="fixed"/>
      </w:tblPr>
      <w:tblGrid>
        <w:gridCol w:w="1142"/>
        <w:gridCol w:w="730"/>
        <w:gridCol w:w="605"/>
        <w:gridCol w:w="701"/>
        <w:gridCol w:w="619"/>
        <w:gridCol w:w="662"/>
        <w:gridCol w:w="787"/>
        <w:gridCol w:w="653"/>
        <w:gridCol w:w="739"/>
        <w:gridCol w:w="787"/>
        <w:gridCol w:w="739"/>
        <w:gridCol w:w="965"/>
        <w:gridCol w:w="734"/>
        <w:gridCol w:w="893"/>
        <w:gridCol w:w="773"/>
        <w:gridCol w:w="811"/>
        <w:gridCol w:w="643"/>
      </w:tblGrid>
      <w:tr>
        <w:trPr>
          <w:trHeight w:val="326" w:hRule="exact"/>
        </w:trPr>
        <w:tc>
          <w:tcPr>
            <w:vMerge w:val="restart"/>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168" w:lineRule="exact"/>
              <w:ind w:left="0" w:right="0" w:firstLine="0"/>
              <w:jc w:val="center"/>
              <w:rPr>
                <w:sz w:val="14"/>
                <w:szCs w:val="14"/>
              </w:rPr>
            </w:pPr>
            <w:r>
              <w:rPr>
                <w:rFonts w:ascii="SimSun" w:eastAsia="SimSun" w:hAnsi="SimSun" w:cs="SimSun"/>
                <w:color w:val="000000"/>
                <w:spacing w:val="0"/>
                <w:w w:val="100"/>
                <w:position w:val="0"/>
                <w:sz w:val="11"/>
                <w:szCs w:val="11"/>
              </w:rPr>
              <w:t>未来</w:t>
            </w:r>
            <w:r>
              <w:rPr>
                <w:rFonts w:ascii="Arial" w:eastAsia="Arial" w:hAnsi="Arial" w:cs="Arial"/>
                <w:color w:val="000000"/>
                <w:spacing w:val="0"/>
                <w:w w:val="100"/>
                <w:position w:val="0"/>
                <w:sz w:val="12"/>
                <w:szCs w:val="12"/>
              </w:rPr>
              <w:t>12</w:t>
            </w:r>
            <w:r>
              <w:rPr>
                <w:rFonts w:ascii="SimSun" w:eastAsia="SimSun" w:hAnsi="SimSun" w:cs="SimSun"/>
                <w:color w:val="000000"/>
                <w:spacing w:val="0"/>
                <w:w w:val="100"/>
                <w:position w:val="0"/>
                <w:sz w:val="11"/>
                <w:szCs w:val="11"/>
              </w:rPr>
              <w:t>个月内预期信 用损失</w:t>
            </w:r>
            <w:r>
              <w:rPr>
                <w:rFonts w:ascii="Arial" w:eastAsia="Arial" w:hAnsi="Arial" w:cs="Arial"/>
                <w:color w:val="000000"/>
                <w:spacing w:val="0"/>
                <w:w w:val="100"/>
                <w:position w:val="0"/>
                <w:sz w:val="12"/>
                <w:szCs w:val="12"/>
              </w:rPr>
              <w:t>（</w:t>
            </w:r>
            <w:r>
              <w:rPr>
                <w:rFonts w:ascii="SimSun" w:eastAsia="SimSun" w:hAnsi="SimSun" w:cs="SimSun"/>
                <w:color w:val="000000"/>
                <w:spacing w:val="0"/>
                <w:w w:val="100"/>
                <w:position w:val="0"/>
                <w:sz w:val="11"/>
                <w:szCs w:val="11"/>
              </w:rPr>
              <w:t>组合</w:t>
            </w:r>
            <w:r>
              <w:rPr>
                <w:rFonts w:ascii="SimSun" w:eastAsia="SimSun" w:hAnsi="SimSun" w:cs="SimSun"/>
                <w:color w:val="000000"/>
                <w:spacing w:val="0"/>
                <w:w w:val="100"/>
                <w:position w:val="0"/>
                <w:sz w:val="14"/>
                <w:szCs w:val="14"/>
              </w:rPr>
              <w:t>）</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144" w:lineRule="exact"/>
              <w:ind w:left="0" w:right="0" w:firstLine="0"/>
              <w:jc w:val="center"/>
              <w:rPr>
                <w:sz w:val="14"/>
                <w:szCs w:val="14"/>
              </w:rPr>
            </w:pPr>
            <w:r>
              <w:rPr>
                <w:rFonts w:ascii="SimSun" w:eastAsia="SimSun" w:hAnsi="SimSun" w:cs="SimSun"/>
                <w:color w:val="000000"/>
                <w:spacing w:val="0"/>
                <w:w w:val="100"/>
                <w:position w:val="0"/>
                <w:sz w:val="11"/>
                <w:szCs w:val="11"/>
              </w:rPr>
              <w:t>未来</w:t>
            </w:r>
            <w:r>
              <w:rPr>
                <w:rFonts w:ascii="Arial" w:eastAsia="Arial" w:hAnsi="Arial" w:cs="Arial"/>
                <w:color w:val="000000"/>
                <w:spacing w:val="0"/>
                <w:w w:val="100"/>
                <w:position w:val="0"/>
                <w:sz w:val="12"/>
                <w:szCs w:val="12"/>
              </w:rPr>
              <w:t>12</w:t>
            </w:r>
            <w:r>
              <w:rPr>
                <w:rFonts w:ascii="SimSun" w:eastAsia="SimSun" w:hAnsi="SimSun" w:cs="SimSun"/>
                <w:color w:val="000000"/>
                <w:spacing w:val="0"/>
                <w:w w:val="100"/>
                <w:position w:val="0"/>
                <w:sz w:val="11"/>
                <w:szCs w:val="11"/>
              </w:rPr>
              <w:t>个月内预期信 用损失</w:t>
            </w:r>
            <w:r>
              <w:rPr>
                <w:rFonts w:ascii="Arial" w:eastAsia="Arial" w:hAnsi="Arial" w:cs="Arial"/>
                <w:color w:val="000000"/>
                <w:spacing w:val="0"/>
                <w:w w:val="100"/>
                <w:position w:val="0"/>
                <w:sz w:val="12"/>
                <w:szCs w:val="12"/>
              </w:rPr>
              <w:t>（</w:t>
            </w:r>
            <w:r>
              <w:rPr>
                <w:rFonts w:ascii="SimSun" w:eastAsia="SimSun" w:hAnsi="SimSun" w:cs="SimSun"/>
                <w:color w:val="000000"/>
                <w:spacing w:val="0"/>
                <w:w w:val="100"/>
                <w:position w:val="0"/>
                <w:sz w:val="11"/>
                <w:szCs w:val="11"/>
              </w:rPr>
              <w:t>单项</w:t>
            </w:r>
            <w:r>
              <w:rPr>
                <w:rFonts w:ascii="SimSun" w:eastAsia="SimSun" w:hAnsi="SimSun" w:cs="SimSun"/>
                <w:color w:val="000000"/>
                <w:spacing w:val="0"/>
                <w:w w:val="100"/>
                <w:position w:val="0"/>
                <w:sz w:val="14"/>
                <w:szCs w:val="14"/>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小计</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158" w:lineRule="exact"/>
              <w:ind w:left="0" w:right="0" w:firstLine="0"/>
              <w:jc w:val="center"/>
              <w:rPr>
                <w:sz w:val="14"/>
                <w:szCs w:val="14"/>
              </w:rPr>
            </w:pPr>
            <w:r>
              <w:rPr>
                <w:rFonts w:ascii="SimSun" w:eastAsia="SimSun" w:hAnsi="SimSun" w:cs="SimSun"/>
                <w:color w:val="000000"/>
                <w:spacing w:val="0"/>
                <w:w w:val="100"/>
                <w:position w:val="0"/>
                <w:sz w:val="11"/>
                <w:szCs w:val="11"/>
              </w:rPr>
              <w:t xml:space="preserve">整个存续期预期信用损失 </w:t>
            </w:r>
            <w:r>
              <w:rPr>
                <w:rFonts w:ascii="Arial" w:eastAsia="Arial" w:hAnsi="Arial" w:cs="Arial"/>
                <w:color w:val="000000"/>
                <w:spacing w:val="0"/>
                <w:w w:val="100"/>
                <w:position w:val="0"/>
                <w:sz w:val="12"/>
                <w:szCs w:val="12"/>
              </w:rPr>
              <w:t>（</w:t>
            </w:r>
            <w:r>
              <w:rPr>
                <w:rFonts w:ascii="SimSun" w:eastAsia="SimSun" w:hAnsi="SimSun" w:cs="SimSun"/>
                <w:color w:val="000000"/>
                <w:spacing w:val="0"/>
                <w:w w:val="100"/>
                <w:position w:val="0"/>
                <w:sz w:val="11"/>
                <w:szCs w:val="11"/>
              </w:rPr>
              <w:t>已发生信用减值</w:t>
            </w:r>
            <w:r>
              <w:rPr>
                <w:rFonts w:ascii="Arial" w:eastAsia="Arial" w:hAnsi="Arial" w:cs="Arial"/>
                <w:color w:val="000000"/>
                <w:spacing w:val="0"/>
                <w:w w:val="100"/>
                <w:position w:val="0"/>
                <w:sz w:val="12"/>
                <w:szCs w:val="12"/>
              </w:rPr>
              <w:t>）（</w:t>
            </w:r>
            <w:r>
              <w:rPr>
                <w:rFonts w:ascii="SimSun" w:eastAsia="SimSun" w:hAnsi="SimSun" w:cs="SimSun"/>
                <w:color w:val="000000"/>
                <w:spacing w:val="0"/>
                <w:w w:val="100"/>
                <w:position w:val="0"/>
                <w:sz w:val="11"/>
                <w:szCs w:val="11"/>
              </w:rPr>
              <w:t>组合</w:t>
            </w:r>
            <w:r>
              <w:rPr>
                <w:rFonts w:ascii="SimSun" w:eastAsia="SimSun" w:hAnsi="SimSun" w:cs="SimSun"/>
                <w:color w:val="000000"/>
                <w:spacing w:val="0"/>
                <w:w w:val="100"/>
                <w:position w:val="0"/>
                <w:sz w:val="14"/>
                <w:szCs w:val="14"/>
              </w:rPr>
              <w:t>）</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158" w:lineRule="exact"/>
              <w:ind w:left="0" w:right="0" w:firstLine="0"/>
              <w:jc w:val="center"/>
              <w:rPr>
                <w:sz w:val="14"/>
                <w:szCs w:val="14"/>
              </w:rPr>
            </w:pPr>
            <w:r>
              <w:rPr>
                <w:rFonts w:ascii="SimSun" w:eastAsia="SimSun" w:hAnsi="SimSun" w:cs="SimSun"/>
                <w:color w:val="000000"/>
                <w:spacing w:val="0"/>
                <w:w w:val="100"/>
                <w:position w:val="0"/>
                <w:sz w:val="11"/>
                <w:szCs w:val="11"/>
              </w:rPr>
              <w:t xml:space="preserve">整个存续期预期信用损失 </w:t>
            </w:r>
            <w:r>
              <w:rPr>
                <w:rFonts w:ascii="Arial" w:eastAsia="Arial" w:hAnsi="Arial" w:cs="Arial"/>
                <w:color w:val="000000"/>
                <w:spacing w:val="0"/>
                <w:w w:val="100"/>
                <w:position w:val="0"/>
                <w:sz w:val="12"/>
                <w:szCs w:val="12"/>
              </w:rPr>
              <w:t>（</w:t>
            </w:r>
            <w:r>
              <w:rPr>
                <w:rFonts w:ascii="SimSun" w:eastAsia="SimSun" w:hAnsi="SimSun" w:cs="SimSun"/>
                <w:color w:val="000000"/>
                <w:spacing w:val="0"/>
                <w:w w:val="100"/>
                <w:position w:val="0"/>
                <w:sz w:val="11"/>
                <w:szCs w:val="11"/>
              </w:rPr>
              <w:t>已发生信用减值</w:t>
            </w:r>
            <w:r>
              <w:rPr>
                <w:rFonts w:ascii="Arial" w:eastAsia="Arial" w:hAnsi="Arial" w:cs="Arial"/>
                <w:color w:val="000000"/>
                <w:spacing w:val="0"/>
                <w:w w:val="100"/>
                <w:position w:val="0"/>
                <w:sz w:val="12"/>
                <w:szCs w:val="12"/>
              </w:rPr>
              <w:t>）（</w:t>
            </w:r>
            <w:r>
              <w:rPr>
                <w:rFonts w:ascii="SimSun" w:eastAsia="SimSun" w:hAnsi="SimSun" w:cs="SimSun"/>
                <w:color w:val="000000"/>
                <w:spacing w:val="0"/>
                <w:w w:val="100"/>
                <w:position w:val="0"/>
                <w:sz w:val="11"/>
                <w:szCs w:val="11"/>
              </w:rPr>
              <w:t>单项</w:t>
            </w:r>
            <w:r>
              <w:rPr>
                <w:rFonts w:ascii="SimSun" w:eastAsia="SimSun" w:hAnsi="SimSun" w:cs="SimSun"/>
                <w:color w:val="000000"/>
                <w:spacing w:val="0"/>
                <w:w w:val="100"/>
                <w:position w:val="0"/>
                <w:sz w:val="14"/>
                <w:szCs w:val="14"/>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rPr>
                <w:sz w:val="11"/>
                <w:szCs w:val="11"/>
              </w:rPr>
            </w:pPr>
            <w:r>
              <w:rPr>
                <w:rFonts w:ascii="SimSun" w:eastAsia="SimSun" w:hAnsi="SimSun" w:cs="SimSun"/>
                <w:color w:val="000000"/>
                <w:spacing w:val="0"/>
                <w:w w:val="100"/>
                <w:position w:val="0"/>
                <w:sz w:val="11"/>
                <w:szCs w:val="11"/>
              </w:rPr>
              <w:t>小计</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149" w:lineRule="exact"/>
              <w:ind w:left="0" w:right="0" w:firstLine="0"/>
              <w:jc w:val="center"/>
              <w:rPr>
                <w:sz w:val="12"/>
                <w:szCs w:val="12"/>
              </w:rPr>
            </w:pPr>
            <w:r>
              <w:rPr>
                <w:rFonts w:ascii="SimSun" w:eastAsia="SimSun" w:hAnsi="SimSun" w:cs="SimSun"/>
                <w:color w:val="000000"/>
                <w:spacing w:val="0"/>
                <w:w w:val="100"/>
                <w:position w:val="0"/>
                <w:sz w:val="11"/>
                <w:szCs w:val="11"/>
              </w:rPr>
              <w:t>整个存续期间预期信用损失</w:t>
            </w:r>
            <w:r>
              <w:rPr>
                <w:rFonts w:ascii="Arial" w:eastAsia="Arial" w:hAnsi="Arial" w:cs="Arial"/>
                <w:color w:val="000000"/>
                <w:spacing w:val="0"/>
                <w:w w:val="100"/>
                <w:position w:val="0"/>
                <w:sz w:val="12"/>
                <w:szCs w:val="12"/>
              </w:rPr>
              <w:t>（</w:t>
            </w:r>
            <w:r>
              <w:rPr>
                <w:rFonts w:ascii="SimSun" w:eastAsia="SimSun" w:hAnsi="SimSun" w:cs="SimSun"/>
                <w:color w:val="000000"/>
                <w:spacing w:val="0"/>
                <w:w w:val="100"/>
                <w:position w:val="0"/>
                <w:sz w:val="11"/>
                <w:szCs w:val="11"/>
              </w:rPr>
              <w:t>已 发生信用减值</w:t>
            </w:r>
            <w:r>
              <w:rPr>
                <w:rFonts w:ascii="Arial" w:eastAsia="Arial" w:hAnsi="Arial" w:cs="Arial"/>
                <w:color w:val="000000"/>
                <w:spacing w:val="0"/>
                <w:w w:val="100"/>
                <w:position w:val="0"/>
                <w:sz w:val="12"/>
                <w:szCs w:val="12"/>
              </w:rPr>
              <w:t>）（</w:t>
            </w:r>
            <w:r>
              <w:rPr>
                <w:rFonts w:ascii="SimSun" w:eastAsia="SimSun" w:hAnsi="SimSun" w:cs="SimSun"/>
                <w:color w:val="000000"/>
                <w:spacing w:val="0"/>
                <w:w w:val="100"/>
                <w:position w:val="0"/>
                <w:sz w:val="11"/>
                <w:szCs w:val="11"/>
              </w:rPr>
              <w:t>组合</w:t>
            </w:r>
            <w:r>
              <w:rPr>
                <w:rFonts w:ascii="Arial" w:eastAsia="Arial" w:hAnsi="Arial" w:cs="Arial"/>
                <w:color w:val="000000"/>
                <w:spacing w:val="0"/>
                <w:w w:val="100"/>
                <w:position w:val="0"/>
                <w:sz w:val="12"/>
                <w:szCs w:val="12"/>
              </w:rPr>
              <w:t>）</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149" w:lineRule="exact"/>
              <w:ind w:left="0" w:right="0" w:firstLine="0"/>
              <w:jc w:val="center"/>
              <w:rPr>
                <w:sz w:val="12"/>
                <w:szCs w:val="12"/>
              </w:rPr>
            </w:pPr>
            <w:r>
              <w:rPr>
                <w:rFonts w:ascii="SimSun" w:eastAsia="SimSun" w:hAnsi="SimSun" w:cs="SimSun"/>
                <w:color w:val="000000"/>
                <w:spacing w:val="0"/>
                <w:w w:val="100"/>
                <w:position w:val="0"/>
                <w:sz w:val="11"/>
                <w:szCs w:val="11"/>
              </w:rPr>
              <w:t>整个存续期预期信用损失</w:t>
            </w:r>
            <w:r>
              <w:rPr>
                <w:rFonts w:ascii="Arial" w:eastAsia="Arial" w:hAnsi="Arial" w:cs="Arial"/>
                <w:color w:val="000000"/>
                <w:spacing w:val="0"/>
                <w:w w:val="100"/>
                <w:position w:val="0"/>
                <w:sz w:val="12"/>
                <w:szCs w:val="12"/>
              </w:rPr>
              <w:t>（</w:t>
            </w:r>
            <w:r>
              <w:rPr>
                <w:rFonts w:ascii="SimSun" w:eastAsia="SimSun" w:hAnsi="SimSun" w:cs="SimSun"/>
                <w:color w:val="000000"/>
                <w:spacing w:val="0"/>
                <w:w w:val="100"/>
                <w:position w:val="0"/>
                <w:sz w:val="11"/>
                <w:szCs w:val="11"/>
              </w:rPr>
              <w:t>已 发生信用减值</w:t>
            </w:r>
            <w:r>
              <w:rPr>
                <w:rFonts w:ascii="Arial" w:eastAsia="Arial" w:hAnsi="Arial" w:cs="Arial"/>
                <w:color w:val="000000"/>
                <w:spacing w:val="0"/>
                <w:w w:val="100"/>
                <w:position w:val="0"/>
                <w:sz w:val="12"/>
                <w:szCs w:val="12"/>
              </w:rPr>
              <w:t>）（</w:t>
            </w:r>
            <w:r>
              <w:rPr>
                <w:rFonts w:ascii="SimSun" w:eastAsia="SimSun" w:hAnsi="SimSun" w:cs="SimSun"/>
                <w:color w:val="000000"/>
                <w:spacing w:val="0"/>
                <w:w w:val="100"/>
                <w:position w:val="0"/>
                <w:sz w:val="11"/>
                <w:szCs w:val="11"/>
              </w:rPr>
              <w:t>单项</w:t>
            </w:r>
            <w:r>
              <w:rPr>
                <w:rFonts w:ascii="Arial" w:eastAsia="Arial" w:hAnsi="Arial" w:cs="Arial"/>
                <w:color w:val="000000"/>
                <w:spacing w:val="0"/>
                <w:w w:val="100"/>
                <w:position w:val="0"/>
                <w:sz w:val="12"/>
                <w:szCs w:val="12"/>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420" w:firstLine="0"/>
              <w:jc w:val="right"/>
              <w:rPr>
                <w:sz w:val="11"/>
                <w:szCs w:val="11"/>
              </w:rPr>
            </w:pPr>
            <w:r>
              <w:rPr>
                <w:rFonts w:ascii="SimSun" w:eastAsia="SimSun" w:hAnsi="SimSun" w:cs="SimSun"/>
                <w:color w:val="000000"/>
                <w:spacing w:val="0"/>
                <w:w w:val="100"/>
                <w:position w:val="0"/>
                <w:sz w:val="11"/>
                <w:szCs w:val="11"/>
              </w:rPr>
              <w:t>小计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1"/>
                <w:szCs w:val="11"/>
              </w:rPr>
            </w:pPr>
            <w:r>
              <w:rPr>
                <w:rFonts w:ascii="SimSun" w:eastAsia="SimSun" w:hAnsi="SimSun" w:cs="SimSun"/>
                <w:color w:val="000000"/>
                <w:spacing w:val="0"/>
                <w:w w:val="100"/>
                <w:position w:val="0"/>
                <w:sz w:val="11"/>
                <w:szCs w:val="11"/>
              </w:rPr>
              <w:t>合计</w:t>
            </w:r>
          </w:p>
        </w:tc>
      </w:tr>
      <w:tr>
        <w:trPr>
          <w:trHeight w:val="427"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140"/>
              <w:jc w:val="left"/>
              <w:rPr>
                <w:sz w:val="11"/>
                <w:szCs w:val="11"/>
              </w:rPr>
            </w:pPr>
            <w:r>
              <w:rPr>
                <w:rFonts w:ascii="SimSun" w:eastAsia="SimSun" w:hAnsi="SimSun" w:cs="SimSun"/>
                <w:color w:val="000000"/>
                <w:spacing w:val="0"/>
                <w:w w:val="100"/>
                <w:position w:val="0"/>
                <w:sz w:val="11"/>
                <w:szCs w:val="11"/>
              </w:rPr>
              <w:t>账面余额</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1"/>
                <w:szCs w:val="11"/>
              </w:rPr>
            </w:pPr>
            <w:r>
              <w:rPr>
                <w:rFonts w:ascii="SimSun" w:eastAsia="SimSun" w:hAnsi="SimSun" w:cs="SimSun"/>
                <w:color w:val="000000"/>
                <w:spacing w:val="0"/>
                <w:w w:val="100"/>
                <w:position w:val="0"/>
                <w:sz w:val="11"/>
                <w:szCs w:val="11"/>
              </w:rPr>
              <w:t>坏账准备</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140"/>
              <w:jc w:val="left"/>
              <w:rPr>
                <w:sz w:val="11"/>
                <w:szCs w:val="11"/>
              </w:rPr>
            </w:pPr>
            <w:r>
              <w:rPr>
                <w:rFonts w:ascii="SimSun" w:eastAsia="SimSun" w:hAnsi="SimSun" w:cs="SimSun"/>
                <w:color w:val="000000"/>
                <w:spacing w:val="0"/>
                <w:w w:val="100"/>
                <w:position w:val="0"/>
                <w:sz w:val="11"/>
                <w:szCs w:val="11"/>
              </w:rPr>
              <w:t>账面余额</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1"/>
                <w:szCs w:val="11"/>
              </w:rPr>
            </w:pPr>
            <w:r>
              <w:rPr>
                <w:rFonts w:ascii="SimSun" w:eastAsia="SimSun" w:hAnsi="SimSun" w:cs="SimSun"/>
                <w:color w:val="000000"/>
                <w:spacing w:val="0"/>
                <w:w w:val="100"/>
                <w:position w:val="0"/>
                <w:sz w:val="11"/>
                <w:szCs w:val="11"/>
              </w:rPr>
              <w:t>坏账准备</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1"/>
                <w:szCs w:val="11"/>
              </w:rPr>
            </w:pPr>
            <w:r>
              <w:rPr>
                <w:rFonts w:ascii="SimSun" w:eastAsia="SimSun" w:hAnsi="SimSun" w:cs="SimSun"/>
                <w:color w:val="000000"/>
                <w:spacing w:val="0"/>
                <w:w w:val="100"/>
                <w:position w:val="0"/>
                <w:sz w:val="11"/>
                <w:szCs w:val="11"/>
              </w:rPr>
              <w:t>坏账准备</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160"/>
              <w:jc w:val="left"/>
              <w:rPr>
                <w:sz w:val="11"/>
                <w:szCs w:val="11"/>
              </w:rPr>
            </w:pPr>
            <w:r>
              <w:rPr>
                <w:rFonts w:ascii="SimSun" w:eastAsia="SimSun" w:hAnsi="SimSun" w:cs="SimSun"/>
                <w:color w:val="000000"/>
                <w:spacing w:val="0"/>
                <w:w w:val="100"/>
                <w:position w:val="0"/>
                <w:sz w:val="11"/>
                <w:szCs w:val="11"/>
              </w:rPr>
              <w:t>账面余额</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1"/>
                <w:szCs w:val="11"/>
              </w:rPr>
            </w:pPr>
            <w:r>
              <w:rPr>
                <w:rFonts w:ascii="SimSun" w:eastAsia="SimSun" w:hAnsi="SimSun" w:cs="SimSun"/>
                <w:color w:val="000000"/>
                <w:spacing w:val="0"/>
                <w:w w:val="100"/>
                <w:position w:val="0"/>
                <w:sz w:val="11"/>
                <w:szCs w:val="11"/>
              </w:rPr>
              <w:t>坏账准备</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11"/>
                <w:szCs w:val="11"/>
              </w:rPr>
            </w:pPr>
            <w:r>
              <w:rPr>
                <w:rFonts w:ascii="SimSun" w:eastAsia="SimSun" w:hAnsi="SimSun" w:cs="SimSun"/>
                <w:color w:val="000000"/>
                <w:spacing w:val="0"/>
                <w:w w:val="100"/>
                <w:position w:val="0"/>
                <w:sz w:val="11"/>
                <w:szCs w:val="11"/>
              </w:rPr>
              <w:t>账面余额</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1"/>
                <w:szCs w:val="11"/>
              </w:rPr>
            </w:pPr>
            <w:r>
              <w:rPr>
                <w:rFonts w:ascii="SimSun" w:eastAsia="SimSun" w:hAnsi="SimSun" w:cs="SimSun"/>
                <w:color w:val="000000"/>
                <w:spacing w:val="0"/>
                <w:w w:val="100"/>
                <w:position w:val="0"/>
                <w:sz w:val="11"/>
                <w:szCs w:val="11"/>
              </w:rPr>
              <w:t>坏账准备</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1"/>
                <w:szCs w:val="11"/>
              </w:rPr>
            </w:pPr>
            <w:r>
              <w:rPr>
                <w:rFonts w:ascii="SimSun" w:eastAsia="SimSun" w:hAnsi="SimSun" w:cs="SimSun"/>
                <w:color w:val="000000"/>
                <w:spacing w:val="0"/>
                <w:w w:val="100"/>
                <w:position w:val="0"/>
                <w:sz w:val="11"/>
                <w:szCs w:val="11"/>
              </w:rPr>
              <w:t>坏账准备</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300"/>
              <w:jc w:val="both"/>
              <w:rPr>
                <w:sz w:val="11"/>
                <w:szCs w:val="11"/>
              </w:rPr>
            </w:pPr>
            <w:r>
              <w:rPr>
                <w:rFonts w:ascii="SimSun" w:eastAsia="SimSun" w:hAnsi="SimSun" w:cs="SimSun"/>
                <w:color w:val="000000"/>
                <w:spacing w:val="0"/>
                <w:w w:val="100"/>
                <w:position w:val="0"/>
                <w:sz w:val="11"/>
                <w:szCs w:val="11"/>
              </w:rPr>
              <w:t>账面余额</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1"/>
                <w:szCs w:val="11"/>
              </w:rPr>
            </w:pPr>
            <w:r>
              <w:rPr>
                <w:rFonts w:ascii="SimSun" w:eastAsia="SimSun" w:hAnsi="SimSun" w:cs="SimSun"/>
                <w:color w:val="000000"/>
                <w:spacing w:val="0"/>
                <w:w w:val="100"/>
                <w:position w:val="0"/>
                <w:sz w:val="11"/>
                <w:szCs w:val="11"/>
              </w:rPr>
              <w:t>坏账准备</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1"/>
                <w:szCs w:val="11"/>
              </w:rPr>
            </w:pPr>
            <w:r>
              <w:rPr>
                <w:rFonts w:ascii="SimSun" w:eastAsia="SimSun" w:hAnsi="SimSun" w:cs="SimSun"/>
                <w:color w:val="000000"/>
                <w:spacing w:val="0"/>
                <w:w w:val="100"/>
                <w:position w:val="0"/>
                <w:sz w:val="11"/>
                <w:szCs w:val="11"/>
              </w:rPr>
              <w:t>账面余额</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1"/>
                <w:szCs w:val="11"/>
              </w:rPr>
            </w:pPr>
            <w:r>
              <w:rPr>
                <w:rFonts w:ascii="SimSun" w:eastAsia="SimSun" w:hAnsi="SimSun" w:cs="SimSun"/>
                <w:color w:val="000000"/>
                <w:spacing w:val="0"/>
                <w:w w:val="100"/>
                <w:position w:val="0"/>
                <w:sz w:val="11"/>
                <w:szCs w:val="11"/>
              </w:rPr>
              <w:t>坏账准备</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00"/>
              <w:jc w:val="left"/>
              <w:rPr>
                <w:sz w:val="11"/>
                <w:szCs w:val="11"/>
              </w:rPr>
            </w:pPr>
            <w:r>
              <w:rPr>
                <w:rFonts w:ascii="SimSun" w:eastAsia="SimSun" w:hAnsi="SimSun" w:cs="SimSun"/>
                <w:color w:val="000000"/>
                <w:spacing w:val="0"/>
                <w:w w:val="100"/>
                <w:position w:val="0"/>
                <w:sz w:val="11"/>
                <w:szCs w:val="11"/>
              </w:rPr>
              <w:t>坏账准备</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1"/>
                <w:szCs w:val="11"/>
              </w:rPr>
            </w:pPr>
            <w:r>
              <w:rPr>
                <w:rFonts w:ascii="SimSun" w:eastAsia="SimSun" w:hAnsi="SimSun" w:cs="SimSun"/>
                <w:color w:val="000000"/>
                <w:spacing w:val="0"/>
                <w:w w:val="100"/>
                <w:position w:val="0"/>
                <w:sz w:val="11"/>
                <w:szCs w:val="11"/>
              </w:rPr>
              <w:t>坏账准备</w:t>
            </w:r>
          </w:p>
        </w:tc>
      </w:tr>
      <w:tr>
        <w:trPr>
          <w:trHeight w:val="40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2"/>
                <w:szCs w:val="12"/>
              </w:rPr>
              <w:t>2020</w:t>
            </w:r>
            <w:r>
              <w:rPr>
                <w:rFonts w:ascii="SimSun" w:eastAsia="SimSun" w:hAnsi="SimSun" w:cs="SimSun"/>
                <w:color w:val="000000"/>
                <w:spacing w:val="0"/>
                <w:w w:val="100"/>
                <w:position w:val="0"/>
                <w:sz w:val="11"/>
                <w:szCs w:val="11"/>
              </w:rPr>
              <w:t>年</w:t>
            </w:r>
            <w:r>
              <w:rPr>
                <w:rFonts w:ascii="Arial" w:eastAsia="Arial" w:hAnsi="Arial" w:cs="Arial"/>
                <w:color w:val="000000"/>
                <w:spacing w:val="0"/>
                <w:w w:val="100"/>
                <w:position w:val="0"/>
                <w:sz w:val="12"/>
                <w:szCs w:val="12"/>
              </w:rPr>
              <w:t>12</w:t>
            </w:r>
            <w:r>
              <w:rPr>
                <w:rFonts w:ascii="SimSun" w:eastAsia="SimSun" w:hAnsi="SimSun" w:cs="SimSun"/>
                <w:color w:val="000000"/>
                <w:spacing w:val="0"/>
                <w:w w:val="100"/>
                <w:position w:val="0"/>
                <w:sz w:val="11"/>
                <w:szCs w:val="11"/>
              </w:rPr>
              <w:t>月</w:t>
            </w:r>
            <w:r>
              <w:rPr>
                <w:rFonts w:ascii="Arial" w:eastAsia="Arial" w:hAnsi="Arial" w:cs="Arial"/>
                <w:color w:val="000000"/>
                <w:spacing w:val="0"/>
                <w:w w:val="100"/>
                <w:position w:val="0"/>
                <w:sz w:val="12"/>
                <w:szCs w:val="12"/>
              </w:rPr>
              <w:t>31</w:t>
            </w:r>
            <w:r>
              <w:rPr>
                <w:rFonts w:ascii="SimSun" w:eastAsia="SimSun" w:hAnsi="SimSun" w:cs="SimSun"/>
                <w:color w:val="000000"/>
                <w:spacing w:val="0"/>
                <w:w w:val="100"/>
                <w:position w:val="0"/>
                <w:sz w:val="11"/>
                <w:szCs w:val="11"/>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644,756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(29,037)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529,598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rPr>
              <w:t>(85)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(29,122)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120,250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(23,619)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(23,619)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rPr>
              <w:t>45,208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(45,208)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2"/>
                <w:szCs w:val="12"/>
              </w:rPr>
            </w:pPr>
            <w:r>
              <w:rPr>
                <w:rFonts w:ascii="Arial" w:eastAsia="Arial" w:hAnsi="Arial" w:cs="Arial"/>
                <w:color w:val="000000"/>
                <w:spacing w:val="0"/>
                <w:w w:val="100"/>
                <w:position w:val="0"/>
                <w:sz w:val="12"/>
                <w:szCs w:val="12"/>
              </w:rPr>
              <w:t>110,193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(110,193)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(155,401)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(208,142)</w:t>
            </w:r>
          </w:p>
        </w:tc>
      </w:tr>
      <w:tr>
        <w:trPr>
          <w:trHeight w:val="27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本年新增的款项</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1,427,858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(82,680)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291,834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(1,084)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(83,764)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8,986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(8,986)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(8,986)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(92,750)</w:t>
            </w:r>
          </w:p>
        </w:tc>
      </w:tr>
      <w:tr>
        <w:trPr>
          <w:trHeight w:val="20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本年减少的款项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(479,882)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53,591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(521,323)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rPr>
              <w:t>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53,674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(87,891)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12,428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12,428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66,102</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Sun" w:eastAsia="SimSun" w:hAnsi="SimSun" w:cs="SimSun"/>
                <w:color w:val="000000"/>
                <w:spacing w:val="0"/>
                <w:w w:val="100"/>
                <w:position w:val="0"/>
                <w:sz w:val="11"/>
                <w:szCs w:val="11"/>
              </w:rPr>
              <w:t>其中：本年核销</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(52,792)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52,792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52,792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top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52,792</w:t>
            </w:r>
          </w:p>
        </w:tc>
      </w:tr>
      <w:tr>
        <w:trPr>
          <w:trHeight w:val="274"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1"/>
                <w:szCs w:val="11"/>
              </w:rPr>
            </w:pPr>
            <w:r>
              <w:rPr>
                <w:rFonts w:ascii="SimSun" w:eastAsia="SimSun" w:hAnsi="SimSun" w:cs="SimSun"/>
                <w:color w:val="000000"/>
                <w:spacing w:val="0"/>
                <w:w w:val="100"/>
                <w:position w:val="0"/>
                <w:sz w:val="11"/>
                <w:szCs w:val="11"/>
              </w:rPr>
              <w:t>本年转回</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(521,323)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rPr>
              <w:t>83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color w:val="000000"/>
                <w:spacing w:val="0"/>
                <w:w w:val="100"/>
                <w:position w:val="0"/>
                <w:sz w:val="12"/>
                <w:szCs w:val="12"/>
              </w:rPr>
              <w:t>83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(87,891)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12,428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12,428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12,511</w:t>
            </w:r>
          </w:p>
        </w:tc>
      </w:tr>
      <w:tr>
        <w:trPr>
          <w:trHeight w:val="211"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1"/>
                <w:szCs w:val="11"/>
              </w:rPr>
            </w:pPr>
            <w:r>
              <w:rPr>
                <w:rFonts w:ascii="SimSun" w:eastAsia="SimSun" w:hAnsi="SimSun" w:cs="SimSun"/>
                <w:color w:val="000000"/>
                <w:spacing w:val="0"/>
                <w:w w:val="100"/>
                <w:position w:val="0"/>
                <w:sz w:val="11"/>
                <w:szCs w:val="11"/>
              </w:rPr>
              <w:t>处置子公司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(427,090)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rPr>
              <w:t>799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2"/>
                <w:szCs w:val="12"/>
              </w:rPr>
            </w:pPr>
            <w:r>
              <w:rPr>
                <w:rFonts w:ascii="Arial" w:eastAsia="Arial" w:hAnsi="Arial" w:cs="Arial"/>
                <w:color w:val="000000"/>
                <w:spacing w:val="0"/>
                <w:w w:val="100"/>
                <w:position w:val="0"/>
                <w:sz w:val="12"/>
                <w:szCs w:val="12"/>
              </w:rPr>
              <w:t>799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799</w:t>
            </w: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1"/>
                <w:szCs w:val="11"/>
              </w:rPr>
              <w:t>转入第三阶段</w:t>
            </w:r>
            <w:r>
              <w:rPr>
                <w:rFonts w:ascii="Arial" w:eastAsia="Arial" w:hAnsi="Arial" w:cs="Arial"/>
                <w:color w:val="000000"/>
                <w:spacing w:val="0"/>
                <w:w w:val="100"/>
                <w:position w:val="0"/>
                <w:sz w:val="12"/>
                <w:szCs w:val="12"/>
              </w:rPr>
              <w:t>（i）</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rPr>
              <w:t>(828,815)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30,032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30,032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(7,998)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1,571</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1,571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6,765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(881)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2"/>
                <w:szCs w:val="12"/>
              </w:rPr>
            </w:pPr>
            <w:r>
              <w:rPr>
                <w:rFonts w:ascii="Arial" w:eastAsia="Arial" w:hAnsi="Arial" w:cs="Arial"/>
                <w:color w:val="000000"/>
                <w:spacing w:val="0"/>
                <w:w w:val="100"/>
                <w:position w:val="0"/>
                <w:sz w:val="12"/>
                <w:szCs w:val="12"/>
              </w:rPr>
              <w:t>830,048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(30,722)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(31,603)</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1"/>
                <w:szCs w:val="11"/>
              </w:rPr>
              <w:t>转入第二阶段</w:t>
            </w:r>
            <w:r>
              <w:rPr>
                <w:rFonts w:ascii="Arial" w:eastAsia="Arial" w:hAnsi="Arial" w:cs="Arial"/>
                <w:color w:val="000000"/>
                <w:spacing w:val="0"/>
                <w:w w:val="100"/>
                <w:position w:val="0"/>
                <w:sz w:val="12"/>
                <w:szCs w:val="12"/>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(44,707)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2,013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rPr>
              <w:t>2,013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rPr>
              <w:t>44,707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(2,013)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(2,013)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r>
      <w:tr>
        <w:trPr>
          <w:trHeight w:val="16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本年转回</w:t>
            </w:r>
            <w:r>
              <w:rPr>
                <w:rFonts w:ascii="Arial" w:eastAsia="Arial" w:hAnsi="Arial" w:cs="Arial"/>
                <w:color w:val="000000"/>
                <w:spacing w:val="0"/>
                <w:w w:val="100"/>
                <w:position w:val="0"/>
                <w:sz w:val="12"/>
                <w:szCs w:val="12"/>
              </w:rPr>
              <w:t>/（</w:t>
            </w:r>
            <w:r>
              <w:rPr>
                <w:rFonts w:ascii="SimSun" w:eastAsia="SimSun" w:hAnsi="SimSun" w:cs="SimSun"/>
                <w:color w:val="000000"/>
                <w:spacing w:val="0"/>
                <w:w w:val="100"/>
                <w:position w:val="0"/>
                <w:sz w:val="11"/>
                <w:szCs w:val="11"/>
              </w:rPr>
              <w:t>新增</w:t>
            </w:r>
            <w:r>
              <w:rPr>
                <w:rFonts w:ascii="Arial" w:eastAsia="Arial" w:hAnsi="Arial" w:cs="Arial"/>
                <w:color w:val="000000"/>
                <w:spacing w:val="0"/>
                <w:w w:val="100"/>
                <w:position w:val="0"/>
                <w:sz w:val="12"/>
                <w:szCs w:val="12"/>
              </w:rPr>
              <w:t>）</w:t>
            </w:r>
            <w:r>
              <w:rPr>
                <w:rFonts w:ascii="SimSun" w:eastAsia="SimSun" w:hAnsi="SimSun" w:cs="SimSun"/>
                <w:color w:val="000000"/>
                <w:spacing w:val="0"/>
                <w:w w:val="100"/>
                <w:position w:val="0"/>
                <w:sz w:val="11"/>
                <w:szCs w:val="11"/>
              </w:rPr>
              <w:t>的坏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SimSun" w:eastAsia="SimSun" w:hAnsi="SimSun" w:cs="SimSun"/>
                <w:color w:val="000000"/>
                <w:spacing w:val="0"/>
                <w:w w:val="100"/>
                <w:position w:val="0"/>
                <w:sz w:val="11"/>
                <w:szCs w:val="11"/>
              </w:rPr>
              <w:t>账准备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rPr>
              <w:t>543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4"/>
                <w:szCs w:val="14"/>
              </w:rPr>
            </w:pPr>
            <w:r>
              <w:rPr>
                <w:rFonts w:ascii="SimSun" w:eastAsia="SimSun" w:hAnsi="SimSun" w:cs="SimSun"/>
                <w:color w:val="000000"/>
                <w:spacing w:val="0"/>
                <w:w w:val="100"/>
                <w:position w:val="0"/>
                <w:sz w:val="14"/>
                <w:szCs w:val="14"/>
              </w:rPr>
              <w:t>⑵</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2"/>
                <w:szCs w:val="12"/>
              </w:rPr>
            </w:pPr>
            <w:r>
              <w:rPr>
                <w:rFonts w:ascii="Arial" w:eastAsia="Arial" w:hAnsi="Arial" w:cs="Arial"/>
                <w:color w:val="000000"/>
                <w:spacing w:val="0"/>
                <w:w w:val="100"/>
                <w:position w:val="0"/>
                <w:sz w:val="12"/>
                <w:szCs w:val="12"/>
              </w:rPr>
              <w:t>541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1,053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1,053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(5,884)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rFonts w:ascii="Arial" w:eastAsia="Arial" w:hAnsi="Arial" w:cs="Arial"/>
                <w:color w:val="000000"/>
                <w:spacing w:val="0"/>
                <w:w w:val="100"/>
                <w:position w:val="0"/>
                <w:sz w:val="12"/>
                <w:szCs w:val="1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(404,047)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(409,931)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(408,337)</w:t>
            </w:r>
          </w:p>
        </w:tc>
      </w:tr>
      <w:tr>
        <w:trPr>
          <w:trHeight w:val="34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2"/>
                <w:szCs w:val="12"/>
              </w:rPr>
              <w:t>2021</w:t>
            </w:r>
            <w:r>
              <w:rPr>
                <w:rFonts w:ascii="SimSun" w:eastAsia="SimSun" w:hAnsi="SimSun" w:cs="SimSun"/>
                <w:color w:val="000000"/>
                <w:spacing w:val="0"/>
                <w:w w:val="100"/>
                <w:position w:val="0"/>
                <w:sz w:val="11"/>
                <w:szCs w:val="11"/>
              </w:rPr>
              <w:t>年</w:t>
            </w:r>
            <w:r>
              <w:rPr>
                <w:rFonts w:ascii="Arial" w:eastAsia="Arial" w:hAnsi="Arial" w:cs="Arial"/>
                <w:color w:val="000000"/>
                <w:spacing w:val="0"/>
                <w:w w:val="100"/>
                <w:position w:val="0"/>
                <w:sz w:val="12"/>
                <w:szCs w:val="12"/>
              </w:rPr>
              <w:t>12</w:t>
            </w:r>
            <w:r>
              <w:rPr>
                <w:rFonts w:ascii="SimSun" w:eastAsia="SimSun" w:hAnsi="SimSun" w:cs="SimSun"/>
                <w:color w:val="000000"/>
                <w:spacing w:val="0"/>
                <w:w w:val="100"/>
                <w:position w:val="0"/>
                <w:sz w:val="11"/>
                <w:szCs w:val="11"/>
              </w:rPr>
              <w:t>月</w:t>
            </w:r>
            <w:r>
              <w:rPr>
                <w:rFonts w:ascii="Arial" w:eastAsia="Arial" w:hAnsi="Arial" w:cs="Arial"/>
                <w:color w:val="000000"/>
                <w:spacing w:val="0"/>
                <w:w w:val="100"/>
                <w:position w:val="0"/>
                <w:sz w:val="12"/>
                <w:szCs w:val="12"/>
              </w:rPr>
              <w:t>31</w:t>
            </w:r>
            <w:r>
              <w:rPr>
                <w:rFonts w:ascii="SimSun" w:eastAsia="SimSun" w:hAnsi="SimSun" w:cs="SimSun"/>
                <w:color w:val="000000"/>
                <w:spacing w:val="0"/>
                <w:w w:val="100"/>
                <w:position w:val="0"/>
                <w:sz w:val="11"/>
                <w:szCs w:val="11"/>
              </w:rPr>
              <w:t>日</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719,210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(25,538)</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300,109</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(1,088)</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(26,626)</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000000"/>
                <w:spacing w:val="0"/>
                <w:w w:val="100"/>
                <w:position w:val="0"/>
                <w:sz w:val="12"/>
                <w:szCs w:val="12"/>
              </w:rPr>
              <w:t>69,068</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(10,580)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(10,580)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rPr>
              <w:t>51,973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(51,973)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2"/>
                <w:szCs w:val="12"/>
              </w:rPr>
            </w:pPr>
            <w:r>
              <w:rPr>
                <w:rFonts w:ascii="Arial" w:eastAsia="Arial" w:hAnsi="Arial" w:cs="Arial"/>
                <w:color w:val="000000"/>
                <w:spacing w:val="0"/>
                <w:w w:val="100"/>
                <w:position w:val="0"/>
                <w:sz w:val="12"/>
                <w:szCs w:val="12"/>
              </w:rPr>
              <w:t>949,227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(553,948)</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(605,921)</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(643,127)</w:t>
            </w:r>
          </w:p>
        </w:tc>
      </w:tr>
    </w:tbl>
    <w:p>
      <w:pPr>
        <w:widowControl w:val="0"/>
        <w:spacing w:after="159" w:line="1" w:lineRule="exact"/>
      </w:pPr>
    </w:p>
    <w:p>
      <w:pPr>
        <w:pStyle w:val="Style72"/>
        <w:keepNext w:val="0"/>
        <w:keepLines w:val="0"/>
        <w:widowControl w:val="0"/>
        <w:shd w:val="clear" w:color="auto" w:fill="auto"/>
        <w:tabs>
          <w:tab w:pos="1021" w:val="left"/>
        </w:tabs>
        <w:bidi w:val="0"/>
        <w:spacing w:before="0" w:after="300" w:line="240" w:lineRule="auto"/>
        <w:ind w:left="0" w:right="0" w:firstLine="720"/>
        <w:jc w:val="both"/>
      </w:pPr>
      <w:bookmarkStart w:id="906" w:name="bookmark906"/>
      <w:r>
        <w:rPr>
          <w:rFonts w:ascii="Arial" w:eastAsia="Arial" w:hAnsi="Arial" w:cs="Arial"/>
          <w:color w:val="000000"/>
          <w:spacing w:val="0"/>
          <w:w w:val="100"/>
          <w:position w:val="0"/>
          <w:sz w:val="24"/>
          <w:szCs w:val="24"/>
        </w:rPr>
        <w:t>i</w:t>
      </w:r>
      <w:bookmarkEnd w:id="906"/>
      <w:r>
        <w:rPr>
          <w:rFonts w:ascii="Arial" w:eastAsia="Arial" w:hAnsi="Arial" w:cs="Arial"/>
          <w:color w:val="000000"/>
          <w:spacing w:val="0"/>
          <w:w w:val="100"/>
          <w:position w:val="0"/>
          <w:sz w:val="24"/>
          <w:szCs w:val="24"/>
        </w:rPr>
        <w:t>）</w:t>
        <w:tab/>
      </w:r>
      <w:r>
        <w:rPr>
          <w:color w:val="000000"/>
          <w:spacing w:val="0"/>
          <w:w w:val="100"/>
          <w:position w:val="0"/>
          <w:sz w:val="24"/>
          <w:szCs w:val="24"/>
        </w:rPr>
        <w:t>转入第三阶段的其他应收款于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日的账面余额约为人民币</w:t>
      </w:r>
      <w:r>
        <w:rPr>
          <w:rFonts w:ascii="Arial" w:eastAsia="Arial" w:hAnsi="Arial" w:cs="Arial"/>
          <w:color w:val="000000"/>
          <w:spacing w:val="0"/>
          <w:w w:val="100"/>
          <w:position w:val="0"/>
          <w:sz w:val="24"/>
          <w:szCs w:val="24"/>
        </w:rPr>
        <w:t>8.37</w:t>
      </w:r>
      <w:r>
        <w:rPr>
          <w:color w:val="000000"/>
          <w:spacing w:val="0"/>
          <w:w w:val="100"/>
          <w:position w:val="0"/>
          <w:sz w:val="24"/>
          <w:szCs w:val="24"/>
        </w:rPr>
        <w:t>亿元。</w:t>
      </w:r>
    </w:p>
    <w:p>
      <w:pPr>
        <w:pStyle w:val="Style72"/>
        <w:keepNext w:val="0"/>
        <w:keepLines w:val="0"/>
        <w:widowControl w:val="0"/>
        <w:shd w:val="clear" w:color="auto" w:fill="auto"/>
        <w:tabs>
          <w:tab w:pos="1074" w:val="left"/>
        </w:tabs>
        <w:bidi w:val="0"/>
        <w:spacing w:before="0" w:after="300" w:line="240" w:lineRule="auto"/>
        <w:ind w:left="0" w:right="0" w:firstLine="720"/>
        <w:jc w:val="both"/>
        <w:sectPr>
          <w:footnotePr>
            <w:pos w:val="pageBottom"/>
            <w:numFmt w:val="decimal"/>
            <w:numStart w:val="1"/>
            <w:numRestart w:val="continuous"/>
            <w15:footnoteColumns w:val="1"/>
          </w:footnotePr>
          <w:pgSz w:w="16840" w:h="11900" w:orient="landscape"/>
          <w:pgMar w:top="2333" w:right="1416" w:bottom="2333" w:left="1714" w:header="0" w:footer="3" w:gutter="0"/>
          <w:cols w:space="720"/>
          <w:noEndnote/>
          <w:rtlGutter w:val="0"/>
          <w:docGrid w:linePitch="360"/>
        </w:sectPr>
      </w:pPr>
      <w:bookmarkStart w:id="907" w:name="bookmark907"/>
      <w:r>
        <w:rPr>
          <w:rFonts w:ascii="Arial" w:eastAsia="Arial" w:hAnsi="Arial" w:cs="Arial"/>
          <w:color w:val="000000"/>
          <w:spacing w:val="0"/>
          <w:w w:val="100"/>
          <w:position w:val="0"/>
          <w:sz w:val="24"/>
          <w:szCs w:val="24"/>
        </w:rPr>
        <w:t>i</w:t>
      </w:r>
      <w:bookmarkEnd w:id="907"/>
      <w:r>
        <w:rPr>
          <w:rFonts w:ascii="Arial" w:eastAsia="Arial" w:hAnsi="Arial" w:cs="Arial"/>
          <w:color w:val="000000"/>
          <w:spacing w:val="0"/>
          <w:w w:val="100"/>
          <w:position w:val="0"/>
          <w:sz w:val="24"/>
          <w:szCs w:val="24"/>
        </w:rPr>
        <w:t>i）</w:t>
        <w:tab/>
      </w:r>
      <w:r>
        <w:rPr>
          <w:color w:val="000000"/>
          <w:spacing w:val="0"/>
          <w:w w:val="100"/>
          <w:position w:val="0"/>
          <w:sz w:val="24"/>
          <w:szCs w:val="24"/>
        </w:rPr>
        <w:t>转入第二阶段的其他应收款于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日的账面余额约为人民币</w:t>
      </w:r>
      <w:r>
        <w:rPr>
          <w:rFonts w:ascii="Arial" w:eastAsia="Arial" w:hAnsi="Arial" w:cs="Arial"/>
          <w:color w:val="000000"/>
          <w:spacing w:val="0"/>
          <w:w w:val="100"/>
          <w:position w:val="0"/>
          <w:sz w:val="24"/>
          <w:szCs w:val="24"/>
        </w:rPr>
        <w:t>4,471</w:t>
      </w:r>
      <w:r>
        <w:rPr>
          <w:color w:val="000000"/>
          <w:spacing w:val="0"/>
          <w:w w:val="100"/>
          <w:position w:val="0"/>
          <w:sz w:val="24"/>
          <w:szCs w:val="24"/>
        </w:rPr>
        <w:t>万元。</w:t>
      </w:r>
    </w:p>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260" w:line="240" w:lineRule="auto"/>
        <w:ind w:left="0" w:right="0" w:firstLine="72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tbl>
      <w:tblPr>
        <w:tblOverlap w:val="never"/>
        <w:jc w:val="center"/>
        <w:tblLayout w:type="fixed"/>
      </w:tblPr>
      <w:tblGrid>
        <w:gridCol w:w="518"/>
        <w:gridCol w:w="8472"/>
      </w:tblGrid>
      <w:tr>
        <w:trPr>
          <w:trHeight w:val="42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b/>
                <w:bCs/>
                <w:color w:val="000000"/>
                <w:spacing w:val="0"/>
                <w:w w:val="100"/>
                <w:position w:val="0"/>
                <w:sz w:val="24"/>
                <w:szCs w:val="24"/>
              </w:rPr>
              <w:t>四</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8"/>
                <w:szCs w:val="28"/>
              </w:rPr>
            </w:pPr>
            <w:r>
              <w:rPr>
                <w:rFonts w:ascii="SimSun" w:eastAsia="SimSun" w:hAnsi="SimSun" w:cs="SimSun"/>
                <w:b/>
                <w:bCs/>
                <w:color w:val="000000"/>
                <w:spacing w:val="0"/>
                <w:w w:val="100"/>
                <w:position w:val="0"/>
                <w:sz w:val="24"/>
                <w:szCs w:val="24"/>
              </w:rPr>
              <w:t>合并财务报表项目附注</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r>
      <w:tr>
        <w:trPr>
          <w:trHeight w:val="55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8"/>
                <w:szCs w:val="28"/>
              </w:rPr>
            </w:pPr>
            <w:r>
              <w:rPr>
                <w:rFonts w:ascii="SimSun" w:eastAsia="SimSun" w:hAnsi="SimSun" w:cs="SimSun"/>
                <w:b/>
                <w:bCs/>
                <w:color w:val="000000"/>
                <w:spacing w:val="0"/>
                <w:w w:val="100"/>
                <w:position w:val="0"/>
                <w:sz w:val="24"/>
                <w:szCs w:val="24"/>
              </w:rPr>
              <w:t>其他应收款</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r>
      <w:tr>
        <w:trPr>
          <w:trHeight w:val="57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(b)</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损失准备及其账面余额变动表</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w:t>
            </w:r>
          </w:p>
        </w:tc>
      </w:tr>
      <w:tr>
        <w:trPr>
          <w:trHeight w:val="54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rPr>
              <w:t>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于</w:t>
            </w: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日，单项计提坏账准备的其他应收款分析如下：</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4060" w:right="0" w:firstLine="0"/>
              <w:jc w:val="left"/>
              <w:rPr>
                <w:sz w:val="18"/>
                <w:szCs w:val="18"/>
              </w:rPr>
            </w:pPr>
            <w:r>
              <w:rPr>
                <w:rFonts w:ascii="SimSun" w:eastAsia="SimSun" w:hAnsi="SimSun" w:cs="SimSun"/>
                <w:color w:val="000000"/>
                <w:spacing w:val="0"/>
                <w:w w:val="100"/>
                <w:position w:val="0"/>
                <w:sz w:val="18"/>
                <w:szCs w:val="18"/>
              </w:rPr>
              <w:t>未来</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个月内预</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tabs>
                <w:tab w:pos="4350" w:val="left"/>
                <w:tab w:pos="5987" w:val="left"/>
                <w:tab w:pos="7451" w:val="left"/>
              </w:tabs>
              <w:bidi w:val="0"/>
              <w:spacing w:before="0" w:after="0" w:line="240" w:lineRule="auto"/>
              <w:ind w:left="3040" w:right="0" w:firstLine="0"/>
              <w:jc w:val="left"/>
              <w:rPr>
                <w:sz w:val="18"/>
                <w:szCs w:val="18"/>
              </w:rPr>
            </w:pPr>
            <w:r>
              <w:rPr>
                <w:rFonts w:ascii="SimSun" w:eastAsia="SimSun" w:hAnsi="SimSun" w:cs="SimSun"/>
                <w:color w:val="000000"/>
                <w:spacing w:val="0"/>
                <w:w w:val="100"/>
                <w:position w:val="0"/>
                <w:sz w:val="18"/>
                <w:szCs w:val="18"/>
              </w:rPr>
              <w:t>账面余额</w:t>
              <w:tab/>
              <w:t>期信用损失率</w:t>
              <w:tab/>
              <w:t>坏账准备</w:t>
              <w:tab/>
              <w:t>理由</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第一阶段</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074" w:val="left"/>
                <w:tab w:pos="4888" w:val="left"/>
                <w:tab w:pos="6304" w:val="left"/>
              </w:tabs>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应收股利</w:t>
              <w:tab/>
            </w:r>
            <w:r>
              <w:rPr>
                <w:rFonts w:ascii="Arial" w:eastAsia="Arial" w:hAnsi="Arial" w:cs="Arial"/>
                <w:color w:val="000000"/>
                <w:spacing w:val="0"/>
                <w:w w:val="100"/>
                <w:position w:val="0"/>
                <w:sz w:val="18"/>
                <w:szCs w:val="18"/>
              </w:rPr>
              <w:t>181,835</w:t>
              <w:tab/>
              <w:t>0.51%</w:t>
              <w:tab/>
              <w:t>(927)</w:t>
            </w:r>
            <w:r>
              <w:rPr>
                <w:rFonts w:ascii="SimSun" w:eastAsia="SimSun" w:hAnsi="SimSun" w:cs="SimSun"/>
                <w:color w:val="000000"/>
                <w:spacing w:val="0"/>
                <w:w w:val="100"/>
                <w:position w:val="0"/>
                <w:sz w:val="18"/>
                <w:szCs w:val="18"/>
              </w:rPr>
              <w:t>信用风险较低</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088" w:val="left"/>
                <w:tab w:pos="4888" w:val="left"/>
                <w:tab w:pos="6304" w:val="left"/>
              </w:tabs>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应收房产处置款</w:t>
              <w:tab/>
            </w:r>
            <w:r>
              <w:rPr>
                <w:rFonts w:ascii="Arial" w:eastAsia="Arial" w:hAnsi="Arial" w:cs="Arial"/>
                <w:color w:val="000000"/>
                <w:spacing w:val="0"/>
                <w:w w:val="100"/>
                <w:position w:val="0"/>
                <w:sz w:val="18"/>
                <w:szCs w:val="18"/>
              </w:rPr>
              <w:t>110,000</w:t>
              <w:tab/>
              <w:t>0.14%</w:t>
              <w:tab/>
              <w:t>(157)</w:t>
            </w:r>
            <w:r>
              <w:rPr>
                <w:rFonts w:ascii="SimSun" w:eastAsia="SimSun" w:hAnsi="SimSun" w:cs="SimSun"/>
                <w:color w:val="000000"/>
                <w:spacing w:val="0"/>
                <w:w w:val="100"/>
                <w:position w:val="0"/>
                <w:sz w:val="18"/>
                <w:szCs w:val="18"/>
              </w:rPr>
              <w:t>信用风险较低</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266" w:val="left"/>
                <w:tab w:pos="4888" w:val="left"/>
                <w:tab w:pos="6506" w:val="left"/>
              </w:tabs>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应收信息服务费返还</w:t>
              <w:tab/>
            </w:r>
            <w:r>
              <w:rPr>
                <w:rFonts w:ascii="Arial" w:eastAsia="Arial" w:hAnsi="Arial" w:cs="Arial"/>
                <w:color w:val="000000"/>
                <w:spacing w:val="0"/>
                <w:w w:val="100"/>
                <w:position w:val="0"/>
                <w:sz w:val="18"/>
                <w:szCs w:val="18"/>
              </w:rPr>
              <w:t>8,274</w:t>
              <w:tab/>
              <w:t>0.05%</w:t>
              <w:tab/>
              <w:t>(4)</w:t>
            </w:r>
            <w:r>
              <w:rPr>
                <w:rFonts w:ascii="SimSun" w:eastAsia="SimSun" w:hAnsi="SimSun" w:cs="SimSun"/>
                <w:color w:val="000000"/>
                <w:spacing w:val="0"/>
                <w:w w:val="100"/>
                <w:position w:val="0"/>
                <w:sz w:val="18"/>
                <w:szCs w:val="18"/>
              </w:rPr>
              <w:t>信用风险较低</w:t>
            </w:r>
          </w:p>
        </w:tc>
      </w:tr>
      <w:tr>
        <w:trPr>
          <w:trHeight w:val="24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tabs>
                <w:tab w:pos="6122" w:val="left"/>
              </w:tabs>
              <w:bidi w:val="0"/>
              <w:spacing w:before="0" w:after="0" w:line="240" w:lineRule="auto"/>
              <w:ind w:left="3040" w:right="0" w:firstLine="0"/>
              <w:jc w:val="left"/>
              <w:rPr>
                <w:sz w:val="18"/>
                <w:szCs w:val="18"/>
              </w:rPr>
            </w:pPr>
            <w:r>
              <w:rPr>
                <w:rFonts w:ascii="Arial" w:eastAsia="Arial" w:hAnsi="Arial" w:cs="Arial"/>
                <w:color w:val="000000"/>
                <w:spacing w:val="0"/>
                <w:w w:val="100"/>
                <w:position w:val="0"/>
                <w:sz w:val="18"/>
                <w:szCs w:val="18"/>
              </w:rPr>
              <w:t>300,109</w:t>
              <w:tab/>
              <w:t>(1,088)</w:t>
            </w:r>
          </w:p>
        </w:tc>
      </w:tr>
      <w:tr>
        <w:trPr>
          <w:trHeight w:val="47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4180" w:right="0" w:firstLine="0"/>
              <w:jc w:val="left"/>
              <w:rPr>
                <w:sz w:val="18"/>
                <w:szCs w:val="18"/>
              </w:rPr>
            </w:pPr>
            <w:r>
              <w:rPr>
                <w:rFonts w:ascii="SimSun" w:eastAsia="SimSun" w:hAnsi="SimSun" w:cs="SimSun"/>
                <w:color w:val="000000"/>
                <w:spacing w:val="0"/>
                <w:w w:val="100"/>
                <w:position w:val="0"/>
                <w:sz w:val="18"/>
                <w:szCs w:val="18"/>
              </w:rPr>
              <w:t>整个存续期预期</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tabs>
                <w:tab w:pos="4533" w:val="left"/>
                <w:tab w:pos="5987" w:val="left"/>
                <w:tab w:pos="7451" w:val="left"/>
              </w:tabs>
              <w:bidi w:val="0"/>
              <w:spacing w:before="0" w:after="0" w:line="240" w:lineRule="auto"/>
              <w:ind w:left="3040" w:right="0" w:firstLine="0"/>
              <w:jc w:val="left"/>
              <w:rPr>
                <w:sz w:val="18"/>
                <w:szCs w:val="18"/>
              </w:rPr>
            </w:pPr>
            <w:r>
              <w:rPr>
                <w:rFonts w:ascii="SimSun" w:eastAsia="SimSun" w:hAnsi="SimSun" w:cs="SimSun"/>
                <w:color w:val="000000"/>
                <w:spacing w:val="0"/>
                <w:w w:val="100"/>
                <w:position w:val="0"/>
                <w:sz w:val="18"/>
                <w:szCs w:val="18"/>
              </w:rPr>
              <w:t>账面余额</w:t>
              <w:tab/>
              <w:t>信用损失率</w:t>
              <w:tab/>
              <w:t>坏账准备</w:t>
              <w:tab/>
              <w:t>理由</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第三阶段</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6800" w:right="0" w:firstLine="0"/>
              <w:jc w:val="left"/>
              <w:rPr>
                <w:sz w:val="18"/>
                <w:szCs w:val="18"/>
              </w:rPr>
            </w:pPr>
            <w:r>
              <w:rPr>
                <w:rFonts w:ascii="SimSun" w:eastAsia="SimSun" w:hAnsi="SimSun" w:cs="SimSun"/>
                <w:color w:val="000000"/>
                <w:spacing w:val="0"/>
                <w:w w:val="100"/>
                <w:position w:val="0"/>
                <w:sz w:val="18"/>
                <w:szCs w:val="18"/>
              </w:rPr>
              <w:t>通过计算不同情景下</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6800" w:right="0" w:firstLine="0"/>
              <w:jc w:val="left"/>
              <w:rPr>
                <w:sz w:val="18"/>
                <w:szCs w:val="18"/>
              </w:rPr>
            </w:pPr>
            <w:r>
              <w:rPr>
                <w:rFonts w:ascii="SimSun" w:eastAsia="SimSun" w:hAnsi="SimSun" w:cs="SimSun"/>
                <w:color w:val="000000"/>
                <w:spacing w:val="0"/>
                <w:w w:val="100"/>
                <w:position w:val="0"/>
                <w:sz w:val="18"/>
                <w:szCs w:val="18"/>
              </w:rPr>
              <w:t>应收款项的合同现金</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6800" w:right="0" w:firstLine="0"/>
              <w:jc w:val="left"/>
              <w:rPr>
                <w:sz w:val="18"/>
                <w:szCs w:val="18"/>
              </w:rPr>
            </w:pPr>
            <w:r>
              <w:rPr>
                <w:rFonts w:ascii="SimSun" w:eastAsia="SimSun" w:hAnsi="SimSun" w:cs="SimSun"/>
                <w:color w:val="000000"/>
                <w:spacing w:val="0"/>
                <w:w w:val="100"/>
                <w:position w:val="0"/>
                <w:sz w:val="18"/>
                <w:szCs w:val="18"/>
              </w:rPr>
              <w:t>流量与预期能收到的</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6800" w:right="0" w:firstLine="0"/>
              <w:jc w:val="left"/>
              <w:rPr>
                <w:sz w:val="18"/>
                <w:szCs w:val="18"/>
              </w:rPr>
            </w:pPr>
            <w:r>
              <w:rPr>
                <w:rFonts w:ascii="SimSun" w:eastAsia="SimSun" w:hAnsi="SimSun" w:cs="SimSun"/>
                <w:color w:val="000000"/>
                <w:spacing w:val="0"/>
                <w:w w:val="100"/>
                <w:position w:val="0"/>
                <w:sz w:val="18"/>
                <w:szCs w:val="18"/>
              </w:rPr>
              <w:t>现金流量之间差额的</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6800" w:right="0" w:firstLine="0"/>
              <w:jc w:val="left"/>
              <w:rPr>
                <w:sz w:val="18"/>
                <w:szCs w:val="18"/>
              </w:rPr>
            </w:pPr>
            <w:r>
              <w:rPr>
                <w:rFonts w:ascii="SimSun" w:eastAsia="SimSun" w:hAnsi="SimSun" w:cs="SimSun"/>
                <w:color w:val="000000"/>
                <w:spacing w:val="0"/>
                <w:w w:val="100"/>
                <w:position w:val="0"/>
                <w:sz w:val="18"/>
                <w:szCs w:val="18"/>
              </w:rPr>
              <w:t>现值的概率加权金</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6800" w:right="0" w:firstLine="0"/>
              <w:jc w:val="left"/>
              <w:rPr>
                <w:sz w:val="18"/>
                <w:szCs w:val="18"/>
              </w:rPr>
            </w:pPr>
            <w:r>
              <w:rPr>
                <w:rFonts w:ascii="SimSun" w:eastAsia="SimSun" w:hAnsi="SimSun" w:cs="SimSun"/>
                <w:color w:val="000000"/>
                <w:spacing w:val="0"/>
                <w:w w:val="100"/>
                <w:position w:val="0"/>
                <w:sz w:val="18"/>
                <w:szCs w:val="18"/>
              </w:rPr>
              <w:t>额，确认预期信用损</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059" w:val="left"/>
                <w:tab w:pos="5032" w:val="left"/>
                <w:tab w:pos="5954" w:val="left"/>
              </w:tabs>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应收股权转让款</w:t>
              <w:tab/>
            </w:r>
            <w:r>
              <w:rPr>
                <w:rFonts w:ascii="Arial" w:eastAsia="Arial" w:hAnsi="Arial" w:cs="Arial"/>
                <w:color w:val="000000"/>
                <w:spacing w:val="0"/>
                <w:w w:val="100"/>
                <w:position w:val="0"/>
                <w:sz w:val="18"/>
                <w:szCs w:val="18"/>
              </w:rPr>
              <w:t>618,500</w:t>
              <w:tab/>
              <w:t>47%</w:t>
              <w:tab/>
              <w:t>(287,850)</w:t>
            </w:r>
            <w:r>
              <w:rPr>
                <w:rFonts w:ascii="SimSun" w:eastAsia="SimSun" w:hAnsi="SimSun" w:cs="SimSun"/>
                <w:color w:val="000000"/>
                <w:spacing w:val="0"/>
                <w:w w:val="100"/>
                <w:position w:val="0"/>
                <w:sz w:val="18"/>
                <w:szCs w:val="18"/>
              </w:rPr>
              <w:t>失</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6800" w:right="0" w:firstLine="0"/>
              <w:jc w:val="left"/>
              <w:rPr>
                <w:sz w:val="18"/>
                <w:szCs w:val="18"/>
              </w:rPr>
            </w:pPr>
            <w:r>
              <w:rPr>
                <w:rFonts w:ascii="SimSun" w:eastAsia="SimSun" w:hAnsi="SimSun" w:cs="SimSun"/>
                <w:color w:val="000000"/>
                <w:spacing w:val="0"/>
                <w:w w:val="100"/>
                <w:position w:val="0"/>
                <w:sz w:val="18"/>
                <w:szCs w:val="18"/>
              </w:rPr>
              <w:t>通过计算不同情景下</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6800" w:right="0" w:firstLine="0"/>
              <w:jc w:val="left"/>
              <w:rPr>
                <w:sz w:val="18"/>
                <w:szCs w:val="18"/>
              </w:rPr>
            </w:pPr>
            <w:r>
              <w:rPr>
                <w:rFonts w:ascii="SimSun" w:eastAsia="SimSun" w:hAnsi="SimSun" w:cs="SimSun"/>
                <w:color w:val="000000"/>
                <w:spacing w:val="0"/>
                <w:w w:val="100"/>
                <w:position w:val="0"/>
                <w:sz w:val="18"/>
                <w:szCs w:val="18"/>
              </w:rPr>
              <w:t>应收款项的合同现金</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6800" w:right="0" w:firstLine="0"/>
              <w:jc w:val="left"/>
              <w:rPr>
                <w:sz w:val="18"/>
                <w:szCs w:val="18"/>
              </w:rPr>
            </w:pPr>
            <w:r>
              <w:rPr>
                <w:rFonts w:ascii="SimSun" w:eastAsia="SimSun" w:hAnsi="SimSun" w:cs="SimSun"/>
                <w:color w:val="000000"/>
                <w:spacing w:val="0"/>
                <w:w w:val="100"/>
                <w:position w:val="0"/>
                <w:sz w:val="18"/>
                <w:szCs w:val="18"/>
              </w:rPr>
              <w:t>流量与预期能收到的</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6800" w:right="0" w:firstLine="0"/>
              <w:jc w:val="left"/>
              <w:rPr>
                <w:sz w:val="18"/>
                <w:szCs w:val="18"/>
              </w:rPr>
            </w:pPr>
            <w:r>
              <w:rPr>
                <w:rFonts w:ascii="SimSun" w:eastAsia="SimSun" w:hAnsi="SimSun" w:cs="SimSun"/>
                <w:color w:val="000000"/>
                <w:spacing w:val="0"/>
                <w:w w:val="100"/>
                <w:position w:val="0"/>
                <w:sz w:val="18"/>
                <w:szCs w:val="18"/>
              </w:rPr>
              <w:t>现金流量之间差额的</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6800" w:right="0" w:firstLine="0"/>
              <w:jc w:val="left"/>
              <w:rPr>
                <w:sz w:val="18"/>
                <w:szCs w:val="18"/>
              </w:rPr>
            </w:pPr>
            <w:r>
              <w:rPr>
                <w:rFonts w:ascii="SimSun" w:eastAsia="SimSun" w:hAnsi="SimSun" w:cs="SimSun"/>
                <w:color w:val="000000"/>
                <w:spacing w:val="0"/>
                <w:w w:val="100"/>
                <w:position w:val="0"/>
                <w:sz w:val="18"/>
                <w:szCs w:val="18"/>
              </w:rPr>
              <w:t>现值的概率加权金</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6800" w:right="0" w:firstLine="0"/>
              <w:jc w:val="left"/>
              <w:rPr>
                <w:sz w:val="18"/>
                <w:szCs w:val="18"/>
              </w:rPr>
            </w:pPr>
            <w:r>
              <w:rPr>
                <w:rFonts w:ascii="SimSun" w:eastAsia="SimSun" w:hAnsi="SimSun" w:cs="SimSun"/>
                <w:color w:val="000000"/>
                <w:spacing w:val="0"/>
                <w:w w:val="100"/>
                <w:position w:val="0"/>
                <w:sz w:val="18"/>
                <w:szCs w:val="18"/>
              </w:rPr>
              <w:t>额，确认预期信用损</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074" w:val="left"/>
                <w:tab w:pos="5032" w:val="left"/>
                <w:tab w:pos="5954" w:val="left"/>
              </w:tabs>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应收关联方往来款</w:t>
              <w:tab/>
            </w:r>
            <w:r>
              <w:rPr>
                <w:rFonts w:ascii="Arial" w:eastAsia="Arial" w:hAnsi="Arial" w:cs="Arial"/>
                <w:color w:val="000000"/>
                <w:spacing w:val="0"/>
                <w:w w:val="100"/>
                <w:position w:val="0"/>
                <w:sz w:val="18"/>
                <w:szCs w:val="18"/>
              </w:rPr>
              <w:t>211,549</w:t>
              <w:tab/>
              <w:t>69%</w:t>
              <w:tab/>
              <w:t>(146,920)</w:t>
            </w:r>
            <w:r>
              <w:rPr>
                <w:rFonts w:ascii="SimSun" w:eastAsia="SimSun" w:hAnsi="SimSun" w:cs="SimSun"/>
                <w:color w:val="000000"/>
                <w:spacing w:val="0"/>
                <w:w w:val="100"/>
                <w:position w:val="0"/>
                <w:sz w:val="18"/>
                <w:szCs w:val="18"/>
              </w:rPr>
              <w:t>失</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165" w:val="left"/>
                <w:tab w:pos="4946" w:val="left"/>
                <w:tab w:pos="6054" w:val="left"/>
              </w:tabs>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应收加盟商往来款</w:t>
              <w:tab/>
            </w:r>
            <w:r>
              <w:rPr>
                <w:rFonts w:ascii="Arial" w:eastAsia="Arial" w:hAnsi="Arial" w:cs="Arial"/>
                <w:color w:val="000000"/>
                <w:spacing w:val="0"/>
                <w:w w:val="100"/>
                <w:position w:val="0"/>
                <w:sz w:val="18"/>
                <w:szCs w:val="18"/>
              </w:rPr>
              <w:t>86,441</w:t>
              <w:tab/>
              <w:t>100%</w:t>
              <w:tab/>
              <w:t>(86,441)</w:t>
            </w:r>
            <w:r>
              <w:rPr>
                <w:rFonts w:ascii="SimSun" w:eastAsia="SimSun" w:hAnsi="SimSun" w:cs="SimSun"/>
                <w:color w:val="000000"/>
                <w:spacing w:val="0"/>
                <w:w w:val="100"/>
                <w:position w:val="0"/>
                <w:sz w:val="18"/>
                <w:szCs w:val="18"/>
              </w:rPr>
              <w:t>预期无法回收</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174" w:val="left"/>
                <w:tab w:pos="4946" w:val="left"/>
                <w:tab w:pos="6054" w:val="left"/>
              </w:tabs>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应收投资返还款</w:t>
              <w:tab/>
            </w:r>
            <w:r>
              <w:rPr>
                <w:rFonts w:ascii="Arial" w:eastAsia="Arial" w:hAnsi="Arial" w:cs="Arial"/>
                <w:color w:val="000000"/>
                <w:spacing w:val="0"/>
                <w:w w:val="100"/>
                <w:position w:val="0"/>
                <w:sz w:val="18"/>
                <w:szCs w:val="18"/>
              </w:rPr>
              <w:t>17,044</w:t>
              <w:tab/>
              <w:t>100%</w:t>
              <w:tab/>
              <w:t>(17,044)</w:t>
            </w:r>
            <w:r>
              <w:rPr>
                <w:rFonts w:ascii="SimSun" w:eastAsia="SimSun" w:hAnsi="SimSun" w:cs="SimSun"/>
                <w:color w:val="000000"/>
                <w:spacing w:val="0"/>
                <w:w w:val="100"/>
                <w:position w:val="0"/>
                <w:sz w:val="18"/>
                <w:szCs w:val="18"/>
              </w:rPr>
              <w:t>预期无法回收</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174" w:val="left"/>
                <w:tab w:pos="4946" w:val="left"/>
                <w:tab w:pos="6054" w:val="left"/>
              </w:tabs>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应收货款保证金</w:t>
              <w:tab/>
            </w:r>
            <w:r>
              <w:rPr>
                <w:rFonts w:ascii="Arial" w:eastAsia="Arial" w:hAnsi="Arial" w:cs="Arial"/>
                <w:color w:val="000000"/>
                <w:spacing w:val="0"/>
                <w:w w:val="100"/>
                <w:position w:val="0"/>
                <w:sz w:val="18"/>
                <w:szCs w:val="18"/>
              </w:rPr>
              <w:t>10,448</w:t>
              <w:tab/>
              <w:t>100%</w:t>
              <w:tab/>
              <w:t>(10,448)</w:t>
            </w:r>
            <w:r>
              <w:rPr>
                <w:rFonts w:ascii="SimSun" w:eastAsia="SimSun" w:hAnsi="SimSun" w:cs="SimSun"/>
                <w:color w:val="000000"/>
                <w:spacing w:val="0"/>
                <w:w w:val="100"/>
                <w:position w:val="0"/>
                <w:sz w:val="18"/>
                <w:szCs w:val="18"/>
              </w:rPr>
              <w:t>预期无法回收</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274" w:val="left"/>
                <w:tab w:pos="4954" w:val="left"/>
                <w:tab w:pos="6158" w:val="left"/>
              </w:tabs>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应收资产处置款</w:t>
              <w:tab/>
            </w:r>
            <w:r>
              <w:rPr>
                <w:rFonts w:ascii="Arial" w:eastAsia="Arial" w:hAnsi="Arial" w:cs="Arial"/>
                <w:color w:val="000000"/>
                <w:spacing w:val="0"/>
                <w:w w:val="100"/>
                <w:position w:val="0"/>
                <w:sz w:val="18"/>
                <w:szCs w:val="18"/>
              </w:rPr>
              <w:t>5,245</w:t>
              <w:tab/>
              <w:t>100%</w:t>
              <w:tab/>
              <w:t>(5,245)</w:t>
            </w:r>
            <w:r>
              <w:rPr>
                <w:rFonts w:ascii="SimSun" w:eastAsia="SimSun" w:hAnsi="SimSun" w:cs="SimSun"/>
                <w:color w:val="000000"/>
                <w:spacing w:val="0"/>
                <w:w w:val="100"/>
                <w:position w:val="0"/>
                <w:sz w:val="18"/>
                <w:szCs w:val="18"/>
              </w:rPr>
              <w:t>预期无法回收</w:t>
            </w:r>
          </w:p>
        </w:tc>
      </w:tr>
      <w:tr>
        <w:trPr>
          <w:trHeight w:val="26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tabs>
                <w:tab w:pos="5925" w:val="left"/>
              </w:tabs>
              <w:bidi w:val="0"/>
              <w:spacing w:before="0" w:after="0" w:line="240" w:lineRule="auto"/>
              <w:ind w:left="3040" w:right="0" w:firstLine="0"/>
              <w:jc w:val="left"/>
              <w:rPr>
                <w:sz w:val="18"/>
                <w:szCs w:val="18"/>
              </w:rPr>
            </w:pPr>
            <w:r>
              <w:rPr>
                <w:rFonts w:ascii="Arial" w:eastAsia="Arial" w:hAnsi="Arial" w:cs="Arial"/>
                <w:color w:val="000000"/>
                <w:spacing w:val="0"/>
                <w:w w:val="100"/>
                <w:position w:val="0"/>
                <w:sz w:val="18"/>
                <w:szCs w:val="18"/>
              </w:rPr>
              <w:t>949,227</w:t>
              <w:tab/>
              <w:t>(553,948)</w:t>
            </w:r>
          </w:p>
        </w:tc>
      </w:tr>
    </w:tbl>
    <w:p>
      <w:pPr>
        <w:pStyle w:val="Style72"/>
        <w:keepNext w:val="0"/>
        <w:keepLines w:val="0"/>
        <w:widowControl w:val="0"/>
        <w:shd w:val="clear" w:color="auto" w:fill="auto"/>
        <w:bidi w:val="0"/>
        <w:spacing w:before="0" w:after="60" w:line="240" w:lineRule="auto"/>
        <w:ind w:left="0" w:right="0" w:firstLine="70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20" w:line="240" w:lineRule="auto"/>
        <w:ind w:left="0" w:right="0" w:firstLine="70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tabs>
          <w:tab w:pos="683" w:val="left"/>
        </w:tabs>
        <w:bidi w:val="0"/>
        <w:spacing w:before="0" w:after="200" w:line="240" w:lineRule="auto"/>
        <w:ind w:left="0" w:right="0" w:firstLine="0"/>
        <w:jc w:val="left"/>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tabs>
          <w:tab w:pos="683" w:val="left"/>
        </w:tabs>
        <w:bidi w:val="0"/>
        <w:spacing w:before="0" w:after="240" w:line="240" w:lineRule="auto"/>
        <w:ind w:left="0" w:right="0" w:firstLine="0"/>
        <w:jc w:val="left"/>
        <w:rPr>
          <w:sz w:val="28"/>
          <w:szCs w:val="28"/>
        </w:rPr>
      </w:pPr>
      <w:r>
        <w:rPr>
          <w:rFonts w:ascii="Arial" w:eastAsia="Arial" w:hAnsi="Arial" w:cs="Arial"/>
          <w:color w:val="000000"/>
          <w:spacing w:val="0"/>
          <w:w w:val="100"/>
          <w:position w:val="0"/>
          <w:sz w:val="24"/>
          <w:szCs w:val="24"/>
        </w:rPr>
        <w:t>（6）</w:t>
        <w:tab/>
      </w:r>
      <w:r>
        <w:rPr>
          <w:b/>
          <w:bCs/>
          <w:color w:val="000000"/>
          <w:spacing w:val="0"/>
          <w:w w:val="100"/>
          <w:position w:val="0"/>
          <w:sz w:val="24"/>
          <w:szCs w:val="24"/>
        </w:rPr>
        <w:t>其他应收款</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83" w:val="left"/>
        </w:tabs>
        <w:bidi w:val="0"/>
        <w:spacing w:before="0" w:after="320" w:line="240" w:lineRule="auto"/>
        <w:ind w:left="0" w:right="0" w:firstLine="0"/>
        <w:jc w:val="left"/>
      </w:pPr>
      <w:bookmarkStart w:id="908" w:name="bookmark908"/>
      <w:r>
        <w:rPr>
          <w:rFonts w:ascii="Arial" w:eastAsia="Arial" w:hAnsi="Arial" w:cs="Arial"/>
          <w:color w:val="000000"/>
          <w:spacing w:val="0"/>
          <w:w w:val="100"/>
          <w:position w:val="0"/>
          <w:sz w:val="24"/>
          <w:szCs w:val="24"/>
        </w:rPr>
        <w:t>（</w:t>
      </w:r>
      <w:bookmarkEnd w:id="908"/>
      <w:r>
        <w:rPr>
          <w:rFonts w:ascii="Arial" w:eastAsia="Arial" w:hAnsi="Arial" w:cs="Arial"/>
          <w:color w:val="000000"/>
          <w:spacing w:val="0"/>
          <w:w w:val="100"/>
          <w:position w:val="0"/>
          <w:sz w:val="24"/>
          <w:szCs w:val="24"/>
        </w:rPr>
        <w:t>b）</w:t>
        <w:tab/>
      </w:r>
      <w:r>
        <w:rPr>
          <w:color w:val="000000"/>
          <w:spacing w:val="0"/>
          <w:w w:val="100"/>
          <w:position w:val="0"/>
          <w:sz w:val="24"/>
          <w:szCs w:val="24"/>
        </w:rPr>
        <w:t>损失准备及其账面余额变动表</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40" w:line="240" w:lineRule="auto"/>
        <w:ind w:left="0" w:right="0" w:firstLine="70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日，单项计提坏账准备的其他应收款分析如下:</w:t>
      </w:r>
    </w:p>
    <w:tbl>
      <w:tblPr>
        <w:tblOverlap w:val="never"/>
        <w:jc w:val="center"/>
        <w:tblLayout w:type="fixed"/>
      </w:tblPr>
      <w:tblGrid>
        <w:gridCol w:w="2342"/>
        <w:gridCol w:w="1382"/>
        <w:gridCol w:w="1795"/>
        <w:gridCol w:w="1171"/>
        <w:gridCol w:w="1253"/>
      </w:tblGrid>
      <w:tr>
        <w:trPr>
          <w:trHeight w:val="57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账面余额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未来</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个月内预</w:t>
            </w:r>
          </w:p>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期信用损失率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坏账准备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理由</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第一阶段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应收信息服务费返还</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402,428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rPr>
              <w:t>0.02%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信用风险较低</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应收理财产品处置款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125,658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信用风险较低</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应收股利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1,512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信用风险较低</w:t>
            </w:r>
          </w:p>
        </w:tc>
      </w:tr>
      <w:tr>
        <w:trPr>
          <w:trHeight w:val="24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529,598</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(85)</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整个存续期预期</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账面余额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信用损失率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坏账准备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理由</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第三阶段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应收加盟商往来款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77,456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(77,456)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预期无法回收</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应收投资返还款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17,044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(17,044)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预期无法回收</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应收货款保证金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10,448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(10,448)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预期无法回收</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应收资产处置款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5,245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(5,245)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预期无法回收</w:t>
            </w:r>
          </w:p>
        </w:tc>
      </w:tr>
      <w:tr>
        <w:trPr>
          <w:trHeight w:val="26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110,193</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(110,193)</w:t>
            </w:r>
          </w:p>
        </w:tc>
        <w:tc>
          <w:tcPr>
            <w:tcBorders/>
            <w:shd w:val="clear" w:color="auto" w:fill="FFFFFF"/>
            <w:vAlign w:val="top"/>
          </w:tcPr>
          <w:p>
            <w:pPr>
              <w:widowControl w:val="0"/>
              <w:rPr>
                <w:sz w:val="10"/>
                <w:szCs w:val="10"/>
              </w:rPr>
            </w:pPr>
          </w:p>
        </w:tc>
      </w:tr>
    </w:tbl>
    <w:p>
      <w:pPr>
        <w:sectPr>
          <w:footnotePr>
            <w:pos w:val="pageBottom"/>
            <w:numFmt w:val="decimal"/>
            <w:numStart w:val="1"/>
            <w:numRestart w:val="continuous"/>
            <w15:footnoteColumns w:val="1"/>
          </w:footnotePr>
          <w:pgSz w:w="11900" w:h="16840"/>
          <w:pgMar w:top="1158" w:right="1201" w:bottom="4796" w:left="1708" w:header="0" w:footer="3" w:gutter="0"/>
          <w:cols w:space="720"/>
          <w:noEndnote/>
          <w:rtlGutter w:val="0"/>
          <w:docGrid w:linePitch="360"/>
        </w:sectPr>
      </w:pPr>
    </w:p>
    <w:p>
      <w:pPr>
        <w:pStyle w:val="Style72"/>
        <w:keepNext w:val="0"/>
        <w:keepLines w:val="0"/>
        <w:widowControl w:val="0"/>
        <w:shd w:val="clear" w:color="auto" w:fill="auto"/>
        <w:tabs>
          <w:tab w:pos="705" w:val="left"/>
        </w:tabs>
        <w:bidi w:val="0"/>
        <w:spacing w:before="0" w:after="24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5" w:val="left"/>
        </w:tabs>
        <w:bidi w:val="0"/>
        <w:spacing w:before="0" w:after="240" w:line="288" w:lineRule="auto"/>
        <w:ind w:left="0" w:right="0" w:firstLine="0"/>
        <w:jc w:val="left"/>
        <w:rPr>
          <w:sz w:val="28"/>
          <w:szCs w:val="28"/>
        </w:rPr>
      </w:pPr>
      <w:r>
        <w:rPr>
          <w:rFonts w:ascii="Arial" w:eastAsia="Arial" w:hAnsi="Arial" w:cs="Arial"/>
          <w:color w:val="000000"/>
          <w:spacing w:val="0"/>
          <w:w w:val="100"/>
          <w:position w:val="0"/>
          <w:sz w:val="24"/>
          <w:szCs w:val="24"/>
        </w:rPr>
        <w:t>(6)</w:t>
        <w:tab/>
      </w:r>
      <w:r>
        <w:rPr>
          <w:b/>
          <w:bCs/>
          <w:color w:val="000000"/>
          <w:spacing w:val="0"/>
          <w:w w:val="100"/>
          <w:position w:val="0"/>
          <w:sz w:val="24"/>
          <w:szCs w:val="24"/>
        </w:rPr>
        <w:t>其他应收款</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81"/>
        </w:numPr>
        <w:shd w:val="clear" w:color="auto" w:fill="auto"/>
        <w:tabs>
          <w:tab w:pos="705" w:val="left"/>
        </w:tabs>
        <w:bidi w:val="0"/>
        <w:spacing w:before="0" w:after="240" w:line="331" w:lineRule="exact"/>
        <w:ind w:left="0" w:right="0" w:firstLine="0"/>
        <w:jc w:val="left"/>
      </w:pPr>
      <w:bookmarkStart w:id="909" w:name="bookmark909"/>
      <w:bookmarkEnd w:id="909"/>
      <w:r>
        <w:rPr>
          <w:color w:val="000000"/>
          <w:spacing w:val="0"/>
          <w:w w:val="100"/>
          <w:position w:val="0"/>
          <w:sz w:val="24"/>
          <w:szCs w:val="24"/>
        </w:rPr>
        <w:t>损失准备及其账面余额变动表</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300" w:line="331" w:lineRule="exact"/>
        <w:ind w:left="700" w:right="0" w:hanging="700"/>
        <w:jc w:val="left"/>
      </w:pPr>
      <w:r>
        <w:rPr>
          <w:rFonts w:ascii="Arial" w:eastAsia="Arial" w:hAnsi="Arial" w:cs="Arial"/>
          <w:color w:val="000000"/>
          <w:spacing w:val="0"/>
          <w:w w:val="100"/>
          <w:position w:val="0"/>
          <w:sz w:val="24"/>
          <w:szCs w:val="24"/>
        </w:rPr>
        <w:t xml:space="preserve">(ii) </w:t>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日及</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日，组合计提坏账准备的其他应收 款分析如下：</w:t>
      </w:r>
    </w:p>
    <w:tbl>
      <w:tblPr>
        <w:tblOverlap w:val="never"/>
        <w:jc w:val="right"/>
        <w:tblLayout w:type="fixed"/>
      </w:tblPr>
      <w:tblGrid>
        <w:gridCol w:w="1272"/>
        <w:gridCol w:w="1426"/>
        <w:gridCol w:w="1435"/>
        <w:gridCol w:w="739"/>
        <w:gridCol w:w="1176"/>
        <w:gridCol w:w="1253"/>
        <w:gridCol w:w="768"/>
      </w:tblGrid>
      <w:tr>
        <w:trPr>
          <w:trHeight w:val="230"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250" w:hRule="exact"/>
        </w:trPr>
        <w:tc>
          <w:tcPr>
            <w:vMerge/>
            <w:tcBorders/>
            <w:shd w:val="clear" w:color="auto" w:fill="FFFFFF"/>
            <w:vAlign w:val="top"/>
          </w:tcPr>
          <w:p>
            <w:pPr/>
          </w:p>
        </w:tc>
        <w:tc>
          <w:tcPr>
            <w:vMerge w:val="restart"/>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账面余额</w:t>
            </w:r>
          </w:p>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SimSun" w:eastAsia="SimSun" w:hAnsi="SimSun" w:cs="SimSun"/>
                <w:color w:val="000000"/>
                <w:spacing w:val="0"/>
                <w:w w:val="100"/>
                <w:position w:val="0"/>
                <w:sz w:val="18"/>
                <w:szCs w:val="18"/>
              </w:rPr>
              <w:t>金额</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损失准备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损失准备</w:t>
            </w:r>
          </w:p>
        </w:tc>
      </w:tr>
      <w:tr>
        <w:trPr>
          <w:trHeight w:val="374" w:hRule="exact"/>
        </w:trPr>
        <w:tc>
          <w:tcPr>
            <w:vMerge/>
            <w:tcBorders/>
            <w:shd w:val="clear" w:color="auto" w:fill="FFFFFF"/>
            <w:vAlign w:val="top"/>
          </w:tcPr>
          <w:p>
            <w:pPr/>
          </w:p>
        </w:tc>
        <w:tc>
          <w:tcPr>
            <w:vMerge/>
            <w:tcBorders/>
            <w:shd w:val="clear" w:color="auto" w:fill="FFFFFF"/>
            <w:vAlign w:val="top"/>
          </w:tcPr>
          <w:p>
            <w:pPr/>
          </w:p>
        </w:tc>
        <w:tc>
          <w:tcPr>
            <w:gridSpan w:val="2"/>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金额计提比例</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rFonts w:ascii="SimSun" w:eastAsia="SimSun" w:hAnsi="SimSun" w:cs="SimSun"/>
                <w:color w:val="000000"/>
                <w:spacing w:val="0"/>
                <w:w w:val="100"/>
                <w:position w:val="0"/>
                <w:sz w:val="18"/>
                <w:szCs w:val="18"/>
              </w:rPr>
              <w:t>金额</w:t>
            </w:r>
          </w:p>
        </w:tc>
        <w:tc>
          <w:tcPr>
            <w:tcBorders>
              <w:top w:val="single" w:sz="4"/>
            </w:tcBorders>
            <w:shd w:val="clear" w:color="auto" w:fill="FFFFFF"/>
            <w:vAlign w:val="top"/>
          </w:tcPr>
          <w:p>
            <w:pPr>
              <w:pStyle w:val="Style29"/>
              <w:keepNext w:val="0"/>
              <w:keepLines w:val="0"/>
              <w:widowControl w:val="0"/>
              <w:shd w:val="clear" w:color="auto" w:fill="auto"/>
              <w:tabs>
                <w:tab w:pos="658"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tab/>
            </w:r>
            <w:r>
              <w:rPr>
                <w:rFonts w:ascii="Arial" w:eastAsia="Arial" w:hAnsi="Arial" w:cs="Arial"/>
                <w:color w:val="000000"/>
                <w:spacing w:val="0"/>
                <w:w w:val="100"/>
                <w:position w:val="0"/>
                <w:sz w:val="18"/>
                <w:szCs w:val="18"/>
              </w:rPr>
              <w:t>i</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十提比例</w:t>
            </w:r>
          </w:p>
        </w:tc>
      </w:tr>
      <w:tr>
        <w:trPr>
          <w:trHeight w:val="3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526,929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(18,709)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570,416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(25,145)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一到二年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192,280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(6,828)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74,340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(3,892)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二到三年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44,707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(6,848)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100,400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(19,720)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三到四年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24,361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(3,732)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19,850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(3,899)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5,528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(5,528)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16,723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(16,723)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100%</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46,446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(46,446)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28,485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(28,485)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100%</w:t>
            </w:r>
          </w:p>
        </w:tc>
      </w:tr>
      <w:tr>
        <w:trPr>
          <w:trHeight w:val="45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840,251</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(88,091)</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810,214</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(97,864)</w:t>
            </w:r>
          </w:p>
        </w:tc>
        <w:tc>
          <w:tcPr>
            <w:tcBorders/>
            <w:shd w:val="clear" w:color="auto" w:fill="FFFFFF"/>
            <w:vAlign w:val="top"/>
          </w:tcPr>
          <w:p>
            <w:pPr>
              <w:widowControl w:val="0"/>
              <w:rPr>
                <w:sz w:val="10"/>
                <w:szCs w:val="10"/>
              </w:rPr>
            </w:pPr>
          </w:p>
        </w:tc>
      </w:tr>
    </w:tbl>
    <w:p>
      <w:pPr>
        <w:widowControl w:val="0"/>
        <w:spacing w:after="239" w:line="1" w:lineRule="exact"/>
      </w:pPr>
    </w:p>
    <w:p>
      <w:pPr>
        <w:pStyle w:val="Style72"/>
        <w:keepNext w:val="0"/>
        <w:keepLines w:val="0"/>
        <w:widowControl w:val="0"/>
        <w:numPr>
          <w:ilvl w:val="0"/>
          <w:numId w:val="81"/>
        </w:numPr>
        <w:shd w:val="clear" w:color="auto" w:fill="auto"/>
        <w:tabs>
          <w:tab w:pos="705" w:val="left"/>
        </w:tabs>
        <w:bidi w:val="0"/>
        <w:spacing w:before="0" w:after="240" w:line="326" w:lineRule="exact"/>
        <w:ind w:left="700" w:right="0" w:hanging="700"/>
        <w:jc w:val="left"/>
      </w:pPr>
      <w:bookmarkStart w:id="910" w:name="bookmark910"/>
      <w:bookmarkEnd w:id="910"/>
      <w:r>
        <w:rPr>
          <w:color w:val="000000"/>
          <w:spacing w:val="0"/>
          <w:w w:val="100"/>
          <w:position w:val="0"/>
          <w:sz w:val="24"/>
          <w:szCs w:val="24"/>
        </w:rPr>
        <w:t>本年度计提的坏账准备金额约人民币</w:t>
      </w:r>
      <w:r>
        <w:rPr>
          <w:rFonts w:ascii="Arial" w:eastAsia="Arial" w:hAnsi="Arial" w:cs="Arial"/>
          <w:color w:val="000000"/>
          <w:spacing w:val="0"/>
          <w:w w:val="100"/>
          <w:position w:val="0"/>
          <w:sz w:val="24"/>
          <w:szCs w:val="24"/>
        </w:rPr>
        <w:t>5.36</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年：约人民币</w:t>
      </w:r>
      <w:r>
        <w:rPr>
          <w:rFonts w:ascii="Arial" w:eastAsia="Arial" w:hAnsi="Arial" w:cs="Arial"/>
          <w:color w:val="000000"/>
          <w:spacing w:val="0"/>
          <w:w w:val="100"/>
          <w:position w:val="0"/>
          <w:sz w:val="24"/>
          <w:szCs w:val="24"/>
        </w:rPr>
        <w:t>4,533</w:t>
      </w:r>
      <w:r>
        <w:rPr>
          <w:color w:val="000000"/>
          <w:spacing w:val="0"/>
          <w:w w:val="100"/>
          <w:position w:val="0"/>
          <w:sz w:val="24"/>
          <w:szCs w:val="24"/>
        </w:rPr>
        <w:t>万 元</w:t>
      </w:r>
      <w:r>
        <w:rPr>
          <w:rFonts w:ascii="Arial" w:eastAsia="Arial" w:hAnsi="Arial" w:cs="Arial"/>
          <w:color w:val="000000"/>
          <w:spacing w:val="0"/>
          <w:w w:val="100"/>
          <w:position w:val="0"/>
          <w:sz w:val="24"/>
          <w:szCs w:val="24"/>
        </w:rPr>
        <w:t>)</w:t>
      </w:r>
      <w:r>
        <w:rPr>
          <w:color w:val="000000"/>
          <w:spacing w:val="0"/>
          <w:w w:val="100"/>
          <w:position w:val="0"/>
          <w:sz w:val="24"/>
          <w:szCs w:val="24"/>
        </w:rPr>
        <w:t>，本年度无重大的收回或转回。</w:t>
      </w:r>
    </w:p>
    <w:p>
      <w:pPr>
        <w:pStyle w:val="Style72"/>
        <w:keepNext w:val="0"/>
        <w:keepLines w:val="0"/>
        <w:widowControl w:val="0"/>
        <w:numPr>
          <w:ilvl w:val="0"/>
          <w:numId w:val="81"/>
        </w:numPr>
        <w:shd w:val="clear" w:color="auto" w:fill="auto"/>
        <w:tabs>
          <w:tab w:pos="705" w:val="left"/>
        </w:tabs>
        <w:bidi w:val="0"/>
        <w:spacing w:before="0" w:after="240" w:line="326" w:lineRule="exact"/>
        <w:ind w:left="700" w:right="0" w:hanging="700"/>
        <w:jc w:val="left"/>
      </w:pPr>
      <w:bookmarkStart w:id="911" w:name="bookmark911"/>
      <w:bookmarkEnd w:id="911"/>
      <w:r>
        <w:rPr>
          <w:color w:val="000000"/>
          <w:spacing w:val="0"/>
          <w:w w:val="100"/>
          <w:position w:val="0"/>
          <w:sz w:val="24"/>
          <w:szCs w:val="24"/>
        </w:rPr>
        <w:t>本年度实际核销的其他应收款约人民币</w:t>
      </w:r>
      <w:r>
        <w:rPr>
          <w:rFonts w:ascii="Arial" w:eastAsia="Arial" w:hAnsi="Arial" w:cs="Arial"/>
          <w:color w:val="000000"/>
          <w:spacing w:val="0"/>
          <w:w w:val="100"/>
          <w:position w:val="0"/>
          <w:sz w:val="24"/>
          <w:szCs w:val="24"/>
        </w:rPr>
        <w:t>5,279</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年：约人民币</w:t>
      </w:r>
      <w:r>
        <w:rPr>
          <w:rFonts w:ascii="Arial" w:eastAsia="Arial" w:hAnsi="Arial" w:cs="Arial"/>
          <w:color w:val="000000"/>
          <w:spacing w:val="0"/>
          <w:w w:val="100"/>
          <w:position w:val="0"/>
          <w:sz w:val="24"/>
          <w:szCs w:val="24"/>
        </w:rPr>
        <w:t xml:space="preserve">3,495 </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，无重大的其他应收款核销。</w:t>
      </w:r>
    </w:p>
    <w:p>
      <w:pPr>
        <w:pStyle w:val="Style72"/>
        <w:keepNext w:val="0"/>
        <w:keepLines w:val="0"/>
        <w:widowControl w:val="0"/>
        <w:numPr>
          <w:ilvl w:val="0"/>
          <w:numId w:val="81"/>
        </w:numPr>
        <w:shd w:val="clear" w:color="auto" w:fill="auto"/>
        <w:tabs>
          <w:tab w:pos="705" w:val="left"/>
        </w:tabs>
        <w:bidi w:val="0"/>
        <w:spacing w:before="0" w:after="240" w:line="326" w:lineRule="exact"/>
        <w:ind w:left="0" w:right="0" w:firstLine="0"/>
        <w:jc w:val="left"/>
      </w:pPr>
      <w:bookmarkStart w:id="912" w:name="bookmark912"/>
      <w:bookmarkEnd w:id="912"/>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日，按欠款方归集的余额前五名的其他应收款分析如下:</w:t>
      </w:r>
    </w:p>
    <w:tbl>
      <w:tblPr>
        <w:tblOverlap w:val="never"/>
        <w:jc w:val="center"/>
        <w:tblLayout w:type="fixed"/>
      </w:tblPr>
      <w:tblGrid>
        <w:gridCol w:w="1680"/>
        <w:gridCol w:w="1848"/>
        <w:gridCol w:w="1051"/>
        <w:gridCol w:w="1080"/>
        <w:gridCol w:w="1402"/>
        <w:gridCol w:w="955"/>
      </w:tblGrid>
      <w:tr>
        <w:trPr>
          <w:trHeight w:val="57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rFonts w:ascii="SimSun" w:eastAsia="SimSun" w:hAnsi="SimSun" w:cs="SimSun"/>
                <w:color w:val="000000"/>
                <w:spacing w:val="0"/>
                <w:w w:val="100"/>
                <w:position w:val="0"/>
                <w:sz w:val="18"/>
                <w:szCs w:val="18"/>
              </w:rPr>
              <w:t>性质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余额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账龄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占其他应收款</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余额总额比例</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坏账准备</w:t>
            </w:r>
          </w:p>
        </w:tc>
      </w:tr>
      <w:tr>
        <w:trPr>
          <w:trHeight w:val="355" w:hRule="exact"/>
        </w:trPr>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B </w:t>
            </w:r>
            <w:r>
              <w:rPr>
                <w:rFonts w:ascii="SimSun" w:eastAsia="SimSun" w:hAnsi="SimSun" w:cs="SimSun"/>
                <w:color w:val="000000"/>
                <w:spacing w:val="0"/>
                <w:w w:val="100"/>
                <w:position w:val="0"/>
                <w:sz w:val="18"/>
                <w:szCs w:val="18"/>
              </w:rPr>
              <w:t>类公司控股股东控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制的子公司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应收股权转让款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618,500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(287,850)</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I</w:t>
            </w:r>
            <w:r>
              <w:rPr>
                <w:rFonts w:ascii="SimSun" w:eastAsia="SimSun" w:hAnsi="SimSun" w:cs="SimSun"/>
                <w:color w:val="000000"/>
                <w:spacing w:val="0"/>
                <w:w w:val="100"/>
                <w:position w:val="0"/>
                <w:sz w:val="18"/>
                <w:szCs w:val="18"/>
              </w:rPr>
              <w:t>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应收股利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181,835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(927)</w:t>
            </w:r>
          </w:p>
        </w:tc>
      </w:tr>
      <w:tr>
        <w:trPr>
          <w:trHeight w:val="25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J</w:t>
            </w:r>
            <w:r>
              <w:rPr>
                <w:rFonts w:ascii="SimSun" w:eastAsia="SimSun" w:hAnsi="SimSun" w:cs="SimSun"/>
                <w:color w:val="000000"/>
                <w:spacing w:val="0"/>
                <w:w w:val="100"/>
                <w:position w:val="0"/>
                <w:sz w:val="18"/>
                <w:szCs w:val="18"/>
              </w:rPr>
              <w:t>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应收房产转让款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110,000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一年以内</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(157)</w:t>
            </w:r>
          </w:p>
        </w:tc>
      </w:tr>
    </w:tbl>
    <w:p>
      <w:pPr>
        <w:pStyle w:val="Style26"/>
        <w:keepNext w:val="0"/>
        <w:keepLines w:val="0"/>
        <w:widowControl w:val="0"/>
        <w:shd w:val="clear" w:color="auto" w:fill="auto"/>
        <w:bidi w:val="0"/>
        <w:spacing w:before="0" w:after="0" w:line="240" w:lineRule="auto"/>
        <w:ind w:left="10" w:right="0" w:firstLine="0"/>
        <w:jc w:val="left"/>
        <w:rPr>
          <w:sz w:val="18"/>
          <w:szCs w:val="18"/>
        </w:rPr>
      </w:pPr>
      <w:r>
        <w:rPr>
          <w:rFonts w:ascii="Arial" w:eastAsia="Arial" w:hAnsi="Arial" w:cs="Arial"/>
          <w:color w:val="000000"/>
          <w:spacing w:val="0"/>
          <w:w w:val="100"/>
          <w:position w:val="0"/>
          <w:sz w:val="18"/>
          <w:szCs w:val="18"/>
        </w:rPr>
        <w:t>B</w:t>
      </w:r>
      <w:r>
        <w:rPr>
          <w:color w:val="000000"/>
          <w:spacing w:val="0"/>
          <w:w w:val="100"/>
          <w:position w:val="0"/>
          <w:sz w:val="18"/>
          <w:szCs w:val="18"/>
        </w:rPr>
        <w:t>类公司控股股东控</w:t>
      </w:r>
    </w:p>
    <w:tbl>
      <w:tblPr>
        <w:tblOverlap w:val="never"/>
        <w:jc w:val="right"/>
        <w:tblLayout w:type="fixed"/>
      </w:tblPr>
      <w:tblGrid>
        <w:gridCol w:w="1402"/>
        <w:gridCol w:w="1838"/>
        <w:gridCol w:w="1330"/>
        <w:gridCol w:w="1440"/>
        <w:gridCol w:w="1051"/>
        <w:gridCol w:w="1003"/>
      </w:tblGrid>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制的子公司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应收工程款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77,371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(2,569)</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K</w:t>
            </w:r>
            <w:r>
              <w:rPr>
                <w:rFonts w:ascii="SimSun" w:eastAsia="SimSun" w:hAnsi="SimSun" w:cs="SimSun"/>
                <w:color w:val="000000"/>
                <w:spacing w:val="0"/>
                <w:w w:val="100"/>
                <w:position w:val="0"/>
                <w:sz w:val="18"/>
                <w:szCs w:val="18"/>
              </w:rPr>
              <w:t>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应收房产转让款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33,667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一到两年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(1,195)</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1,021,373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50%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(292,698)</w:t>
            </w:r>
          </w:p>
        </w:tc>
      </w:tr>
    </w:tbl>
    <w:p>
      <w:pPr>
        <w:sectPr>
          <w:footnotePr>
            <w:pos w:val="pageBottom"/>
            <w:numFmt w:val="decimal"/>
            <w:numStart w:val="1"/>
            <w:numRestart w:val="continuous"/>
            <w15:footnoteColumns w:val="1"/>
          </w:footnotePr>
          <w:pgSz w:w="11900" w:h="16840"/>
          <w:pgMar w:top="2338" w:right="1297" w:bottom="2338" w:left="1709" w:header="0" w:footer="3" w:gutter="0"/>
          <w:cols w:space="720"/>
          <w:noEndnote/>
          <w:rtlGutter w:val="0"/>
          <w:docGrid w:linePitch="360"/>
        </w:sectPr>
      </w:pPr>
    </w:p>
    <w:p>
      <w:pPr>
        <w:pStyle w:val="Style72"/>
        <w:keepNext w:val="0"/>
        <w:keepLines w:val="0"/>
        <w:widowControl w:val="0"/>
        <w:shd w:val="clear" w:color="auto" w:fill="auto"/>
        <w:tabs>
          <w:tab w:pos="692" w:val="left"/>
        </w:tabs>
        <w:bidi w:val="0"/>
        <w:spacing w:before="0" w:after="28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2" w:val="left"/>
        </w:tabs>
        <w:bidi w:val="0"/>
        <w:spacing w:before="0" w:after="280" w:line="240" w:lineRule="auto"/>
        <w:ind w:left="0" w:right="0" w:firstLine="0"/>
        <w:jc w:val="left"/>
      </w:pPr>
      <w:r>
        <w:rPr>
          <w:b/>
          <w:bCs/>
          <w:color w:val="000000"/>
          <w:spacing w:val="0"/>
          <w:w w:val="100"/>
          <w:position w:val="0"/>
          <w:sz w:val="24"/>
          <w:szCs w:val="24"/>
        </w:rPr>
        <w:t>⑺</w:t>
        <w:tab/>
        <w:t>存货</w:t>
      </w:r>
    </w:p>
    <w:p>
      <w:pPr>
        <w:pStyle w:val="Style72"/>
        <w:keepNext w:val="0"/>
        <w:keepLines w:val="0"/>
        <w:widowControl w:val="0"/>
        <w:numPr>
          <w:ilvl w:val="0"/>
          <w:numId w:val="83"/>
        </w:numPr>
        <w:shd w:val="clear" w:color="auto" w:fill="auto"/>
        <w:tabs>
          <w:tab w:pos="692" w:val="left"/>
        </w:tabs>
        <w:bidi w:val="0"/>
        <w:spacing w:before="0" w:after="280" w:line="240" w:lineRule="auto"/>
        <w:ind w:left="0" w:right="0" w:firstLine="0"/>
        <w:jc w:val="left"/>
      </w:pPr>
      <w:bookmarkStart w:id="913" w:name="bookmark913"/>
      <w:bookmarkEnd w:id="913"/>
      <w:r>
        <w:rPr>
          <w:color w:val="000000"/>
          <w:spacing w:val="0"/>
          <w:w w:val="100"/>
          <w:position w:val="0"/>
          <w:sz w:val="24"/>
          <w:szCs w:val="24"/>
        </w:rPr>
        <w:t>存货分类如下：</w:t>
      </w:r>
    </w:p>
    <w:p>
      <w:pPr>
        <w:pStyle w:val="Style26"/>
        <w:keepNext w:val="0"/>
        <w:keepLines w:val="0"/>
        <w:widowControl w:val="0"/>
        <w:shd w:val="clear" w:color="auto" w:fill="auto"/>
        <w:tabs>
          <w:tab w:pos="5755" w:val="left"/>
        </w:tabs>
        <w:bidi w:val="0"/>
        <w:spacing w:before="0" w:after="0" w:line="240" w:lineRule="auto"/>
        <w:ind w:left="2525" w:right="0" w:firstLine="0"/>
        <w:jc w:val="left"/>
        <w:rPr>
          <w:sz w:val="15"/>
          <w:szCs w:val="15"/>
        </w:rPr>
      </w:pPr>
      <w:r>
        <w:rPr>
          <w:rFonts w:ascii="Arial" w:eastAsia="Arial" w:hAnsi="Arial" w:cs="Arial"/>
          <w:color w:val="000000"/>
          <w:spacing w:val="0"/>
          <w:w w:val="100"/>
          <w:position w:val="0"/>
          <w:sz w:val="16"/>
          <w:szCs w:val="16"/>
        </w:rPr>
        <w:t>2021</w:t>
      </w:r>
      <w:r>
        <w:rPr>
          <w:color w:val="000000"/>
          <w:spacing w:val="0"/>
          <w:w w:val="100"/>
          <w:position w:val="0"/>
          <w:sz w:val="15"/>
          <w:szCs w:val="15"/>
        </w:rPr>
        <w:t>年</w:t>
      </w:r>
      <w:r>
        <w:rPr>
          <w:rFonts w:ascii="Arial" w:eastAsia="Arial" w:hAnsi="Arial" w:cs="Arial"/>
          <w:color w:val="000000"/>
          <w:spacing w:val="0"/>
          <w:w w:val="100"/>
          <w:position w:val="0"/>
          <w:sz w:val="16"/>
          <w:szCs w:val="16"/>
        </w:rPr>
        <w:t>12</w:t>
      </w:r>
      <w:r>
        <w:rPr>
          <w:color w:val="000000"/>
          <w:spacing w:val="0"/>
          <w:w w:val="100"/>
          <w:position w:val="0"/>
          <w:sz w:val="15"/>
          <w:szCs w:val="15"/>
        </w:rPr>
        <w:t>月</w:t>
      </w:r>
      <w:r>
        <w:rPr>
          <w:rFonts w:ascii="Arial" w:eastAsia="Arial" w:hAnsi="Arial" w:cs="Arial"/>
          <w:color w:val="000000"/>
          <w:spacing w:val="0"/>
          <w:w w:val="100"/>
          <w:position w:val="0"/>
          <w:sz w:val="16"/>
          <w:szCs w:val="16"/>
        </w:rPr>
        <w:t>31</w:t>
      </w:r>
      <w:r>
        <w:rPr>
          <w:color w:val="000000"/>
          <w:spacing w:val="0"/>
          <w:w w:val="100"/>
          <w:position w:val="0"/>
          <w:sz w:val="15"/>
          <w:szCs w:val="15"/>
        </w:rPr>
        <w:t>日</w:t>
        <w:tab/>
      </w:r>
      <w:r>
        <w:rPr>
          <w:rFonts w:ascii="Arial" w:eastAsia="Arial" w:hAnsi="Arial" w:cs="Arial"/>
          <w:color w:val="000000"/>
          <w:spacing w:val="0"/>
          <w:w w:val="100"/>
          <w:position w:val="0"/>
          <w:sz w:val="16"/>
          <w:szCs w:val="16"/>
        </w:rPr>
        <w:t>2020</w:t>
      </w:r>
      <w:r>
        <w:rPr>
          <w:color w:val="000000"/>
          <w:spacing w:val="0"/>
          <w:w w:val="100"/>
          <w:position w:val="0"/>
          <w:sz w:val="15"/>
          <w:szCs w:val="15"/>
        </w:rPr>
        <w:t>年</w:t>
      </w:r>
      <w:r>
        <w:rPr>
          <w:rFonts w:ascii="Arial" w:eastAsia="Arial" w:hAnsi="Arial" w:cs="Arial"/>
          <w:color w:val="000000"/>
          <w:spacing w:val="0"/>
          <w:w w:val="100"/>
          <w:position w:val="0"/>
          <w:sz w:val="16"/>
          <w:szCs w:val="16"/>
        </w:rPr>
        <w:t>12</w:t>
      </w:r>
      <w:r>
        <w:rPr>
          <w:color w:val="000000"/>
          <w:spacing w:val="0"/>
          <w:w w:val="100"/>
          <w:position w:val="0"/>
          <w:sz w:val="15"/>
          <w:szCs w:val="15"/>
        </w:rPr>
        <w:t>月</w:t>
      </w:r>
      <w:r>
        <w:rPr>
          <w:rFonts w:ascii="Arial" w:eastAsia="Arial" w:hAnsi="Arial" w:cs="Arial"/>
          <w:color w:val="000000"/>
          <w:spacing w:val="0"/>
          <w:w w:val="100"/>
          <w:position w:val="0"/>
          <w:sz w:val="16"/>
          <w:szCs w:val="16"/>
        </w:rPr>
        <w:t>31</w:t>
      </w:r>
      <w:r>
        <w:rPr>
          <w:color w:val="000000"/>
          <w:spacing w:val="0"/>
          <w:w w:val="100"/>
          <w:position w:val="0"/>
          <w:sz w:val="15"/>
          <w:szCs w:val="15"/>
        </w:rPr>
        <w:t>日</w:t>
      </w:r>
    </w:p>
    <w:tbl>
      <w:tblPr>
        <w:tblOverlap w:val="never"/>
        <w:jc w:val="right"/>
        <w:tblLayout w:type="fixed"/>
      </w:tblPr>
      <w:tblGrid>
        <w:gridCol w:w="1445"/>
        <w:gridCol w:w="1320"/>
        <w:gridCol w:w="1013"/>
        <w:gridCol w:w="1056"/>
        <w:gridCol w:w="1166"/>
        <w:gridCol w:w="1008"/>
        <w:gridCol w:w="1066"/>
      </w:tblGrid>
      <w:tr>
        <w:trPr>
          <w:trHeight w:val="571"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账面余额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11" w:lineRule="exact"/>
              <w:ind w:left="0" w:right="0" w:firstLine="0"/>
              <w:jc w:val="right"/>
              <w:rPr>
                <w:sz w:val="15"/>
                <w:szCs w:val="15"/>
              </w:rPr>
            </w:pPr>
            <w:r>
              <w:rPr>
                <w:rFonts w:ascii="SimSun" w:eastAsia="SimSun" w:hAnsi="SimSun" w:cs="SimSun"/>
                <w:color w:val="000000"/>
                <w:spacing w:val="0"/>
                <w:w w:val="100"/>
                <w:position w:val="0"/>
                <w:sz w:val="15"/>
                <w:szCs w:val="15"/>
              </w:rPr>
              <w:t>存货跌价 准备</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账面价值</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5"/>
                <w:szCs w:val="15"/>
              </w:rPr>
            </w:pPr>
            <w:r>
              <w:rPr>
                <w:rFonts w:ascii="SimSun" w:eastAsia="SimSun" w:hAnsi="SimSun" w:cs="SimSun"/>
                <w:color w:val="000000"/>
                <w:spacing w:val="0"/>
                <w:w w:val="100"/>
                <w:position w:val="0"/>
                <w:sz w:val="15"/>
                <w:szCs w:val="15"/>
              </w:rPr>
              <w:t>账面余额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存货跌价</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准备</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账面价值</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库存商品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12,221,887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(128,506)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12,093,381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23,963,132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(561,137)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23,401,995</w:t>
            </w:r>
          </w:p>
        </w:tc>
      </w:tr>
      <w:tr>
        <w:trPr>
          <w:trHeight w:val="23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房地产开发产品</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120,864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120,864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121,269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121,269</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安装维修用备件</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48,288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48,288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59,787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59,787</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合同履约成本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27,358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27,358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48,229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48,229</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房地产开发成本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620,463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620,463</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12,418,397</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(128,506)</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12,289,891</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24,812,880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(561,137)</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24,251,743</w:t>
            </w:r>
          </w:p>
        </w:tc>
      </w:tr>
    </w:tbl>
    <w:p>
      <w:pPr>
        <w:widowControl w:val="0"/>
        <w:spacing w:after="179" w:line="1" w:lineRule="exact"/>
      </w:pPr>
    </w:p>
    <w:p>
      <w:pPr>
        <w:pStyle w:val="Style72"/>
        <w:keepNext w:val="0"/>
        <w:keepLines w:val="0"/>
        <w:widowControl w:val="0"/>
        <w:shd w:val="clear" w:color="auto" w:fill="auto"/>
        <w:tabs>
          <w:tab w:pos="692" w:val="left"/>
        </w:tabs>
        <w:bidi w:val="0"/>
        <w:spacing w:before="0" w:after="0" w:line="307" w:lineRule="exact"/>
        <w:ind w:left="0" w:right="0" w:firstLine="0"/>
        <w:jc w:val="left"/>
      </w:pPr>
      <w:r>
        <w:rPr>
          <w:color w:val="000000"/>
          <w:spacing w:val="0"/>
          <w:w w:val="100"/>
          <w:position w:val="0"/>
          <w:sz w:val="24"/>
          <w:szCs w:val="24"/>
        </w:rPr>
        <w:t>⑴</w:t>
        <w:tab/>
        <w:t>合同履约成本的账面余额主要为给客户提供延保服务之前，且为履行延保服</w:t>
      </w:r>
    </w:p>
    <w:p>
      <w:pPr>
        <w:pStyle w:val="Style72"/>
        <w:keepNext w:val="0"/>
        <w:keepLines w:val="0"/>
        <w:widowControl w:val="0"/>
        <w:shd w:val="clear" w:color="auto" w:fill="auto"/>
        <w:bidi w:val="0"/>
        <w:spacing w:before="0" w:after="280" w:line="307" w:lineRule="exact"/>
        <w:ind w:left="800" w:right="0" w:firstLine="0"/>
        <w:jc w:val="both"/>
      </w:pPr>
      <w:r>
        <w:rPr>
          <w:color w:val="000000"/>
          <w:spacing w:val="0"/>
          <w:w w:val="100"/>
          <w:position w:val="0"/>
          <w:sz w:val="24"/>
          <w:szCs w:val="24"/>
        </w:rPr>
        <w:t>务合同而发生的保险支出。</w:t>
      </w:r>
      <w:r>
        <w:rPr>
          <w:rFonts w:ascii="Arial" w:eastAsia="Arial" w:hAnsi="Arial" w:cs="Arial"/>
          <w:color w:val="000000"/>
          <w:spacing w:val="0"/>
          <w:w w:val="100"/>
          <w:position w:val="0"/>
          <w:sz w:val="24"/>
          <w:szCs w:val="24"/>
        </w:rPr>
        <w:t>2021</w:t>
      </w:r>
      <w:r>
        <w:rPr>
          <w:color w:val="000000"/>
          <w:spacing w:val="0"/>
          <w:w w:val="100"/>
          <w:position w:val="0"/>
          <w:sz w:val="24"/>
          <w:szCs w:val="24"/>
        </w:rPr>
        <w:t>年度，合同履约成本摊销计入营业成本的总 额约人民币</w:t>
      </w:r>
      <w:r>
        <w:rPr>
          <w:rFonts w:ascii="Arial" w:eastAsia="Arial" w:hAnsi="Arial" w:cs="Arial"/>
          <w:color w:val="000000"/>
          <w:spacing w:val="0"/>
          <w:w w:val="100"/>
          <w:position w:val="0"/>
          <w:sz w:val="24"/>
          <w:szCs w:val="24"/>
        </w:rPr>
        <w:t>8,400</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年度：人民币</w:t>
      </w:r>
      <w:r>
        <w:rPr>
          <w:rFonts w:ascii="Arial" w:eastAsia="Arial" w:hAnsi="Arial" w:cs="Arial"/>
          <w:color w:val="000000"/>
          <w:spacing w:val="0"/>
          <w:w w:val="100"/>
          <w:position w:val="0"/>
          <w:sz w:val="24"/>
          <w:szCs w:val="24"/>
        </w:rPr>
        <w:t>6,757</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80" w:line="314" w:lineRule="exact"/>
        <w:ind w:left="800" w:right="0" w:hanging="800"/>
        <w:jc w:val="both"/>
      </w:pPr>
      <w:r>
        <w:rPr>
          <w:rFonts w:ascii="Arial" w:eastAsia="Arial" w:hAnsi="Arial" w:cs="Arial"/>
          <w:color w:val="000000"/>
          <w:spacing w:val="0"/>
          <w:w w:val="100"/>
          <w:position w:val="0"/>
          <w:sz w:val="24"/>
          <w:szCs w:val="24"/>
        </w:rPr>
        <w:t xml:space="preserve">(ii) </w:t>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日，本集团将约人民币</w:t>
      </w:r>
      <w:r>
        <w:rPr>
          <w:rFonts w:ascii="Arial" w:eastAsia="Arial" w:hAnsi="Arial" w:cs="Arial"/>
          <w:color w:val="000000"/>
          <w:spacing w:val="0"/>
          <w:w w:val="100"/>
          <w:position w:val="0"/>
          <w:sz w:val="24"/>
          <w:szCs w:val="24"/>
        </w:rPr>
        <w:t>9,961</w:t>
      </w:r>
      <w:r>
        <w:rPr>
          <w:color w:val="000000"/>
          <w:spacing w:val="0"/>
          <w:w w:val="100"/>
          <w:position w:val="0"/>
          <w:sz w:val="24"/>
          <w:szCs w:val="24"/>
        </w:rPr>
        <w:t>万元的房地产开发产品抵 押给甲公司作为其为本公司借款提供担保的抵押物</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 人民币</w:t>
      </w:r>
      <w:r>
        <w:rPr>
          <w:rFonts w:ascii="Arial" w:eastAsia="Arial" w:hAnsi="Arial" w:cs="Arial"/>
          <w:color w:val="000000"/>
          <w:spacing w:val="0"/>
          <w:w w:val="100"/>
          <w:position w:val="0"/>
          <w:sz w:val="24"/>
          <w:szCs w:val="24"/>
        </w:rPr>
        <w:t>4.38</w:t>
      </w:r>
      <w:r>
        <w:rPr>
          <w:color w:val="000000"/>
          <w:spacing w:val="0"/>
          <w:w w:val="100"/>
          <w:position w:val="0"/>
          <w:sz w:val="24"/>
          <w:szCs w:val="24"/>
        </w:rPr>
        <w:t>亿元的库存商品质押给银行作为短期借款的质押物</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附注四 </w:t>
      </w:r>
      <w:r>
        <w:rPr>
          <w:rFonts w:ascii="Arial" w:eastAsia="Arial" w:hAnsi="Arial" w:cs="Arial"/>
          <w:color w:val="000000"/>
          <w:spacing w:val="0"/>
          <w:w w:val="100"/>
          <w:position w:val="0"/>
          <w:sz w:val="24"/>
          <w:szCs w:val="24"/>
        </w:rPr>
        <w:t>(24))</w:t>
      </w:r>
      <w:r>
        <w:rPr>
          <w:color w:val="000000"/>
          <w:spacing w:val="0"/>
          <w:w w:val="100"/>
          <w:position w:val="0"/>
          <w:sz w:val="24"/>
          <w:szCs w:val="24"/>
        </w:rPr>
        <w:t>。</w:t>
      </w:r>
    </w:p>
    <w:p>
      <w:pPr>
        <w:pStyle w:val="Style72"/>
        <w:keepNext w:val="0"/>
        <w:keepLines w:val="0"/>
        <w:widowControl w:val="0"/>
        <w:numPr>
          <w:ilvl w:val="0"/>
          <w:numId w:val="83"/>
        </w:numPr>
        <w:shd w:val="clear" w:color="auto" w:fill="auto"/>
        <w:tabs>
          <w:tab w:pos="692" w:val="left"/>
        </w:tabs>
        <w:bidi w:val="0"/>
        <w:spacing w:before="0" w:after="280" w:line="276" w:lineRule="auto"/>
        <w:ind w:left="0" w:right="0" w:firstLine="0"/>
        <w:jc w:val="left"/>
      </w:pPr>
      <w:bookmarkStart w:id="914" w:name="bookmark914"/>
      <w:bookmarkEnd w:id="914"/>
      <w:r>
        <w:rPr>
          <w:color w:val="000000"/>
          <w:spacing w:val="0"/>
          <w:w w:val="100"/>
          <w:position w:val="0"/>
          <w:sz w:val="24"/>
          <w:szCs w:val="24"/>
        </w:rPr>
        <w:t>存货跌价准备及合同履约成本减值准备分析如下：</w:t>
      </w:r>
    </w:p>
    <w:tbl>
      <w:tblPr>
        <w:tblOverlap w:val="never"/>
        <w:jc w:val="right"/>
        <w:tblLayout w:type="fixed"/>
      </w:tblPr>
      <w:tblGrid>
        <w:gridCol w:w="1445"/>
        <w:gridCol w:w="2170"/>
        <w:gridCol w:w="1378"/>
        <w:gridCol w:w="1334"/>
        <w:gridCol w:w="1666"/>
      </w:tblGrid>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本年计提</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本年转销</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库存商品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6"/>
                <w:szCs w:val="16"/>
              </w:rPr>
            </w:pPr>
            <w:r>
              <w:rPr>
                <w:rFonts w:ascii="Arial" w:eastAsia="Arial" w:hAnsi="Arial" w:cs="Arial"/>
                <w:color w:val="000000"/>
                <w:spacing w:val="0"/>
                <w:w w:val="100"/>
                <w:position w:val="0"/>
                <w:sz w:val="16"/>
                <w:szCs w:val="16"/>
              </w:rPr>
              <w:t>561,137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45,560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(478,191)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128,506</w:t>
            </w:r>
          </w:p>
        </w:tc>
      </w:tr>
      <w:tr>
        <w:trPr>
          <w:trHeight w:val="22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合同履约成本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6"/>
                <w:szCs w:val="16"/>
              </w:rPr>
            </w:pPr>
            <w:r>
              <w:rPr>
                <w:rFonts w:ascii="Arial" w:eastAsia="Arial" w:hAnsi="Arial" w:cs="Arial"/>
                <w:color w:val="000000"/>
                <w:spacing w:val="0"/>
                <w:w w:val="100"/>
                <w:position w:val="0"/>
                <w:sz w:val="16"/>
                <w:szCs w:val="16"/>
              </w:rPr>
              <w:t>561,137</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45,560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(478,191)</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128,506</w:t>
            </w:r>
          </w:p>
        </w:tc>
      </w:tr>
    </w:tbl>
    <w:p>
      <w:pPr>
        <w:widowControl w:val="0"/>
        <w:spacing w:after="279" w:line="1" w:lineRule="exact"/>
      </w:pPr>
    </w:p>
    <w:p>
      <w:pPr>
        <w:pStyle w:val="Style72"/>
        <w:keepNext w:val="0"/>
        <w:keepLines w:val="0"/>
        <w:widowControl w:val="0"/>
        <w:numPr>
          <w:ilvl w:val="0"/>
          <w:numId w:val="83"/>
        </w:numPr>
        <w:shd w:val="clear" w:color="auto" w:fill="auto"/>
        <w:tabs>
          <w:tab w:pos="692" w:val="left"/>
        </w:tabs>
        <w:bidi w:val="0"/>
        <w:spacing w:before="0" w:after="0" w:line="240" w:lineRule="auto"/>
        <w:ind w:left="0" w:right="0" w:firstLine="0"/>
        <w:jc w:val="left"/>
      </w:pPr>
      <w:bookmarkStart w:id="915" w:name="bookmark915"/>
      <w:bookmarkEnd w:id="915"/>
      <w:r>
        <w:rPr>
          <w:color w:val="000000"/>
          <w:spacing w:val="0"/>
          <w:w w:val="100"/>
          <w:position w:val="0"/>
          <w:sz w:val="24"/>
          <w:szCs w:val="24"/>
        </w:rPr>
        <w:t>存货跌价准备情况如下:</w:t>
      </w:r>
    </w:p>
    <w:p>
      <w:pPr>
        <w:widowControl w:val="0"/>
        <w:spacing w:line="1" w:lineRule="exact"/>
        <w:sectPr>
          <w:footnotePr>
            <w:pos w:val="pageBottom"/>
            <w:numFmt w:val="decimal"/>
            <w:numStart w:val="1"/>
            <w:numRestart w:val="continuous"/>
            <w15:footnoteColumns w:val="1"/>
          </w:footnotePr>
          <w:pgSz w:w="11900" w:h="16840"/>
          <w:pgMar w:top="2338" w:right="1403" w:bottom="1517" w:left="1709" w:header="0" w:footer="3" w:gutter="0"/>
          <w:cols w:space="720"/>
          <w:noEndnote/>
          <w:rtlGutter w:val="0"/>
          <w:docGrid w:linePitch="360"/>
        </w:sectPr>
      </w:pPr>
      <w:r>
        <mc:AlternateContent>
          <mc:Choice Requires="wps">
            <w:drawing>
              <wp:anchor distT="88900" distB="0" distL="0" distR="0" simplePos="0" relativeHeight="125829412" behindDoc="0" locked="0" layoutInCell="1" allowOverlap="1">
                <wp:simplePos x="0" y="0"/>
                <wp:positionH relativeFrom="page">
                  <wp:posOffset>3559810</wp:posOffset>
                </wp:positionH>
                <wp:positionV relativeFrom="paragraph">
                  <wp:posOffset>88900</wp:posOffset>
                </wp:positionV>
                <wp:extent cx="1243330" cy="402590"/>
                <wp:wrapTopAndBottom/>
                <wp:docPr id="60" name="Shape 60"/>
                <a:graphic xmlns:a="http://schemas.openxmlformats.org/drawingml/2006/main">
                  <a:graphicData uri="http://schemas.microsoft.com/office/word/2010/wordprocessingShape">
                    <wps:wsp>
                      <wps:cNvSpPr txBox="1"/>
                      <wps:spPr>
                        <a:xfrm>
                          <a:ext cx="1243330" cy="402590"/>
                        </a:xfrm>
                        <a:prstGeom prst="rect"/>
                        <a:noFill/>
                      </wps:spPr>
                      <wps:txbx>
                        <w:txbxContent>
                          <w:p>
                            <w:pPr>
                              <w:pStyle w:val="Style72"/>
                              <w:keepNext w:val="0"/>
                              <w:keepLines w:val="0"/>
                              <w:widowControl w:val="0"/>
                              <w:shd w:val="clear" w:color="auto" w:fill="auto"/>
                              <w:bidi w:val="0"/>
                              <w:spacing w:before="0" w:after="0" w:line="307" w:lineRule="exact"/>
                              <w:ind w:left="0" w:right="0" w:firstLine="0"/>
                              <w:jc w:val="right"/>
                            </w:pPr>
                            <w:r>
                              <w:rPr>
                                <w:color w:val="000000"/>
                                <w:spacing w:val="0"/>
                                <w:w w:val="100"/>
                                <w:position w:val="0"/>
                                <w:sz w:val="24"/>
                                <w:szCs w:val="24"/>
                              </w:rPr>
                              <w:t>确定可变现净值的 具体依据</w:t>
                            </w:r>
                          </w:p>
                        </w:txbxContent>
                      </wps:txbx>
                      <wps:bodyPr lIns="0" tIns="0" rIns="0" bIns="0">
                        <a:noAutoFit/>
                      </wps:bodyPr>
                    </wps:wsp>
                  </a:graphicData>
                </a:graphic>
              </wp:anchor>
            </w:drawing>
          </mc:Choice>
          <mc:Fallback>
            <w:pict>
              <v:shape id="_x0000_s1086" type="#_x0000_t202" style="position:absolute;margin-left:280.30000000000001pt;margin-top:7.pt;width:97.900000000000006pt;height:31.699999999999999pt;z-index:-125829341;mso-wrap-distance-left:0;mso-wrap-distance-top:7.pt;mso-wrap-distance-right:0;mso-position-horizontal-relative:page" filled="f" stroked="f">
                <v:textbox inset="0,0,0,0">
                  <w:txbxContent>
                    <w:p>
                      <w:pPr>
                        <w:pStyle w:val="Style72"/>
                        <w:keepNext w:val="0"/>
                        <w:keepLines w:val="0"/>
                        <w:widowControl w:val="0"/>
                        <w:shd w:val="clear" w:color="auto" w:fill="auto"/>
                        <w:bidi w:val="0"/>
                        <w:spacing w:before="0" w:after="0" w:line="307" w:lineRule="exact"/>
                        <w:ind w:left="0" w:right="0" w:firstLine="0"/>
                        <w:jc w:val="right"/>
                      </w:pPr>
                      <w:r>
                        <w:rPr>
                          <w:color w:val="000000"/>
                          <w:spacing w:val="0"/>
                          <w:w w:val="100"/>
                          <w:position w:val="0"/>
                          <w:sz w:val="24"/>
                          <w:szCs w:val="24"/>
                        </w:rPr>
                        <w:t>确定可变现净值的 具体依据</w:t>
                      </w:r>
                    </w:p>
                  </w:txbxContent>
                </v:textbox>
                <w10:wrap type="topAndBottom" anchorx="page"/>
              </v:shape>
            </w:pict>
          </mc:Fallback>
        </mc:AlternateContent>
      </w:r>
      <w:r>
        <mc:AlternateContent>
          <mc:Choice Requires="wps">
            <w:drawing>
              <wp:anchor distT="100965" distB="6350" distL="0" distR="0" simplePos="0" relativeHeight="125829414" behindDoc="0" locked="0" layoutInCell="1" allowOverlap="1">
                <wp:simplePos x="0" y="0"/>
                <wp:positionH relativeFrom="page">
                  <wp:posOffset>5483225</wp:posOffset>
                </wp:positionH>
                <wp:positionV relativeFrom="paragraph">
                  <wp:posOffset>100965</wp:posOffset>
                </wp:positionV>
                <wp:extent cx="1088390" cy="384175"/>
                <wp:wrapTopAndBottom/>
                <wp:docPr id="62" name="Shape 62"/>
                <a:graphic xmlns:a="http://schemas.openxmlformats.org/drawingml/2006/main">
                  <a:graphicData uri="http://schemas.microsoft.com/office/word/2010/wordprocessingShape">
                    <wps:wsp>
                      <wps:cNvSpPr txBox="1"/>
                      <wps:spPr>
                        <a:xfrm>
                          <a:ext cx="1088390" cy="384175"/>
                        </a:xfrm>
                        <a:prstGeom prst="rect"/>
                        <a:noFill/>
                      </wps:spPr>
                      <wps:txbx>
                        <w:txbxContent>
                          <w:p>
                            <w:pPr>
                              <w:pStyle w:val="Style72"/>
                              <w:keepNext w:val="0"/>
                              <w:keepLines w:val="0"/>
                              <w:widowControl w:val="0"/>
                              <w:shd w:val="clear" w:color="auto" w:fill="auto"/>
                              <w:bidi w:val="0"/>
                              <w:spacing w:before="0" w:after="0" w:line="293" w:lineRule="exact"/>
                              <w:ind w:left="0" w:right="0" w:firstLine="0"/>
                              <w:jc w:val="right"/>
                            </w:pPr>
                            <w:r>
                              <w:rPr>
                                <w:color w:val="000000"/>
                                <w:spacing w:val="0"/>
                                <w:w w:val="100"/>
                                <w:position w:val="0"/>
                                <w:sz w:val="24"/>
                                <w:szCs w:val="24"/>
                              </w:rPr>
                              <w:t>本年转销存货 跌价准备的原因</w:t>
                            </w:r>
                          </w:p>
                        </w:txbxContent>
                      </wps:txbx>
                      <wps:bodyPr lIns="0" tIns="0" rIns="0" bIns="0">
                        <a:noAutoFit/>
                      </wps:bodyPr>
                    </wps:wsp>
                  </a:graphicData>
                </a:graphic>
              </wp:anchor>
            </w:drawing>
          </mc:Choice>
          <mc:Fallback>
            <w:pict>
              <v:shape id="_x0000_s1088" type="#_x0000_t202" style="position:absolute;margin-left:431.75pt;margin-top:7.9500000000000002pt;width:85.700000000000003pt;height:30.25pt;z-index:-125829339;mso-wrap-distance-left:0;mso-wrap-distance-top:7.9500000000000002pt;mso-wrap-distance-right:0;mso-wrap-distance-bottom:0.5pt;mso-position-horizontal-relative:page" filled="f" stroked="f">
                <v:textbox inset="0,0,0,0">
                  <w:txbxContent>
                    <w:p>
                      <w:pPr>
                        <w:pStyle w:val="Style72"/>
                        <w:keepNext w:val="0"/>
                        <w:keepLines w:val="0"/>
                        <w:widowControl w:val="0"/>
                        <w:shd w:val="clear" w:color="auto" w:fill="auto"/>
                        <w:bidi w:val="0"/>
                        <w:spacing w:before="0" w:after="0" w:line="293" w:lineRule="exact"/>
                        <w:ind w:left="0" w:right="0" w:firstLine="0"/>
                        <w:jc w:val="right"/>
                      </w:pPr>
                      <w:r>
                        <w:rPr>
                          <w:color w:val="000000"/>
                          <w:spacing w:val="0"/>
                          <w:w w:val="100"/>
                          <w:position w:val="0"/>
                          <w:sz w:val="24"/>
                          <w:szCs w:val="24"/>
                        </w:rPr>
                        <w:t>本年转销存货 跌价准备的原因</w:t>
                      </w:r>
                    </w:p>
                  </w:txbxContent>
                </v:textbox>
                <w10:wrap type="topAndBottom" anchorx="page"/>
              </v:shape>
            </w:pict>
          </mc:Fallback>
        </mc:AlternateContent>
      </w:r>
    </w:p>
    <w:p>
      <w:pPr>
        <w:widowControl w:val="0"/>
        <w:spacing w:line="126" w:lineRule="exact"/>
        <w:rPr>
          <w:sz w:val="10"/>
          <w:szCs w:val="10"/>
        </w:rPr>
      </w:pPr>
    </w:p>
    <w:p>
      <w:pPr>
        <w:widowControl w:val="0"/>
        <w:spacing w:line="1" w:lineRule="exact"/>
        <w:sectPr>
          <w:footnotePr>
            <w:pos w:val="pageBottom"/>
            <w:numFmt w:val="decimal"/>
            <w:numStart w:val="1"/>
            <w:numRestart w:val="continuous"/>
            <w15:footnoteColumns w:val="1"/>
          </w:footnotePr>
          <w:type w:val="continuous"/>
          <w:pgSz w:w="11900" w:h="16840"/>
          <w:pgMar w:top="2338" w:right="0" w:bottom="1517"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16" behindDoc="0" locked="0" layoutInCell="1" allowOverlap="1">
                <wp:simplePos x="0" y="0"/>
                <wp:positionH relativeFrom="page">
                  <wp:posOffset>5178425</wp:posOffset>
                </wp:positionH>
                <wp:positionV relativeFrom="paragraph">
                  <wp:posOffset>12700</wp:posOffset>
                </wp:positionV>
                <wp:extent cx="1393190" cy="606425"/>
                <wp:wrapSquare wrapText="left"/>
                <wp:docPr id="64" name="Shape 64"/>
                <a:graphic xmlns:a="http://schemas.openxmlformats.org/drawingml/2006/main">
                  <a:graphicData uri="http://schemas.microsoft.com/office/word/2010/wordprocessingShape">
                    <wps:wsp>
                      <wps:cNvSpPr txBox="1"/>
                      <wps:spPr>
                        <a:xfrm>
                          <a:ext cx="1393190" cy="606425"/>
                        </a:xfrm>
                        <a:prstGeom prst="rect"/>
                        <a:noFill/>
                      </wps:spPr>
                      <wps:txbx>
                        <w:txbxContent>
                          <w:p>
                            <w:pPr>
                              <w:pStyle w:val="Style7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4"/>
                                <w:szCs w:val="24"/>
                              </w:rPr>
                              <w:t>以前年度计提了存货 跌价准备的库存商品 本年度实现销售</w:t>
                            </w:r>
                          </w:p>
                        </w:txbxContent>
                      </wps:txbx>
                      <wps:bodyPr lIns="0" tIns="0" rIns="0" bIns="0">
                        <a:noAutoFit/>
                      </wps:bodyPr>
                    </wps:wsp>
                  </a:graphicData>
                </a:graphic>
              </wp:anchor>
            </w:drawing>
          </mc:Choice>
          <mc:Fallback>
            <w:pict>
              <v:shape id="_x0000_s1090" type="#_x0000_t202" style="position:absolute;margin-left:407.75pt;margin-top:1.pt;width:109.7pt;height:47.75pt;z-index:-125829337;mso-wrap-distance-left:9.pt;mso-wrap-distance-right:9.pt;mso-position-horizontal-relative:page" filled="f" stroked="f">
                <v:textbox inset="0,0,0,0">
                  <w:txbxContent>
                    <w:p>
                      <w:pPr>
                        <w:pStyle w:val="Style72"/>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4"/>
                          <w:szCs w:val="24"/>
                        </w:rPr>
                        <w:t>以前年度计提了存货 跌价准备的库存商品 本年度实现销售</w:t>
                      </w:r>
                    </w:p>
                  </w:txbxContent>
                </v:textbox>
                <w10:wrap type="square" side="left" anchorx="page"/>
              </v:shape>
            </w:pict>
          </mc:Fallback>
        </mc:AlternateContent>
      </w:r>
    </w:p>
    <w:p>
      <w:pPr>
        <w:pStyle w:val="Style72"/>
        <w:keepNext w:val="0"/>
        <w:keepLines w:val="0"/>
        <w:widowControl w:val="0"/>
        <w:shd w:val="clear" w:color="auto" w:fill="auto"/>
        <w:tabs>
          <w:tab w:pos="1978" w:val="left"/>
        </w:tabs>
        <w:bidi w:val="0"/>
        <w:spacing w:before="0" w:after="0" w:line="312" w:lineRule="exact"/>
        <w:ind w:left="0" w:right="0" w:firstLine="0"/>
        <w:jc w:val="center"/>
      </w:pPr>
      <w:r>
        <w:rPr>
          <w:color w:val="000000"/>
          <w:spacing w:val="0"/>
          <w:w w:val="100"/>
          <w:position w:val="0"/>
          <w:sz w:val="24"/>
          <w:szCs w:val="24"/>
        </w:rPr>
        <w:t>库存商品、安装维 按日常活动中存货的估计售价</w:t>
        <w:br/>
        <w:t>修用备件</w:t>
        <w:tab/>
        <w:t>减去估计的销售费用以及相关</w:t>
      </w:r>
    </w:p>
    <w:p>
      <w:pPr>
        <w:pStyle w:val="Style72"/>
        <w:keepNext w:val="0"/>
        <w:keepLines w:val="0"/>
        <w:widowControl w:val="0"/>
        <w:shd w:val="clear" w:color="auto" w:fill="auto"/>
        <w:bidi w:val="0"/>
        <w:spacing w:before="0" w:after="300" w:line="312" w:lineRule="exact"/>
        <w:ind w:left="3900" w:right="0" w:firstLine="0"/>
        <w:jc w:val="left"/>
      </w:pPr>
      <w:r>
        <w:rPr>
          <w:color w:val="000000"/>
          <w:spacing w:val="0"/>
          <w:w w:val="100"/>
          <w:position w:val="0"/>
          <w:sz w:val="24"/>
          <w:szCs w:val="24"/>
        </w:rPr>
        <w:t>税费后的金额确定</w:t>
      </w:r>
    </w:p>
    <w:p>
      <w:pPr>
        <w:pStyle w:val="Style72"/>
        <w:keepNext w:val="0"/>
        <w:keepLines w:val="0"/>
        <w:widowControl w:val="0"/>
        <w:shd w:val="clear" w:color="auto" w:fill="auto"/>
        <w:tabs>
          <w:tab w:pos="7882" w:val="left"/>
        </w:tabs>
        <w:bidi w:val="0"/>
        <w:spacing w:before="0" w:after="0" w:line="240" w:lineRule="auto"/>
        <w:ind w:left="0" w:right="0" w:firstLine="720"/>
        <w:jc w:val="left"/>
      </w:pPr>
      <w:r>
        <w:rPr>
          <w:color w:val="000000"/>
          <w:spacing w:val="0"/>
          <w:w w:val="100"/>
          <w:position w:val="0"/>
          <w:sz w:val="24"/>
          <w:szCs w:val="24"/>
        </w:rPr>
        <w:t>房地产开发产品按日常活动中存货的估计售价</w:t>
        <w:tab/>
        <w:t>不适用</w:t>
      </w:r>
    </w:p>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减去至完工时估计将要发生的</w:t>
      </w:r>
    </w:p>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成本、估计的销售费用以及相</w:t>
      </w:r>
    </w:p>
    <w:p>
      <w:pPr>
        <w:pStyle w:val="Style72"/>
        <w:keepNext w:val="0"/>
        <w:keepLines w:val="0"/>
        <w:widowControl w:val="0"/>
        <w:shd w:val="clear" w:color="auto" w:fill="auto"/>
        <w:bidi w:val="0"/>
        <w:spacing w:before="0" w:after="0" w:line="240" w:lineRule="auto"/>
        <w:ind w:left="0" w:right="0" w:firstLine="0"/>
        <w:jc w:val="center"/>
        <w:sectPr>
          <w:footnotePr>
            <w:pos w:val="pageBottom"/>
            <w:numFmt w:val="decimal"/>
            <w:numStart w:val="1"/>
            <w:numRestart w:val="continuous"/>
            <w15:footnoteColumns w:val="1"/>
          </w:footnotePr>
          <w:type w:val="continuous"/>
          <w:pgSz w:w="11900" w:h="16840"/>
          <w:pgMar w:top="2338" w:right="1403" w:bottom="1517" w:left="1709" w:header="0" w:footer="3" w:gutter="0"/>
          <w:cols w:space="720"/>
          <w:noEndnote/>
          <w:rtlGutter w:val="0"/>
          <w:docGrid w:linePitch="360"/>
        </w:sectPr>
      </w:pPr>
      <w:r>
        <w:rPr>
          <w:color w:val="000000"/>
          <w:spacing w:val="0"/>
          <w:w w:val="100"/>
          <w:position w:val="0"/>
          <w:sz w:val="24"/>
          <w:szCs w:val="24"/>
        </w:rPr>
        <w:t>关税费后的金额确定</w:t>
      </w:r>
    </w:p>
    <w:p>
      <w:pPr>
        <w:pStyle w:val="Style72"/>
        <w:keepNext w:val="0"/>
        <w:keepLines w:val="0"/>
        <w:widowControl w:val="0"/>
        <w:shd w:val="clear" w:color="auto" w:fill="auto"/>
        <w:bidi w:val="0"/>
        <w:spacing w:before="0" w:after="300" w:line="240" w:lineRule="auto"/>
        <w:ind w:left="0" w:right="0" w:firstLine="200"/>
        <w:jc w:val="left"/>
        <w:rPr>
          <w:sz w:val="28"/>
          <w:szCs w:val="28"/>
        </w:rPr>
      </w:pPr>
      <w:r>
        <mc:AlternateContent>
          <mc:Choice Requires="wps">
            <w:drawing>
              <wp:anchor distT="0" distB="0" distL="114300" distR="114300" simplePos="0" relativeHeight="125829418" behindDoc="0" locked="0" layoutInCell="1" allowOverlap="1">
                <wp:simplePos x="0" y="0"/>
                <wp:positionH relativeFrom="page">
                  <wp:posOffset>1088390</wp:posOffset>
                </wp:positionH>
                <wp:positionV relativeFrom="paragraph">
                  <wp:posOffset>12700</wp:posOffset>
                </wp:positionV>
                <wp:extent cx="213360" cy="935990"/>
                <wp:wrapSquare wrapText="bothSides"/>
                <wp:docPr id="66" name="Shape 66"/>
                <a:graphic xmlns:a="http://schemas.openxmlformats.org/drawingml/2006/main">
                  <a:graphicData uri="http://schemas.microsoft.com/office/word/2010/wordprocessingShape">
                    <wps:wsp>
                      <wps:cNvSpPr txBox="1"/>
                      <wps:spPr>
                        <a:xfrm>
                          <a:ext cx="213360" cy="935990"/>
                        </a:xfrm>
                        <a:prstGeom prst="rect"/>
                        <a:noFill/>
                      </wps:spPr>
                      <wps:txbx>
                        <w:txbxContent>
                          <w:p>
                            <w:pPr>
                              <w:pStyle w:val="Style72"/>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z w:val="24"/>
                                <w:szCs w:val="24"/>
                              </w:rPr>
                              <w:t>四</w:t>
                            </w:r>
                          </w:p>
                          <w:p>
                            <w:pPr>
                              <w:pStyle w:val="Style92"/>
                              <w:keepNext w:val="0"/>
                              <w:keepLines w:val="0"/>
                              <w:widowControl w:val="0"/>
                              <w:shd w:val="clear" w:color="auto" w:fill="auto"/>
                              <w:bidi w:val="0"/>
                              <w:spacing w:before="0" w:after="280" w:line="240" w:lineRule="auto"/>
                              <w:ind w:left="0" w:right="0" w:firstLine="0"/>
                              <w:jc w:val="left"/>
                              <w:rPr>
                                <w:sz w:val="28"/>
                                <w:szCs w:val="28"/>
                              </w:rPr>
                            </w:pPr>
                            <w:r>
                              <w:rPr>
                                <w:rFonts w:ascii="SimSun" w:eastAsia="SimSun" w:hAnsi="SimSun" w:cs="SimSun"/>
                                <w:color w:val="000000"/>
                                <w:spacing w:val="0"/>
                                <w:w w:val="100"/>
                                <w:position w:val="0"/>
                                <w:sz w:val="28"/>
                                <w:szCs w:val="28"/>
                              </w:rPr>
                              <w:t>⑺</w:t>
                            </w:r>
                          </w:p>
                          <w:p>
                            <w:pPr>
                              <w:pStyle w:val="Style9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rPr>
                              <w:t>(d)</w:t>
                            </w:r>
                          </w:p>
                        </w:txbxContent>
                      </wps:txbx>
                      <wps:bodyPr lIns="0" tIns="0" rIns="0" bIns="0">
                        <a:noAutoFit/>
                      </wps:bodyPr>
                    </wps:wsp>
                  </a:graphicData>
                </a:graphic>
              </wp:anchor>
            </w:drawing>
          </mc:Choice>
          <mc:Fallback>
            <w:pict>
              <v:shape id="_x0000_s1092" type="#_x0000_t202" style="position:absolute;margin-left:85.700000000000003pt;margin-top:1.pt;width:16.800000000000001pt;height:73.700000000000003pt;z-index:-125829335;mso-wrap-distance-left:9.pt;mso-wrap-distance-right:9.pt;mso-position-horizontal-relative:page" filled="f" stroked="f">
                <v:textbox inset="0,0,0,0">
                  <w:txbxContent>
                    <w:p>
                      <w:pPr>
                        <w:pStyle w:val="Style72"/>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z w:val="24"/>
                          <w:szCs w:val="24"/>
                        </w:rPr>
                        <w:t>四</w:t>
                      </w:r>
                    </w:p>
                    <w:p>
                      <w:pPr>
                        <w:pStyle w:val="Style92"/>
                        <w:keepNext w:val="0"/>
                        <w:keepLines w:val="0"/>
                        <w:widowControl w:val="0"/>
                        <w:shd w:val="clear" w:color="auto" w:fill="auto"/>
                        <w:bidi w:val="0"/>
                        <w:spacing w:before="0" w:after="280" w:line="240" w:lineRule="auto"/>
                        <w:ind w:left="0" w:right="0" w:firstLine="0"/>
                        <w:jc w:val="left"/>
                        <w:rPr>
                          <w:sz w:val="28"/>
                          <w:szCs w:val="28"/>
                        </w:rPr>
                      </w:pPr>
                      <w:r>
                        <w:rPr>
                          <w:rFonts w:ascii="SimSun" w:eastAsia="SimSun" w:hAnsi="SimSun" w:cs="SimSun"/>
                          <w:color w:val="000000"/>
                          <w:spacing w:val="0"/>
                          <w:w w:val="100"/>
                          <w:position w:val="0"/>
                          <w:sz w:val="28"/>
                          <w:szCs w:val="28"/>
                        </w:rPr>
                        <w:t>⑺</w:t>
                      </w:r>
                    </w:p>
                    <w:p>
                      <w:pPr>
                        <w:pStyle w:val="Style9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rPr>
                        <w:t>(d)</w:t>
                      </w:r>
                    </w:p>
                  </w:txbxContent>
                </v:textbox>
                <w10:wrap type="square" anchorx="page"/>
              </v:shape>
            </w:pict>
          </mc:Fallback>
        </mc:AlternateContent>
      </w:r>
      <w:r>
        <w:rPr>
          <w:b/>
          <w:bCs/>
          <w:color w:val="000000"/>
          <w:spacing w:val="0"/>
          <w:w w:val="100"/>
          <w:position w:val="0"/>
          <w:sz w:val="24"/>
          <w:szCs w:val="24"/>
        </w:rPr>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200"/>
        <w:jc w:val="left"/>
        <w:rPr>
          <w:sz w:val="28"/>
          <w:szCs w:val="28"/>
        </w:rPr>
      </w:pPr>
      <w:r>
        <w:rPr>
          <w:b/>
          <w:bCs/>
          <w:color w:val="000000"/>
          <w:spacing w:val="0"/>
          <w:w w:val="100"/>
          <w:position w:val="0"/>
          <w:sz w:val="24"/>
          <w:szCs w:val="24"/>
        </w:rPr>
        <w:t>存货</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200"/>
        <w:jc w:val="left"/>
      </w:pPr>
      <w:r>
        <w:rPr>
          <w:color w:val="000000"/>
          <w:spacing w:val="0"/>
          <w:w w:val="100"/>
          <w:position w:val="0"/>
          <w:sz w:val="24"/>
          <w:szCs w:val="24"/>
        </w:rPr>
        <w:t>按照房地产开发项目列示资本化利息如下：</w:t>
      </w:r>
    </w:p>
    <w:p>
      <w:pPr>
        <w:pStyle w:val="Style72"/>
        <w:keepNext w:val="0"/>
        <w:keepLines w:val="0"/>
        <w:widowControl w:val="0"/>
        <w:shd w:val="clear" w:color="auto" w:fill="auto"/>
        <w:bidi w:val="0"/>
        <w:spacing w:before="0" w:after="0" w:line="240" w:lineRule="auto"/>
        <w:ind w:left="8340" w:right="0" w:firstLine="0"/>
        <w:jc w:val="left"/>
      </w:pPr>
      <w:r>
        <w:rPr>
          <w:color w:val="000000"/>
          <w:spacing w:val="0"/>
          <w:w w:val="100"/>
          <w:position w:val="0"/>
          <w:sz w:val="24"/>
          <w:szCs w:val="24"/>
        </w:rPr>
        <w:t>其中：本年借款费用</w:t>
      </w:r>
    </w:p>
    <w:p>
      <w:pPr>
        <w:pStyle w:val="Style72"/>
        <w:keepNext w:val="0"/>
        <w:keepLines w:val="0"/>
        <w:widowControl w:val="0"/>
        <w:shd w:val="clear" w:color="auto" w:fill="auto"/>
        <w:tabs>
          <w:tab w:pos="9307" w:val="left"/>
          <w:tab w:pos="11160" w:val="left"/>
        </w:tabs>
        <w:bidi w:val="0"/>
        <w:spacing w:before="0" w:after="300" w:line="240" w:lineRule="auto"/>
        <w:ind w:left="4800" w:right="0" w:firstLine="0"/>
        <w:jc w:val="left"/>
      </w:pPr>
      <w:r>
        <w:rPr>
          <w:color w:val="000000"/>
          <w:spacing w:val="0"/>
          <w:w w:val="100"/>
          <w:position w:val="0"/>
          <w:sz w:val="24"/>
          <w:szCs w:val="24"/>
        </w:rPr>
        <w:t>借款费用资本化累计金额</w:t>
        <w:tab/>
        <w:t>资本化金额</w:t>
        <w:tab/>
        <w:t>本年借款费用资本化率</w:t>
      </w:r>
    </w:p>
    <w:tbl>
      <w:tblPr>
        <w:tblOverlap w:val="never"/>
        <w:jc w:val="left"/>
        <w:tblLayout w:type="fixed"/>
      </w:tblPr>
      <w:tblGrid>
        <w:gridCol w:w="2990"/>
        <w:gridCol w:w="2616"/>
        <w:gridCol w:w="2002"/>
        <w:gridCol w:w="1699"/>
        <w:gridCol w:w="2054"/>
        <w:gridCol w:w="1618"/>
      </w:tblGrid>
      <w:tr>
        <w:trPr>
          <w:trHeight w:val="922" w:hRule="exact"/>
        </w:trPr>
        <w:tc>
          <w:tcPr>
            <w:gridSpan w:val="2"/>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40" w:line="240" w:lineRule="auto"/>
              <w:ind w:left="0" w:right="0" w:firstLine="0"/>
              <w:jc w:val="left"/>
              <w:rPr>
                <w:sz w:val="24"/>
                <w:szCs w:val="24"/>
              </w:rPr>
            </w:pPr>
            <w:r>
              <w:rPr>
                <w:rFonts w:ascii="SimSun" w:eastAsia="SimSun" w:hAnsi="SimSun" w:cs="SimSun"/>
                <w:color w:val="000000"/>
                <w:spacing w:val="0"/>
                <w:w w:val="100"/>
                <w:position w:val="0"/>
                <w:sz w:val="24"/>
                <w:szCs w:val="24"/>
              </w:rPr>
              <w:t>上海奉贤苏宁房地产项目</w:t>
            </w:r>
          </w:p>
          <w:p>
            <w:pPr>
              <w:pStyle w:val="Style29"/>
              <w:keepNext w:val="0"/>
              <w:keepLines w:val="0"/>
              <w:framePr w:w="12979" w:h="4277" w:hSpace="715" w:wrap="notBeside" w:vAnchor="text" w:hAnchor="text" w:x="716" w:y="1"/>
              <w:widowControl w:val="0"/>
              <w:shd w:val="clear" w:color="auto" w:fill="auto"/>
              <w:bidi w:val="0"/>
              <w:spacing w:before="0" w:after="40" w:line="240" w:lineRule="auto"/>
              <w:ind w:left="0" w:right="0" w:firstLine="0"/>
              <w:jc w:val="left"/>
              <w:rPr>
                <w:sz w:val="24"/>
                <w:szCs w:val="24"/>
              </w:rPr>
            </w:pPr>
            <w:r>
              <w:rPr>
                <w:rFonts w:ascii="SimSun" w:eastAsia="SimSun" w:hAnsi="SimSun" w:cs="SimSun"/>
                <w:color w:val="000000"/>
                <w:spacing w:val="0"/>
                <w:w w:val="100"/>
                <w:position w:val="0"/>
                <w:sz w:val="24"/>
                <w:szCs w:val="24"/>
              </w:rPr>
              <w:t>滁州苏宁房地产项目</w:t>
            </w:r>
          </w:p>
          <w:p>
            <w:pPr>
              <w:pStyle w:val="Style29"/>
              <w:keepNext w:val="0"/>
              <w:keepLines w:val="0"/>
              <w:framePr w:w="12979" w:h="4277" w:hSpace="715" w:wrap="notBeside" w:vAnchor="text" w:hAnchor="text" w:x="716" w:y="1"/>
              <w:widowControl w:val="0"/>
              <w:shd w:val="clear" w:color="auto" w:fill="auto"/>
              <w:bidi w:val="0"/>
              <w:spacing w:before="0" w:after="40" w:line="240" w:lineRule="auto"/>
              <w:ind w:left="0" w:right="0" w:firstLine="0"/>
              <w:jc w:val="left"/>
              <w:rPr>
                <w:sz w:val="24"/>
                <w:szCs w:val="24"/>
              </w:rPr>
            </w:pPr>
            <w:r>
              <w:rPr>
                <w:rFonts w:ascii="SimSun" w:eastAsia="SimSun" w:hAnsi="SimSun" w:cs="SimSun"/>
                <w:color w:val="000000"/>
                <w:spacing w:val="0"/>
                <w:w w:val="100"/>
                <w:position w:val="0"/>
                <w:sz w:val="24"/>
                <w:szCs w:val="24"/>
              </w:rPr>
              <w:t>济宁苏宁房地产项目</w:t>
            </w:r>
          </w:p>
        </w:tc>
        <w:tc>
          <w:tcPr>
            <w:gridSpan w:val="4"/>
            <w:tcBorders/>
            <w:shd w:val="clear" w:color="auto" w:fill="FFFFFF"/>
            <w:vAlign w:val="bottom"/>
          </w:tcPr>
          <w:p>
            <w:pPr>
              <w:pStyle w:val="Style29"/>
              <w:keepNext w:val="0"/>
              <w:keepLines w:val="0"/>
              <w:framePr w:w="12979" w:h="4277" w:hSpace="715" w:wrap="notBeside" w:vAnchor="text" w:hAnchor="text" w:x="716" w:y="1"/>
              <w:widowControl w:val="0"/>
              <w:shd w:val="clear" w:color="auto" w:fill="auto"/>
              <w:tabs>
                <w:tab w:pos="4201" w:val="right"/>
                <w:tab w:pos="7234" w:val="right"/>
              </w:tabs>
              <w:bidi w:val="0"/>
              <w:spacing w:before="0" w:after="0" w:line="240" w:lineRule="auto"/>
              <w:ind w:left="0" w:right="0" w:firstLine="380"/>
              <w:jc w:val="left"/>
              <w:rPr>
                <w:sz w:val="24"/>
                <w:szCs w:val="24"/>
              </w:rPr>
            </w:pPr>
            <w:r>
              <w:rPr>
                <w:rFonts w:ascii="Arial" w:eastAsia="Arial" w:hAnsi="Arial" w:cs="Arial"/>
                <w:color w:val="000000"/>
                <w:spacing w:val="0"/>
                <w:w w:val="100"/>
                <w:position w:val="0"/>
                <w:sz w:val="24"/>
                <w:szCs w:val="24"/>
              </w:rPr>
              <w:t>20,106</w:t>
              <w:tab/>
              <w:t>-</w:t>
              <w:tab/>
              <w:t>-</w:t>
            </w:r>
          </w:p>
          <w:p>
            <w:pPr>
              <w:pStyle w:val="Style29"/>
              <w:keepNext w:val="0"/>
              <w:keepLines w:val="0"/>
              <w:framePr w:w="12979" w:h="4277" w:hSpace="715" w:wrap="notBeside" w:vAnchor="text" w:hAnchor="text" w:x="716" w:y="1"/>
              <w:widowControl w:val="0"/>
              <w:shd w:val="clear" w:color="auto" w:fill="auto"/>
              <w:tabs>
                <w:tab w:pos="4202" w:val="right"/>
                <w:tab w:pos="7235" w:val="right"/>
              </w:tabs>
              <w:bidi w:val="0"/>
              <w:spacing w:before="0" w:after="0" w:line="240" w:lineRule="auto"/>
              <w:ind w:left="0" w:right="0" w:firstLine="520"/>
              <w:jc w:val="left"/>
              <w:rPr>
                <w:sz w:val="24"/>
                <w:szCs w:val="24"/>
              </w:rPr>
            </w:pPr>
            <w:r>
              <w:rPr>
                <w:rFonts w:ascii="Arial" w:eastAsia="Arial" w:hAnsi="Arial" w:cs="Arial"/>
                <w:color w:val="000000"/>
                <w:spacing w:val="0"/>
                <w:w w:val="100"/>
                <w:position w:val="0"/>
                <w:sz w:val="24"/>
                <w:szCs w:val="24"/>
              </w:rPr>
              <w:t>9,709</w:t>
              <w:tab/>
              <w:t>-</w:t>
              <w:tab/>
              <w:t>-</w:t>
            </w:r>
          </w:p>
          <w:p>
            <w:pPr>
              <w:pStyle w:val="Style29"/>
              <w:keepNext w:val="0"/>
              <w:keepLines w:val="0"/>
              <w:framePr w:w="12979" w:h="4277" w:hSpace="715" w:wrap="notBeside" w:vAnchor="text" w:hAnchor="text" w:x="716" w:y="1"/>
              <w:widowControl w:val="0"/>
              <w:shd w:val="clear" w:color="auto" w:fill="auto"/>
              <w:tabs>
                <w:tab w:pos="4202" w:val="right"/>
                <w:tab w:pos="7235" w:val="right"/>
              </w:tabs>
              <w:bidi w:val="0"/>
              <w:spacing w:before="0" w:after="0" w:line="240" w:lineRule="auto"/>
              <w:ind w:left="0" w:right="0" w:firstLine="520"/>
              <w:jc w:val="left"/>
              <w:rPr>
                <w:sz w:val="24"/>
                <w:szCs w:val="24"/>
              </w:rPr>
            </w:pPr>
            <w:r>
              <w:rPr>
                <w:rFonts w:ascii="Arial" w:eastAsia="Arial" w:hAnsi="Arial" w:cs="Arial"/>
                <w:color w:val="000000"/>
                <w:spacing w:val="0"/>
                <w:w w:val="100"/>
                <w:position w:val="0"/>
                <w:sz w:val="24"/>
                <w:szCs w:val="24"/>
              </w:rPr>
              <w:t>8,789</w:t>
              <w:tab/>
              <w:t>-</w:t>
              <w:tab/>
              <w:t>-</w:t>
            </w:r>
          </w:p>
        </w:tc>
      </w:tr>
      <w:tr>
        <w:trPr>
          <w:trHeight w:val="293" w:hRule="exact"/>
        </w:trPr>
        <w:tc>
          <w:tcPr>
            <w:tcBorders/>
            <w:shd w:val="clear" w:color="auto" w:fill="FFFFFF"/>
            <w:vAlign w:val="top"/>
          </w:tcPr>
          <w:p>
            <w:pPr>
              <w:framePr w:w="12979" w:h="4277" w:hSpace="715" w:wrap="notBeside" w:vAnchor="text" w:hAnchor="text" w:x="716" w:y="1"/>
              <w:widowControl w:val="0"/>
              <w:rPr>
                <w:sz w:val="10"/>
                <w:szCs w:val="10"/>
              </w:rPr>
            </w:pPr>
          </w:p>
        </w:tc>
        <w:tc>
          <w:tcPr>
            <w:tcBorders>
              <w:top w:val="single" w:sz="4"/>
            </w:tcBorders>
            <w:shd w:val="clear" w:color="auto" w:fill="FFFFFF"/>
            <w:vAlign w:val="top"/>
          </w:tcPr>
          <w:p>
            <w:pPr>
              <w:framePr w:w="12979" w:h="4277" w:hSpace="715" w:wrap="notBeside" w:vAnchor="text" w:hAnchor="text" w:x="716" w:y="1"/>
              <w:widowControl w:val="0"/>
              <w:rPr>
                <w:sz w:val="10"/>
                <w:szCs w:val="10"/>
              </w:rPr>
            </w:pPr>
          </w:p>
        </w:tc>
        <w:tc>
          <w:tcPr>
            <w:tcBorders>
              <w:top w:val="single" w:sz="4"/>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380" w:right="0" w:firstLine="0"/>
              <w:jc w:val="center"/>
              <w:rPr>
                <w:sz w:val="24"/>
                <w:szCs w:val="24"/>
              </w:rPr>
            </w:pPr>
            <w:r>
              <w:rPr>
                <w:rFonts w:ascii="Arial" w:eastAsia="Arial" w:hAnsi="Arial" w:cs="Arial"/>
                <w:color w:val="000000"/>
                <w:spacing w:val="0"/>
                <w:w w:val="100"/>
                <w:position w:val="0"/>
                <w:sz w:val="24"/>
                <w:szCs w:val="24"/>
              </w:rPr>
              <w:t>38,604</w:t>
            </w:r>
          </w:p>
        </w:tc>
        <w:tc>
          <w:tcPr>
            <w:tcBorders>
              <w:top w:val="single" w:sz="4"/>
            </w:tcBorders>
            <w:shd w:val="clear" w:color="auto" w:fill="FFFFFF"/>
            <w:vAlign w:val="top"/>
          </w:tcPr>
          <w:p>
            <w:pPr>
              <w:framePr w:w="12979" w:h="4277" w:hSpace="715" w:wrap="notBeside" w:vAnchor="text" w:hAnchor="text" w:x="716" w:y="1"/>
              <w:widowControl w:val="0"/>
              <w:rPr>
                <w:sz w:val="10"/>
                <w:szCs w:val="10"/>
              </w:rPr>
            </w:pPr>
          </w:p>
        </w:tc>
        <w:tc>
          <w:tcPr>
            <w:tcBorders>
              <w:top w:val="single" w:sz="4"/>
            </w:tcBorders>
            <w:shd w:val="clear" w:color="auto" w:fill="FFFFFF"/>
            <w:vAlign w:val="center"/>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w:t>
            </w:r>
          </w:p>
        </w:tc>
        <w:tc>
          <w:tcPr>
            <w:tcBorders>
              <w:top w:val="single" w:sz="4"/>
            </w:tcBorders>
            <w:shd w:val="clear" w:color="auto" w:fill="FFFFFF"/>
            <w:vAlign w:val="center"/>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744" w:hRule="exact"/>
        </w:trPr>
        <w:tc>
          <w:tcPr>
            <w:tcBorders/>
            <w:shd w:val="clear" w:color="auto" w:fill="FFFFFF"/>
            <w:vAlign w:val="center"/>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房地产开发产品分析如下：</w:t>
            </w:r>
          </w:p>
        </w:tc>
        <w:tc>
          <w:tcPr>
            <w:tcBorders>
              <w:top w:val="single" w:sz="4"/>
            </w:tcBorders>
            <w:shd w:val="clear" w:color="auto" w:fill="FFFFFF"/>
            <w:vAlign w:val="top"/>
          </w:tcPr>
          <w:p>
            <w:pPr>
              <w:framePr w:w="12979" w:h="4277" w:hSpace="715" w:wrap="notBeside" w:vAnchor="text" w:hAnchor="text" w:x="716" w:y="1"/>
              <w:widowControl w:val="0"/>
              <w:rPr>
                <w:sz w:val="10"/>
                <w:szCs w:val="10"/>
              </w:rPr>
            </w:pPr>
          </w:p>
        </w:tc>
        <w:tc>
          <w:tcPr>
            <w:tcBorders>
              <w:top w:val="single" w:sz="4"/>
            </w:tcBorders>
            <w:shd w:val="clear" w:color="auto" w:fill="FFFFFF"/>
            <w:vAlign w:val="top"/>
          </w:tcPr>
          <w:p>
            <w:pPr>
              <w:framePr w:w="12979" w:h="4277" w:hSpace="715" w:wrap="notBeside" w:vAnchor="text" w:hAnchor="text" w:x="716" w:y="1"/>
              <w:widowControl w:val="0"/>
              <w:rPr>
                <w:sz w:val="10"/>
                <w:szCs w:val="10"/>
              </w:rPr>
            </w:pPr>
          </w:p>
        </w:tc>
        <w:tc>
          <w:tcPr>
            <w:tcBorders>
              <w:top w:val="single" w:sz="4"/>
            </w:tcBorders>
            <w:shd w:val="clear" w:color="auto" w:fill="FFFFFF"/>
            <w:vAlign w:val="top"/>
          </w:tcPr>
          <w:p>
            <w:pPr>
              <w:framePr w:w="12979" w:h="4277" w:hSpace="715" w:wrap="notBeside" w:vAnchor="text" w:hAnchor="text" w:x="716" w:y="1"/>
              <w:widowControl w:val="0"/>
              <w:rPr>
                <w:sz w:val="10"/>
                <w:szCs w:val="10"/>
              </w:rPr>
            </w:pPr>
          </w:p>
        </w:tc>
        <w:tc>
          <w:tcPr>
            <w:tcBorders>
              <w:top w:val="single" w:sz="4"/>
            </w:tcBorders>
            <w:shd w:val="clear" w:color="auto" w:fill="FFFFFF"/>
            <w:vAlign w:val="top"/>
          </w:tcPr>
          <w:p>
            <w:pPr>
              <w:framePr w:w="12979" w:h="4277" w:hSpace="715" w:wrap="notBeside" w:vAnchor="text" w:hAnchor="text" w:x="716" w:y="1"/>
              <w:widowControl w:val="0"/>
              <w:rPr>
                <w:sz w:val="10"/>
                <w:szCs w:val="10"/>
              </w:rPr>
            </w:pPr>
          </w:p>
        </w:tc>
        <w:tc>
          <w:tcPr>
            <w:tcBorders>
              <w:top w:val="single" w:sz="4"/>
            </w:tcBorders>
            <w:shd w:val="clear" w:color="auto" w:fill="FFFFFF"/>
            <w:vAlign w:val="top"/>
          </w:tcPr>
          <w:p>
            <w:pPr>
              <w:framePr w:w="12979" w:h="4277" w:hSpace="715" w:wrap="notBeside" w:vAnchor="text" w:hAnchor="text" w:x="716" w:y="1"/>
              <w:widowControl w:val="0"/>
              <w:rPr>
                <w:sz w:val="10"/>
                <w:szCs w:val="10"/>
              </w:rPr>
            </w:pPr>
          </w:p>
        </w:tc>
      </w:tr>
      <w:tr>
        <w:trPr>
          <w:trHeight w:val="446" w:hRule="exact"/>
        </w:trPr>
        <w:tc>
          <w:tcPr>
            <w:tcBorders/>
            <w:shd w:val="clear" w:color="auto" w:fill="FFFFFF"/>
            <w:vAlign w:val="top"/>
          </w:tcPr>
          <w:p>
            <w:pPr>
              <w:framePr w:w="12979" w:h="4277" w:hSpace="715" w:wrap="notBeside" w:vAnchor="text" w:hAnchor="text" w:x="716" w:y="1"/>
              <w:widowControl w:val="0"/>
              <w:rPr>
                <w:sz w:val="10"/>
                <w:szCs w:val="10"/>
              </w:rPr>
            </w:pPr>
          </w:p>
        </w:tc>
        <w:tc>
          <w:tcPr>
            <w:tcBorders/>
            <w:shd w:val="clear" w:color="auto" w:fill="FFFFFF"/>
            <w:vAlign w:val="top"/>
          </w:tcPr>
          <w:p>
            <w:pPr>
              <w:framePr w:w="12979" w:h="4277" w:hSpace="715" w:wrap="notBeside" w:vAnchor="text" w:hAnchor="text" w:x="716" w:y="1"/>
              <w:widowControl w:val="0"/>
              <w:rPr>
                <w:sz w:val="10"/>
                <w:szCs w:val="10"/>
              </w:rPr>
            </w:pPr>
          </w:p>
        </w:tc>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 xml:space="preserve">2020 </w:t>
            </w:r>
            <w:r>
              <w:rPr>
                <w:rFonts w:ascii="SimSun" w:eastAsia="SimSun" w:hAnsi="SimSun" w:cs="SimSun"/>
                <w:color w:val="000000"/>
                <w:spacing w:val="0"/>
                <w:w w:val="100"/>
                <w:position w:val="0"/>
                <w:sz w:val="24"/>
                <w:szCs w:val="24"/>
              </w:rPr>
              <w:t>年</w:t>
            </w:r>
          </w:p>
        </w:tc>
        <w:tc>
          <w:tcPr>
            <w:tcBorders/>
            <w:shd w:val="clear" w:color="auto" w:fill="FFFFFF"/>
            <w:vAlign w:val="top"/>
          </w:tcPr>
          <w:p>
            <w:pPr>
              <w:framePr w:w="12979" w:h="4277" w:hSpace="715" w:wrap="notBeside" w:vAnchor="text" w:hAnchor="text" w:x="716" w:y="1"/>
              <w:widowControl w:val="0"/>
              <w:rPr>
                <w:sz w:val="10"/>
                <w:szCs w:val="10"/>
              </w:rPr>
            </w:pPr>
          </w:p>
        </w:tc>
        <w:tc>
          <w:tcPr>
            <w:tcBorders/>
            <w:shd w:val="clear" w:color="auto" w:fill="FFFFFF"/>
            <w:vAlign w:val="top"/>
          </w:tcPr>
          <w:p>
            <w:pPr>
              <w:framePr w:w="12979" w:h="4277" w:hSpace="715" w:wrap="notBeside" w:vAnchor="text" w:hAnchor="text" w:x="716" w:y="1"/>
              <w:widowControl w:val="0"/>
              <w:rPr>
                <w:sz w:val="10"/>
                <w:szCs w:val="10"/>
              </w:rPr>
            </w:pPr>
          </w:p>
        </w:tc>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 xml:space="preserve">2021 </w:t>
            </w:r>
            <w:r>
              <w:rPr>
                <w:rFonts w:ascii="SimSun" w:eastAsia="SimSun" w:hAnsi="SimSun" w:cs="SimSun"/>
                <w:color w:val="000000"/>
                <w:spacing w:val="0"/>
                <w:w w:val="100"/>
                <w:position w:val="0"/>
                <w:sz w:val="24"/>
                <w:szCs w:val="24"/>
              </w:rPr>
              <w:t>年</w:t>
            </w:r>
          </w:p>
        </w:tc>
      </w:tr>
      <w:tr>
        <w:trPr>
          <w:trHeight w:val="451" w:hRule="exact"/>
        </w:trPr>
        <w:tc>
          <w:tcPr>
            <w:tcBorders/>
            <w:shd w:val="clear" w:color="auto" w:fill="FFFFFF"/>
            <w:vAlign w:val="top"/>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项目名称</w:t>
            </w:r>
          </w:p>
        </w:tc>
        <w:tc>
          <w:tcPr>
            <w:tcBorders/>
            <w:shd w:val="clear" w:color="auto" w:fill="FFFFFF"/>
            <w:vAlign w:val="top"/>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竣工时间</w:t>
            </w:r>
          </w:p>
        </w:tc>
        <w:tc>
          <w:tcPr>
            <w:tcBorders/>
            <w:shd w:val="clear" w:color="auto" w:fill="FFFFFF"/>
            <w:vAlign w:val="top"/>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160" w:right="0" w:firstLine="0"/>
              <w:jc w:val="center"/>
              <w:rPr>
                <w:sz w:val="24"/>
                <w:szCs w:val="24"/>
              </w:rPr>
            </w:pP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260" w:firstLine="0"/>
              <w:jc w:val="right"/>
              <w:rPr>
                <w:sz w:val="24"/>
                <w:szCs w:val="24"/>
              </w:rPr>
            </w:pPr>
            <w:r>
              <w:rPr>
                <w:rFonts w:ascii="SimSun" w:eastAsia="SimSun" w:hAnsi="SimSun" w:cs="SimSun"/>
                <w:color w:val="000000"/>
                <w:spacing w:val="0"/>
                <w:w w:val="100"/>
                <w:position w:val="0"/>
                <w:sz w:val="24"/>
                <w:szCs w:val="24"/>
              </w:rPr>
              <w:t>本年销售</w:t>
            </w:r>
          </w:p>
        </w:tc>
        <w:tc>
          <w:tcPr>
            <w:tcBorders/>
            <w:shd w:val="clear" w:color="auto" w:fill="FFFFFF"/>
            <w:vAlign w:val="top"/>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本年决算调整</w:t>
            </w:r>
          </w:p>
        </w:tc>
        <w:tc>
          <w:tcPr>
            <w:tcBorders/>
            <w:shd w:val="clear" w:color="auto" w:fill="FFFFFF"/>
            <w:vAlign w:val="top"/>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56" w:hRule="exact"/>
        </w:trPr>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济宁苏宁房地产项目</w:t>
            </w:r>
          </w:p>
        </w:tc>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2016</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7</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30</w:t>
            </w:r>
            <w:r>
              <w:rPr>
                <w:rFonts w:ascii="SimSun" w:eastAsia="SimSun" w:hAnsi="SimSun" w:cs="SimSun"/>
                <w:color w:val="000000"/>
                <w:spacing w:val="0"/>
                <w:w w:val="100"/>
                <w:position w:val="0"/>
                <w:sz w:val="24"/>
                <w:szCs w:val="24"/>
              </w:rPr>
              <w:t>日</w:t>
            </w:r>
          </w:p>
        </w:tc>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99,599</w:t>
            </w:r>
          </w:p>
        </w:tc>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380" w:firstLine="0"/>
              <w:jc w:val="right"/>
              <w:rPr>
                <w:sz w:val="24"/>
                <w:szCs w:val="24"/>
              </w:rPr>
            </w:pPr>
            <w:r>
              <w:rPr>
                <w:rFonts w:ascii="Arial" w:eastAsia="Arial" w:hAnsi="Arial" w:cs="Arial"/>
                <w:color w:val="000000"/>
                <w:spacing w:val="0"/>
                <w:w w:val="100"/>
                <w:position w:val="0"/>
                <w:sz w:val="24"/>
                <w:szCs w:val="24"/>
              </w:rPr>
              <w:t>13</w:t>
            </w:r>
          </w:p>
        </w:tc>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99,612</w:t>
            </w:r>
          </w:p>
        </w:tc>
      </w:tr>
      <w:tr>
        <w:trPr>
          <w:trHeight w:val="312" w:hRule="exact"/>
        </w:trPr>
        <w:tc>
          <w:tcPr>
            <w:tcBorders/>
            <w:shd w:val="clear" w:color="auto" w:fill="FFFFFF"/>
            <w:vAlign w:val="top"/>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上海奉贤苏宁房地产项目</w:t>
            </w:r>
          </w:p>
        </w:tc>
        <w:tc>
          <w:tcPr>
            <w:tcBorders/>
            <w:shd w:val="clear" w:color="auto" w:fill="FFFFFF"/>
            <w:vAlign w:val="top"/>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2015</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4</w:t>
            </w:r>
            <w:r>
              <w:rPr>
                <w:rFonts w:ascii="SimSun" w:eastAsia="SimSun" w:hAnsi="SimSun" w:cs="SimSun"/>
                <w:color w:val="000000"/>
                <w:spacing w:val="0"/>
                <w:w w:val="100"/>
                <w:position w:val="0"/>
                <w:sz w:val="24"/>
                <w:szCs w:val="24"/>
              </w:rPr>
              <w:t>日</w:t>
            </w:r>
          </w:p>
        </w:tc>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17,994</w:t>
            </w:r>
          </w:p>
        </w:tc>
        <w:tc>
          <w:tcPr>
            <w:tcBorders/>
            <w:shd w:val="clear" w:color="auto" w:fill="FFFFFF"/>
            <w:vAlign w:val="center"/>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38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17,994</w:t>
            </w:r>
          </w:p>
        </w:tc>
      </w:tr>
      <w:tr>
        <w:trPr>
          <w:trHeight w:val="307" w:hRule="exact"/>
        </w:trPr>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滁州苏宁房地产项目</w:t>
            </w:r>
          </w:p>
        </w:tc>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2017</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4</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18</w:t>
            </w:r>
            <w:r>
              <w:rPr>
                <w:rFonts w:ascii="SimSun" w:eastAsia="SimSun" w:hAnsi="SimSun" w:cs="SimSun"/>
                <w:color w:val="000000"/>
                <w:spacing w:val="0"/>
                <w:w w:val="100"/>
                <w:position w:val="0"/>
                <w:sz w:val="24"/>
                <w:szCs w:val="24"/>
              </w:rPr>
              <w:t>日</w:t>
            </w:r>
          </w:p>
        </w:tc>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3,676</w:t>
            </w:r>
          </w:p>
        </w:tc>
        <w:tc>
          <w:tcPr>
            <w:tcBorders/>
            <w:shd w:val="clear" w:color="auto" w:fill="FFFFFF"/>
            <w:vAlign w:val="center"/>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26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(418)</w:t>
            </w:r>
          </w:p>
        </w:tc>
        <w:tc>
          <w:tcPr>
            <w:tcBorders/>
            <w:shd w:val="clear" w:color="auto" w:fill="FFFFFF"/>
            <w:vAlign w:val="bottom"/>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3,258</w:t>
            </w:r>
          </w:p>
        </w:tc>
      </w:tr>
      <w:tr>
        <w:trPr>
          <w:trHeight w:val="346" w:hRule="exact"/>
        </w:trPr>
        <w:tc>
          <w:tcPr>
            <w:tcBorders/>
            <w:shd w:val="clear" w:color="auto" w:fill="FFFFFF"/>
            <w:vAlign w:val="top"/>
          </w:tcPr>
          <w:p>
            <w:pPr>
              <w:framePr w:w="12979" w:h="4277" w:hSpace="715" w:wrap="notBeside" w:vAnchor="text" w:hAnchor="text" w:x="716" w:y="1"/>
              <w:widowControl w:val="0"/>
              <w:rPr>
                <w:sz w:val="10"/>
                <w:szCs w:val="10"/>
              </w:rPr>
            </w:pPr>
          </w:p>
        </w:tc>
        <w:tc>
          <w:tcPr>
            <w:tcBorders>
              <w:top w:val="single" w:sz="4"/>
              <w:bottom w:val="single" w:sz="4"/>
            </w:tcBorders>
            <w:shd w:val="clear" w:color="auto" w:fill="FFFFFF"/>
            <w:vAlign w:val="top"/>
          </w:tcPr>
          <w:p>
            <w:pPr>
              <w:framePr w:w="12979" w:h="4277" w:hSpace="715" w:wrap="notBeside" w:vAnchor="text" w:hAnchor="text" w:x="716" w:y="1"/>
              <w:widowControl w:val="0"/>
              <w:rPr>
                <w:sz w:val="10"/>
                <w:szCs w:val="10"/>
              </w:rPr>
            </w:pPr>
          </w:p>
        </w:tc>
        <w:tc>
          <w:tcPr>
            <w:tcBorders>
              <w:top w:val="single" w:sz="4"/>
              <w:bottom w:val="single" w:sz="4"/>
            </w:tcBorders>
            <w:shd w:val="clear" w:color="auto" w:fill="FFFFFF"/>
            <w:vAlign w:val="top"/>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121,269</w:t>
            </w:r>
          </w:p>
        </w:tc>
        <w:tc>
          <w:tcPr>
            <w:tcBorders>
              <w:top w:val="single" w:sz="4"/>
              <w:bottom w:val="single" w:sz="4"/>
            </w:tcBorders>
            <w:shd w:val="clear" w:color="auto" w:fill="FFFFFF"/>
            <w:vAlign w:val="center"/>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w:t>
            </w:r>
          </w:p>
        </w:tc>
        <w:tc>
          <w:tcPr>
            <w:tcBorders>
              <w:top w:val="single" w:sz="4"/>
              <w:bottom w:val="single" w:sz="4"/>
            </w:tcBorders>
            <w:shd w:val="clear" w:color="auto" w:fill="FFFFFF"/>
            <w:vAlign w:val="top"/>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(405)</w:t>
            </w:r>
          </w:p>
        </w:tc>
        <w:tc>
          <w:tcPr>
            <w:tcBorders>
              <w:top w:val="single" w:sz="4"/>
              <w:bottom w:val="single" w:sz="4"/>
            </w:tcBorders>
            <w:shd w:val="clear" w:color="auto" w:fill="FFFFFF"/>
            <w:vAlign w:val="top"/>
          </w:tcPr>
          <w:p>
            <w:pPr>
              <w:pStyle w:val="Style29"/>
              <w:keepNext w:val="0"/>
              <w:keepLines w:val="0"/>
              <w:framePr w:w="12979" w:h="4277" w:hSpace="715" w:wrap="notBeside" w:vAnchor="text" w:hAnchor="text" w:x="716" w:y="1"/>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120,864</w:t>
            </w:r>
          </w:p>
        </w:tc>
      </w:tr>
    </w:tbl>
    <w:p>
      <w:pPr>
        <w:pStyle w:val="Style26"/>
        <w:keepNext w:val="0"/>
        <w:keepLines w:val="0"/>
        <w:framePr w:w="326" w:h="302" w:hSpace="13368" w:wrap="notBeside" w:vAnchor="text" w:hAnchor="text" w:y="1532"/>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(e)</w:t>
      </w:r>
    </w:p>
    <w:p>
      <w:pPr>
        <w:widowControl w:val="0"/>
        <w:spacing w:line="1" w:lineRule="exact"/>
        <w:sectPr>
          <w:footnotePr>
            <w:pos w:val="pageBottom"/>
            <w:numFmt w:val="decimal"/>
            <w:numStart w:val="1"/>
            <w:numRestart w:val="continuous"/>
            <w15:footnoteColumns w:val="1"/>
          </w:footnotePr>
          <w:pgSz w:w="16840" w:h="11900" w:orient="landscape"/>
          <w:pgMar w:top="2381" w:right="1431" w:bottom="2381" w:left="1714" w:header="0" w:footer="3" w:gutter="0"/>
          <w:cols w:space="720"/>
          <w:noEndnote/>
          <w:rtlGutter w:val="0"/>
          <w:docGrid w:linePitch="360"/>
        </w:sectPr>
      </w:pPr>
    </w:p>
    <w:p>
      <w:pPr>
        <w:pStyle w:val="Style72"/>
        <w:keepNext w:val="0"/>
        <w:keepLines w:val="0"/>
        <w:widowControl w:val="0"/>
        <w:shd w:val="clear" w:color="auto" w:fill="auto"/>
        <w:tabs>
          <w:tab w:pos="696" w:val="left"/>
        </w:tabs>
        <w:bidi w:val="0"/>
        <w:spacing w:before="18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6"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(8)</w:t>
        <w:tab/>
      </w:r>
      <w:r>
        <w:rPr>
          <w:b/>
          <w:bCs/>
          <w:color w:val="000000"/>
          <w:spacing w:val="0"/>
          <w:w w:val="100"/>
          <w:position w:val="0"/>
          <w:sz w:val="24"/>
          <w:szCs w:val="24"/>
        </w:rPr>
        <w:t>其他流动资产</w:t>
      </w:r>
    </w:p>
    <w:tbl>
      <w:tblPr>
        <w:tblOverlap w:val="never"/>
        <w:jc w:val="center"/>
        <w:tblLayout w:type="fixed"/>
      </w:tblPr>
      <w:tblGrid>
        <w:gridCol w:w="3936"/>
        <w:gridCol w:w="2410"/>
        <w:gridCol w:w="2434"/>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待抵扣增值税进项税额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2,633,452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24"/>
                <w:szCs w:val="24"/>
              </w:rPr>
            </w:pPr>
            <w:r>
              <w:rPr>
                <w:rFonts w:ascii="Arial" w:eastAsia="Arial" w:hAnsi="Arial" w:cs="Arial"/>
                <w:color w:val="000000"/>
                <w:spacing w:val="0"/>
                <w:w w:val="100"/>
                <w:position w:val="0"/>
                <w:sz w:val="24"/>
                <w:szCs w:val="24"/>
              </w:rPr>
              <w:t>3,853,524</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预付租赁费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239,862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24"/>
                <w:szCs w:val="24"/>
              </w:rPr>
            </w:pPr>
            <w:r>
              <w:rPr>
                <w:rFonts w:ascii="Arial" w:eastAsia="Arial" w:hAnsi="Arial" w:cs="Arial"/>
                <w:color w:val="000000"/>
                <w:spacing w:val="0"/>
                <w:w w:val="100"/>
                <w:position w:val="0"/>
                <w:sz w:val="24"/>
                <w:szCs w:val="24"/>
              </w:rPr>
              <w:t>1,365,668</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预缴企业所得税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111,825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157,929</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预缴土地增值税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65,279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24"/>
                <w:szCs w:val="24"/>
              </w:rPr>
            </w:pPr>
            <w:r>
              <w:rPr>
                <w:rFonts w:ascii="Arial" w:eastAsia="Arial" w:hAnsi="Arial" w:cs="Arial"/>
                <w:color w:val="000000"/>
                <w:spacing w:val="0"/>
                <w:w w:val="100"/>
                <w:position w:val="0"/>
                <w:sz w:val="24"/>
                <w:szCs w:val="24"/>
              </w:rPr>
              <w:t>80,874</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预付物业费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49,246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24"/>
                <w:szCs w:val="24"/>
              </w:rPr>
            </w:pPr>
            <w:r>
              <w:rPr>
                <w:rFonts w:ascii="Arial" w:eastAsia="Arial" w:hAnsi="Arial" w:cs="Arial"/>
                <w:color w:val="000000"/>
                <w:spacing w:val="0"/>
                <w:w w:val="100"/>
                <w:position w:val="0"/>
                <w:sz w:val="24"/>
                <w:szCs w:val="24"/>
              </w:rPr>
              <w:t>32,436</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上市公司股权</w:t>
            </w:r>
            <w:r>
              <w:rPr>
                <w:rFonts w:ascii="Arial" w:eastAsia="Arial" w:hAnsi="Arial" w:cs="Arial"/>
                <w:color w:val="000000"/>
                <w:spacing w:val="0"/>
                <w:w w:val="100"/>
                <w:position w:val="0"/>
                <w:sz w:val="24"/>
                <w:szCs w:val="24"/>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34,207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231,726</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应收退货成本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28,911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24"/>
                <w:szCs w:val="24"/>
              </w:rPr>
            </w:pPr>
            <w:r>
              <w:rPr>
                <w:rFonts w:ascii="Arial" w:eastAsia="Arial" w:hAnsi="Arial" w:cs="Arial"/>
                <w:color w:val="000000"/>
                <w:spacing w:val="0"/>
                <w:w w:val="100"/>
                <w:position w:val="0"/>
                <w:sz w:val="24"/>
                <w:szCs w:val="24"/>
              </w:rPr>
              <w:t>62,247</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待摊贴现利息费用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128,288</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rPr>
                <w:sz w:val="24"/>
                <w:szCs w:val="24"/>
              </w:rPr>
            </w:pPr>
            <w:r>
              <w:rPr>
                <w:rFonts w:ascii="Arial" w:eastAsia="Arial" w:hAnsi="Arial" w:cs="Arial"/>
                <w:color w:val="000000"/>
                <w:spacing w:val="0"/>
                <w:w w:val="100"/>
                <w:position w:val="0"/>
                <w:sz w:val="24"/>
                <w:szCs w:val="24"/>
              </w:rPr>
              <w:t>82,298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24"/>
                <w:szCs w:val="24"/>
              </w:rPr>
            </w:pPr>
            <w:r>
              <w:rPr>
                <w:rFonts w:ascii="Arial" w:eastAsia="Arial" w:hAnsi="Arial" w:cs="Arial"/>
                <w:color w:val="000000"/>
                <w:spacing w:val="0"/>
                <w:w w:val="100"/>
                <w:position w:val="0"/>
                <w:sz w:val="24"/>
                <w:szCs w:val="24"/>
              </w:rPr>
              <w:t>84,949</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3,245,080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24"/>
                <w:szCs w:val="24"/>
              </w:rPr>
            </w:pPr>
            <w:r>
              <w:rPr>
                <w:rFonts w:ascii="Arial" w:eastAsia="Arial" w:hAnsi="Arial" w:cs="Arial"/>
                <w:color w:val="000000"/>
                <w:spacing w:val="0"/>
                <w:w w:val="100"/>
                <w:position w:val="0"/>
                <w:sz w:val="24"/>
                <w:szCs w:val="24"/>
              </w:rPr>
              <w:t>5,997,641</w:t>
            </w:r>
          </w:p>
        </w:tc>
      </w:tr>
      <w:tr>
        <w:trPr>
          <w:trHeight w:val="744" w:hRule="exact"/>
        </w:trPr>
        <w:tc>
          <w:tcPr>
            <w:tcBorders/>
            <w:shd w:val="clear" w:color="auto" w:fill="FFFFFF"/>
            <w:vAlign w:val="center"/>
          </w:tcPr>
          <w:p>
            <w:pPr>
              <w:pStyle w:val="Style29"/>
              <w:keepNext w:val="0"/>
              <w:keepLines w:val="0"/>
              <w:widowControl w:val="0"/>
              <w:shd w:val="clear" w:color="auto" w:fill="auto"/>
              <w:tabs>
                <w:tab w:pos="715"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(i)</w:t>
              <w:tab/>
            </w:r>
            <w:r>
              <w:rPr>
                <w:rFonts w:ascii="SimSun" w:eastAsia="SimSun" w:hAnsi="SimSun" w:cs="SimSun"/>
                <w:color w:val="000000"/>
                <w:spacing w:val="0"/>
                <w:w w:val="100"/>
                <w:position w:val="0"/>
                <w:sz w:val="24"/>
                <w:szCs w:val="24"/>
              </w:rPr>
              <w:t>上市公司股权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上市公司股权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成本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309,543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473,852</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累计公允价值变动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(266,368)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(215,870)</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外币报表折算差额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(8,968)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(26,256)</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rPr>
                <w:sz w:val="24"/>
                <w:szCs w:val="24"/>
              </w:rPr>
            </w:pPr>
            <w:r>
              <w:rPr>
                <w:rFonts w:ascii="Arial" w:eastAsia="Arial" w:hAnsi="Arial" w:cs="Arial"/>
                <w:color w:val="000000"/>
                <w:spacing w:val="0"/>
                <w:w w:val="100"/>
                <w:position w:val="0"/>
                <w:sz w:val="24"/>
                <w:szCs w:val="24"/>
              </w:rPr>
              <w:t>34,207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231,726</w:t>
            </w:r>
          </w:p>
        </w:tc>
      </w:tr>
      <w:tr>
        <w:trPr>
          <w:trHeight w:val="749" w:hRule="exact"/>
        </w:trPr>
        <w:tc>
          <w:tcPr>
            <w:tcBorders/>
            <w:shd w:val="clear" w:color="auto" w:fill="FFFFFF"/>
            <w:vAlign w:val="center"/>
          </w:tcPr>
          <w:p>
            <w:pPr>
              <w:pStyle w:val="Style29"/>
              <w:keepNext w:val="0"/>
              <w:keepLines w:val="0"/>
              <w:widowControl w:val="0"/>
              <w:shd w:val="clear" w:color="auto" w:fill="auto"/>
              <w:tabs>
                <w:tab w:pos="715"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(9)</w:t>
              <w:tab/>
            </w:r>
            <w:r>
              <w:rPr>
                <w:rFonts w:ascii="SimSun" w:eastAsia="SimSun" w:hAnsi="SimSun" w:cs="SimSun"/>
                <w:b/>
                <w:bCs/>
                <w:color w:val="000000"/>
                <w:spacing w:val="0"/>
                <w:w w:val="100"/>
                <w:position w:val="0"/>
                <w:sz w:val="24"/>
                <w:szCs w:val="24"/>
              </w:rPr>
              <w:t>一年内到期的非流动资产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一年内到期的应收融资租赁款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158,285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24"/>
                <w:szCs w:val="24"/>
              </w:rPr>
            </w:pPr>
            <w:r>
              <w:rPr>
                <w:rFonts w:ascii="Arial" w:eastAsia="Arial" w:hAnsi="Arial" w:cs="Arial"/>
                <w:color w:val="000000"/>
                <w:spacing w:val="0"/>
                <w:w w:val="100"/>
                <w:position w:val="0"/>
                <w:sz w:val="24"/>
                <w:szCs w:val="24"/>
              </w:rPr>
              <w:t>13,005</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一年内到期的长期应收款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rPr>
                <w:sz w:val="24"/>
                <w:szCs w:val="24"/>
              </w:rPr>
            </w:pPr>
            <w:r>
              <w:rPr>
                <w:rFonts w:ascii="Arial" w:eastAsia="Arial" w:hAnsi="Arial" w:cs="Arial"/>
                <w:color w:val="000000"/>
                <w:spacing w:val="0"/>
                <w:w w:val="100"/>
                <w:position w:val="0"/>
                <w:sz w:val="24"/>
                <w:szCs w:val="24"/>
              </w:rPr>
              <w:t>20,000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一年内到期的债权投资</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24"/>
                <w:szCs w:val="24"/>
              </w:rPr>
            </w:pPr>
            <w:r>
              <w:rPr>
                <w:rFonts w:ascii="Arial" w:eastAsia="Arial" w:hAnsi="Arial" w:cs="Arial"/>
                <w:color w:val="000000"/>
                <w:spacing w:val="0"/>
                <w:w w:val="100"/>
                <w:position w:val="0"/>
                <w:sz w:val="24"/>
                <w:szCs w:val="24"/>
              </w:rPr>
              <w:t>10,387</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178,285</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24"/>
                <w:szCs w:val="24"/>
              </w:rPr>
            </w:pPr>
            <w:r>
              <w:rPr>
                <w:rFonts w:ascii="Arial" w:eastAsia="Arial" w:hAnsi="Arial" w:cs="Arial"/>
                <w:color w:val="000000"/>
                <w:spacing w:val="0"/>
                <w:w w:val="100"/>
                <w:position w:val="0"/>
                <w:sz w:val="24"/>
                <w:szCs w:val="24"/>
              </w:rPr>
              <w:t>23,392</w:t>
            </w:r>
          </w:p>
        </w:tc>
      </w:tr>
    </w:tbl>
    <w:p>
      <w:pPr>
        <w:spacing w:lineRule="exact" w:line="1"/>
        <w:rPr>
          <w:sz w:val="2"/>
          <w:szCs w:val="2"/>
        </w:rPr>
      </w:pPr>
      <w:r>
        <w:br w:type="page"/>
      </w:r>
    </w:p>
    <w:p>
      <w:pPr>
        <w:pStyle w:val="Style72"/>
        <w:keepNext w:val="0"/>
        <w:keepLines w:val="0"/>
        <w:widowControl w:val="0"/>
        <w:shd w:val="clear" w:color="auto" w:fill="auto"/>
        <w:bidi w:val="0"/>
        <w:spacing w:before="0" w:after="280" w:line="240" w:lineRule="auto"/>
        <w:ind w:left="0" w:right="0" w:firstLine="0"/>
        <w:jc w:val="left"/>
        <w:rPr>
          <w:sz w:val="28"/>
          <w:szCs w:val="28"/>
        </w:rPr>
      </w:pPr>
      <w:r>
        <w:rPr>
          <w:b/>
          <w:bCs/>
          <w:color w:val="000000"/>
          <w:spacing w:val="0"/>
          <w:w w:val="100"/>
          <w:position w:val="0"/>
          <w:sz w:val="24"/>
          <w:szCs w:val="24"/>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tbl>
      <w:tblPr>
        <w:tblOverlap w:val="never"/>
        <w:jc w:val="center"/>
        <w:tblLayout w:type="fixed"/>
      </w:tblPr>
      <w:tblGrid>
        <w:gridCol w:w="576"/>
        <w:gridCol w:w="3485"/>
        <w:gridCol w:w="2386"/>
        <w:gridCol w:w="2338"/>
      </w:tblGrid>
      <w:tr>
        <w:trPr>
          <w:trHeight w:val="101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(10)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b/>
                <w:bCs/>
                <w:color w:val="000000"/>
                <w:spacing w:val="0"/>
                <w:w w:val="100"/>
                <w:position w:val="0"/>
                <w:sz w:val="24"/>
                <w:szCs w:val="24"/>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13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left"/>
              <w:rPr>
                <w:sz w:val="24"/>
                <w:szCs w:val="24"/>
              </w:rPr>
            </w:pPr>
            <w:r>
              <w:rPr>
                <w:rFonts w:ascii="SimSun" w:eastAsia="SimSun" w:hAnsi="SimSun" w:cs="SimSun"/>
                <w:color w:val="000000"/>
                <w:spacing w:val="0"/>
                <w:w w:val="100"/>
                <w:position w:val="0"/>
                <w:sz w:val="24"/>
                <w:szCs w:val="24"/>
              </w:rPr>
              <w:t>租赁保证金</w:t>
            </w:r>
          </w:p>
          <w:p>
            <w:pPr>
              <w:pStyle w:val="Style29"/>
              <w:keepNext w:val="0"/>
              <w:keepLines w:val="0"/>
              <w:widowControl w:val="0"/>
              <w:shd w:val="clear" w:color="auto" w:fill="auto"/>
              <w:bidi w:val="0"/>
              <w:spacing w:before="0" w:after="40" w:line="240" w:lineRule="auto"/>
              <w:ind w:left="0" w:right="0" w:firstLine="140"/>
              <w:jc w:val="left"/>
              <w:rPr>
                <w:sz w:val="24"/>
                <w:szCs w:val="24"/>
              </w:rPr>
            </w:pPr>
            <w:r>
              <w:rPr>
                <w:rFonts w:ascii="SimSun" w:eastAsia="SimSun" w:hAnsi="SimSun" w:cs="SimSun"/>
                <w:color w:val="000000"/>
                <w:spacing w:val="0"/>
                <w:w w:val="100"/>
                <w:position w:val="0"/>
                <w:sz w:val="24"/>
                <w:szCs w:val="24"/>
              </w:rPr>
              <w:t>融资租赁款项</w:t>
            </w:r>
          </w:p>
          <w:p>
            <w:pPr>
              <w:pStyle w:val="Style29"/>
              <w:keepNext w:val="0"/>
              <w:keepLines w:val="0"/>
              <w:widowControl w:val="0"/>
              <w:shd w:val="clear" w:color="auto" w:fill="auto"/>
              <w:bidi w:val="0"/>
              <w:spacing w:before="0" w:after="40" w:line="240" w:lineRule="auto"/>
              <w:ind w:left="0" w:right="0" w:firstLine="140"/>
              <w:jc w:val="left"/>
              <w:rPr>
                <w:sz w:val="24"/>
                <w:szCs w:val="24"/>
              </w:rPr>
            </w:pPr>
            <w:r>
              <w:rPr>
                <w:rFonts w:ascii="SimSun" w:eastAsia="SimSun" w:hAnsi="SimSun" w:cs="SimSun"/>
                <w:color w:val="000000"/>
                <w:spacing w:val="0"/>
                <w:w w:val="100"/>
                <w:position w:val="0"/>
                <w:sz w:val="24"/>
                <w:szCs w:val="24"/>
              </w:rPr>
              <w:t>采购保证金</w:t>
            </w:r>
          </w:p>
          <w:p>
            <w:pPr>
              <w:pStyle w:val="Style29"/>
              <w:keepNext w:val="0"/>
              <w:keepLines w:val="0"/>
              <w:widowControl w:val="0"/>
              <w:shd w:val="clear" w:color="auto" w:fill="auto"/>
              <w:bidi w:val="0"/>
              <w:spacing w:before="0" w:after="40" w:line="240" w:lineRule="auto"/>
              <w:ind w:left="0" w:right="0" w:firstLine="14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814,883</w:t>
            </w:r>
          </w:p>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686,651</w:t>
            </w:r>
          </w:p>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10,296</w:t>
            </w:r>
          </w:p>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55,535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rPr>
                <w:sz w:val="24"/>
                <w:szCs w:val="24"/>
              </w:rPr>
            </w:pPr>
            <w:r>
              <w:rPr>
                <w:rFonts w:ascii="Arial" w:eastAsia="Arial" w:hAnsi="Arial" w:cs="Arial"/>
                <w:color w:val="000000"/>
                <w:spacing w:val="0"/>
                <w:w w:val="100"/>
                <w:position w:val="0"/>
                <w:sz w:val="24"/>
                <w:szCs w:val="24"/>
              </w:rPr>
              <w:t>827,785</w:t>
            </w:r>
          </w:p>
          <w:p>
            <w:pPr>
              <w:pStyle w:val="Style29"/>
              <w:keepNext w:val="0"/>
              <w:keepLines w:val="0"/>
              <w:widowControl w:val="0"/>
              <w:shd w:val="clear" w:color="auto" w:fill="auto"/>
              <w:bidi w:val="0"/>
              <w:spacing w:before="0" w:after="0" w:line="240" w:lineRule="auto"/>
              <w:ind w:left="1480" w:right="0" w:firstLine="0"/>
              <w:jc w:val="both"/>
              <w:rPr>
                <w:sz w:val="24"/>
                <w:szCs w:val="24"/>
              </w:rPr>
            </w:pPr>
            <w:r>
              <w:rPr>
                <w:rFonts w:ascii="Arial" w:eastAsia="Arial" w:hAnsi="Arial" w:cs="Arial"/>
                <w:color w:val="000000"/>
                <w:spacing w:val="0"/>
                <w:w w:val="100"/>
                <w:position w:val="0"/>
                <w:sz w:val="24"/>
                <w:szCs w:val="24"/>
              </w:rPr>
              <w:t>46,059</w:t>
            </w:r>
          </w:p>
          <w:p>
            <w:pPr>
              <w:pStyle w:val="Style29"/>
              <w:keepNext w:val="0"/>
              <w:keepLines w:val="0"/>
              <w:widowControl w:val="0"/>
              <w:shd w:val="clear" w:color="auto" w:fill="auto"/>
              <w:bidi w:val="0"/>
              <w:spacing w:before="0" w:after="0" w:line="240" w:lineRule="auto"/>
              <w:ind w:left="1480" w:right="0" w:firstLine="0"/>
              <w:jc w:val="both"/>
              <w:rPr>
                <w:sz w:val="24"/>
                <w:szCs w:val="24"/>
              </w:rPr>
            </w:pPr>
            <w:r>
              <w:rPr>
                <w:rFonts w:ascii="Arial" w:eastAsia="Arial" w:hAnsi="Arial" w:cs="Arial"/>
                <w:color w:val="000000"/>
                <w:spacing w:val="0"/>
                <w:w w:val="100"/>
                <w:position w:val="0"/>
                <w:sz w:val="24"/>
                <w:szCs w:val="24"/>
              </w:rPr>
              <w:t>10,326</w:t>
            </w:r>
          </w:p>
          <w:p>
            <w:pPr>
              <w:pStyle w:val="Style29"/>
              <w:keepNext w:val="0"/>
              <w:keepLines w:val="0"/>
              <w:widowControl w:val="0"/>
              <w:shd w:val="clear" w:color="auto" w:fill="auto"/>
              <w:bidi w:val="0"/>
              <w:spacing w:before="0" w:after="0" w:line="240" w:lineRule="auto"/>
              <w:ind w:left="1480" w:right="0" w:firstLine="0"/>
              <w:jc w:val="both"/>
              <w:rPr>
                <w:sz w:val="24"/>
                <w:szCs w:val="24"/>
              </w:rPr>
            </w:pPr>
            <w:r>
              <w:rPr>
                <w:rFonts w:ascii="Arial" w:eastAsia="Arial" w:hAnsi="Arial" w:cs="Arial"/>
                <w:color w:val="000000"/>
                <w:spacing w:val="0"/>
                <w:w w:val="100"/>
                <w:position w:val="0"/>
                <w:sz w:val="24"/>
                <w:szCs w:val="24"/>
              </w:rPr>
              <w:t>56,442</w:t>
            </w:r>
          </w:p>
        </w:tc>
      </w:tr>
      <w:tr>
        <w:trPr>
          <w:trHeight w:val="44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1,567,365</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both"/>
              <w:rPr>
                <w:sz w:val="24"/>
                <w:szCs w:val="24"/>
              </w:rPr>
            </w:pPr>
            <w:r>
              <w:rPr>
                <w:rFonts w:ascii="Arial" w:eastAsia="Arial" w:hAnsi="Arial" w:cs="Arial"/>
                <w:color w:val="000000"/>
                <w:spacing w:val="0"/>
                <w:w w:val="100"/>
                <w:position w:val="0"/>
                <w:sz w:val="24"/>
                <w:szCs w:val="24"/>
              </w:rPr>
              <w:t>940,612</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减：坏账准备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(34,050)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(1,440)</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1,533,315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rPr>
                <w:sz w:val="24"/>
                <w:szCs w:val="24"/>
              </w:rPr>
            </w:pPr>
            <w:r>
              <w:rPr>
                <w:rFonts w:ascii="Arial" w:eastAsia="Arial" w:hAnsi="Arial" w:cs="Arial"/>
                <w:color w:val="000000"/>
                <w:spacing w:val="0"/>
                <w:w w:val="100"/>
                <w:position w:val="0"/>
                <w:sz w:val="24"/>
                <w:szCs w:val="24"/>
              </w:rPr>
              <w:t>939,172</w:t>
            </w:r>
          </w:p>
        </w:tc>
      </w:tr>
      <w:tr>
        <w:trPr>
          <w:trHeight w:val="119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140"/>
              <w:jc w:val="left"/>
              <w:rPr>
                <w:sz w:val="24"/>
                <w:szCs w:val="24"/>
              </w:rPr>
            </w:pPr>
            <w:r>
              <w:rPr>
                <w:rFonts w:ascii="SimSun" w:eastAsia="SimSun" w:hAnsi="SimSun" w:cs="SimSun"/>
                <w:color w:val="000000"/>
                <w:spacing w:val="0"/>
                <w:w w:val="100"/>
                <w:position w:val="0"/>
                <w:sz w:val="24"/>
                <w:szCs w:val="24"/>
              </w:rPr>
              <w:t>其中：一年内到期的非流动</w:t>
            </w:r>
          </w:p>
          <w:p>
            <w:pPr>
              <w:pStyle w:val="Style29"/>
              <w:keepNext w:val="0"/>
              <w:keepLines w:val="0"/>
              <w:widowControl w:val="0"/>
              <w:shd w:val="clear" w:color="auto" w:fill="auto"/>
              <w:bidi w:val="0"/>
              <w:spacing w:before="0" w:after="40" w:line="240" w:lineRule="auto"/>
              <w:ind w:left="1940" w:right="0" w:firstLine="0"/>
              <w:jc w:val="left"/>
              <w:rPr>
                <w:sz w:val="24"/>
                <w:szCs w:val="24"/>
              </w:rPr>
            </w:pPr>
            <w:r>
              <w:rPr>
                <w:rFonts w:ascii="SimSun" w:eastAsia="SimSun" w:hAnsi="SimSun" w:cs="SimSun"/>
                <w:color w:val="000000"/>
                <w:spacing w:val="0"/>
                <w:w w:val="100"/>
                <w:position w:val="0"/>
                <w:sz w:val="24"/>
                <w:szCs w:val="24"/>
              </w:rPr>
              <w:t>资产</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附注四</w:t>
            </w:r>
          </w:p>
          <w:p>
            <w:pPr>
              <w:pStyle w:val="Style29"/>
              <w:keepNext w:val="0"/>
              <w:keepLines w:val="0"/>
              <w:widowControl w:val="0"/>
              <w:shd w:val="clear" w:color="auto" w:fill="auto"/>
              <w:bidi w:val="0"/>
              <w:spacing w:before="0" w:after="40" w:line="240" w:lineRule="auto"/>
              <w:ind w:left="0" w:right="0" w:firstLine="140"/>
              <w:jc w:val="left"/>
              <w:rPr>
                <w:sz w:val="24"/>
                <w:szCs w:val="24"/>
              </w:rPr>
            </w:pPr>
            <w:r>
              <w:rPr>
                <w:rFonts w:ascii="Arial" w:eastAsia="Arial" w:hAnsi="Arial" w:cs="Arial"/>
                <w:color w:val="000000"/>
                <w:spacing w:val="0"/>
                <w:w w:val="100"/>
                <w:position w:val="0"/>
                <w:sz w:val="24"/>
                <w:szCs w:val="24"/>
              </w:rPr>
              <w:t>（9））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(178,285)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rPr>
                <w:sz w:val="24"/>
                <w:szCs w:val="24"/>
              </w:rPr>
            </w:pPr>
            <w:r>
              <w:rPr>
                <w:rFonts w:ascii="Arial" w:eastAsia="Arial" w:hAnsi="Arial" w:cs="Arial"/>
                <w:color w:val="000000"/>
                <w:spacing w:val="0"/>
                <w:w w:val="100"/>
                <w:position w:val="0"/>
                <w:sz w:val="24"/>
                <w:szCs w:val="24"/>
              </w:rPr>
              <w:t>(13,005)</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1,355,030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926,167</w:t>
            </w:r>
          </w:p>
        </w:tc>
      </w:tr>
      <w:tr>
        <w:trPr>
          <w:trHeight w:val="1334" w:hRule="exact"/>
        </w:trPr>
        <w:tc>
          <w:tcPr>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0"/>
              <w:jc w:val="left"/>
              <w:rPr>
                <w:sz w:val="24"/>
                <w:szCs w:val="24"/>
              </w:rPr>
            </w:pPr>
            <w:r>
              <w:rPr>
                <w:rFonts w:ascii="Arial" w:eastAsia="Arial" w:hAnsi="Arial" w:cs="Arial"/>
                <w:color w:val="000000"/>
                <w:spacing w:val="0"/>
                <w:w w:val="100"/>
                <w:position w:val="0"/>
                <w:sz w:val="24"/>
                <w:szCs w:val="24"/>
              </w:rPr>
              <w:t>(a)</w:t>
            </w:r>
          </w:p>
        </w:tc>
        <w:tc>
          <w:tcPr>
            <w:tcBorders>
              <w:top w:val="single" w:sz="4"/>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140"/>
              <w:jc w:val="left"/>
              <w:rPr>
                <w:sz w:val="24"/>
                <w:szCs w:val="24"/>
              </w:rPr>
            </w:pPr>
            <w:r>
              <w:rPr>
                <w:rFonts w:ascii="SimSun" w:eastAsia="SimSun" w:hAnsi="SimSun" w:cs="SimSun"/>
                <w:color w:val="000000"/>
                <w:spacing w:val="0"/>
                <w:w w:val="100"/>
                <w:position w:val="0"/>
                <w:sz w:val="24"/>
                <w:szCs w:val="24"/>
              </w:rPr>
              <w:t>长期应收款账龄分析如下：</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13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一年以内</w:t>
            </w:r>
          </w:p>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一到二年</w:t>
            </w:r>
          </w:p>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二到三年</w:t>
            </w:r>
          </w:p>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三年以上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564,951</w:t>
            </w:r>
          </w:p>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109,130</w:t>
            </w:r>
          </w:p>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416,425</w:t>
            </w:r>
          </w:p>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298,574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rPr>
                <w:sz w:val="24"/>
                <w:szCs w:val="24"/>
              </w:rPr>
            </w:pPr>
            <w:r>
              <w:rPr>
                <w:rFonts w:ascii="Arial" w:eastAsia="Arial" w:hAnsi="Arial" w:cs="Arial"/>
                <w:color w:val="000000"/>
                <w:spacing w:val="0"/>
                <w:w w:val="100"/>
                <w:position w:val="0"/>
                <w:sz w:val="24"/>
                <w:szCs w:val="24"/>
              </w:rPr>
              <w:t>110,029</w:t>
            </w:r>
          </w:p>
          <w:p>
            <w:pPr>
              <w:pStyle w:val="Style29"/>
              <w:keepNext w:val="0"/>
              <w:keepLines w:val="0"/>
              <w:widowControl w:val="0"/>
              <w:shd w:val="clear" w:color="auto" w:fill="auto"/>
              <w:bidi w:val="0"/>
              <w:spacing w:before="0" w:after="0" w:line="240" w:lineRule="auto"/>
              <w:ind w:left="1300" w:right="0" w:firstLine="0"/>
              <w:jc w:val="both"/>
              <w:rPr>
                <w:sz w:val="24"/>
                <w:szCs w:val="24"/>
              </w:rPr>
            </w:pPr>
            <w:r>
              <w:rPr>
                <w:rFonts w:ascii="Arial" w:eastAsia="Arial" w:hAnsi="Arial" w:cs="Arial"/>
                <w:color w:val="000000"/>
                <w:spacing w:val="0"/>
                <w:w w:val="100"/>
                <w:position w:val="0"/>
                <w:sz w:val="24"/>
                <w:szCs w:val="24"/>
              </w:rPr>
              <w:t>484,135</w:t>
            </w:r>
          </w:p>
          <w:p>
            <w:pPr>
              <w:pStyle w:val="Style29"/>
              <w:keepNext w:val="0"/>
              <w:keepLines w:val="0"/>
              <w:widowControl w:val="0"/>
              <w:shd w:val="clear" w:color="auto" w:fill="auto"/>
              <w:bidi w:val="0"/>
              <w:spacing w:before="0" w:after="0" w:line="240" w:lineRule="auto"/>
              <w:ind w:left="1480" w:right="0" w:firstLine="0"/>
              <w:jc w:val="both"/>
              <w:rPr>
                <w:sz w:val="24"/>
                <w:szCs w:val="24"/>
              </w:rPr>
            </w:pPr>
            <w:r>
              <w:rPr>
                <w:rFonts w:ascii="Arial" w:eastAsia="Arial" w:hAnsi="Arial" w:cs="Arial"/>
                <w:color w:val="000000"/>
                <w:spacing w:val="0"/>
                <w:w w:val="100"/>
                <w:position w:val="0"/>
                <w:sz w:val="24"/>
                <w:szCs w:val="24"/>
              </w:rPr>
              <w:t>53,769</w:t>
            </w:r>
          </w:p>
          <w:p>
            <w:pPr>
              <w:pStyle w:val="Style29"/>
              <w:keepNext w:val="0"/>
              <w:keepLines w:val="0"/>
              <w:widowControl w:val="0"/>
              <w:shd w:val="clear" w:color="auto" w:fill="auto"/>
              <w:bidi w:val="0"/>
              <w:spacing w:before="0" w:after="0" w:line="240" w:lineRule="auto"/>
              <w:ind w:left="1300" w:right="0" w:firstLine="0"/>
              <w:jc w:val="both"/>
              <w:rPr>
                <w:sz w:val="24"/>
                <w:szCs w:val="24"/>
              </w:rPr>
            </w:pPr>
            <w:r>
              <w:rPr>
                <w:rFonts w:ascii="Arial" w:eastAsia="Arial" w:hAnsi="Arial" w:cs="Arial"/>
                <w:color w:val="000000"/>
                <w:spacing w:val="0"/>
                <w:w w:val="100"/>
                <w:position w:val="0"/>
                <w:sz w:val="24"/>
                <w:szCs w:val="24"/>
              </w:rPr>
              <w:t>279,674</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1,389,080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rPr>
                <w:sz w:val="24"/>
                <w:szCs w:val="24"/>
              </w:rPr>
            </w:pPr>
            <w:r>
              <w:rPr>
                <w:rFonts w:ascii="Arial" w:eastAsia="Arial" w:hAnsi="Arial" w:cs="Arial"/>
                <w:color w:val="000000"/>
                <w:spacing w:val="0"/>
                <w:w w:val="100"/>
                <w:position w:val="0"/>
                <w:sz w:val="24"/>
                <w:szCs w:val="24"/>
              </w:rPr>
              <w:t>927,607</w:t>
            </w:r>
          </w:p>
        </w:tc>
      </w:tr>
    </w:tbl>
    <w:p>
      <w:pPr>
        <w:widowControl w:val="0"/>
        <w:spacing w:after="279" w:line="1" w:lineRule="exact"/>
      </w:pPr>
    </w:p>
    <w:p>
      <w:pPr>
        <w:pStyle w:val="Style72"/>
        <w:keepNext w:val="0"/>
        <w:keepLines w:val="0"/>
        <w:widowControl w:val="0"/>
        <w:shd w:val="clear" w:color="auto" w:fill="auto"/>
        <w:tabs>
          <w:tab w:pos="672" w:val="left"/>
        </w:tabs>
        <w:bidi w:val="0"/>
        <w:spacing w:before="0" w:after="360" w:line="240" w:lineRule="auto"/>
        <w:ind w:left="0" w:right="0" w:firstLine="0"/>
        <w:jc w:val="left"/>
      </w:pPr>
      <w:bookmarkStart w:id="916" w:name="bookmark916"/>
      <w:r>
        <w:rPr>
          <w:rFonts w:ascii="Arial" w:eastAsia="Arial" w:hAnsi="Arial" w:cs="Arial"/>
          <w:color w:val="000000"/>
          <w:spacing w:val="0"/>
          <w:w w:val="100"/>
          <w:position w:val="0"/>
          <w:sz w:val="24"/>
          <w:szCs w:val="24"/>
        </w:rPr>
        <w:t>（</w:t>
      </w:r>
      <w:bookmarkEnd w:id="916"/>
      <w:r>
        <w:rPr>
          <w:rFonts w:ascii="Arial" w:eastAsia="Arial" w:hAnsi="Arial" w:cs="Arial"/>
          <w:color w:val="000000"/>
          <w:spacing w:val="0"/>
          <w:w w:val="100"/>
          <w:position w:val="0"/>
          <w:sz w:val="24"/>
          <w:szCs w:val="24"/>
        </w:rPr>
        <w:t>b）</w:t>
        <w:tab/>
      </w:r>
      <w:r>
        <w:rPr>
          <w:color w:val="000000"/>
          <w:spacing w:val="0"/>
          <w:w w:val="100"/>
          <w:position w:val="0"/>
          <w:sz w:val="24"/>
          <w:szCs w:val="24"/>
        </w:rPr>
        <w:t>损失准备及其账面余额变动表:</w:t>
      </w:r>
    </w:p>
    <w:tbl>
      <w:tblPr>
        <w:tblOverlap w:val="never"/>
        <w:jc w:val="right"/>
        <w:tblLayout w:type="fixed"/>
      </w:tblPr>
      <w:tblGrid>
        <w:gridCol w:w="1690"/>
        <w:gridCol w:w="1459"/>
        <w:gridCol w:w="888"/>
        <w:gridCol w:w="1627"/>
        <w:gridCol w:w="1099"/>
        <w:gridCol w:w="1272"/>
      </w:tblGrid>
      <w:tr>
        <w:trPr>
          <w:trHeight w:val="211"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第一阶段</w:t>
            </w: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left"/>
              <w:rPr>
                <w:sz w:val="15"/>
                <w:szCs w:val="15"/>
              </w:rPr>
            </w:pPr>
            <w:r>
              <w:rPr>
                <w:rFonts w:ascii="SimSun" w:eastAsia="SimSun" w:hAnsi="SimSun" w:cs="SimSun"/>
                <w:color w:val="000000"/>
                <w:spacing w:val="0"/>
                <w:w w:val="100"/>
                <w:position w:val="0"/>
                <w:sz w:val="15"/>
                <w:szCs w:val="15"/>
              </w:rPr>
              <w:t>第三阶段</w:t>
            </w:r>
          </w:p>
        </w:tc>
      </w:tr>
      <w:tr>
        <w:trPr>
          <w:trHeight w:val="427" w:hRule="exact"/>
        </w:trPr>
        <w:tc>
          <w:tcPr>
            <w:vMerge/>
            <w:tcBorders/>
            <w:shd w:val="clear" w:color="auto" w:fill="FFFFFF"/>
            <w:vAlign w:val="top"/>
          </w:tcPr>
          <w:p>
            <w:pP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未来</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个月内预期信用损失</w:t>
            </w:r>
          </w:p>
          <w:p>
            <w:pPr>
              <w:pStyle w:val="Style29"/>
              <w:keepNext w:val="0"/>
              <w:keepLines w:val="0"/>
              <w:widowControl w:val="0"/>
              <w:shd w:val="clear" w:color="auto" w:fill="auto"/>
              <w:bidi w:val="0"/>
              <w:spacing w:before="0" w:after="0" w:line="240" w:lineRule="auto"/>
              <w:ind w:left="0" w:right="0" w:firstLine="860"/>
              <w:jc w:val="left"/>
              <w:rPr>
                <w:sz w:val="19"/>
                <w:szCs w:val="19"/>
              </w:rPr>
            </w:pP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组合</w:t>
            </w:r>
            <w:r>
              <w:rPr>
                <w:rFonts w:ascii="SimSun" w:eastAsia="SimSun" w:hAnsi="SimSun" w:cs="SimSun"/>
                <w:color w:val="000000"/>
                <w:spacing w:val="0"/>
                <w:w w:val="100"/>
                <w:position w:val="0"/>
                <w:sz w:val="19"/>
                <w:szCs w:val="19"/>
              </w:rPr>
              <w:t>）</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02" w:lineRule="exact"/>
              <w:ind w:left="0" w:right="0" w:firstLine="0"/>
              <w:jc w:val="center"/>
              <w:rPr>
                <w:sz w:val="19"/>
                <w:szCs w:val="19"/>
              </w:rPr>
            </w:pPr>
            <w:r>
              <w:rPr>
                <w:rFonts w:ascii="SimSun" w:eastAsia="SimSun" w:hAnsi="SimSun" w:cs="SimSun"/>
                <w:color w:val="000000"/>
                <w:spacing w:val="0"/>
                <w:w w:val="100"/>
                <w:position w:val="0"/>
                <w:sz w:val="15"/>
                <w:szCs w:val="15"/>
              </w:rPr>
              <w:t>整个存续期预期信用损失</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已发 生信用减值</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单项</w:t>
            </w:r>
            <w:r>
              <w:rPr>
                <w:rFonts w:ascii="SimSun" w:eastAsia="SimSun" w:hAnsi="SimSun" w:cs="SimSun"/>
                <w:color w:val="000000"/>
                <w:spacing w:val="0"/>
                <w:w w:val="100"/>
                <w:position w:val="0"/>
                <w:sz w:val="19"/>
                <w:szCs w:val="19"/>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合计</w:t>
            </w:r>
          </w:p>
        </w:tc>
      </w:tr>
      <w:tr>
        <w:trPr>
          <w:trHeight w:val="394"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账面余额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坏账准备</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5"/>
                <w:szCs w:val="15"/>
              </w:rPr>
            </w:pPr>
            <w:r>
              <w:rPr>
                <w:rFonts w:ascii="SimSun" w:eastAsia="SimSun" w:hAnsi="SimSun" w:cs="SimSun"/>
                <w:color w:val="000000"/>
                <w:spacing w:val="0"/>
                <w:w w:val="100"/>
                <w:position w:val="0"/>
                <w:sz w:val="15"/>
                <w:szCs w:val="15"/>
              </w:rPr>
              <w:t>账面余额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坏账准备</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坏账准备</w:t>
            </w: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927,607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(1,4 40)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(1,440)</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本年新增的款项</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559,037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(5,000)</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本年减少的款项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(97,564)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4,875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4,875</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其中：本年核销</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(4,726)</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4,726</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w:t>
            </w:r>
          </w:p>
        </w:tc>
        <w:tc>
          <w:tcPr>
            <w:tcBorders>
              <w:top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4,726</w:t>
            </w:r>
          </w:p>
        </w:tc>
      </w:tr>
      <w:tr>
        <w:trPr>
          <w:trHeight w:val="221"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5"/>
                <w:szCs w:val="15"/>
              </w:rPr>
            </w:pPr>
            <w:r>
              <w:rPr>
                <w:rFonts w:ascii="SimSun" w:eastAsia="SimSun" w:hAnsi="SimSun" w:cs="SimSun"/>
                <w:color w:val="000000"/>
                <w:spacing w:val="0"/>
                <w:w w:val="100"/>
                <w:position w:val="0"/>
                <w:sz w:val="15"/>
                <w:szCs w:val="15"/>
              </w:rPr>
              <w:t>本年转回</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(92,838)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149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w:t>
            </w:r>
          </w:p>
        </w:tc>
        <w:tc>
          <w:tcPr>
            <w:tcBorders>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149</w:t>
            </w:r>
          </w:p>
        </w:tc>
      </w:tr>
      <w:tr>
        <w:trPr>
          <w:trHeight w:val="259"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转入第三阶段</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(58,379)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91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58,379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(91)</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13" w:hRule="exact"/>
        </w:trPr>
        <w:tc>
          <w:tcPr>
            <w:tcBorders/>
            <w:shd w:val="clear" w:color="auto" w:fill="FFFFFF"/>
            <w:vAlign w:val="bottom"/>
          </w:tcPr>
          <w:p>
            <w:pPr>
              <w:pStyle w:val="Style29"/>
              <w:keepNext w:val="0"/>
              <w:keepLines w:val="0"/>
              <w:widowControl w:val="0"/>
              <w:shd w:val="clear" w:color="auto" w:fill="auto"/>
              <w:bidi w:val="0"/>
              <w:spacing w:before="0" w:after="0" w:line="206" w:lineRule="exact"/>
              <w:ind w:left="320" w:right="0" w:hanging="320"/>
              <w:jc w:val="left"/>
              <w:rPr>
                <w:sz w:val="15"/>
                <w:szCs w:val="15"/>
              </w:rPr>
            </w:pPr>
            <w:r>
              <w:rPr>
                <w:rFonts w:ascii="SimSun" w:eastAsia="SimSun" w:hAnsi="SimSun" w:cs="SimSun"/>
                <w:color w:val="000000"/>
                <w:spacing w:val="0"/>
                <w:w w:val="100"/>
                <w:position w:val="0"/>
                <w:sz w:val="15"/>
                <w:szCs w:val="15"/>
              </w:rPr>
              <w:t>本年</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新增</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转回的坏 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(5,406)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(27, 079)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(32,485)</w:t>
            </w:r>
          </w:p>
        </w:tc>
      </w:tr>
      <w:tr>
        <w:trPr>
          <w:trHeight w:val="27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1,330,701</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(6,880)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58 ,379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(27, 170)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(34,050)</w:t>
            </w:r>
          </w:p>
        </w:tc>
      </w:tr>
    </w:tbl>
    <w:p>
      <w:pPr>
        <w:spacing w:lineRule="exact" w:line="1"/>
        <w:rPr>
          <w:sz w:val="2"/>
          <w:szCs w:val="2"/>
        </w:rPr>
      </w:pPr>
      <w:r>
        <w:br w:type="page"/>
      </w:r>
    </w:p>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40" w:line="240" w:lineRule="auto"/>
        <w:ind w:left="0" w:right="0" w:firstLine="72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tabs>
          <w:tab w:pos="706" w:val="left"/>
        </w:tabs>
        <w:bidi w:val="0"/>
        <w:spacing w:before="0" w:after="280" w:line="240" w:lineRule="auto"/>
        <w:ind w:left="0" w:right="0" w:firstLine="0"/>
        <w:jc w:val="left"/>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9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（10）</w:t>
      </w:r>
      <w:r>
        <w:rPr>
          <w:rFonts w:ascii="SimSun" w:eastAsia="SimSun" w:hAnsi="SimSun" w:cs="SimSun"/>
          <w:b/>
          <w:bCs/>
          <w:color w:val="000000"/>
          <w:spacing w:val="0"/>
          <w:w w:val="100"/>
          <w:position w:val="0"/>
          <w:sz w:val="24"/>
          <w:szCs w:val="24"/>
        </w:rPr>
        <w:t>长期应收款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color w:val="000000"/>
          <w:spacing w:val="0"/>
          <w:w w:val="100"/>
          <w:position w:val="0"/>
          <w:sz w:val="24"/>
          <w:szCs w:val="24"/>
        </w:rPr>
        <w:t>）</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 xml:space="preserve">（b） </w:t>
      </w:r>
      <w:r>
        <w:rPr>
          <w:color w:val="000000"/>
          <w:spacing w:val="0"/>
          <w:w w:val="100"/>
          <w:position w:val="0"/>
          <w:sz w:val="24"/>
          <w:szCs w:val="24"/>
        </w:rPr>
        <w:t>损失准备及其账面余额变动表</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tbl>
      <w:tblPr>
        <w:tblOverlap w:val="never"/>
        <w:jc w:val="center"/>
        <w:tblLayout w:type="fixed"/>
      </w:tblPr>
      <w:tblGrid>
        <w:gridCol w:w="514"/>
        <w:gridCol w:w="2342"/>
        <w:gridCol w:w="427"/>
        <w:gridCol w:w="2750"/>
        <w:gridCol w:w="2750"/>
      </w:tblGrid>
      <w:tr>
        <w:trPr>
          <w:trHeight w:val="4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于</w:t>
            </w: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日，</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单项计提坏账准备的长期应收款分析如下：</w:t>
            </w:r>
          </w:p>
        </w:tc>
      </w:tr>
      <w:tr>
        <w:trPr>
          <w:trHeight w:val="295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1640" w:line="240" w:lineRule="auto"/>
              <w:ind w:left="0" w:right="0" w:firstLine="220"/>
              <w:jc w:val="left"/>
              <w:rPr>
                <w:sz w:val="18"/>
                <w:szCs w:val="18"/>
              </w:rPr>
            </w:pPr>
            <w:r>
              <w:rPr>
                <w:rFonts w:ascii="SimSun" w:eastAsia="SimSun" w:hAnsi="SimSun" w:cs="SimSun"/>
                <w:color w:val="000000"/>
                <w:spacing w:val="0"/>
                <w:w w:val="100"/>
                <w:position w:val="0"/>
                <w:sz w:val="18"/>
                <w:szCs w:val="18"/>
              </w:rPr>
              <w:t>第三阶段</w:t>
            </w:r>
          </w:p>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一年以上租赁保证金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未来</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个月内预</w:t>
            </w:r>
          </w:p>
          <w:p>
            <w:pPr>
              <w:pStyle w:val="Style29"/>
              <w:keepNext w:val="0"/>
              <w:keepLines w:val="0"/>
              <w:widowControl w:val="0"/>
              <w:shd w:val="clear" w:color="auto" w:fill="auto"/>
              <w:tabs>
                <w:tab w:pos="1561" w:val="left"/>
              </w:tabs>
              <w:bidi w:val="0"/>
              <w:spacing w:before="0" w:after="2120" w:line="240" w:lineRule="auto"/>
              <w:ind w:left="0" w:right="0" w:firstLine="260"/>
              <w:jc w:val="both"/>
              <w:rPr>
                <w:sz w:val="18"/>
                <w:szCs w:val="18"/>
              </w:rPr>
            </w:pPr>
            <w:r>
              <w:rPr>
                <w:rFonts w:ascii="SimSun" w:eastAsia="SimSun" w:hAnsi="SimSun" w:cs="SimSun"/>
                <w:color w:val="000000"/>
                <w:spacing w:val="0"/>
                <w:w w:val="100"/>
                <w:position w:val="0"/>
                <w:sz w:val="18"/>
                <w:szCs w:val="18"/>
              </w:rPr>
              <w:t>账面余额</w:t>
              <w:tab/>
              <w:t>期信用损失率</w:t>
            </w:r>
          </w:p>
          <w:p>
            <w:pPr>
              <w:pStyle w:val="Style29"/>
              <w:keepNext w:val="0"/>
              <w:keepLines w:val="0"/>
              <w:widowControl w:val="0"/>
              <w:shd w:val="clear" w:color="auto" w:fill="auto"/>
              <w:tabs>
                <w:tab w:pos="2262" w:val="left"/>
              </w:tabs>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58,379</w:t>
              <w:tab/>
              <w:t>47%</w:t>
            </w:r>
          </w:p>
        </w:tc>
        <w:tc>
          <w:tcPr>
            <w:tcBorders/>
            <w:shd w:val="clear" w:color="auto" w:fill="FFFFFF"/>
            <w:vAlign w:val="bottom"/>
          </w:tcPr>
          <w:p>
            <w:pPr>
              <w:pStyle w:val="Style29"/>
              <w:keepNext w:val="0"/>
              <w:keepLines w:val="0"/>
              <w:widowControl w:val="0"/>
              <w:shd w:val="clear" w:color="auto" w:fill="auto"/>
              <w:tabs>
                <w:tab w:pos="2236" w:val="left"/>
              </w:tabs>
              <w:bidi w:val="0"/>
              <w:spacing w:before="0" w:after="460" w:line="233" w:lineRule="exact"/>
              <w:ind w:left="0" w:right="0" w:firstLine="460"/>
              <w:jc w:val="both"/>
              <w:rPr>
                <w:sz w:val="18"/>
                <w:szCs w:val="18"/>
              </w:rPr>
            </w:pPr>
            <w:r>
              <w:rPr>
                <w:rFonts w:ascii="SimSun" w:eastAsia="SimSun" w:hAnsi="SimSun" w:cs="SimSun"/>
                <w:color w:val="000000"/>
                <w:spacing w:val="0"/>
                <w:w w:val="100"/>
                <w:position w:val="0"/>
                <w:sz w:val="18"/>
                <w:szCs w:val="18"/>
              </w:rPr>
              <w:t>坏账准备</w:t>
              <w:tab/>
              <w:t>理由</w:t>
            </w:r>
          </w:p>
          <w:p>
            <w:pPr>
              <w:pStyle w:val="Style29"/>
              <w:keepNext w:val="0"/>
              <w:keepLines w:val="0"/>
              <w:widowControl w:val="0"/>
              <w:shd w:val="clear" w:color="auto" w:fill="auto"/>
              <w:tabs>
                <w:tab w:pos="1678" w:val="left"/>
              </w:tabs>
              <w:bidi w:val="0"/>
              <w:spacing w:before="0" w:after="0" w:line="233" w:lineRule="exact"/>
              <w:ind w:left="540" w:right="0" w:firstLine="780"/>
              <w:jc w:val="both"/>
              <w:rPr>
                <w:sz w:val="18"/>
                <w:szCs w:val="18"/>
              </w:rPr>
            </w:pPr>
            <w:r>
              <w:rPr>
                <w:rFonts w:ascii="SimSun" w:eastAsia="SimSun" w:hAnsi="SimSun" w:cs="SimSun"/>
                <w:color w:val="000000"/>
                <w:spacing w:val="0"/>
                <w:w w:val="100"/>
                <w:position w:val="0"/>
                <w:sz w:val="18"/>
                <w:szCs w:val="18"/>
              </w:rPr>
              <w:t xml:space="preserve">通过计算不同情 景下应收款项的 合同现金流量与 预期能收到的现 金流量之间差额 的现值的概率加 权金额，确认预 </w:t>
            </w:r>
            <w:r>
              <w:rPr>
                <w:rFonts w:ascii="Arial" w:eastAsia="Arial" w:hAnsi="Arial" w:cs="Arial"/>
                <w:color w:val="000000"/>
                <w:spacing w:val="0"/>
                <w:w w:val="100"/>
                <w:position w:val="0"/>
                <w:sz w:val="18"/>
                <w:szCs w:val="18"/>
              </w:rPr>
              <w:t>（27,170）</w:t>
              <w:tab/>
            </w:r>
            <w:r>
              <w:rPr>
                <w:rFonts w:ascii="SimSun" w:eastAsia="SimSun" w:hAnsi="SimSun" w:cs="SimSun"/>
                <w:color w:val="000000"/>
                <w:spacing w:val="0"/>
                <w:w w:val="100"/>
                <w:position w:val="0"/>
                <w:sz w:val="18"/>
                <w:szCs w:val="18"/>
              </w:rPr>
              <w:t>期信用损失</w:t>
            </w:r>
          </w:p>
        </w:tc>
      </w:tr>
      <w:tr>
        <w:trPr>
          <w:trHeight w:val="106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(ii)</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于</w:t>
            </w: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p>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款分析如下：</w:t>
            </w:r>
          </w:p>
        </w:tc>
        <w:tc>
          <w:tcPr>
            <w:gridSpan w:val="3"/>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日及</w:t>
            </w: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日，组合计提坏账准备的长期应收</w:t>
            </w:r>
          </w:p>
        </w:tc>
      </w:tr>
      <w:tr>
        <w:trPr>
          <w:trHeight w:val="120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tabs>
                <w:tab w:pos="3217" w:val="left"/>
              </w:tabs>
              <w:bidi w:val="0"/>
              <w:spacing w:before="0" w:after="0" w:line="240" w:lineRule="auto"/>
              <w:ind w:left="0" w:right="0" w:firstLine="740"/>
              <w:jc w:val="left"/>
              <w:rPr>
                <w:sz w:val="24"/>
                <w:szCs w:val="24"/>
              </w:rPr>
            </w:pPr>
            <w:r>
              <w:rPr>
                <w:rFonts w:ascii="SimSun" w:eastAsia="SimSun" w:hAnsi="SimSun" w:cs="SimSun"/>
                <w:color w:val="000000"/>
                <w:spacing w:val="0"/>
                <w:w w:val="100"/>
                <w:position w:val="0"/>
                <w:sz w:val="24"/>
                <w:szCs w:val="24"/>
              </w:rPr>
              <w:t>账面余额</w:t>
              <w:tab/>
              <w:t>损失准备</w:t>
            </w:r>
          </w:p>
          <w:p>
            <w:pPr>
              <w:pStyle w:val="Style29"/>
              <w:keepNext w:val="0"/>
              <w:keepLines w:val="0"/>
              <w:widowControl w:val="0"/>
              <w:shd w:val="clear" w:color="auto" w:fill="auto"/>
              <w:tabs>
                <w:tab w:pos="3030" w:val="left"/>
                <w:tab w:pos="4374" w:val="left"/>
              </w:tabs>
              <w:bidi w:val="0"/>
              <w:spacing w:before="0" w:after="0" w:line="240" w:lineRule="auto"/>
              <w:ind w:left="1220" w:right="0" w:firstLine="0"/>
              <w:jc w:val="left"/>
              <w:rPr>
                <w:sz w:val="24"/>
                <w:szCs w:val="24"/>
              </w:rPr>
            </w:pPr>
            <w:r>
              <w:rPr>
                <w:rFonts w:ascii="SimSun" w:eastAsia="SimSun" w:hAnsi="SimSun" w:cs="SimSun"/>
                <w:color w:val="000000"/>
                <w:spacing w:val="0"/>
                <w:w w:val="100"/>
                <w:position w:val="0"/>
                <w:sz w:val="24"/>
                <w:szCs w:val="24"/>
              </w:rPr>
              <w:t>金额</w:t>
              <w:tab/>
              <w:t>金额</w:t>
              <w:tab/>
              <w:t>计提比例</w:t>
            </w:r>
          </w:p>
        </w:tc>
      </w:tr>
      <w:tr>
        <w:trPr>
          <w:trHeight w:val="763"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20"/>
              <w:jc w:val="left"/>
              <w:rPr>
                <w:sz w:val="24"/>
                <w:szCs w:val="24"/>
              </w:rPr>
            </w:pPr>
            <w:r>
              <w:rPr>
                <w:rFonts w:ascii="SimSun" w:eastAsia="SimSun" w:hAnsi="SimSun" w:cs="SimSun"/>
                <w:color w:val="000000"/>
                <w:spacing w:val="0"/>
                <w:w w:val="100"/>
                <w:position w:val="0"/>
                <w:sz w:val="24"/>
                <w:szCs w:val="24"/>
              </w:rPr>
              <w:t>押金及保证金组合</w:t>
            </w:r>
          </w:p>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融资租赁款及其他组合</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766,800</w:t>
            </w:r>
          </w:p>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563,901</w:t>
            </w:r>
          </w:p>
        </w:tc>
        <w:tc>
          <w:tcPr>
            <w:tcBorders/>
            <w:shd w:val="clear" w:color="auto" w:fill="FFFFFF"/>
            <w:vAlign w:val="bottom"/>
          </w:tcPr>
          <w:p>
            <w:pPr>
              <w:pStyle w:val="Style29"/>
              <w:keepNext w:val="0"/>
              <w:keepLines w:val="0"/>
              <w:widowControl w:val="0"/>
              <w:shd w:val="clear" w:color="auto" w:fill="auto"/>
              <w:tabs>
                <w:tab w:pos="1795" w:val="left"/>
              </w:tabs>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(3,965)</w:t>
              <w:tab/>
              <w:t>0.52%</w:t>
            </w:r>
          </w:p>
          <w:p>
            <w:pPr>
              <w:pStyle w:val="Style29"/>
              <w:keepNext w:val="0"/>
              <w:keepLines w:val="0"/>
              <w:widowControl w:val="0"/>
              <w:shd w:val="clear" w:color="auto" w:fill="auto"/>
              <w:tabs>
                <w:tab w:pos="1795" w:val="left"/>
              </w:tabs>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(2,915)</w:t>
              <w:tab/>
              <w:t>0.52%</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1,330,701</w:t>
            </w:r>
          </w:p>
        </w:tc>
        <w:tc>
          <w:tcPr>
            <w:tcBorders>
              <w:top w:val="single" w:sz="4"/>
            </w:tcBorders>
            <w:shd w:val="clear" w:color="auto" w:fill="FFFFFF"/>
            <w:vAlign w:val="bottom"/>
          </w:tcPr>
          <w:p>
            <w:pPr>
              <w:pStyle w:val="Style29"/>
              <w:keepNext w:val="0"/>
              <w:keepLines w:val="0"/>
              <w:widowControl w:val="0"/>
              <w:shd w:val="clear" w:color="auto" w:fill="auto"/>
              <w:tabs>
                <w:tab w:pos="1819" w:val="left"/>
              </w:tabs>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(6,880)</w:t>
              <w:tab/>
              <w:t>0.52%</w:t>
            </w:r>
          </w:p>
        </w:tc>
      </w:tr>
      <w:tr>
        <w:trPr>
          <w:trHeight w:val="136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tabs>
                <w:tab w:pos="3217" w:val="left"/>
              </w:tabs>
              <w:bidi w:val="0"/>
              <w:spacing w:before="0" w:after="0" w:line="240" w:lineRule="auto"/>
              <w:ind w:left="0" w:right="0" w:firstLine="740"/>
              <w:jc w:val="left"/>
              <w:rPr>
                <w:sz w:val="24"/>
                <w:szCs w:val="24"/>
              </w:rPr>
            </w:pPr>
            <w:r>
              <w:rPr>
                <w:rFonts w:ascii="SimSun" w:eastAsia="SimSun" w:hAnsi="SimSun" w:cs="SimSun"/>
                <w:color w:val="000000"/>
                <w:spacing w:val="0"/>
                <w:w w:val="100"/>
                <w:position w:val="0"/>
                <w:sz w:val="24"/>
                <w:szCs w:val="24"/>
              </w:rPr>
              <w:t>账面余额</w:t>
              <w:tab/>
              <w:t>损失准备</w:t>
            </w:r>
          </w:p>
          <w:p>
            <w:pPr>
              <w:pStyle w:val="Style29"/>
              <w:keepNext w:val="0"/>
              <w:keepLines w:val="0"/>
              <w:widowControl w:val="0"/>
              <w:shd w:val="clear" w:color="auto" w:fill="auto"/>
              <w:tabs>
                <w:tab w:pos="3030" w:val="left"/>
                <w:tab w:pos="4374" w:val="left"/>
              </w:tabs>
              <w:bidi w:val="0"/>
              <w:spacing w:before="0" w:after="0" w:line="240" w:lineRule="auto"/>
              <w:ind w:left="1220" w:right="0" w:firstLine="0"/>
              <w:jc w:val="left"/>
              <w:rPr>
                <w:sz w:val="24"/>
                <w:szCs w:val="24"/>
              </w:rPr>
            </w:pPr>
            <w:r>
              <w:rPr>
                <w:rFonts w:ascii="SimSun" w:eastAsia="SimSun" w:hAnsi="SimSun" w:cs="SimSun"/>
                <w:color w:val="000000"/>
                <w:spacing w:val="0"/>
                <w:w w:val="100"/>
                <w:position w:val="0"/>
                <w:sz w:val="24"/>
                <w:szCs w:val="24"/>
              </w:rPr>
              <w:t>金额</w:t>
              <w:tab/>
              <w:t>金额</w:t>
              <w:tab/>
              <w:t>计提比例</w:t>
            </w:r>
          </w:p>
        </w:tc>
      </w:tr>
      <w:tr>
        <w:trPr>
          <w:trHeight w:val="758"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押金及保证金组合</w:t>
            </w:r>
          </w:p>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融资租赁款及其他组合</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838,111</w:t>
            </w:r>
          </w:p>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89,496</w:t>
            </w:r>
          </w:p>
        </w:tc>
        <w:tc>
          <w:tcPr>
            <w:tcBorders/>
            <w:shd w:val="clear" w:color="auto" w:fill="FFFFFF"/>
            <w:vAlign w:val="bottom"/>
          </w:tcPr>
          <w:p>
            <w:pPr>
              <w:pStyle w:val="Style29"/>
              <w:keepNext w:val="0"/>
              <w:keepLines w:val="0"/>
              <w:widowControl w:val="0"/>
              <w:shd w:val="clear" w:color="auto" w:fill="auto"/>
              <w:tabs>
                <w:tab w:pos="1781" w:val="left"/>
              </w:tabs>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(1,303)</w:t>
              <w:tab/>
              <w:t>0.16%</w:t>
            </w:r>
          </w:p>
          <w:p>
            <w:pPr>
              <w:pStyle w:val="Style29"/>
              <w:keepNext w:val="0"/>
              <w:keepLines w:val="0"/>
              <w:widowControl w:val="0"/>
              <w:shd w:val="clear" w:color="auto" w:fill="auto"/>
              <w:tabs>
                <w:tab w:pos="1859" w:val="left"/>
              </w:tabs>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(137)</w:t>
              <w:tab/>
              <w:t>0.15%</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927,607</w:t>
            </w:r>
          </w:p>
        </w:tc>
        <w:tc>
          <w:tcPr>
            <w:tcBorders>
              <w:top w:val="single" w:sz="4"/>
            </w:tcBorders>
            <w:shd w:val="clear" w:color="auto" w:fill="FFFFFF"/>
            <w:vAlign w:val="bottom"/>
          </w:tcPr>
          <w:p>
            <w:pPr>
              <w:pStyle w:val="Style29"/>
              <w:keepNext w:val="0"/>
              <w:keepLines w:val="0"/>
              <w:widowControl w:val="0"/>
              <w:shd w:val="clear" w:color="auto" w:fill="auto"/>
              <w:tabs>
                <w:tab w:pos="1819" w:val="left"/>
              </w:tabs>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(1,440)</w:t>
              <w:tab/>
              <w:t>0.16%</w:t>
            </w:r>
          </w:p>
        </w:tc>
      </w:tr>
      <w:tr>
        <w:trPr>
          <w:trHeight w:val="105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(c)</w:t>
            </w:r>
          </w:p>
        </w:tc>
        <w:tc>
          <w:tcPr>
            <w:gridSpan w:val="4"/>
            <w:tcBorders>
              <w:top w:val="single" w:sz="4"/>
            </w:tcBorders>
            <w:shd w:val="clear" w:color="auto" w:fill="FFFFFF"/>
            <w:vAlign w:val="bottom"/>
          </w:tcPr>
          <w:p>
            <w:pPr>
              <w:pStyle w:val="Style29"/>
              <w:keepNext w:val="0"/>
              <w:keepLines w:val="0"/>
              <w:widowControl w:val="0"/>
              <w:shd w:val="clear" w:color="auto" w:fill="auto"/>
              <w:bidi w:val="0"/>
              <w:spacing w:before="0" w:after="0" w:line="322" w:lineRule="exact"/>
              <w:ind w:left="220" w:right="0" w:firstLine="0"/>
              <w:jc w:val="both"/>
              <w:rPr>
                <w:sz w:val="24"/>
                <w:szCs w:val="24"/>
              </w:rPr>
            </w:pPr>
            <w:r>
              <w:rPr>
                <w:rFonts w:ascii="SimSun" w:eastAsia="SimSun" w:hAnsi="SimSun" w:cs="SimSun"/>
                <w:color w:val="000000"/>
                <w:spacing w:val="0"/>
                <w:w w:val="100"/>
                <w:position w:val="0"/>
                <w:sz w:val="24"/>
                <w:szCs w:val="24"/>
              </w:rPr>
              <w:t>本年度计提的坏账准备金额约人民币</w:t>
            </w:r>
            <w:r>
              <w:rPr>
                <w:rFonts w:ascii="Arial" w:eastAsia="Arial" w:hAnsi="Arial" w:cs="Arial"/>
                <w:color w:val="000000"/>
                <w:spacing w:val="0"/>
                <w:w w:val="100"/>
                <w:position w:val="0"/>
                <w:sz w:val="24"/>
                <w:szCs w:val="24"/>
              </w:rPr>
              <w:t>3,758</w:t>
            </w:r>
            <w:r>
              <w:rPr>
                <w:rFonts w:ascii="SimSun" w:eastAsia="SimSun" w:hAnsi="SimSun" w:cs="SimSun"/>
                <w:color w:val="000000"/>
                <w:spacing w:val="0"/>
                <w:w w:val="100"/>
                <w:position w:val="0"/>
                <w:sz w:val="24"/>
                <w:szCs w:val="24"/>
              </w:rPr>
              <w:t>万元</w:t>
            </w: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年：约人民币</w:t>
            </w:r>
            <w:r>
              <w:rPr>
                <w:rFonts w:ascii="Arial" w:eastAsia="Arial" w:hAnsi="Arial" w:cs="Arial"/>
                <w:color w:val="000000"/>
                <w:spacing w:val="0"/>
                <w:w w:val="100"/>
                <w:position w:val="0"/>
                <w:sz w:val="24"/>
                <w:szCs w:val="24"/>
              </w:rPr>
              <w:t>106</w:t>
            </w:r>
            <w:r>
              <w:rPr>
                <w:rFonts w:ascii="SimSun" w:eastAsia="SimSun" w:hAnsi="SimSun" w:cs="SimSun"/>
                <w:color w:val="000000"/>
                <w:spacing w:val="0"/>
                <w:w w:val="100"/>
                <w:position w:val="0"/>
                <w:sz w:val="24"/>
                <w:szCs w:val="24"/>
              </w:rPr>
              <w:t>万 元</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，本年度无重大的收回或转回。</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(d)</w:t>
            </w:r>
          </w:p>
        </w:tc>
        <w:tc>
          <w:tcPr>
            <w:gridSpan w:val="3"/>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年实际核销的长期应收款约人民币</w:t>
            </w:r>
            <w:r>
              <w:rPr>
                <w:rFonts w:ascii="Arial" w:eastAsia="Arial" w:hAnsi="Arial" w:cs="Arial"/>
                <w:color w:val="000000"/>
                <w:spacing w:val="0"/>
                <w:w w:val="100"/>
                <w:position w:val="0"/>
                <w:sz w:val="24"/>
                <w:szCs w:val="24"/>
              </w:rPr>
              <w:t>473</w:t>
            </w:r>
            <w:r>
              <w:rPr>
                <w:rFonts w:ascii="SimSun" w:eastAsia="SimSun" w:hAnsi="SimSun" w:cs="SimSun"/>
                <w:color w:val="000000"/>
                <w:spacing w:val="0"/>
                <w:w w:val="100"/>
                <w:position w:val="0"/>
                <w:sz w:val="24"/>
                <w:szCs w:val="24"/>
              </w:rPr>
              <w:t>万元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2</w:t>
            </w:r>
            <w:r>
              <w:rPr>
                <w:rFonts w:ascii="SimSun" w:eastAsia="SimSun" w:hAnsi="SimSun" w:cs="SimSun"/>
                <w:color w:val="000000"/>
                <w:spacing w:val="0"/>
                <w:w w:val="100"/>
                <w:position w:val="0"/>
                <w:sz w:val="24"/>
                <w:szCs w:val="24"/>
              </w:rPr>
              <w:t>万元</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w:t>
            </w:r>
          </w:p>
        </w:tc>
      </w:tr>
    </w:tbl>
    <w:p>
      <w:pPr>
        <w:spacing w:lineRule="exact" w:line="1"/>
        <w:rPr>
          <w:sz w:val="2"/>
          <w:szCs w:val="2"/>
        </w:rPr>
      </w:pPr>
      <w:r>
        <w:br w:type="page"/>
      </w:r>
    </w:p>
    <w:p>
      <w:pPr>
        <w:pStyle w:val="Style72"/>
        <w:keepNext w:val="0"/>
        <w:keepLines w:val="0"/>
        <w:widowControl w:val="0"/>
        <w:shd w:val="clear" w:color="auto" w:fill="auto"/>
        <w:bidi w:val="0"/>
        <w:spacing w:before="0" w:after="60" w:line="240" w:lineRule="auto"/>
        <w:ind w:left="0" w:right="0" w:firstLine="720"/>
        <w:jc w:val="both"/>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both"/>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40" w:line="240" w:lineRule="auto"/>
        <w:ind w:left="0" w:right="0" w:firstLine="720"/>
        <w:jc w:val="both"/>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tabs>
          <w:tab w:pos="710" w:val="left"/>
        </w:tabs>
        <w:bidi w:val="0"/>
        <w:spacing w:before="0" w:after="280" w:line="240" w:lineRule="auto"/>
        <w:ind w:left="0" w:right="0" w:firstLine="0"/>
        <w:jc w:val="left"/>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9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（10）</w:t>
      </w:r>
      <w:r>
        <w:rPr>
          <w:rFonts w:ascii="SimSun" w:eastAsia="SimSun" w:hAnsi="SimSun" w:cs="SimSun"/>
          <w:b/>
          <w:bCs/>
          <w:color w:val="000000"/>
          <w:spacing w:val="0"/>
          <w:w w:val="100"/>
          <w:position w:val="0"/>
          <w:sz w:val="24"/>
          <w:szCs w:val="24"/>
        </w:rPr>
        <w:t>长期应收款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color w:val="000000"/>
          <w:spacing w:val="0"/>
          <w:w w:val="100"/>
          <w:position w:val="0"/>
          <w:sz w:val="24"/>
          <w:szCs w:val="24"/>
        </w:rPr>
        <w:t>）</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 xml:space="preserve">（e） </w:t>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日，按欠款方归集的余额前五名的长期应收款分析如下:</w:t>
      </w:r>
    </w:p>
    <w:tbl>
      <w:tblPr>
        <w:tblOverlap w:val="never"/>
        <w:jc w:val="center"/>
        <w:tblLayout w:type="fixed"/>
      </w:tblPr>
      <w:tblGrid>
        <w:gridCol w:w="1306"/>
        <w:gridCol w:w="2318"/>
        <w:gridCol w:w="960"/>
        <w:gridCol w:w="1042"/>
        <w:gridCol w:w="1459"/>
        <w:gridCol w:w="984"/>
      </w:tblGrid>
      <w:tr>
        <w:trPr>
          <w:trHeight w:val="5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5"/>
                <w:szCs w:val="15"/>
              </w:rPr>
            </w:pPr>
            <w:r>
              <w:rPr>
                <w:rFonts w:ascii="SimSun" w:eastAsia="SimSun" w:hAnsi="SimSun" w:cs="SimSun"/>
                <w:color w:val="000000"/>
                <w:spacing w:val="0"/>
                <w:w w:val="100"/>
                <w:position w:val="0"/>
                <w:sz w:val="15"/>
                <w:szCs w:val="15"/>
              </w:rPr>
              <w:t>性质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余额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5"/>
                <w:szCs w:val="15"/>
              </w:rPr>
            </w:pPr>
            <w:r>
              <w:rPr>
                <w:rFonts w:ascii="SimSun" w:eastAsia="SimSun" w:hAnsi="SimSun" w:cs="SimSun"/>
                <w:color w:val="000000"/>
                <w:spacing w:val="0"/>
                <w:w w:val="100"/>
                <w:position w:val="0"/>
                <w:sz w:val="15"/>
                <w:szCs w:val="15"/>
              </w:rPr>
              <w:t>账龄</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220" w:firstLine="0"/>
              <w:jc w:val="right"/>
              <w:rPr>
                <w:sz w:val="15"/>
                <w:szCs w:val="15"/>
              </w:rPr>
            </w:pPr>
            <w:r>
              <w:rPr>
                <w:rFonts w:ascii="SimSun" w:eastAsia="SimSun" w:hAnsi="SimSun" w:cs="SimSun"/>
                <w:color w:val="000000"/>
                <w:spacing w:val="0"/>
                <w:w w:val="100"/>
                <w:position w:val="0"/>
                <w:sz w:val="15"/>
                <w:szCs w:val="15"/>
              </w:rPr>
              <w:t>占长期应收款余</w:t>
            </w:r>
          </w:p>
          <w:p>
            <w:pPr>
              <w:pStyle w:val="Style29"/>
              <w:keepNext w:val="0"/>
              <w:keepLines w:val="0"/>
              <w:widowControl w:val="0"/>
              <w:shd w:val="clear" w:color="auto" w:fill="auto"/>
              <w:bidi w:val="0"/>
              <w:spacing w:before="0" w:after="0" w:line="240" w:lineRule="auto"/>
              <w:ind w:left="0" w:right="220" w:firstLine="0"/>
              <w:jc w:val="right"/>
              <w:rPr>
                <w:sz w:val="15"/>
                <w:szCs w:val="15"/>
              </w:rPr>
            </w:pPr>
            <w:r>
              <w:rPr>
                <w:rFonts w:ascii="SimSun" w:eastAsia="SimSun" w:hAnsi="SimSun" w:cs="SimSun"/>
                <w:color w:val="000000"/>
                <w:spacing w:val="0"/>
                <w:w w:val="100"/>
                <w:position w:val="0"/>
                <w:sz w:val="15"/>
                <w:szCs w:val="15"/>
              </w:rPr>
              <w:t>额总额比例</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坏账准备</w:t>
            </w:r>
          </w:p>
        </w:tc>
      </w:tr>
      <w:tr>
        <w:trPr>
          <w:trHeight w:val="35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L</w:t>
            </w:r>
            <w:r>
              <w:rPr>
                <w:rFonts w:ascii="SimSun" w:eastAsia="SimSun" w:hAnsi="SimSun" w:cs="SimSun"/>
                <w:color w:val="000000"/>
                <w:spacing w:val="0"/>
                <w:w w:val="100"/>
                <w:position w:val="0"/>
                <w:sz w:val="18"/>
                <w:szCs w:val="18"/>
              </w:rPr>
              <w:t>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融资租赁款项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210,585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(1,089)</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M</w:t>
            </w:r>
            <w:r>
              <w:rPr>
                <w:rFonts w:ascii="SimSun" w:eastAsia="SimSun" w:hAnsi="SimSun" w:cs="SimSun"/>
                <w:color w:val="000000"/>
                <w:spacing w:val="0"/>
                <w:w w:val="100"/>
                <w:position w:val="0"/>
                <w:sz w:val="18"/>
                <w:szCs w:val="18"/>
              </w:rPr>
              <w:t>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融资租赁款项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37,438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(194)</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N</w:t>
            </w:r>
            <w:r>
              <w:rPr>
                <w:rFonts w:ascii="SimSun" w:eastAsia="SimSun" w:hAnsi="SimSun" w:cs="SimSun"/>
                <w:color w:val="000000"/>
                <w:spacing w:val="0"/>
                <w:w w:val="100"/>
                <w:position w:val="0"/>
                <w:sz w:val="18"/>
                <w:szCs w:val="18"/>
              </w:rPr>
              <w:t>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融资租赁款项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29,315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(152)</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O</w:t>
            </w:r>
            <w:r>
              <w:rPr>
                <w:rFonts w:ascii="SimSun" w:eastAsia="SimSun" w:hAnsi="SimSun" w:cs="SimSun"/>
                <w:color w:val="000000"/>
                <w:spacing w:val="0"/>
                <w:w w:val="100"/>
                <w:position w:val="0"/>
                <w:sz w:val="18"/>
                <w:szCs w:val="18"/>
              </w:rPr>
              <w:t>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租赁押金和保证金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21,511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一至五年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(111)</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P</w:t>
            </w:r>
            <w:r>
              <w:rPr>
                <w:rFonts w:ascii="SimSun" w:eastAsia="SimSun" w:hAnsi="SimSun" w:cs="SimSun"/>
                <w:color w:val="000000"/>
                <w:spacing w:val="0"/>
                <w:w w:val="100"/>
                <w:position w:val="0"/>
                <w:sz w:val="18"/>
                <w:szCs w:val="18"/>
              </w:rPr>
              <w:t>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融资租赁款项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20,403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(105)</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319,252</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23%</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(1,651)</w:t>
            </w:r>
          </w:p>
        </w:tc>
      </w:tr>
    </w:tbl>
    <w:p>
      <w:pPr>
        <w:widowControl w:val="0"/>
        <w:spacing w:after="219" w:line="1" w:lineRule="exact"/>
      </w:pPr>
    </w:p>
    <w:p>
      <w:pPr>
        <w:pStyle w:val="Style72"/>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（11）</w:t>
      </w:r>
      <w:r>
        <w:rPr>
          <w:b/>
          <w:bCs/>
          <w:color w:val="000000"/>
          <w:spacing w:val="0"/>
          <w:w w:val="100"/>
          <w:position w:val="0"/>
          <w:sz w:val="24"/>
          <w:szCs w:val="24"/>
        </w:rPr>
        <w:t>其他权益工具投资</w:t>
      </w:r>
    </w:p>
    <w:tbl>
      <w:tblPr>
        <w:tblOverlap w:val="never"/>
        <w:jc w:val="right"/>
        <w:tblLayout w:type="fixed"/>
      </w:tblPr>
      <w:tblGrid>
        <w:gridCol w:w="2875"/>
        <w:gridCol w:w="2784"/>
        <w:gridCol w:w="2405"/>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非上市公司股权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2,036,589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24"/>
                <w:szCs w:val="24"/>
              </w:rPr>
            </w:pPr>
            <w:r>
              <w:rPr>
                <w:rFonts w:ascii="Arial" w:eastAsia="Arial" w:hAnsi="Arial" w:cs="Arial"/>
                <w:color w:val="000000"/>
                <w:spacing w:val="0"/>
                <w:w w:val="100"/>
                <w:position w:val="0"/>
                <w:sz w:val="24"/>
                <w:szCs w:val="24"/>
              </w:rPr>
              <w:t>3,007,707</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上市公司股权</w:t>
            </w:r>
            <w:r>
              <w:rPr>
                <w:rFonts w:ascii="Arial" w:eastAsia="Arial" w:hAnsi="Arial" w:cs="Arial"/>
                <w:color w:val="000000"/>
                <w:spacing w:val="0"/>
                <w:w w:val="100"/>
                <w:position w:val="0"/>
                <w:sz w:val="24"/>
                <w:szCs w:val="24"/>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2,301,611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24"/>
                <w:szCs w:val="24"/>
              </w:rPr>
            </w:pPr>
            <w:r>
              <w:rPr>
                <w:rFonts w:ascii="Arial" w:eastAsia="Arial" w:hAnsi="Arial" w:cs="Arial"/>
                <w:color w:val="000000"/>
                <w:spacing w:val="0"/>
                <w:w w:val="100"/>
                <w:position w:val="0"/>
                <w:sz w:val="24"/>
                <w:szCs w:val="24"/>
              </w:rPr>
              <w:t>2,550,362</w:t>
            </w:r>
          </w:p>
        </w:tc>
      </w:tr>
      <w:tr>
        <w:trPr>
          <w:trHeight w:val="45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4,338,200</w:t>
            </w:r>
          </w:p>
        </w:tc>
        <w:tc>
          <w:tcPr>
            <w:tcBorders>
              <w:top w:val="single" w:sz="4"/>
            </w:tcBorders>
            <w:shd w:val="clear" w:color="auto" w:fill="FFFFFF"/>
            <w:vAlign w:val="top"/>
          </w:tcPr>
          <w:p>
            <w:pPr>
              <w:pStyle w:val="Style29"/>
              <w:keepNext w:val="0"/>
              <w:keepLines w:val="0"/>
              <w:widowControl w:val="0"/>
              <w:shd w:val="clear" w:color="auto" w:fill="auto"/>
              <w:tabs>
                <w:tab w:leader="underscore" w:pos="1099" w:val="left"/>
              </w:tabs>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5,558,069</w:t>
            </w: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上市公司股权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成本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4,016,310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24"/>
                <w:szCs w:val="24"/>
              </w:rPr>
            </w:pPr>
            <w:r>
              <w:rPr>
                <w:rFonts w:ascii="Arial" w:eastAsia="Arial" w:hAnsi="Arial" w:cs="Arial"/>
                <w:color w:val="000000"/>
                <w:spacing w:val="0"/>
                <w:w w:val="100"/>
                <w:position w:val="0"/>
                <w:sz w:val="24"/>
                <w:szCs w:val="24"/>
              </w:rPr>
              <w:t>4,016,310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累计公允价值变动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(1,714,699)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(1,465,948)</w:t>
            </w:r>
          </w:p>
        </w:tc>
      </w:tr>
      <w:tr>
        <w:trPr>
          <w:trHeight w:val="27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2,301,611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24"/>
                <w:szCs w:val="24"/>
              </w:rPr>
            </w:pPr>
            <w:r>
              <w:rPr>
                <w:rFonts w:ascii="Arial" w:eastAsia="Arial" w:hAnsi="Arial" w:cs="Arial"/>
                <w:color w:val="000000"/>
                <w:spacing w:val="0"/>
                <w:w w:val="100"/>
                <w:position w:val="0"/>
                <w:sz w:val="24"/>
                <w:szCs w:val="24"/>
              </w:rPr>
              <w:t>2,550,362</w:t>
            </w:r>
          </w:p>
        </w:tc>
      </w:tr>
      <w:tr>
        <w:trPr>
          <w:trHeight w:val="61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非上市公司股权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成本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3,009,000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24"/>
                <w:szCs w:val="24"/>
              </w:rPr>
            </w:pPr>
            <w:r>
              <w:rPr>
                <w:rFonts w:ascii="Arial" w:eastAsia="Arial" w:hAnsi="Arial" w:cs="Arial"/>
                <w:color w:val="000000"/>
                <w:spacing w:val="0"/>
                <w:w w:val="100"/>
                <w:position w:val="0"/>
                <w:sz w:val="24"/>
                <w:szCs w:val="24"/>
              </w:rPr>
              <w:t>3,009,000</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累计公允价值变动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(972,411)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(1,293)</w:t>
            </w:r>
          </w:p>
        </w:tc>
      </w:tr>
      <w:tr>
        <w:trPr>
          <w:trHeight w:val="32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2,036,589</w:t>
            </w:r>
          </w:p>
        </w:tc>
        <w:tc>
          <w:tcPr>
            <w:tcBorders>
              <w:top w:val="single" w:sz="4"/>
              <w:bottom w:val="single" w:sz="4"/>
            </w:tcBorders>
            <w:shd w:val="clear" w:color="auto" w:fill="FFFFFF"/>
            <w:vAlign w:val="top"/>
          </w:tcPr>
          <w:p>
            <w:pPr>
              <w:pStyle w:val="Style29"/>
              <w:keepNext w:val="0"/>
              <w:keepLines w:val="0"/>
              <w:widowControl w:val="0"/>
              <w:shd w:val="clear" w:color="auto" w:fill="auto"/>
              <w:tabs>
                <w:tab w:leader="underscore" w:pos="1099" w:val="left"/>
              </w:tabs>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3,007,707</w:t>
            </w:r>
          </w:p>
        </w:tc>
      </w:tr>
    </w:tbl>
    <w:p>
      <w:pPr>
        <w:widowControl w:val="0"/>
        <w:spacing w:after="219" w:line="1" w:lineRule="exact"/>
      </w:pPr>
    </w:p>
    <w:p>
      <w:pPr>
        <w:pStyle w:val="Style92"/>
        <w:keepNext w:val="0"/>
        <w:keepLines w:val="0"/>
        <w:widowControl w:val="0"/>
        <w:shd w:val="clear" w:color="auto" w:fill="auto"/>
        <w:tabs>
          <w:tab w:pos="710" w:val="left"/>
        </w:tabs>
        <w:bidi w:val="0"/>
        <w:spacing w:before="0" w:after="0" w:line="312" w:lineRule="exact"/>
        <w:ind w:left="0" w:right="0" w:firstLine="0"/>
        <w:jc w:val="both"/>
      </w:pPr>
      <w:r>
        <w:rPr>
          <w:rFonts w:ascii="SimSun" w:eastAsia="SimSun" w:hAnsi="SimSun" w:cs="SimSun"/>
          <w:color w:val="000000"/>
          <w:spacing w:val="0"/>
          <w:w w:val="100"/>
          <w:position w:val="0"/>
          <w:sz w:val="24"/>
          <w:szCs w:val="24"/>
        </w:rPr>
        <w:t>⑴</w:t>
        <w:tab/>
        <w:t>于</w:t>
      </w: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日，本集团将持有的中国联通</w:t>
      </w:r>
      <w:r>
        <w:rPr>
          <w:color w:val="000000"/>
          <w:spacing w:val="0"/>
          <w:w w:val="100"/>
          <w:position w:val="0"/>
          <w:sz w:val="24"/>
          <w:szCs w:val="24"/>
        </w:rPr>
        <w:t>585,651,537</w:t>
      </w:r>
      <w:r>
        <w:rPr>
          <w:rFonts w:ascii="SimSun" w:eastAsia="SimSun" w:hAnsi="SimSun" w:cs="SimSun"/>
          <w:color w:val="000000"/>
          <w:spacing w:val="0"/>
          <w:w w:val="100"/>
          <w:position w:val="0"/>
          <w:sz w:val="24"/>
          <w:szCs w:val="24"/>
        </w:rPr>
        <w:t>股流通股</w:t>
      </w:r>
      <w:r>
        <w:rPr>
          <w:color w:val="000000"/>
          <w:spacing w:val="0"/>
          <w:w w:val="100"/>
          <w:position w:val="0"/>
          <w:sz w:val="24"/>
          <w:szCs w:val="24"/>
        </w:rPr>
        <w:t>（2020</w:t>
      </w:r>
    </w:p>
    <w:p>
      <w:pPr>
        <w:pStyle w:val="Style72"/>
        <w:keepNext w:val="0"/>
        <w:keepLines w:val="0"/>
        <w:widowControl w:val="0"/>
        <w:shd w:val="clear" w:color="auto" w:fill="auto"/>
        <w:bidi w:val="0"/>
        <w:spacing w:before="0" w:after="240" w:line="312" w:lineRule="exact"/>
        <w:ind w:right="0" w:firstLine="0"/>
        <w:jc w:val="both"/>
      </w:pP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r>
      <w:r>
        <w:rPr>
          <w:rFonts w:ascii="Arial" w:eastAsia="Arial" w:hAnsi="Arial" w:cs="Arial"/>
          <w:color w:val="000000"/>
          <w:spacing w:val="0"/>
          <w:w w:val="100"/>
          <w:position w:val="0"/>
          <w:sz w:val="24"/>
          <w:szCs w:val="24"/>
        </w:rPr>
        <w:t>585,651,537</w:t>
      </w:r>
      <w:r>
        <w:rPr>
          <w:color w:val="000000"/>
          <w:spacing w:val="0"/>
          <w:w w:val="100"/>
          <w:position w:val="0"/>
          <w:sz w:val="24"/>
          <w:szCs w:val="24"/>
        </w:rPr>
        <w:t>股限售流通股</w:t>
      </w:r>
      <w:r>
        <w:rPr>
          <w:rFonts w:ascii="Arial" w:eastAsia="Arial" w:hAnsi="Arial" w:cs="Arial"/>
          <w:color w:val="000000"/>
          <w:spacing w:val="0"/>
          <w:w w:val="100"/>
          <w:position w:val="0"/>
          <w:sz w:val="24"/>
          <w:szCs w:val="24"/>
        </w:rPr>
        <w:t>）</w:t>
      </w:r>
      <w:r>
        <w:rPr>
          <w:color w:val="000000"/>
          <w:spacing w:val="0"/>
          <w:w w:val="100"/>
          <w:position w:val="0"/>
          <w:sz w:val="24"/>
          <w:szCs w:val="24"/>
        </w:rPr>
        <w:t>质押给银行作为一年内到期的长 期借款人民币</w:t>
      </w:r>
      <w:r>
        <w:rPr>
          <w:rFonts w:ascii="Arial" w:eastAsia="Arial" w:hAnsi="Arial" w:cs="Arial"/>
          <w:color w:val="000000"/>
          <w:spacing w:val="0"/>
          <w:w w:val="100"/>
          <w:position w:val="0"/>
          <w:sz w:val="24"/>
          <w:szCs w:val="24"/>
        </w:rPr>
        <w:t>27.92</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日：人民币</w:t>
      </w:r>
      <w:r>
        <w:rPr>
          <w:rFonts w:ascii="Arial" w:eastAsia="Arial" w:hAnsi="Arial" w:cs="Arial"/>
          <w:color w:val="000000"/>
          <w:spacing w:val="0"/>
          <w:w w:val="100"/>
          <w:position w:val="0"/>
          <w:sz w:val="24"/>
          <w:szCs w:val="24"/>
        </w:rPr>
        <w:t>27.94</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的质押物</w:t>
      </w:r>
      <w:r>
        <w:rPr>
          <w:rFonts w:ascii="Arial" w:eastAsia="Arial" w:hAnsi="Arial" w:cs="Arial"/>
          <w:color w:val="000000"/>
          <w:spacing w:val="0"/>
          <w:w w:val="100"/>
          <w:position w:val="0"/>
          <w:sz w:val="24"/>
          <w:szCs w:val="24"/>
        </w:rPr>
        <w:t>（</w:t>
      </w:r>
      <w:r>
        <w:rPr>
          <w:color w:val="000000"/>
          <w:spacing w:val="0"/>
          <w:w w:val="100"/>
          <w:position w:val="0"/>
          <w:sz w:val="24"/>
          <w:szCs w:val="24"/>
        </w:rPr>
        <w:t>附 注四</w:t>
      </w:r>
      <w:r>
        <w:rPr>
          <w:rFonts w:ascii="Arial" w:eastAsia="Arial" w:hAnsi="Arial" w:cs="Arial"/>
          <w:color w:val="000000"/>
          <w:spacing w:val="0"/>
          <w:w w:val="100"/>
          <w:position w:val="0"/>
          <w:sz w:val="24"/>
          <w:szCs w:val="24"/>
        </w:rPr>
        <w:t>（34））</w:t>
      </w:r>
      <w:r>
        <w:rPr>
          <w:color w:val="000000"/>
          <w:spacing w:val="0"/>
          <w:w w:val="100"/>
          <w:position w:val="0"/>
          <w:sz w:val="24"/>
          <w:szCs w:val="24"/>
        </w:rPr>
        <w:t>。</w:t>
      </w:r>
      <w:r>
        <w:br w:type="page"/>
      </w:r>
    </w:p>
    <w:p>
      <w:pPr>
        <w:pStyle w:val="Style72"/>
        <w:keepNext w:val="0"/>
        <w:keepLines w:val="0"/>
        <w:widowControl w:val="0"/>
        <w:shd w:val="clear" w:color="auto" w:fill="auto"/>
        <w:tabs>
          <w:tab w:pos="706"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(12)</w:t>
      </w:r>
      <w:r>
        <w:rPr>
          <w:b/>
          <w:bCs/>
          <w:color w:val="000000"/>
          <w:spacing w:val="0"/>
          <w:w w:val="100"/>
          <w:position w:val="0"/>
          <w:sz w:val="24"/>
          <w:szCs w:val="24"/>
        </w:rPr>
        <w:t>其他非流动金融资产</w:t>
      </w:r>
    </w:p>
    <w:tbl>
      <w:tblPr>
        <w:tblOverlap w:val="never"/>
        <w:jc w:val="right"/>
        <w:tblLayout w:type="fixed"/>
      </w:tblPr>
      <w:tblGrid>
        <w:gridCol w:w="2270"/>
        <w:gridCol w:w="3331"/>
        <w:gridCol w:w="2362"/>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契约型基金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453,375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股权投资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136,488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1,842,935</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可转换债券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53,017</w:t>
            </w:r>
          </w:p>
        </w:tc>
      </w:tr>
      <w:tr>
        <w:trPr>
          <w:trHeight w:val="3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优先股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40,784</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理财产品</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40,114</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39,004</w:t>
            </w:r>
          </w:p>
        </w:tc>
      </w:tr>
    </w:tbl>
    <w:p>
      <w:pPr>
        <w:pStyle w:val="Style26"/>
        <w:keepNext w:val="0"/>
        <w:keepLines w:val="0"/>
        <w:widowControl w:val="0"/>
        <w:shd w:val="clear" w:color="auto" w:fill="auto"/>
        <w:tabs>
          <w:tab w:pos="1234" w:val="left"/>
        </w:tabs>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u w:val="single"/>
        </w:rPr>
        <w:t>629,977</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1,975,740</w:t>
      </w:r>
    </w:p>
    <w:p>
      <w:pPr>
        <w:widowControl w:val="0"/>
        <w:spacing w:after="239" w:line="1" w:lineRule="exact"/>
      </w:pPr>
    </w:p>
    <w:p>
      <w:pPr>
        <w:pStyle w:val="Style7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(13)</w:t>
      </w:r>
      <w:r>
        <w:rPr>
          <w:b/>
          <w:bCs/>
          <w:color w:val="000000"/>
          <w:spacing w:val="0"/>
          <w:w w:val="100"/>
          <w:position w:val="0"/>
          <w:sz w:val="24"/>
          <w:szCs w:val="24"/>
        </w:rPr>
        <w:t>长期股权投资</w:t>
      </w:r>
    </w:p>
    <w:tbl>
      <w:tblPr>
        <w:tblOverlap w:val="never"/>
        <w:jc w:val="right"/>
        <w:tblLayout w:type="fixed"/>
      </w:tblPr>
      <w:tblGrid>
        <w:gridCol w:w="3101"/>
        <w:gridCol w:w="2534"/>
        <w:gridCol w:w="2400"/>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合营企业</w:t>
            </w:r>
            <w:r>
              <w:rPr>
                <w:rFonts w:ascii="Arial" w:eastAsia="Arial" w:hAnsi="Arial" w:cs="Arial"/>
                <w:color w:val="000000"/>
                <w:spacing w:val="0"/>
                <w:w w:val="100"/>
                <w:position w:val="0"/>
                <w:sz w:val="24"/>
                <w:szCs w:val="24"/>
              </w:rPr>
              <w:t>(a)</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865,746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2,421,346</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联营企业</w:t>
            </w:r>
            <w:r>
              <w:rPr>
                <w:rFonts w:ascii="Arial" w:eastAsia="Arial" w:hAnsi="Arial" w:cs="Arial"/>
                <w:color w:val="000000"/>
                <w:spacing w:val="0"/>
                <w:w w:val="100"/>
                <w:position w:val="0"/>
                <w:sz w:val="24"/>
                <w:szCs w:val="24"/>
              </w:rPr>
              <w:t>(b)</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24"/>
                <w:szCs w:val="24"/>
              </w:rPr>
            </w:pPr>
            <w:r>
              <w:rPr>
                <w:rFonts w:ascii="Arial" w:eastAsia="Arial" w:hAnsi="Arial" w:cs="Arial"/>
                <w:color w:val="000000"/>
                <w:spacing w:val="0"/>
                <w:w w:val="100"/>
                <w:position w:val="0"/>
                <w:sz w:val="24"/>
                <w:szCs w:val="24"/>
              </w:rPr>
              <w:t>23,123,595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24"/>
                <w:szCs w:val="24"/>
              </w:rPr>
            </w:pPr>
            <w:r>
              <w:rPr>
                <w:rFonts w:ascii="Arial" w:eastAsia="Arial" w:hAnsi="Arial" w:cs="Arial"/>
                <w:color w:val="000000"/>
                <w:spacing w:val="0"/>
                <w:w w:val="100"/>
                <w:position w:val="0"/>
                <w:sz w:val="24"/>
                <w:szCs w:val="24"/>
              </w:rPr>
              <w:t>36,971,141</w:t>
            </w:r>
          </w:p>
        </w:tc>
      </w:tr>
      <w:tr>
        <w:trPr>
          <w:trHeight w:val="43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left"/>
              <w:rPr>
                <w:sz w:val="24"/>
                <w:szCs w:val="24"/>
              </w:rPr>
            </w:pPr>
            <w:r>
              <w:rPr>
                <w:rFonts w:ascii="Arial" w:eastAsia="Arial" w:hAnsi="Arial" w:cs="Arial"/>
                <w:color w:val="000000"/>
                <w:spacing w:val="0"/>
                <w:w w:val="100"/>
                <w:position w:val="0"/>
                <w:sz w:val="24"/>
                <w:szCs w:val="24"/>
              </w:rPr>
              <w:t>23,989,341</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24"/>
                <w:szCs w:val="24"/>
              </w:rPr>
            </w:pPr>
            <w:r>
              <w:rPr>
                <w:rFonts w:ascii="Arial" w:eastAsia="Arial" w:hAnsi="Arial" w:cs="Arial"/>
                <w:color w:val="000000"/>
                <w:spacing w:val="0"/>
                <w:w w:val="100"/>
                <w:position w:val="0"/>
                <w:sz w:val="24"/>
                <w:szCs w:val="24"/>
              </w:rPr>
              <w:t>39,392,487</w:t>
            </w:r>
          </w:p>
        </w:tc>
      </w:tr>
      <w:tr>
        <w:trPr>
          <w:trHeight w:val="45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减：长期股权投资减值准备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24"/>
                <w:szCs w:val="24"/>
              </w:rPr>
            </w:pPr>
            <w:r>
              <w:rPr>
                <w:rFonts w:ascii="Arial" w:eastAsia="Arial" w:hAnsi="Arial" w:cs="Arial"/>
                <w:color w:val="000000"/>
                <w:spacing w:val="0"/>
                <w:w w:val="100"/>
                <w:position w:val="0"/>
                <w:sz w:val="24"/>
                <w:szCs w:val="24"/>
              </w:rPr>
              <w:t>(8,684,853)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(40,534)</w:t>
            </w:r>
          </w:p>
        </w:tc>
      </w:tr>
      <w:tr>
        <w:trPr>
          <w:trHeight w:val="29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left"/>
              <w:rPr>
                <w:sz w:val="24"/>
                <w:szCs w:val="24"/>
              </w:rPr>
            </w:pPr>
            <w:r>
              <w:rPr>
                <w:rFonts w:ascii="Arial" w:eastAsia="Arial" w:hAnsi="Arial" w:cs="Arial"/>
                <w:color w:val="000000"/>
                <w:spacing w:val="0"/>
                <w:w w:val="100"/>
                <w:position w:val="0"/>
                <w:sz w:val="24"/>
                <w:szCs w:val="24"/>
              </w:rPr>
              <w:t>15,304,488</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24"/>
                <w:szCs w:val="24"/>
              </w:rPr>
            </w:pPr>
            <w:r>
              <w:rPr>
                <w:rFonts w:ascii="Arial" w:eastAsia="Arial" w:hAnsi="Arial" w:cs="Arial"/>
                <w:color w:val="000000"/>
                <w:spacing w:val="0"/>
                <w:w w:val="100"/>
                <w:position w:val="0"/>
                <w:sz w:val="24"/>
                <w:szCs w:val="24"/>
              </w:rPr>
              <w:t>39,351,953</w:t>
            </w:r>
          </w:p>
        </w:tc>
      </w:tr>
    </w:tbl>
    <w:p>
      <w:pPr>
        <w:sectPr>
          <w:footnotePr>
            <w:pos w:val="pageBottom"/>
            <w:numFmt w:val="decimal"/>
            <w:numStart w:val="1"/>
            <w:numRestart w:val="continuous"/>
            <w15:footnoteColumns w:val="1"/>
          </w:footnotePr>
          <w:pgSz w:w="11900" w:h="16840"/>
          <w:pgMar w:top="1677" w:right="1345" w:bottom="1546" w:left="1661" w:header="0" w:footer="3" w:gutter="0"/>
          <w:cols w:space="720"/>
          <w:noEndnote/>
          <w:rtlGutter w:val="0"/>
          <w:docGrid w:linePitch="360"/>
        </w:sectPr>
      </w:pPr>
    </w:p>
    <w:p>
      <w:pPr>
        <w:pStyle w:val="Style72"/>
        <w:keepNext w:val="0"/>
        <w:keepLines w:val="0"/>
        <w:widowControl w:val="0"/>
        <w:shd w:val="clear" w:color="auto" w:fill="auto"/>
        <w:tabs>
          <w:tab w:pos="1112" w:val="left"/>
        </w:tabs>
        <w:bidi w:val="0"/>
        <w:spacing w:before="0" w:after="300" w:line="240" w:lineRule="auto"/>
        <w:ind w:left="0" w:right="0" w:firstLine="440"/>
        <w:jc w:val="left"/>
      </w:pPr>
      <w:r>
        <w:rPr>
          <w:b/>
          <w:bCs/>
          <w:color w:val="000000"/>
          <w:spacing w:val="0"/>
          <w:w w:val="100"/>
          <w:position w:val="0"/>
          <w:sz w:val="24"/>
          <w:szCs w:val="24"/>
        </w:rPr>
        <w:t>四</w:t>
        <w:tab/>
        <w:t>合并财务报表项目附注(续)</w:t>
      </w:r>
    </w:p>
    <w:p>
      <w:pPr>
        <w:pStyle w:val="Style72"/>
        <w:keepNext w:val="0"/>
        <w:keepLines w:val="0"/>
        <w:widowControl w:val="0"/>
        <w:shd w:val="clear" w:color="auto" w:fill="auto"/>
        <w:bidi w:val="0"/>
        <w:spacing w:before="0" w:after="300" w:line="240" w:lineRule="auto"/>
        <w:ind w:left="0" w:right="0" w:firstLine="440"/>
        <w:jc w:val="left"/>
      </w:pPr>
      <w:r>
        <w:rPr>
          <w:rFonts w:ascii="Arial" w:eastAsia="Arial" w:hAnsi="Arial" w:cs="Arial"/>
          <w:color w:val="000000"/>
          <w:spacing w:val="0"/>
          <w:w w:val="100"/>
          <w:position w:val="0"/>
          <w:sz w:val="24"/>
          <w:szCs w:val="24"/>
        </w:rPr>
        <w:t>(13)</w:t>
      </w:r>
      <w:r>
        <w:rPr>
          <w:b/>
          <w:bCs/>
          <w:color w:val="000000"/>
          <w:spacing w:val="0"/>
          <w:w w:val="100"/>
          <w:position w:val="0"/>
          <w:sz w:val="24"/>
          <w:szCs w:val="24"/>
        </w:rPr>
        <w:t>长期股权投资(续)</w:t>
      </w:r>
    </w:p>
    <w:p>
      <w:pPr>
        <w:pStyle w:val="Style72"/>
        <w:keepNext w:val="0"/>
        <w:keepLines w:val="0"/>
        <w:widowControl w:val="0"/>
        <w:numPr>
          <w:ilvl w:val="0"/>
          <w:numId w:val="85"/>
        </w:numPr>
        <w:shd w:val="clear" w:color="auto" w:fill="auto"/>
        <w:tabs>
          <w:tab w:pos="1112" w:val="left"/>
        </w:tabs>
        <w:bidi w:val="0"/>
        <w:spacing w:before="0" w:after="420" w:line="240" w:lineRule="auto"/>
        <w:ind w:left="0" w:right="0" w:firstLine="440"/>
        <w:jc w:val="both"/>
      </w:pPr>
      <w:bookmarkStart w:id="917" w:name="bookmark917"/>
      <w:bookmarkEnd w:id="917"/>
      <w:r>
        <w:rPr>
          <w:color w:val="000000"/>
          <w:spacing w:val="0"/>
          <w:w w:val="100"/>
          <w:position w:val="0"/>
          <w:sz w:val="24"/>
          <w:szCs w:val="24"/>
        </w:rPr>
        <w:t>合营企业</w:t>
      </w:r>
    </w:p>
    <w:p>
      <w:pPr>
        <w:pStyle w:val="Style29"/>
        <w:keepNext w:val="0"/>
        <w:keepLines w:val="0"/>
        <w:widowControl w:val="0"/>
        <w:shd w:val="clear" w:color="auto" w:fill="auto"/>
        <w:tabs>
          <w:tab w:pos="6108" w:val="left"/>
        </w:tabs>
        <w:bidi w:val="0"/>
        <w:spacing w:before="0" w:after="240" w:line="206" w:lineRule="exact"/>
        <w:ind w:left="3980" w:right="2120" w:firstLine="0"/>
        <w:jc w:val="right"/>
        <w:rPr>
          <w:sz w:val="15"/>
          <w:szCs w:val="15"/>
        </w:rPr>
      </w:pPr>
      <w:r>
        <w:rPr>
          <w:rFonts w:ascii="Arial" w:eastAsia="Arial" w:hAnsi="Arial" w:cs="Arial"/>
          <w:color w:val="000000"/>
          <w:spacing w:val="0"/>
          <w:w w:val="100"/>
          <w:position w:val="0"/>
          <w:sz w:val="16"/>
          <w:szCs w:val="16"/>
        </w:rPr>
        <w:t xml:space="preserve">2020 </w:t>
      </w:r>
      <w:r>
        <w:rPr>
          <w:rFonts w:ascii="SimSun" w:eastAsia="SimSun" w:hAnsi="SimSun" w:cs="SimSun"/>
          <w:color w:val="000000"/>
          <w:spacing w:val="0"/>
          <w:w w:val="100"/>
          <w:position w:val="0"/>
          <w:sz w:val="15"/>
          <w:szCs w:val="15"/>
        </w:rPr>
        <w:t xml:space="preserve">年 </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日追加投资</w:t>
        <w:tab/>
        <w:t>减少投资</w:t>
      </w:r>
    </w:p>
    <w:p>
      <w:pPr>
        <w:pStyle w:val="Style29"/>
        <w:keepNext w:val="0"/>
        <w:keepLines w:val="0"/>
        <w:widowControl w:val="0"/>
        <w:shd w:val="clear" w:color="auto" w:fill="auto"/>
        <w:bidi w:val="0"/>
        <w:spacing w:before="0" w:after="0" w:line="206" w:lineRule="exact"/>
        <w:ind w:left="1160" w:right="0" w:firstLine="0"/>
        <w:jc w:val="left"/>
        <w:rPr>
          <w:sz w:val="15"/>
          <w:szCs w:val="15"/>
        </w:rPr>
      </w:pPr>
      <w:r>
        <w:rPr>
          <w:rFonts w:ascii="SimSun" w:eastAsia="SimSun" w:hAnsi="SimSun" w:cs="SimSun"/>
          <w:color w:val="000000"/>
          <w:spacing w:val="0"/>
          <w:w w:val="100"/>
          <w:position w:val="0"/>
          <w:sz w:val="15"/>
          <w:szCs w:val="15"/>
        </w:rPr>
        <w:t>苏宁深创投-云享仓储物流设施一期基金</w:t>
      </w:r>
    </w:p>
    <w:p>
      <w:pPr>
        <w:pStyle w:val="Style29"/>
        <w:keepNext w:val="0"/>
        <w:keepLines w:val="0"/>
        <w:widowControl w:val="0"/>
        <w:shd w:val="clear" w:color="auto" w:fill="auto"/>
        <w:tabs>
          <w:tab w:pos="4189" w:val="left"/>
          <w:tab w:pos="5554" w:val="left"/>
          <w:tab w:pos="6108" w:val="left"/>
        </w:tabs>
        <w:bidi w:val="0"/>
        <w:spacing w:before="0" w:after="0" w:line="206" w:lineRule="exact"/>
        <w:ind w:left="1320" w:right="0" w:firstLine="0"/>
        <w:jc w:val="both"/>
        <w:rPr>
          <w:sz w:val="16"/>
          <w:szCs w:val="16"/>
        </w:rPr>
      </w:pPr>
      <w:r>
        <w:rPr>
          <w:rFonts w:ascii="SimSun" w:eastAsia="SimSun" w:hAnsi="SimSun" w:cs="SimSun"/>
          <w:color w:val="000000"/>
          <w:spacing w:val="0"/>
          <w:w w:val="100"/>
          <w:position w:val="0"/>
          <w:sz w:val="15"/>
          <w:szCs w:val="15"/>
        </w:rPr>
        <w:t>("云享仓储物流一期基金</w:t>
      </w:r>
      <w:r>
        <w:rPr>
          <w:rFonts w:ascii="Arial" w:eastAsia="Arial" w:hAnsi="Arial" w:cs="Arial"/>
          <w:color w:val="000000"/>
          <w:spacing w:val="0"/>
          <w:w w:val="100"/>
          <w:position w:val="0"/>
          <w:sz w:val="16"/>
          <w:szCs w:val="16"/>
        </w:rPr>
        <w:t>”)(i)</w:t>
        <w:tab/>
      </w:r>
      <w:r>
        <w:rPr>
          <w:rFonts w:ascii="Arial" w:eastAsia="Arial" w:hAnsi="Arial" w:cs="Arial"/>
          <w:color w:val="000000"/>
          <w:spacing w:val="0"/>
          <w:w w:val="100"/>
          <w:position w:val="0"/>
          <w:sz w:val="16"/>
          <w:szCs w:val="16"/>
        </w:rPr>
        <w:t>1,437,210</w:t>
        <w:tab/>
        <w:t>-</w:t>
        <w:tab/>
        <w:t>(1,549,360)</w:t>
      </w:r>
    </w:p>
    <w:p>
      <w:pPr>
        <w:pStyle w:val="Style29"/>
        <w:keepNext w:val="0"/>
        <w:keepLines w:val="0"/>
        <w:widowControl w:val="0"/>
        <w:shd w:val="clear" w:color="auto" w:fill="auto"/>
        <w:bidi w:val="0"/>
        <w:spacing w:before="0" w:after="0" w:line="206" w:lineRule="exact"/>
        <w:ind w:left="1160" w:right="0" w:firstLine="0"/>
        <w:jc w:val="left"/>
        <w:rPr>
          <w:sz w:val="15"/>
          <w:szCs w:val="15"/>
        </w:rPr>
      </w:pPr>
      <w:r>
        <w:rPr>
          <w:rFonts w:ascii="SimSun" w:eastAsia="SimSun" w:hAnsi="SimSun" w:cs="SimSun"/>
          <w:color w:val="000000"/>
          <w:spacing w:val="0"/>
          <w:w w:val="100"/>
          <w:position w:val="0"/>
          <w:sz w:val="15"/>
          <w:szCs w:val="15"/>
        </w:rPr>
        <w:t>苏宁深创投-云享仓储物流设施二期基金</w:t>
      </w:r>
    </w:p>
    <w:p>
      <w:pPr>
        <w:pStyle w:val="Style29"/>
        <w:keepNext w:val="0"/>
        <w:keepLines w:val="0"/>
        <w:widowControl w:val="0"/>
        <w:shd w:val="clear" w:color="auto" w:fill="auto"/>
        <w:tabs>
          <w:tab w:pos="4189" w:val="left"/>
          <w:tab w:pos="5554" w:val="left"/>
          <w:tab w:pos="6818" w:val="left"/>
        </w:tabs>
        <w:bidi w:val="0"/>
        <w:spacing w:before="0" w:after="0" w:line="206" w:lineRule="exact"/>
        <w:ind w:left="1320" w:right="0" w:firstLine="0"/>
        <w:jc w:val="left"/>
        <w:rPr>
          <w:sz w:val="16"/>
          <w:szCs w:val="16"/>
        </w:rPr>
      </w:pPr>
      <w:r>
        <w:rPr>
          <w:rFonts w:ascii="SimSun" w:eastAsia="SimSun" w:hAnsi="SimSun" w:cs="SimSun"/>
          <w:color w:val="000000"/>
          <w:spacing w:val="0"/>
          <w:w w:val="100"/>
          <w:position w:val="0"/>
          <w:sz w:val="15"/>
          <w:szCs w:val="15"/>
        </w:rPr>
        <w:t>("云享仓储物流二期基金</w:t>
      </w:r>
      <w:r>
        <w:rPr>
          <w:rFonts w:ascii="Arial" w:eastAsia="Arial" w:hAnsi="Arial" w:cs="Arial"/>
          <w:color w:val="000000"/>
          <w:spacing w:val="0"/>
          <w:w w:val="100"/>
          <w:position w:val="0"/>
          <w:sz w:val="16"/>
          <w:szCs w:val="16"/>
        </w:rPr>
        <w:t>”)(ii)</w:t>
        <w:tab/>
      </w:r>
      <w:r>
        <w:rPr>
          <w:rFonts w:ascii="Arial" w:eastAsia="Arial" w:hAnsi="Arial" w:cs="Arial"/>
          <w:color w:val="000000"/>
          <w:spacing w:val="0"/>
          <w:w w:val="100"/>
          <w:position w:val="0"/>
          <w:sz w:val="16"/>
          <w:szCs w:val="16"/>
        </w:rPr>
        <w:t>583,584</w:t>
        <w:tab/>
        <w:t>-</w:t>
        <w:tab/>
        <w:t>-</w:t>
      </w:r>
    </w:p>
    <w:p>
      <w:pPr>
        <w:pStyle w:val="Style29"/>
        <w:keepNext w:val="0"/>
        <w:keepLines w:val="0"/>
        <w:widowControl w:val="0"/>
        <w:shd w:val="clear" w:color="auto" w:fill="auto"/>
        <w:bidi w:val="0"/>
        <w:spacing w:before="0" w:after="0" w:line="206" w:lineRule="exact"/>
        <w:ind w:left="1160" w:right="0" w:firstLine="0"/>
        <w:jc w:val="left"/>
        <w:rPr>
          <w:sz w:val="15"/>
          <w:szCs w:val="15"/>
        </w:rPr>
      </w:pPr>
      <w:r>
        <w:rPr>
          <w:rFonts w:ascii="SimSun" w:eastAsia="SimSun" w:hAnsi="SimSun" w:cs="SimSun"/>
          <w:color w:val="000000"/>
          <w:spacing w:val="0"/>
          <w:w w:val="100"/>
          <w:position w:val="0"/>
          <w:sz w:val="15"/>
          <w:szCs w:val="15"/>
        </w:rPr>
        <w:t>南京合垠房地产开发有限公司</w:t>
      </w:r>
    </w:p>
    <w:p>
      <w:pPr>
        <w:pStyle w:val="Style29"/>
        <w:keepNext w:val="0"/>
        <w:keepLines w:val="0"/>
        <w:widowControl w:val="0"/>
        <w:shd w:val="clear" w:color="auto" w:fill="auto"/>
        <w:tabs>
          <w:tab w:pos="4189" w:val="left"/>
          <w:tab w:pos="5554" w:val="left"/>
          <w:tab w:pos="6818" w:val="left"/>
        </w:tabs>
        <w:bidi w:val="0"/>
        <w:spacing w:before="0" w:after="0" w:line="206" w:lineRule="exact"/>
        <w:ind w:left="1320" w:right="0" w:firstLine="0"/>
        <w:jc w:val="left"/>
        <w:rPr>
          <w:sz w:val="16"/>
          <w:szCs w:val="16"/>
        </w:rPr>
      </w:pPr>
      <w:r>
        <w:rPr>
          <w:rFonts w:ascii="SimSun" w:eastAsia="SimSun" w:hAnsi="SimSun" w:cs="SimSun"/>
          <w:color w:val="000000"/>
          <w:spacing w:val="0"/>
          <w:w w:val="100"/>
          <w:position w:val="0"/>
          <w:sz w:val="15"/>
          <w:szCs w:val="15"/>
        </w:rPr>
        <w:t>("南京合垠</w:t>
      </w:r>
      <w:r>
        <w:rPr>
          <w:rFonts w:ascii="SimSun" w:eastAsia="SimSun" w:hAnsi="SimSun" w:cs="SimSun"/>
          <w:color w:val="000000"/>
          <w:spacing w:val="0"/>
          <w:w w:val="100"/>
          <w:position w:val="0"/>
          <w:sz w:val="15"/>
          <w:szCs w:val="15"/>
        </w:rPr>
        <w:t>")</w:t>
        <w:tab/>
      </w:r>
      <w:r>
        <w:rPr>
          <w:rFonts w:ascii="Arial" w:eastAsia="Arial" w:hAnsi="Arial" w:cs="Arial"/>
          <w:color w:val="000000"/>
          <w:spacing w:val="0"/>
          <w:w w:val="100"/>
          <w:position w:val="0"/>
          <w:sz w:val="16"/>
          <w:szCs w:val="16"/>
        </w:rPr>
        <w:t>330,794</w:t>
        <w:tab/>
        <w:t>-</w:t>
        <w:tab/>
        <w:t>-</w:t>
      </w:r>
    </w:p>
    <w:p>
      <w:pPr>
        <w:pStyle w:val="Style29"/>
        <w:keepNext w:val="0"/>
        <w:keepLines w:val="0"/>
        <w:widowControl w:val="0"/>
        <w:shd w:val="clear" w:color="auto" w:fill="auto"/>
        <w:tabs>
          <w:tab w:pos="4189" w:val="left"/>
        </w:tabs>
        <w:bidi w:val="0"/>
        <w:spacing w:before="0" w:after="60" w:line="206" w:lineRule="exact"/>
        <w:ind w:left="1160" w:right="0" w:firstLine="0"/>
        <w:jc w:val="left"/>
        <w:rPr>
          <w:sz w:val="16"/>
          <w:szCs w:val="16"/>
        </w:rPr>
      </w:pPr>
      <w:r>
        <w:rPr>
          <w:rFonts w:ascii="SimSun" w:eastAsia="SimSun" w:hAnsi="SimSun" w:cs="SimSun"/>
          <w:color w:val="000000"/>
          <w:spacing w:val="0"/>
          <w:w w:val="100"/>
          <w:position w:val="0"/>
          <w:sz w:val="15"/>
          <w:szCs w:val="15"/>
        </w:rPr>
        <w:t>其他</w:t>
        <w:tab/>
      </w:r>
      <w:r>
        <w:rPr>
          <w:rFonts w:ascii="Arial" w:eastAsia="Arial" w:hAnsi="Arial" w:cs="Arial"/>
          <w:color w:val="000000"/>
          <w:spacing w:val="0"/>
          <w:w w:val="100"/>
          <w:position w:val="0"/>
          <w:sz w:val="16"/>
          <w:szCs w:val="16"/>
          <w:u w:val="single"/>
        </w:rPr>
        <w:t>65,156</w:t>
      </w:r>
      <w:r>
        <w:rPr>
          <w:rFonts w:ascii="Arial" w:eastAsia="Arial" w:hAnsi="Arial" w:cs="Arial"/>
          <w:color w:val="000000"/>
          <w:spacing w:val="0"/>
          <w:w w:val="100"/>
          <w:position w:val="0"/>
          <w:sz w:val="16"/>
          <w:szCs w:val="16"/>
        </w:rPr>
        <w:t>-</w:t>
      </w:r>
      <w:r>
        <w:rPr>
          <w:rFonts w:ascii="Arial" w:eastAsia="Arial" w:hAnsi="Arial" w:cs="Arial"/>
          <w:color w:val="000000"/>
          <w:spacing w:val="0"/>
          <w:w w:val="100"/>
          <w:position w:val="0"/>
          <w:sz w:val="16"/>
          <w:szCs w:val="16"/>
          <w:u w:val="single"/>
        </w:rPr>
        <w:t>(26,549)</w:t>
      </w:r>
    </w:p>
    <w:p>
      <w:pPr>
        <w:pStyle w:val="Style29"/>
        <w:keepNext w:val="0"/>
        <w:keepLines w:val="0"/>
        <w:widowControl w:val="0"/>
        <w:pBdr>
          <w:top w:val="single" w:sz="4" w:space="0" w:color="auto"/>
          <w:bottom w:val="single" w:sz="4" w:space="0" w:color="auto"/>
        </w:pBdr>
        <w:shd w:val="clear" w:color="auto" w:fill="auto"/>
        <w:tabs>
          <w:tab w:pos="1421" w:val="left"/>
          <w:tab w:pos="1939" w:val="left"/>
        </w:tabs>
        <w:bidi w:val="0"/>
        <w:spacing w:before="0" w:after="140" w:line="269" w:lineRule="auto"/>
        <w:ind w:left="0" w:right="0" w:firstLine="0"/>
        <w:jc w:val="right"/>
        <w:rPr>
          <w:sz w:val="16"/>
          <w:szCs w:val="16"/>
        </w:rPr>
        <w:sectPr>
          <w:footnotePr>
            <w:pos w:val="pageBottom"/>
            <w:numFmt w:val="decimal"/>
            <w:numStart w:val="1"/>
            <w:numRestart w:val="continuous"/>
            <w15:footnoteColumns w:val="1"/>
          </w:footnotePr>
          <w:pgSz w:w="8400" w:h="11900"/>
          <w:pgMar w:top="2336" w:right="72" w:bottom="2336" w:left="1349" w:header="0" w:footer="3" w:gutter="0"/>
          <w:cols w:space="720"/>
          <w:noEndnote/>
          <w:rtlGutter w:val="0"/>
          <w:docGrid w:linePitch="360"/>
        </w:sectPr>
      </w:pPr>
      <w:r>
        <w:rPr>
          <w:rFonts w:ascii="Arial" w:eastAsia="Arial" w:hAnsi="Arial" w:cs="Arial"/>
          <w:color w:val="000000"/>
          <w:spacing w:val="0"/>
          <w:w w:val="100"/>
          <w:position w:val="0"/>
          <w:sz w:val="16"/>
          <w:szCs w:val="16"/>
        </w:rPr>
        <w:t>2,416,744</w:t>
        <w:tab/>
        <w:t>-</w:t>
        <w:tab/>
        <w:t>(1,575,909)</w:t>
      </w:r>
    </w:p>
    <w:tbl>
      <w:tblPr>
        <w:tblOverlap w:val="never"/>
        <w:jc w:val="center"/>
        <w:tblLayout w:type="fixed"/>
      </w:tblPr>
      <w:tblGrid>
        <w:gridCol w:w="946"/>
        <w:gridCol w:w="1003"/>
        <w:gridCol w:w="1133"/>
        <w:gridCol w:w="1162"/>
        <w:gridCol w:w="782"/>
        <w:gridCol w:w="1094"/>
        <w:gridCol w:w="859"/>
      </w:tblGrid>
      <w:tr>
        <w:trPr>
          <w:trHeight w:val="854" w:hRule="exact"/>
        </w:trPr>
        <w:tc>
          <w:tcPr>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按权益法调</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整的净损益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其他综合</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收益调整</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260"/>
              <w:jc w:val="left"/>
              <w:rPr>
                <w:sz w:val="15"/>
                <w:szCs w:val="15"/>
              </w:rPr>
            </w:pPr>
            <w:r>
              <w:rPr>
                <w:rFonts w:ascii="SimSun" w:eastAsia="SimSun" w:hAnsi="SimSun" w:cs="SimSun"/>
                <w:color w:val="000000"/>
                <w:spacing w:val="0"/>
                <w:w w:val="100"/>
                <w:position w:val="0"/>
                <w:sz w:val="15"/>
                <w:szCs w:val="15"/>
              </w:rPr>
              <w:t>宣告发放</w:t>
            </w:r>
          </w:p>
          <w:p>
            <w:pPr>
              <w:pStyle w:val="Style29"/>
              <w:keepNext w:val="0"/>
              <w:keepLines w:val="0"/>
              <w:widowControl w:val="0"/>
              <w:shd w:val="clear" w:color="auto" w:fill="auto"/>
              <w:bidi w:val="0"/>
              <w:spacing w:before="0" w:after="40" w:line="240" w:lineRule="auto"/>
              <w:ind w:left="0" w:right="0" w:firstLine="260"/>
              <w:jc w:val="left"/>
              <w:rPr>
                <w:sz w:val="15"/>
                <w:szCs w:val="15"/>
              </w:rPr>
            </w:pPr>
            <w:r>
              <w:rPr>
                <w:rFonts w:ascii="SimSun" w:eastAsia="SimSun" w:hAnsi="SimSun" w:cs="SimSun"/>
                <w:color w:val="000000"/>
                <w:spacing w:val="0"/>
                <w:w w:val="100"/>
                <w:position w:val="0"/>
                <w:sz w:val="15"/>
                <w:szCs w:val="15"/>
              </w:rPr>
              <w:t>现金股利</w:t>
            </w:r>
          </w:p>
          <w:p>
            <w:pPr>
              <w:pStyle w:val="Style29"/>
              <w:keepNext w:val="0"/>
              <w:keepLines w:val="0"/>
              <w:widowControl w:val="0"/>
              <w:shd w:val="clear" w:color="auto" w:fill="auto"/>
              <w:bidi w:val="0"/>
              <w:spacing w:before="0" w:after="40" w:line="240" w:lineRule="auto"/>
              <w:ind w:left="0" w:right="0" w:firstLine="420"/>
              <w:jc w:val="left"/>
              <w:rPr>
                <w:sz w:val="15"/>
                <w:szCs w:val="15"/>
              </w:rPr>
            </w:pPr>
            <w:r>
              <w:rPr>
                <w:rFonts w:ascii="SimSun" w:eastAsia="SimSun" w:hAnsi="SimSun" w:cs="SimSun"/>
                <w:color w:val="000000"/>
                <w:spacing w:val="0"/>
                <w:w w:val="100"/>
                <w:position w:val="0"/>
                <w:sz w:val="15"/>
                <w:szCs w:val="15"/>
              </w:rPr>
              <w:t>或利润</w:t>
            </w:r>
          </w:p>
        </w:tc>
        <w:tc>
          <w:tcPr>
            <w:tcBorders/>
            <w:shd w:val="clear" w:color="auto" w:fill="FFFFFF"/>
            <w:vAlign w:val="center"/>
          </w:tcPr>
          <w:p>
            <w:pPr>
              <w:pStyle w:val="Style29"/>
              <w:keepNext w:val="0"/>
              <w:keepLines w:val="0"/>
              <w:widowControl w:val="0"/>
              <w:shd w:val="clear" w:color="auto" w:fill="auto"/>
              <w:bidi w:val="0"/>
              <w:spacing w:before="0" w:after="0" w:line="206" w:lineRule="exact"/>
              <w:ind w:left="0" w:right="340" w:firstLine="0"/>
              <w:jc w:val="right"/>
              <w:rPr>
                <w:sz w:val="15"/>
                <w:szCs w:val="15"/>
              </w:rPr>
            </w:pPr>
            <w:r>
              <w:rPr>
                <w:rFonts w:ascii="SimSun" w:eastAsia="SimSun" w:hAnsi="SimSun" w:cs="SimSun"/>
                <w:color w:val="000000"/>
                <w:spacing w:val="0"/>
                <w:w w:val="100"/>
                <w:position w:val="0"/>
                <w:sz w:val="15"/>
                <w:szCs w:val="15"/>
              </w:rPr>
              <w:t>转销 减值准备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其他</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6"/>
                <w:szCs w:val="16"/>
              </w:rPr>
              <w:t xml:space="preserve">2021 </w:t>
            </w:r>
            <w:r>
              <w:rPr>
                <w:rFonts w:ascii="SimSun" w:eastAsia="SimSun" w:hAnsi="SimSun" w:cs="SimSun"/>
                <w:color w:val="000000"/>
                <w:spacing w:val="0"/>
                <w:w w:val="100"/>
                <w:position w:val="0"/>
                <w:sz w:val="15"/>
                <w:szCs w:val="15"/>
              </w:rPr>
              <w:t>年</w:t>
            </w:r>
          </w:p>
          <w:p>
            <w:pPr>
              <w:pStyle w:val="Style29"/>
              <w:keepNext w:val="0"/>
              <w:keepLines w:val="0"/>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减值准备</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年末余额</w:t>
            </w:r>
          </w:p>
        </w:tc>
      </w:tr>
      <w:tr>
        <w:trPr>
          <w:trHeight w:val="54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487,841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(372,691)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3,005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SimSun" w:eastAsia="SimSun" w:hAnsi="SimSun" w:cs="SimSun"/>
                <w:color w:val="000000"/>
                <w:spacing w:val="0"/>
                <w:w w:val="100"/>
                <w:position w:val="0"/>
                <w:sz w:val="24"/>
                <w:szCs w:val="24"/>
              </w:rPr>
              <w:t>-</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21,398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(30,326)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574,656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SimSun" w:eastAsia="SimSun" w:hAnsi="SimSun" w:cs="SimSun"/>
                <w:color w:val="000000"/>
                <w:spacing w:val="0"/>
                <w:w w:val="100"/>
                <w:position w:val="0"/>
                <w:sz w:val="24"/>
                <w:szCs w:val="24"/>
              </w:rPr>
              <w:t>-</w:t>
            </w:r>
          </w:p>
        </w:tc>
      </w:tr>
      <w:tr>
        <w:trPr>
          <w:trHeight w:val="33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(79,083)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251,711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SimSun" w:eastAsia="SimSun" w:hAnsi="SimSun" w:cs="SimSun"/>
                <w:color w:val="000000"/>
                <w:spacing w:val="0"/>
                <w:w w:val="100"/>
                <w:position w:val="0"/>
                <w:sz w:val="24"/>
                <w:szCs w:val="24"/>
              </w:rPr>
              <w:t>-</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(6,835)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4,602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36,374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SimSun" w:eastAsia="SimSun" w:hAnsi="SimSun" w:cs="SimSun"/>
                <w:color w:val="000000"/>
                <w:spacing w:val="0"/>
                <w:w w:val="100"/>
                <w:position w:val="0"/>
                <w:sz w:val="24"/>
                <w:szCs w:val="24"/>
              </w:rPr>
              <w:t>-</w:t>
            </w:r>
          </w:p>
        </w:tc>
      </w:tr>
      <w:tr>
        <w:trPr>
          <w:trHeight w:val="264"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423,321</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(403,017)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4,602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5</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865,746</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SimSun" w:eastAsia="SimSun" w:hAnsi="SimSun" w:cs="SimSun"/>
                <w:color w:val="000000"/>
                <w:spacing w:val="0"/>
                <w:w w:val="100"/>
                <w:position w:val="0"/>
                <w:sz w:val="24"/>
                <w:szCs w:val="24"/>
              </w:rPr>
              <w:t>-</w:t>
            </w:r>
          </w:p>
        </w:tc>
      </w:tr>
    </w:tbl>
    <w:p>
      <w:pPr>
        <w:sectPr>
          <w:footnotePr>
            <w:pos w:val="pageBottom"/>
            <w:numFmt w:val="decimal"/>
            <w:numStart w:val="1"/>
            <w:numRestart w:val="continuous"/>
            <w15:footnoteColumns w:val="1"/>
          </w:footnotePr>
          <w:pgSz w:w="8400" w:h="11900"/>
          <w:pgMar w:top="3977" w:right="1337" w:bottom="3977" w:left="85" w:header="0" w:footer="3" w:gutter="0"/>
          <w:cols w:space="720"/>
          <w:noEndnote/>
          <w:rtlGutter w:val="0"/>
          <w:docGrid w:linePitch="360"/>
        </w:sectPr>
      </w:pPr>
    </w:p>
    <w:p>
      <w:pPr>
        <w:pStyle w:val="Style72"/>
        <w:keepNext w:val="0"/>
        <w:keepLines w:val="0"/>
        <w:widowControl w:val="0"/>
        <w:shd w:val="clear" w:color="auto" w:fill="auto"/>
        <w:tabs>
          <w:tab w:pos="677"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rFonts w:ascii="Arial" w:eastAsia="Arial" w:hAnsi="Arial" w:cs="Arial"/>
          <w:color w:val="000000"/>
          <w:spacing w:val="0"/>
          <w:w w:val="100"/>
          <w:position w:val="0"/>
          <w:sz w:val="24"/>
          <w:szCs w:val="24"/>
        </w:rPr>
        <w:t>（13）</w:t>
      </w:r>
      <w:r>
        <w:rPr>
          <w:b/>
          <w:bCs/>
          <w:color w:val="000000"/>
          <w:spacing w:val="0"/>
          <w:w w:val="100"/>
          <w:position w:val="0"/>
          <w:sz w:val="24"/>
          <w:szCs w:val="24"/>
        </w:rPr>
        <w:t>长期股权投资</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77" w:val="left"/>
        </w:tabs>
        <w:bidi w:val="0"/>
        <w:spacing w:before="0" w:line="276" w:lineRule="auto"/>
        <w:ind w:left="0" w:right="0" w:firstLine="0"/>
        <w:jc w:val="left"/>
        <w:rPr>
          <w:sz w:val="28"/>
          <w:szCs w:val="28"/>
        </w:rPr>
      </w:pPr>
      <w:bookmarkStart w:id="918" w:name="bookmark918"/>
      <w:r>
        <w:rPr>
          <w:color w:val="000000"/>
          <w:spacing w:val="0"/>
          <w:w w:val="100"/>
          <w:position w:val="0"/>
          <w:sz w:val="24"/>
          <w:szCs w:val="24"/>
        </w:rPr>
        <w:t>（</w:t>
      </w:r>
      <w:bookmarkEnd w:id="918"/>
      <w:r>
        <w:rPr>
          <w:color w:val="000000"/>
          <w:spacing w:val="0"/>
          <w:w w:val="100"/>
          <w:position w:val="0"/>
          <w:sz w:val="24"/>
          <w:szCs w:val="24"/>
        </w:rPr>
        <w:t>a）</w:t>
        <w:tab/>
      </w:r>
      <w:r>
        <w:rPr>
          <w:rFonts w:ascii="SimSun" w:eastAsia="SimSun" w:hAnsi="SimSun" w:cs="SimSun"/>
          <w:color w:val="000000"/>
          <w:spacing w:val="0"/>
          <w:w w:val="100"/>
          <w:position w:val="0"/>
          <w:sz w:val="24"/>
          <w:szCs w:val="24"/>
        </w:rPr>
        <w:t>合营企业</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77" w:val="left"/>
        </w:tabs>
        <w:bidi w:val="0"/>
        <w:spacing w:before="0" w:after="0" w:line="307" w:lineRule="exact"/>
        <w:ind w:left="0" w:right="0" w:firstLine="0"/>
        <w:jc w:val="both"/>
      </w:pPr>
      <w:r>
        <w:rPr>
          <w:color w:val="000000"/>
          <w:spacing w:val="0"/>
          <w:w w:val="100"/>
          <w:position w:val="0"/>
          <w:sz w:val="24"/>
          <w:szCs w:val="24"/>
        </w:rPr>
        <w:t>⑴</w:t>
        <w:tab/>
        <w:t>于</w:t>
      </w:r>
      <w:r>
        <w:rPr>
          <w:rFonts w:ascii="Arial" w:eastAsia="Arial" w:hAnsi="Arial" w:cs="Arial"/>
          <w:color w:val="000000"/>
          <w:spacing w:val="0"/>
          <w:w w:val="100"/>
          <w:position w:val="0"/>
          <w:sz w:val="24"/>
          <w:szCs w:val="24"/>
        </w:rPr>
        <w:t>2018</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月，本集团与深创投不动产基金管理</w:t>
      </w:r>
      <w:r>
        <w:rPr>
          <w:rFonts w:ascii="Arial" w:eastAsia="Arial" w:hAnsi="Arial" w:cs="Arial"/>
          <w:color w:val="000000"/>
          <w:spacing w:val="0"/>
          <w:w w:val="100"/>
          <w:position w:val="0"/>
          <w:sz w:val="24"/>
          <w:szCs w:val="24"/>
        </w:rPr>
        <w:t>（</w:t>
      </w:r>
      <w:r>
        <w:rPr>
          <w:color w:val="000000"/>
          <w:spacing w:val="0"/>
          <w:w w:val="100"/>
          <w:position w:val="0"/>
          <w:sz w:val="24"/>
          <w:szCs w:val="24"/>
        </w:rPr>
        <w:t>深圳</w:t>
      </w:r>
      <w:r>
        <w:rPr>
          <w:rFonts w:ascii="Arial" w:eastAsia="Arial" w:hAnsi="Arial" w:cs="Arial"/>
          <w:color w:val="000000"/>
          <w:spacing w:val="0"/>
          <w:w w:val="100"/>
          <w:position w:val="0"/>
          <w:sz w:val="24"/>
          <w:szCs w:val="24"/>
        </w:rPr>
        <w:t>）</w:t>
      </w:r>
      <w:r>
        <w:rPr>
          <w:color w:val="000000"/>
          <w:spacing w:val="0"/>
          <w:w w:val="100"/>
          <w:position w:val="0"/>
          <w:sz w:val="24"/>
          <w:szCs w:val="24"/>
        </w:rPr>
        <w:t>有限公司</w:t>
      </w:r>
      <w:r>
        <w:rPr>
          <w:rFonts w:ascii="Arial" w:eastAsia="Arial" w:hAnsi="Arial" w:cs="Arial"/>
          <w:color w:val="000000"/>
          <w:spacing w:val="0"/>
          <w:w w:val="100"/>
          <w:position w:val="0"/>
          <w:sz w:val="24"/>
          <w:szCs w:val="24"/>
        </w:rPr>
        <w:t>（“</w:t>
      </w:r>
      <w:r>
        <w:rPr>
          <w:color w:val="000000"/>
          <w:spacing w:val="0"/>
          <w:w w:val="100"/>
          <w:position w:val="0"/>
          <w:sz w:val="24"/>
          <w:szCs w:val="24"/>
        </w:rPr>
        <w:t>深创投不动产</w:t>
      </w:r>
      <w:r>
        <w:rPr>
          <w:rFonts w:ascii="Arial" w:eastAsia="Arial" w:hAnsi="Arial" w:cs="Arial"/>
          <w:color w:val="000000"/>
          <w:spacing w:val="0"/>
          <w:w w:val="100"/>
          <w:position w:val="0"/>
          <w:sz w:val="24"/>
          <w:szCs w:val="24"/>
        </w:rPr>
        <w:t>”）</w:t>
      </w:r>
      <w:r>
        <w:rPr>
          <w:color w:val="000000"/>
          <w:spacing w:val="0"/>
          <w:w w:val="100"/>
          <w:position w:val="0"/>
          <w:sz w:val="24"/>
          <w:szCs w:val="24"/>
        </w:rPr>
        <w:t>以及部分管理人团队，成立子公司苏宁深</w:t>
      </w:r>
    </w:p>
    <w:p>
      <w:pPr>
        <w:pStyle w:val="Style72"/>
        <w:keepNext w:val="0"/>
        <w:keepLines w:val="0"/>
        <w:widowControl w:val="0"/>
        <w:shd w:val="clear" w:color="auto" w:fill="auto"/>
        <w:bidi w:val="0"/>
        <w:spacing w:before="0" w:after="260" w:line="307" w:lineRule="exact"/>
        <w:ind w:right="0" w:firstLine="0"/>
        <w:jc w:val="both"/>
      </w:pPr>
      <w:r>
        <w:rPr>
          <w:color w:val="000000"/>
          <w:spacing w:val="0"/>
          <w:w w:val="100"/>
          <w:position w:val="0"/>
          <w:sz w:val="24"/>
          <w:szCs w:val="24"/>
        </w:rPr>
        <w:t>创投基金管理</w:t>
      </w:r>
      <w:r>
        <w:rPr>
          <w:rFonts w:ascii="Arial" w:eastAsia="Arial" w:hAnsi="Arial" w:cs="Arial"/>
          <w:color w:val="000000"/>
          <w:spacing w:val="0"/>
          <w:w w:val="100"/>
          <w:position w:val="0"/>
          <w:sz w:val="24"/>
          <w:szCs w:val="24"/>
        </w:rPr>
        <w:t>（</w:t>
      </w:r>
      <w:r>
        <w:rPr>
          <w:color w:val="000000"/>
          <w:spacing w:val="0"/>
          <w:w w:val="100"/>
          <w:position w:val="0"/>
          <w:sz w:val="24"/>
          <w:szCs w:val="24"/>
        </w:rPr>
        <w:t>南京</w:t>
      </w:r>
      <w:r>
        <w:rPr>
          <w:rFonts w:ascii="Arial" w:eastAsia="Arial" w:hAnsi="Arial" w:cs="Arial"/>
          <w:color w:val="000000"/>
          <w:spacing w:val="0"/>
          <w:w w:val="100"/>
          <w:position w:val="0"/>
          <w:sz w:val="24"/>
          <w:szCs w:val="24"/>
        </w:rPr>
        <w:t>）</w:t>
      </w:r>
      <w:r>
        <w:rPr>
          <w:color w:val="000000"/>
          <w:spacing w:val="0"/>
          <w:w w:val="100"/>
          <w:position w:val="0"/>
          <w:sz w:val="24"/>
          <w:szCs w:val="24"/>
        </w:rPr>
        <w:t>有限公司</w:t>
      </w:r>
      <w:r>
        <w:rPr>
          <w:rFonts w:ascii="Arial" w:eastAsia="Arial" w:hAnsi="Arial" w:cs="Arial"/>
          <w:color w:val="000000"/>
          <w:spacing w:val="0"/>
          <w:w w:val="100"/>
          <w:position w:val="0"/>
          <w:sz w:val="24"/>
          <w:szCs w:val="24"/>
        </w:rPr>
        <w:t>（“</w:t>
      </w:r>
      <w:r>
        <w:rPr>
          <w:color w:val="000000"/>
          <w:spacing w:val="0"/>
          <w:w w:val="100"/>
          <w:position w:val="0"/>
          <w:sz w:val="24"/>
          <w:szCs w:val="24"/>
        </w:rPr>
        <w:t>苏宁深创投</w:t>
      </w:r>
      <w:r>
        <w:rPr>
          <w:rFonts w:ascii="Arial" w:eastAsia="Arial" w:hAnsi="Arial" w:cs="Arial"/>
          <w:color w:val="000000"/>
          <w:spacing w:val="0"/>
          <w:w w:val="100"/>
          <w:position w:val="0"/>
          <w:sz w:val="24"/>
          <w:szCs w:val="24"/>
        </w:rPr>
        <w:t>”）</w:t>
      </w:r>
      <w:r>
        <w:rPr>
          <w:color w:val="000000"/>
          <w:spacing w:val="0"/>
          <w:w w:val="100"/>
          <w:position w:val="0"/>
          <w:sz w:val="24"/>
          <w:szCs w:val="24"/>
        </w:rPr>
        <w:t>，苏宁深创投作为基金管理人，发起设立云享仓储物流一期基金并代持其股权， 本集团以现金认购云享仓储物流一期基金</w:t>
      </w:r>
      <w:r>
        <w:rPr>
          <w:rFonts w:ascii="Arial" w:eastAsia="Arial" w:hAnsi="Arial" w:cs="Arial"/>
          <w:color w:val="000000"/>
          <w:spacing w:val="0"/>
          <w:w w:val="100"/>
          <w:position w:val="0"/>
          <w:sz w:val="24"/>
          <w:szCs w:val="24"/>
        </w:rPr>
        <w:t>51%</w:t>
      </w:r>
      <w:r>
        <w:rPr>
          <w:color w:val="000000"/>
          <w:spacing w:val="0"/>
          <w:w w:val="100"/>
          <w:position w:val="0"/>
          <w:sz w:val="24"/>
          <w:szCs w:val="24"/>
        </w:rPr>
        <w:t>份额。根据基金合同规定，超预算后的解决方案、关联交易、融资及投资者退 出方案等云享仓储物流一期基金的重大相关活动，本集团和深创投不动产均享有同等程度的一票否决权。</w:t>
      </w:r>
    </w:p>
    <w:p>
      <w:pPr>
        <w:pStyle w:val="Style72"/>
        <w:keepNext w:val="0"/>
        <w:keepLines w:val="0"/>
        <w:widowControl w:val="0"/>
        <w:shd w:val="clear" w:color="auto" w:fill="auto"/>
        <w:bidi w:val="0"/>
        <w:spacing w:before="0" w:after="260" w:line="317"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月至</w:t>
      </w:r>
      <w:r>
        <w:rPr>
          <w:rFonts w:ascii="Arial" w:eastAsia="Arial" w:hAnsi="Arial" w:cs="Arial"/>
          <w:color w:val="000000"/>
          <w:spacing w:val="0"/>
          <w:w w:val="100"/>
          <w:position w:val="0"/>
          <w:sz w:val="24"/>
          <w:szCs w:val="24"/>
        </w:rPr>
        <w:t>12</w:t>
      </w:r>
      <w:r>
        <w:rPr>
          <w:color w:val="000000"/>
          <w:spacing w:val="0"/>
          <w:w w:val="100"/>
          <w:position w:val="0"/>
          <w:sz w:val="24"/>
          <w:szCs w:val="24"/>
        </w:rPr>
        <w:t>月，根据云享仓储物流一期基金第十次至第十七次《特殊分配的通知》，基金管理人根据基金可分配资 金的情况，按照基金全体投资者已实缴出资金额进行分配。于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年度，本集团获得分配返还本金共计约人民币</w:t>
      </w:r>
      <w:r>
        <w:rPr>
          <w:rFonts w:ascii="Arial" w:eastAsia="Arial" w:hAnsi="Arial" w:cs="Arial"/>
          <w:color w:val="000000"/>
          <w:spacing w:val="0"/>
          <w:w w:val="100"/>
          <w:position w:val="0"/>
          <w:sz w:val="24"/>
          <w:szCs w:val="24"/>
        </w:rPr>
        <w:t>15.49</w:t>
      </w:r>
      <w:r>
        <w:rPr>
          <w:color w:val="000000"/>
          <w:spacing w:val="0"/>
          <w:w w:val="100"/>
          <w:position w:val="0"/>
          <w:sz w:val="24"/>
          <w:szCs w:val="24"/>
        </w:rPr>
        <w:t>亿 元。分配后基金总份额不变，本集团持有的份额数量亦保持不变。</w:t>
      </w:r>
    </w:p>
    <w:p>
      <w:pPr>
        <w:pStyle w:val="Style72"/>
        <w:keepNext w:val="0"/>
        <w:keepLines w:val="0"/>
        <w:widowControl w:val="0"/>
        <w:shd w:val="clear" w:color="auto" w:fill="auto"/>
        <w:bidi w:val="0"/>
        <w:spacing w:before="0" w:after="260" w:line="319" w:lineRule="exact"/>
        <w:ind w:right="0" w:hanging="720"/>
        <w:jc w:val="both"/>
      </w:pPr>
      <w:r>
        <w:rPr>
          <w:rFonts w:ascii="Arial" w:eastAsia="Arial" w:hAnsi="Arial" w:cs="Arial"/>
          <w:color w:val="000000"/>
          <w:spacing w:val="0"/>
          <w:w w:val="100"/>
          <w:position w:val="0"/>
          <w:sz w:val="24"/>
          <w:szCs w:val="24"/>
        </w:rPr>
        <w:t xml:space="preserve">（ii） </w:t>
      </w:r>
      <w:r>
        <w:rPr>
          <w:color w:val="000000"/>
          <w:spacing w:val="0"/>
          <w:w w:val="100"/>
          <w:position w:val="0"/>
          <w:sz w:val="24"/>
          <w:szCs w:val="24"/>
        </w:rPr>
        <w:t>于</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 xml:space="preserve">月，苏宁深创投作为基金管理人，发起设立云享仓储物流二期基金，本集团以现金认购云享仓储物流二期基金 </w:t>
      </w:r>
      <w:r>
        <w:rPr>
          <w:rFonts w:ascii="Arial" w:eastAsia="Arial" w:hAnsi="Arial" w:cs="Arial"/>
          <w:color w:val="000000"/>
          <w:spacing w:val="0"/>
          <w:w w:val="100"/>
          <w:position w:val="0"/>
          <w:sz w:val="24"/>
          <w:szCs w:val="24"/>
        </w:rPr>
        <w:t>51%</w:t>
      </w:r>
      <w:r>
        <w:rPr>
          <w:color w:val="000000"/>
          <w:spacing w:val="0"/>
          <w:w w:val="100"/>
          <w:position w:val="0"/>
          <w:sz w:val="24"/>
          <w:szCs w:val="24"/>
        </w:rPr>
        <w:t>份额。根据基金合同规定，超预算后的解决方案、关联交易、融资及投资者退出方案等云享仓储物流二期基金的重大相 关活动，本集团和深创投不动产均享有同等程度的一票否决权。</w:t>
      </w:r>
    </w:p>
    <w:p>
      <w:pPr>
        <w:pStyle w:val="Style72"/>
        <w:keepNext w:val="0"/>
        <w:keepLines w:val="0"/>
        <w:widowControl w:val="0"/>
        <w:shd w:val="clear" w:color="auto" w:fill="auto"/>
        <w:bidi w:val="0"/>
        <w:spacing w:before="0" w:after="260" w:line="317" w:lineRule="exact"/>
        <w:ind w:left="0" w:right="0" w:firstLine="720"/>
        <w:jc w:val="both"/>
        <w:sectPr>
          <w:footnotePr>
            <w:pos w:val="pageBottom"/>
            <w:numFmt w:val="decimal"/>
            <w:numStart w:val="1"/>
            <w:numRestart w:val="continuous"/>
            <w15:footnoteColumns w:val="1"/>
          </w:footnotePr>
          <w:pgSz w:w="16840" w:h="11900" w:orient="landscape"/>
          <w:pgMar w:top="2333" w:right="1412" w:bottom="2333" w:left="1714" w:header="0" w:footer="3" w:gutter="0"/>
          <w:cols w:space="720"/>
          <w:noEndnote/>
          <w:rtlGutter w:val="0"/>
          <w:docGrid w:linePitch="360"/>
        </w:sectPr>
      </w:pPr>
      <w:r>
        <w:rPr>
          <w:color w:val="000000"/>
          <w:spacing w:val="0"/>
          <w:w w:val="100"/>
          <w:position w:val="0"/>
          <w:sz w:val="24"/>
          <w:szCs w:val="24"/>
        </w:rPr>
        <w:t>在合营企业中的权益相关信息见附注六</w:t>
      </w:r>
      <w:r>
        <w:rPr>
          <w:rFonts w:ascii="Arial" w:eastAsia="Arial" w:hAnsi="Arial" w:cs="Arial"/>
          <w:color w:val="000000"/>
          <w:spacing w:val="0"/>
          <w:w w:val="100"/>
          <w:position w:val="0"/>
          <w:sz w:val="24"/>
          <w:szCs w:val="24"/>
        </w:rPr>
        <w:t>（2）</w:t>
      </w:r>
      <w:r>
        <w:rPr>
          <w:color w:val="000000"/>
          <w:spacing w:val="0"/>
          <w:w w:val="100"/>
          <w:position w:val="0"/>
          <w:sz w:val="24"/>
          <w:szCs w:val="24"/>
        </w:rPr>
        <w:t>。</w:t>
      </w:r>
    </w:p>
    <w:p>
      <w:pPr>
        <w:pStyle w:val="Style72"/>
        <w:keepNext w:val="0"/>
        <w:keepLines w:val="0"/>
        <w:widowControl w:val="0"/>
        <w:shd w:val="clear" w:color="auto" w:fill="auto"/>
        <w:tabs>
          <w:tab w:pos="1092" w:val="left"/>
        </w:tabs>
        <w:bidi w:val="0"/>
        <w:spacing w:before="0" w:after="300" w:line="240" w:lineRule="auto"/>
        <w:ind w:left="0" w:right="0" w:firstLine="420"/>
        <w:jc w:val="left"/>
      </w:pPr>
      <w:r>
        <w:rPr>
          <w:b/>
          <w:bCs/>
          <w:color w:val="000000"/>
          <w:spacing w:val="0"/>
          <w:w w:val="100"/>
          <w:position w:val="0"/>
          <w:sz w:val="24"/>
          <w:szCs w:val="24"/>
        </w:rPr>
        <w:t>四</w:t>
        <w:tab/>
        <w:t>合并财务报表项目附注（续）</w:t>
      </w:r>
    </w:p>
    <w:p>
      <w:pPr>
        <w:pStyle w:val="Style72"/>
        <w:keepNext w:val="0"/>
        <w:keepLines w:val="0"/>
        <w:widowControl w:val="0"/>
        <w:shd w:val="clear" w:color="auto" w:fill="auto"/>
        <w:bidi w:val="0"/>
        <w:spacing w:before="0" w:after="300" w:line="240" w:lineRule="auto"/>
        <w:ind w:left="0" w:right="0" w:firstLine="420"/>
        <w:jc w:val="left"/>
      </w:pPr>
      <w:r>
        <w:rPr>
          <w:rFonts w:ascii="Arial" w:eastAsia="Arial" w:hAnsi="Arial" w:cs="Arial"/>
          <w:color w:val="000000"/>
          <w:spacing w:val="0"/>
          <w:w w:val="100"/>
          <w:position w:val="0"/>
          <w:sz w:val="24"/>
          <w:szCs w:val="24"/>
        </w:rPr>
        <w:t>（13）</w:t>
      </w:r>
      <w:r>
        <w:rPr>
          <w:b/>
          <w:bCs/>
          <w:color w:val="000000"/>
          <w:spacing w:val="0"/>
          <w:w w:val="100"/>
          <w:position w:val="0"/>
          <w:sz w:val="24"/>
          <w:szCs w:val="24"/>
        </w:rPr>
        <w:t>长期股权投资（续）</w:t>
      </w:r>
    </w:p>
    <w:p>
      <w:pPr>
        <w:pStyle w:val="Style72"/>
        <w:keepNext w:val="0"/>
        <w:keepLines w:val="0"/>
        <w:widowControl w:val="0"/>
        <w:shd w:val="clear" w:color="auto" w:fill="auto"/>
        <w:tabs>
          <w:tab w:pos="1092" w:val="left"/>
        </w:tabs>
        <w:bidi w:val="0"/>
        <w:spacing w:before="0" w:after="740" w:line="240" w:lineRule="auto"/>
        <w:ind w:left="0" w:right="0" w:firstLine="420"/>
        <w:jc w:val="left"/>
      </w:pPr>
      <w:r>
        <w:rPr>
          <w:rFonts w:ascii="Arial" w:eastAsia="Arial" w:hAnsi="Arial" w:cs="Arial"/>
          <w:color w:val="000000"/>
          <w:spacing w:val="0"/>
          <w:w w:val="100"/>
          <w:position w:val="0"/>
          <w:sz w:val="24"/>
          <w:szCs w:val="24"/>
        </w:rPr>
        <w:t>（b）</w:t>
        <w:tab/>
      </w:r>
      <w:r>
        <w:rPr>
          <w:b/>
          <w:bCs/>
          <w:color w:val="000000"/>
          <w:spacing w:val="0"/>
          <w:w w:val="100"/>
          <w:position w:val="0"/>
          <w:sz w:val="24"/>
          <w:szCs w:val="24"/>
        </w:rPr>
        <w:t>联营企业</w:t>
      </w:r>
    </w:p>
    <w:tbl>
      <w:tblPr>
        <w:tblOverlap w:val="never"/>
        <w:jc w:val="left"/>
        <w:tblLayout w:type="fixed"/>
      </w:tblPr>
      <w:tblGrid>
        <w:gridCol w:w="1848"/>
        <w:gridCol w:w="1042"/>
        <w:gridCol w:w="1013"/>
        <w:gridCol w:w="931"/>
        <w:gridCol w:w="984"/>
      </w:tblGrid>
      <w:tr>
        <w:trPr>
          <w:trHeight w:val="528" w:hRule="exact"/>
        </w:trPr>
        <w:tc>
          <w:tcPr>
            <w:tcBorders/>
            <w:shd w:val="clear" w:color="auto" w:fill="FFFFFF"/>
            <w:vAlign w:val="top"/>
          </w:tcPr>
          <w:p>
            <w:pPr>
              <w:framePr w:w="5818" w:h="3610" w:hSpace="5" w:vSpace="250" w:wrap="notBeside" w:vAnchor="text" w:hAnchor="text" w:x="1139" w:y="1"/>
              <w:widowControl w:val="0"/>
              <w:rPr>
                <w:sz w:val="10"/>
                <w:szCs w:val="10"/>
              </w:rPr>
            </w:pPr>
          </w:p>
        </w:tc>
        <w:tc>
          <w:tcPr>
            <w:tcBorders/>
            <w:shd w:val="clear" w:color="auto" w:fill="FFFFFF"/>
            <w:vAlign w:val="top"/>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6"/>
                <w:szCs w:val="16"/>
              </w:rPr>
              <w:t xml:space="preserve">2020 </w:t>
            </w:r>
            <w:r>
              <w:rPr>
                <w:rFonts w:ascii="SimSun" w:eastAsia="SimSun" w:hAnsi="SimSun" w:cs="SimSun"/>
                <w:color w:val="000000"/>
                <w:spacing w:val="0"/>
                <w:w w:val="100"/>
                <w:position w:val="0"/>
                <w:sz w:val="15"/>
                <w:szCs w:val="15"/>
              </w:rPr>
              <w:t>年</w:t>
            </w:r>
          </w:p>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center"/>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本年新增</w:t>
            </w:r>
          </w:p>
        </w:tc>
        <w:tc>
          <w:tcPr>
            <w:tcBorders/>
            <w:shd w:val="clear" w:color="auto" w:fill="FFFFFF"/>
            <w:vAlign w:val="center"/>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减少投资</w:t>
            </w:r>
          </w:p>
        </w:tc>
        <w:tc>
          <w:tcPr>
            <w:tcBorders/>
            <w:shd w:val="clear" w:color="auto" w:fill="FFFFFF"/>
            <w:vAlign w:val="top"/>
          </w:tcPr>
          <w:p>
            <w:pPr>
              <w:pStyle w:val="Style29"/>
              <w:keepNext w:val="0"/>
              <w:keepLines w:val="0"/>
              <w:framePr w:w="5818" w:h="3610" w:hSpace="5" w:vSpace="250" w:wrap="notBeside" w:vAnchor="text" w:hAnchor="text" w:x="1139" w:y="1"/>
              <w:widowControl w:val="0"/>
              <w:shd w:val="clear" w:color="auto" w:fill="auto"/>
              <w:bidi w:val="0"/>
              <w:spacing w:before="0" w:after="40" w:line="240" w:lineRule="auto"/>
              <w:ind w:left="0" w:right="0" w:firstLine="0"/>
              <w:jc w:val="right"/>
              <w:rPr>
                <w:sz w:val="15"/>
                <w:szCs w:val="15"/>
              </w:rPr>
            </w:pPr>
            <w:r>
              <w:rPr>
                <w:rFonts w:ascii="SimSun" w:eastAsia="SimSun" w:hAnsi="SimSun" w:cs="SimSun"/>
                <w:color w:val="000000"/>
                <w:spacing w:val="0"/>
                <w:w w:val="100"/>
                <w:position w:val="0"/>
                <w:sz w:val="15"/>
                <w:szCs w:val="15"/>
              </w:rPr>
              <w:t>按权益法调</w:t>
            </w:r>
          </w:p>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整的净损益</w:t>
            </w:r>
          </w:p>
        </w:tc>
      </w:tr>
      <w:tr>
        <w:trPr>
          <w:trHeight w:val="547" w:hRule="exact"/>
        </w:trPr>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06" w:lineRule="exact"/>
              <w:ind w:left="180" w:right="0" w:hanging="180"/>
              <w:jc w:val="both"/>
              <w:rPr>
                <w:sz w:val="16"/>
                <w:szCs w:val="16"/>
              </w:rPr>
            </w:pPr>
            <w:r>
              <w:rPr>
                <w:rFonts w:ascii="SimSun" w:eastAsia="SimSun" w:hAnsi="SimSun" w:cs="SimSun"/>
                <w:color w:val="000000"/>
                <w:spacing w:val="0"/>
                <w:w w:val="100"/>
                <w:position w:val="0"/>
                <w:sz w:val="15"/>
                <w:szCs w:val="15"/>
              </w:rPr>
              <w:t>上海星图金融服务集团有 限公司（“星图金服</w:t>
            </w:r>
            <w:r>
              <w:rPr>
                <w:rFonts w:ascii="Arial" w:eastAsia="Arial" w:hAnsi="Arial" w:cs="Arial"/>
                <w:color w:val="000000"/>
                <w:spacing w:val="0"/>
                <w:w w:val="100"/>
                <w:position w:val="0"/>
                <w:sz w:val="16"/>
                <w:szCs w:val="16"/>
              </w:rPr>
              <w:t>”）（i）</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24,130,795</w:t>
            </w:r>
          </w:p>
        </w:tc>
        <w:tc>
          <w:tcPr>
            <w:tcBorders/>
            <w:shd w:val="clear" w:color="auto" w:fill="FFFFFF"/>
            <w:vAlign w:val="top"/>
          </w:tcPr>
          <w:p>
            <w:pPr>
              <w:framePr w:w="5818" w:h="3610" w:hSpace="5" w:vSpace="250" w:wrap="notBeside" w:vAnchor="text" w:hAnchor="text" w:x="1139" w:y="1"/>
              <w:widowControl w:val="0"/>
              <w:rPr>
                <w:sz w:val="10"/>
                <w:szCs w:val="10"/>
              </w:rPr>
            </w:pP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(4,043,721)</w:t>
            </w:r>
          </w:p>
        </w:tc>
      </w:tr>
      <w:tr>
        <w:trPr>
          <w:trHeight w:val="413" w:hRule="exact"/>
        </w:trPr>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11" w:lineRule="exact"/>
              <w:ind w:left="180" w:right="0" w:hanging="180"/>
              <w:jc w:val="both"/>
              <w:rPr>
                <w:sz w:val="16"/>
                <w:szCs w:val="16"/>
              </w:rPr>
            </w:pPr>
            <w:r>
              <w:rPr>
                <w:rFonts w:ascii="SimSun" w:eastAsia="SimSun" w:hAnsi="SimSun" w:cs="SimSun"/>
                <w:color w:val="000000"/>
                <w:spacing w:val="0"/>
                <w:w w:val="100"/>
                <w:position w:val="0"/>
                <w:sz w:val="15"/>
                <w:szCs w:val="15"/>
              </w:rPr>
              <w:t>深圳市恒宁商业发展有 限公司（“深圳恒宁</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10,865,470</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(10,285,299)</w:t>
            </w:r>
          </w:p>
        </w:tc>
      </w:tr>
      <w:tr>
        <w:trPr>
          <w:trHeight w:val="437" w:hRule="exact"/>
        </w:trPr>
        <w:tc>
          <w:tcPr>
            <w:tcBorders/>
            <w:shd w:val="clear" w:color="auto" w:fill="FFFFFF"/>
            <w:vAlign w:val="top"/>
          </w:tcPr>
          <w:p>
            <w:pPr>
              <w:pStyle w:val="Style29"/>
              <w:keepNext w:val="0"/>
              <w:keepLines w:val="0"/>
              <w:framePr w:w="5818" w:h="3610" w:hSpace="5" w:vSpace="250" w:wrap="notBeside" w:vAnchor="text" w:hAnchor="text" w:x="1139" w:y="1"/>
              <w:widowControl w:val="0"/>
              <w:shd w:val="clear" w:color="auto" w:fill="auto"/>
              <w:bidi w:val="0"/>
              <w:spacing w:before="0" w:after="0" w:line="216" w:lineRule="exact"/>
              <w:ind w:left="180" w:right="0" w:hanging="180"/>
              <w:jc w:val="both"/>
              <w:rPr>
                <w:sz w:val="15"/>
                <w:szCs w:val="15"/>
              </w:rPr>
            </w:pPr>
            <w:r>
              <w:rPr>
                <w:rFonts w:ascii="SimSun" w:eastAsia="SimSun" w:hAnsi="SimSun" w:cs="SimSun"/>
                <w:color w:val="000000"/>
                <w:spacing w:val="0"/>
                <w:w w:val="100"/>
                <w:position w:val="0"/>
                <w:sz w:val="15"/>
                <w:szCs w:val="15"/>
              </w:rPr>
              <w:t>江苏苏宁银行股份有限 公司（“苏宁银行”）</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1,350,875</w:t>
            </w:r>
          </w:p>
        </w:tc>
        <w:tc>
          <w:tcPr>
            <w:tcBorders/>
            <w:shd w:val="clear" w:color="auto" w:fill="FFFFFF"/>
            <w:vAlign w:val="center"/>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190,417</w:t>
            </w:r>
          </w:p>
        </w:tc>
      </w:tr>
      <w:tr>
        <w:trPr>
          <w:trHeight w:val="216" w:hRule="exact"/>
        </w:trPr>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苏宁消费金融</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280,007</w:t>
            </w:r>
          </w:p>
        </w:tc>
        <w:tc>
          <w:tcPr>
            <w:tcBorders/>
            <w:shd w:val="clear" w:color="auto" w:fill="FFFFFF"/>
            <w:vAlign w:val="center"/>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(45,121)</w:t>
            </w:r>
          </w:p>
        </w:tc>
      </w:tr>
      <w:tr>
        <w:trPr>
          <w:trHeight w:val="418" w:hRule="exact"/>
        </w:trPr>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日本</w:t>
            </w:r>
            <w:r>
              <w:rPr>
                <w:rFonts w:ascii="Arial" w:eastAsia="Arial" w:hAnsi="Arial" w:cs="Arial"/>
                <w:color w:val="000000"/>
                <w:spacing w:val="0"/>
                <w:w w:val="100"/>
                <w:position w:val="0"/>
                <w:sz w:val="16"/>
                <w:szCs w:val="16"/>
              </w:rPr>
              <w:t>LAOX</w:t>
            </w:r>
            <w:r>
              <w:rPr>
                <w:rFonts w:ascii="SimSun" w:eastAsia="SimSun" w:hAnsi="SimSun" w:cs="SimSun"/>
                <w:color w:val="000000"/>
                <w:spacing w:val="0"/>
                <w:w w:val="100"/>
                <w:position w:val="0"/>
                <w:sz w:val="15"/>
                <w:szCs w:val="15"/>
              </w:rPr>
              <w:t>株式会社（“日</w:t>
            </w:r>
          </w:p>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5"/>
                <w:szCs w:val="15"/>
              </w:rPr>
              <w:t xml:space="preserve">本 </w:t>
            </w:r>
            <w:r>
              <w:rPr>
                <w:rFonts w:ascii="Arial" w:eastAsia="Arial" w:hAnsi="Arial" w:cs="Arial"/>
                <w:color w:val="000000"/>
                <w:spacing w:val="0"/>
                <w:w w:val="100"/>
                <w:position w:val="0"/>
                <w:sz w:val="16"/>
                <w:szCs w:val="16"/>
              </w:rPr>
              <w:t>LAOX"）</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245,816</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(86,166)</w:t>
            </w:r>
          </w:p>
        </w:tc>
      </w:tr>
      <w:tr>
        <w:trPr>
          <w:trHeight w:val="830" w:hRule="exact"/>
        </w:trPr>
        <w:tc>
          <w:tcPr>
            <w:tcBorders/>
            <w:shd w:val="clear" w:color="auto" w:fill="FFFFFF"/>
            <w:vAlign w:val="top"/>
          </w:tcPr>
          <w:p>
            <w:pPr>
              <w:pStyle w:val="Style29"/>
              <w:keepNext w:val="0"/>
              <w:keepLines w:val="0"/>
              <w:framePr w:w="5818" w:h="3610" w:hSpace="5" w:vSpace="250" w:wrap="notBeside" w:vAnchor="text" w:hAnchor="text" w:x="1139" w:y="1"/>
              <w:widowControl w:val="0"/>
              <w:shd w:val="clear" w:color="auto" w:fill="auto"/>
              <w:bidi w:val="0"/>
              <w:spacing w:before="0" w:after="0" w:line="211" w:lineRule="exact"/>
              <w:ind w:left="180" w:right="0" w:hanging="180"/>
              <w:jc w:val="both"/>
              <w:rPr>
                <w:sz w:val="16"/>
                <w:szCs w:val="16"/>
              </w:rPr>
            </w:pPr>
            <w:r>
              <w:rPr>
                <w:rFonts w:ascii="SimSun" w:eastAsia="SimSun" w:hAnsi="SimSun" w:cs="SimSun"/>
                <w:color w:val="000000"/>
                <w:spacing w:val="0"/>
                <w:w w:val="100"/>
                <w:position w:val="0"/>
                <w:sz w:val="15"/>
                <w:szCs w:val="15"/>
              </w:rPr>
              <w:t>珠海普易物流产业投资合 伙企业（有限合伙）（“普 易物流</w:t>
            </w:r>
            <w:r>
              <w:rPr>
                <w:rFonts w:ascii="Arial" w:eastAsia="Arial" w:hAnsi="Arial" w:cs="Arial"/>
                <w:color w:val="000000"/>
                <w:spacing w:val="0"/>
                <w:w w:val="100"/>
                <w:position w:val="0"/>
                <w:sz w:val="16"/>
                <w:szCs w:val="16"/>
              </w:rPr>
              <w:t>”）（iii）（</w:t>
            </w:r>
            <w:r>
              <w:rPr>
                <w:rFonts w:ascii="SimSun" w:eastAsia="SimSun" w:hAnsi="SimSun" w:cs="SimSun"/>
                <w:color w:val="000000"/>
                <w:spacing w:val="0"/>
                <w:w w:val="100"/>
                <w:position w:val="0"/>
                <w:sz w:val="15"/>
                <w:szCs w:val="15"/>
              </w:rPr>
              <w:t xml:space="preserve">附注五 </w:t>
            </w:r>
            <w:r>
              <w:rPr>
                <w:rFonts w:ascii="Arial" w:eastAsia="Arial" w:hAnsi="Arial" w:cs="Arial"/>
                <w:color w:val="000000"/>
                <w:spacing w:val="0"/>
                <w:w w:val="100"/>
                <w:position w:val="0"/>
                <w:sz w:val="16"/>
                <w:szCs w:val="16"/>
              </w:rPr>
              <w:t>（1）（a）（ii））</w:t>
            </w:r>
          </w:p>
        </w:tc>
        <w:tc>
          <w:tcPr>
            <w:tcBorders/>
            <w:shd w:val="clear" w:color="auto" w:fill="FFFFFF"/>
            <w:vAlign w:val="top"/>
          </w:tcPr>
          <w:p>
            <w:pPr>
              <w:framePr w:w="5818" w:h="3610" w:hSpace="5" w:vSpace="250" w:wrap="notBeside" w:vAnchor="text" w:hAnchor="text" w:x="1139" w:y="1"/>
              <w:widowControl w:val="0"/>
              <w:rPr>
                <w:sz w:val="10"/>
                <w:szCs w:val="10"/>
              </w:rPr>
            </w:pP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649,496</w:t>
            </w:r>
          </w:p>
        </w:tc>
        <w:tc>
          <w:tcPr>
            <w:tcBorders/>
            <w:shd w:val="clear" w:color="auto" w:fill="FFFFFF"/>
            <w:vAlign w:val="top"/>
          </w:tcPr>
          <w:p>
            <w:pPr>
              <w:framePr w:w="5818" w:h="3610" w:hSpace="5" w:vSpace="250" w:wrap="notBeside" w:vAnchor="text" w:hAnchor="text" w:x="1139" w:y="1"/>
              <w:widowControl w:val="0"/>
              <w:rPr>
                <w:sz w:val="10"/>
                <w:szCs w:val="10"/>
              </w:rPr>
            </w:pPr>
          </w:p>
        </w:tc>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(203,944)</w:t>
            </w:r>
          </w:p>
        </w:tc>
      </w:tr>
      <w:tr>
        <w:trPr>
          <w:trHeight w:val="221" w:hRule="exact"/>
        </w:trPr>
        <w:tc>
          <w:tcPr>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bottom w:val="single" w:sz="4"/>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62,246</w:t>
            </w:r>
          </w:p>
        </w:tc>
        <w:tc>
          <w:tcPr>
            <w:tcBorders>
              <w:bottom w:val="single" w:sz="4"/>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bottom w:val="single" w:sz="4"/>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w:t>
            </w:r>
          </w:p>
        </w:tc>
        <w:tc>
          <w:tcPr>
            <w:tcBorders>
              <w:bottom w:val="single" w:sz="4"/>
            </w:tcBorders>
            <w:shd w:val="clear" w:color="auto" w:fill="FFFFFF"/>
            <w:vAlign w:val="bottom"/>
          </w:tcPr>
          <w:p>
            <w:pPr>
              <w:pStyle w:val="Style29"/>
              <w:keepNext w:val="0"/>
              <w:keepLines w:val="0"/>
              <w:framePr w:w="5818" w:h="3610" w:hSpace="5" w:vSpace="250" w:wrap="notBeside" w:vAnchor="text" w:hAnchor="text" w:x="1139"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17,401</w:t>
            </w:r>
          </w:p>
        </w:tc>
      </w:tr>
    </w:tbl>
    <w:p>
      <w:pPr>
        <w:pStyle w:val="Style26"/>
        <w:keepNext w:val="0"/>
        <w:keepLines w:val="0"/>
        <w:framePr w:w="854" w:h="202" w:hSpace="1138" w:wrap="notBeside" w:vAnchor="text" w:hAnchor="text" w:x="2997" w:y="3659"/>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36,935,209</w:t>
      </w:r>
    </w:p>
    <w:p>
      <w:pPr>
        <w:pStyle w:val="Style26"/>
        <w:keepNext w:val="0"/>
        <w:keepLines w:val="0"/>
        <w:framePr w:w="634" w:h="202" w:hSpace="1138" w:wrap="notBeside" w:vAnchor="text" w:hAnchor="text" w:x="4240" w:y="3659"/>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649,496</w:t>
      </w:r>
    </w:p>
    <w:p>
      <w:pPr>
        <w:pStyle w:val="Style26"/>
        <w:keepNext w:val="0"/>
        <w:keepLines w:val="0"/>
        <w:framePr w:w="1349" w:h="202" w:hSpace="1138" w:wrap="notBeside" w:vAnchor="text" w:hAnchor="text" w:x="5613" w:y="3659"/>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(53) (14,456,433)</w:t>
      </w:r>
    </w:p>
    <w:p>
      <w:pPr>
        <w:widowControl w:val="0"/>
        <w:spacing w:line="1" w:lineRule="exact"/>
        <w:sectPr>
          <w:footnotePr>
            <w:pos w:val="pageBottom"/>
            <w:numFmt w:val="decimal"/>
            <w:numStart w:val="1"/>
            <w:numRestart w:val="continuous"/>
            <w15:footnoteColumns w:val="1"/>
          </w:footnotePr>
          <w:pgSz w:w="8400" w:h="11900"/>
          <w:pgMar w:top="2336" w:right="170" w:bottom="2336" w:left="1269"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331" w:right="0" w:firstLine="0"/>
        <w:jc w:val="left"/>
        <w:rPr>
          <w:sz w:val="15"/>
          <w:szCs w:val="15"/>
        </w:rPr>
      </w:pPr>
      <w:r>
        <w:rPr>
          <w:color w:val="000000"/>
          <w:spacing w:val="0"/>
          <w:w w:val="100"/>
          <w:position w:val="0"/>
          <w:sz w:val="15"/>
          <w:szCs w:val="15"/>
        </w:rPr>
        <w:t>本年增减变动</w:t>
      </w:r>
    </w:p>
    <w:tbl>
      <w:tblPr>
        <w:tblOverlap w:val="never"/>
        <w:jc w:val="center"/>
        <w:tblLayout w:type="fixed"/>
      </w:tblPr>
      <w:tblGrid>
        <w:gridCol w:w="936"/>
        <w:gridCol w:w="998"/>
        <w:gridCol w:w="955"/>
        <w:gridCol w:w="1272"/>
        <w:gridCol w:w="754"/>
        <w:gridCol w:w="1037"/>
        <w:gridCol w:w="1008"/>
      </w:tblGrid>
      <w:tr>
        <w:trPr>
          <w:trHeight w:val="86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其他综合</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收益调整</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rPr>
                <w:sz w:val="15"/>
                <w:szCs w:val="15"/>
              </w:rPr>
            </w:pPr>
            <w:r>
              <w:rPr>
                <w:rFonts w:ascii="SimSun" w:eastAsia="SimSun" w:hAnsi="SimSun" w:cs="SimSun"/>
                <w:color w:val="000000"/>
                <w:spacing w:val="0"/>
                <w:w w:val="100"/>
                <w:position w:val="0"/>
                <w:sz w:val="15"/>
                <w:szCs w:val="15"/>
              </w:rPr>
              <w:t>其他权益</w:t>
            </w:r>
          </w:p>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变动</w:t>
            </w:r>
          </w:p>
        </w:tc>
        <w:tc>
          <w:tcPr>
            <w:tcBorders>
              <w:top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left"/>
              <w:rPr>
                <w:sz w:val="15"/>
                <w:szCs w:val="15"/>
              </w:rPr>
            </w:pPr>
            <w:r>
              <w:rPr>
                <w:rFonts w:ascii="SimSun" w:eastAsia="SimSun" w:hAnsi="SimSun" w:cs="SimSun"/>
                <w:color w:val="000000"/>
                <w:spacing w:val="0"/>
                <w:w w:val="100"/>
                <w:position w:val="0"/>
                <w:sz w:val="15"/>
                <w:szCs w:val="15"/>
              </w:rPr>
              <w:t>宣告发放</w:t>
            </w:r>
          </w:p>
          <w:p>
            <w:pPr>
              <w:pStyle w:val="Style29"/>
              <w:keepNext w:val="0"/>
              <w:keepLines w:val="0"/>
              <w:widowControl w:val="0"/>
              <w:shd w:val="clear" w:color="auto" w:fill="auto"/>
              <w:bidi w:val="0"/>
              <w:spacing w:before="0" w:after="40" w:line="240" w:lineRule="auto"/>
              <w:ind w:left="0" w:right="0" w:firstLine="180"/>
              <w:jc w:val="left"/>
              <w:rPr>
                <w:sz w:val="15"/>
                <w:szCs w:val="15"/>
              </w:rPr>
            </w:pPr>
            <w:r>
              <w:rPr>
                <w:rFonts w:ascii="SimSun" w:eastAsia="SimSun" w:hAnsi="SimSun" w:cs="SimSun"/>
                <w:color w:val="000000"/>
                <w:spacing w:val="0"/>
                <w:w w:val="100"/>
                <w:position w:val="0"/>
                <w:sz w:val="15"/>
                <w:szCs w:val="15"/>
              </w:rPr>
              <w:t>现金股利</w:t>
            </w:r>
          </w:p>
          <w:p>
            <w:pPr>
              <w:pStyle w:val="Style29"/>
              <w:keepNext w:val="0"/>
              <w:keepLines w:val="0"/>
              <w:widowControl w:val="0"/>
              <w:shd w:val="clear" w:color="auto" w:fill="auto"/>
              <w:bidi w:val="0"/>
              <w:spacing w:before="0" w:after="40" w:line="240" w:lineRule="auto"/>
              <w:ind w:left="0" w:right="0" w:firstLine="340"/>
              <w:jc w:val="both"/>
              <w:rPr>
                <w:sz w:val="15"/>
                <w:szCs w:val="15"/>
              </w:rPr>
            </w:pPr>
            <w:r>
              <w:rPr>
                <w:rFonts w:ascii="SimSun" w:eastAsia="SimSun" w:hAnsi="SimSun" w:cs="SimSun"/>
                <w:color w:val="000000"/>
                <w:spacing w:val="0"/>
                <w:w w:val="100"/>
                <w:position w:val="0"/>
                <w:sz w:val="15"/>
                <w:szCs w:val="15"/>
              </w:rPr>
              <w:t>或利润</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计提</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减值准备</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其他</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6"/>
                <w:szCs w:val="16"/>
              </w:rPr>
              <w:t xml:space="preserve">2021 </w:t>
            </w:r>
            <w:r>
              <w:rPr>
                <w:rFonts w:ascii="SimSun" w:eastAsia="SimSun" w:hAnsi="SimSun" w:cs="SimSun"/>
                <w:color w:val="000000"/>
                <w:spacing w:val="0"/>
                <w:w w:val="100"/>
                <w:position w:val="0"/>
                <w:sz w:val="15"/>
                <w:szCs w:val="15"/>
              </w:rPr>
              <w:t>年</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减值准备</w:t>
            </w:r>
          </w:p>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年末余额</w:t>
            </w:r>
          </w:p>
        </w:tc>
      </w:tr>
      <w:tr>
        <w:trPr>
          <w:trHeight w:val="54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(8,618,246)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920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11,469,748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(8,618,246)</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580,171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529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1,541,821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2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234,886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614" w:hRule="exact"/>
        </w:trPr>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160"/>
              <w:jc w:val="left"/>
              <w:rPr>
                <w:sz w:val="16"/>
                <w:szCs w:val="16"/>
              </w:rPr>
            </w:pPr>
            <w:r>
              <w:rPr>
                <w:rFonts w:ascii="Arial" w:eastAsia="Arial" w:hAnsi="Arial" w:cs="Arial"/>
                <w:color w:val="000000"/>
                <w:spacing w:val="0"/>
                <w:w w:val="100"/>
                <w:position w:val="0"/>
                <w:sz w:val="16"/>
                <w:szCs w:val="16"/>
              </w:rPr>
              <w:t>(42,456)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00"/>
              <w:jc w:val="left"/>
              <w:rPr>
                <w:sz w:val="16"/>
                <w:szCs w:val="16"/>
              </w:rPr>
            </w:pPr>
            <w:r>
              <w:rPr>
                <w:rFonts w:ascii="Arial" w:eastAsia="Arial" w:hAnsi="Arial" w:cs="Arial"/>
                <w:color w:val="000000"/>
                <w:spacing w:val="0"/>
                <w:w w:val="100"/>
                <w:position w:val="0"/>
                <w:sz w:val="16"/>
                <w:szCs w:val="16"/>
              </w:rPr>
              <w:t>117,194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5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445,552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451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(30,675)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49,370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(66,607)</w:t>
            </w:r>
          </w:p>
        </w:tc>
      </w:tr>
      <w:tr>
        <w:trPr>
          <w:trHeight w:val="274"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(41,476)</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SimSun" w:eastAsia="SimSun" w:hAnsi="SimSun" w:cs="SimSun"/>
                <w:color w:val="000000"/>
                <w:spacing w:val="0"/>
                <w:w w:val="100"/>
                <w:position w:val="0"/>
                <w:sz w:val="24"/>
                <w:szCs w:val="24"/>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SimSun" w:eastAsia="SimSun" w:hAnsi="SimSun" w:cs="SimSun"/>
                <w:color w:val="000000"/>
                <w:spacing w:val="0"/>
                <w:w w:val="100"/>
                <w:position w:val="0"/>
                <w:sz w:val="24"/>
                <w:szCs w:val="24"/>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(8,648,921)</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920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14,438,742</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(8,684,853)</w:t>
            </w:r>
          </w:p>
        </w:tc>
      </w:tr>
    </w:tbl>
    <w:p>
      <w:pPr>
        <w:sectPr>
          <w:footnotePr>
            <w:pos w:val="pageBottom"/>
            <w:numFmt w:val="decimal"/>
            <w:numStart w:val="1"/>
            <w:numRestart w:val="continuous"/>
            <w15:footnoteColumns w:val="1"/>
          </w:footnotePr>
          <w:pgSz w:w="8400" w:h="11900"/>
          <w:pgMar w:top="4077" w:right="1383" w:bottom="3321" w:left="57" w:header="0" w:footer="3" w:gutter="0"/>
          <w:cols w:space="720"/>
          <w:noEndnote/>
          <w:rtlGutter w:val="0"/>
          <w:docGrid w:linePitch="360"/>
        </w:sectPr>
      </w:pPr>
    </w:p>
    <w:p>
      <w:pPr>
        <w:pStyle w:val="Style72"/>
        <w:keepNext w:val="0"/>
        <w:keepLines w:val="0"/>
        <w:widowControl w:val="0"/>
        <w:shd w:val="clear" w:color="auto" w:fill="auto"/>
        <w:tabs>
          <w:tab w:pos="698" w:val="left"/>
        </w:tabs>
        <w:bidi w:val="0"/>
        <w:spacing w:before="0" w:after="28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240" w:lineRule="auto"/>
        <w:ind w:left="0" w:right="0" w:firstLine="0"/>
        <w:jc w:val="left"/>
        <w:rPr>
          <w:sz w:val="28"/>
          <w:szCs w:val="28"/>
        </w:rPr>
      </w:pPr>
      <w:r>
        <w:rPr>
          <w:rFonts w:ascii="Arial" w:eastAsia="Arial" w:hAnsi="Arial" w:cs="Arial"/>
          <w:color w:val="000000"/>
          <w:spacing w:val="0"/>
          <w:w w:val="100"/>
          <w:position w:val="0"/>
          <w:sz w:val="24"/>
          <w:szCs w:val="24"/>
        </w:rPr>
        <w:t>（13）</w:t>
      </w:r>
      <w:r>
        <w:rPr>
          <w:b/>
          <w:bCs/>
          <w:color w:val="000000"/>
          <w:spacing w:val="0"/>
          <w:w w:val="100"/>
          <w:position w:val="0"/>
          <w:sz w:val="24"/>
          <w:szCs w:val="24"/>
        </w:rPr>
        <w:t>长期股权投资</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8" w:val="left"/>
        </w:tabs>
        <w:bidi w:val="0"/>
        <w:spacing w:before="0" w:after="280" w:line="269" w:lineRule="auto"/>
        <w:ind w:left="0" w:right="0" w:firstLine="0"/>
        <w:jc w:val="left"/>
        <w:rPr>
          <w:sz w:val="28"/>
          <w:szCs w:val="28"/>
        </w:rPr>
      </w:pPr>
      <w:r>
        <w:rPr>
          <w:color w:val="000000"/>
          <w:spacing w:val="0"/>
          <w:w w:val="100"/>
          <w:position w:val="0"/>
          <w:sz w:val="24"/>
          <w:szCs w:val="24"/>
        </w:rPr>
        <w:t>（b）</w:t>
        <w:tab/>
      </w:r>
      <w:r>
        <w:rPr>
          <w:rFonts w:ascii="SimSun" w:eastAsia="SimSun" w:hAnsi="SimSun" w:cs="SimSun"/>
          <w:b/>
          <w:bCs/>
          <w:color w:val="000000"/>
          <w:spacing w:val="0"/>
          <w:w w:val="100"/>
          <w:position w:val="0"/>
          <w:sz w:val="24"/>
          <w:szCs w:val="24"/>
        </w:rPr>
        <w:t>联营企业</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98" w:val="left"/>
        </w:tabs>
        <w:bidi w:val="0"/>
        <w:spacing w:before="0" w:after="0" w:line="307" w:lineRule="exact"/>
        <w:ind w:left="0" w:right="0" w:firstLine="0"/>
        <w:jc w:val="both"/>
      </w:pPr>
      <w:r>
        <w:rPr>
          <w:color w:val="000000"/>
          <w:spacing w:val="0"/>
          <w:w w:val="100"/>
          <w:position w:val="0"/>
          <w:sz w:val="24"/>
          <w:szCs w:val="24"/>
        </w:rPr>
        <w:t>⑴</w:t>
        <w:tab/>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年度，星图金服大额亏损导致本集团对星图金服的长期股权投资存在减值迹象。本集团通过对比其可收回金额与账</w:t>
      </w:r>
    </w:p>
    <w:p>
      <w:pPr>
        <w:pStyle w:val="Style72"/>
        <w:keepNext w:val="0"/>
        <w:keepLines w:val="0"/>
        <w:widowControl w:val="0"/>
        <w:shd w:val="clear" w:color="auto" w:fill="auto"/>
        <w:bidi w:val="0"/>
        <w:spacing w:before="0" w:after="280" w:line="307" w:lineRule="exact"/>
        <w:ind w:right="0" w:firstLine="0"/>
        <w:jc w:val="both"/>
      </w:pPr>
      <w:r>
        <w:rPr>
          <w:color w:val="000000"/>
          <w:spacing w:val="0"/>
          <w:w w:val="100"/>
          <w:position w:val="0"/>
          <w:sz w:val="24"/>
          <w:szCs w:val="24"/>
        </w:rPr>
        <w:t>面金额进行减值测试。经比较该长期股权投资的公允价值减去处置费用后的净额和预计未来现金流量的现值后。按照公允价 值减去处置费用后的净额确定长期股权投资的可收回金额，并计提减值准备约人民币</w:t>
      </w:r>
      <w:r>
        <w:rPr>
          <w:rFonts w:ascii="Arial" w:eastAsia="Arial" w:hAnsi="Arial" w:cs="Arial"/>
          <w:color w:val="000000"/>
          <w:spacing w:val="0"/>
          <w:w w:val="100"/>
          <w:position w:val="0"/>
          <w:sz w:val="24"/>
          <w:szCs w:val="24"/>
        </w:rPr>
        <w:t>86.18</w:t>
      </w:r>
      <w:r>
        <w:rPr>
          <w:color w:val="000000"/>
          <w:spacing w:val="0"/>
          <w:w w:val="100"/>
          <w:position w:val="0"/>
          <w:sz w:val="24"/>
          <w:szCs w:val="24"/>
        </w:rPr>
        <w:t>亿元。本集团在计算可收回金额 时所采用的可比公司市净率为</w:t>
      </w:r>
      <w:r>
        <w:rPr>
          <w:rFonts w:ascii="Arial" w:eastAsia="Arial" w:hAnsi="Arial" w:cs="Arial"/>
          <w:color w:val="000000"/>
          <w:spacing w:val="0"/>
          <w:w w:val="100"/>
          <w:position w:val="0"/>
          <w:sz w:val="24"/>
          <w:szCs w:val="24"/>
        </w:rPr>
        <w:t>2.15</w:t>
      </w:r>
      <w:r>
        <w:rPr>
          <w:color w:val="000000"/>
          <w:spacing w:val="0"/>
          <w:w w:val="100"/>
          <w:position w:val="0"/>
          <w:sz w:val="24"/>
          <w:szCs w:val="24"/>
        </w:rPr>
        <w:t>。</w:t>
      </w:r>
    </w:p>
    <w:p>
      <w:pPr>
        <w:pStyle w:val="Style72"/>
        <w:keepNext w:val="0"/>
        <w:keepLines w:val="0"/>
        <w:widowControl w:val="0"/>
        <w:shd w:val="clear" w:color="auto" w:fill="auto"/>
        <w:tabs>
          <w:tab w:pos="698" w:val="left"/>
        </w:tabs>
        <w:bidi w:val="0"/>
        <w:spacing w:before="0" w:after="280" w:line="312" w:lineRule="exact"/>
        <w:ind w:right="0" w:hanging="720"/>
        <w:jc w:val="both"/>
      </w:pPr>
      <w:bookmarkStart w:id="919" w:name="bookmark919"/>
      <w:r>
        <w:rPr>
          <w:rFonts w:ascii="Arial" w:eastAsia="Arial" w:hAnsi="Arial" w:cs="Arial"/>
          <w:color w:val="000000"/>
          <w:spacing w:val="0"/>
          <w:w w:val="100"/>
          <w:position w:val="0"/>
          <w:sz w:val="24"/>
          <w:szCs w:val="24"/>
        </w:rPr>
        <w:t>（</w:t>
      </w:r>
      <w:bookmarkEnd w:id="919"/>
      <w:r>
        <w:rPr>
          <w:rFonts w:ascii="Arial" w:eastAsia="Arial" w:hAnsi="Arial" w:cs="Arial"/>
          <w:color w:val="000000"/>
          <w:spacing w:val="0"/>
          <w:w w:val="100"/>
          <w:position w:val="0"/>
          <w:sz w:val="24"/>
          <w:szCs w:val="24"/>
        </w:rPr>
        <w:t>ii）</w:t>
        <w:tab/>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日，深圳恒宁应收</w:t>
      </w:r>
      <w:r>
        <w:rPr>
          <w:rFonts w:ascii="Arial" w:eastAsia="Arial" w:hAnsi="Arial" w:cs="Arial"/>
          <w:color w:val="000000"/>
          <w:spacing w:val="0"/>
          <w:w w:val="100"/>
          <w:position w:val="0"/>
          <w:sz w:val="24"/>
          <w:szCs w:val="24"/>
        </w:rPr>
        <w:t>A</w:t>
      </w:r>
      <w:r>
        <w:rPr>
          <w:color w:val="000000"/>
          <w:spacing w:val="0"/>
          <w:w w:val="100"/>
          <w:position w:val="0"/>
          <w:sz w:val="24"/>
          <w:szCs w:val="24"/>
        </w:rPr>
        <w:t>公司款项约人民币</w:t>
      </w:r>
      <w:r>
        <w:rPr>
          <w:rFonts w:ascii="Arial" w:eastAsia="Arial" w:hAnsi="Arial" w:cs="Arial"/>
          <w:color w:val="000000"/>
          <w:spacing w:val="0"/>
          <w:w w:val="100"/>
          <w:position w:val="0"/>
          <w:sz w:val="24"/>
          <w:szCs w:val="24"/>
        </w:rPr>
        <w:t>233.23</w:t>
      </w:r>
      <w:r>
        <w:rPr>
          <w:color w:val="000000"/>
          <w:spacing w:val="0"/>
          <w:w w:val="100"/>
          <w:position w:val="0"/>
          <w:sz w:val="24"/>
          <w:szCs w:val="24"/>
        </w:rPr>
        <w:t>亿元，由于</w:t>
      </w:r>
      <w:r>
        <w:rPr>
          <w:rFonts w:ascii="Arial" w:eastAsia="Arial" w:hAnsi="Arial" w:cs="Arial"/>
          <w:color w:val="000000"/>
          <w:spacing w:val="0"/>
          <w:w w:val="100"/>
          <w:position w:val="0"/>
          <w:sz w:val="24"/>
          <w:szCs w:val="24"/>
        </w:rPr>
        <w:t>A</w:t>
      </w:r>
      <w:r>
        <w:rPr>
          <w:color w:val="000000"/>
          <w:spacing w:val="0"/>
          <w:w w:val="100"/>
          <w:position w:val="0"/>
          <w:sz w:val="24"/>
          <w:szCs w:val="24"/>
        </w:rPr>
        <w:t>公司发生重大财务困难，信用风险已显著 增加，因此深圳恒宁针对该些款项评估了预计可能回收的现金流量，并根据其与合同应收的现金流量之间差额的现值，计提 坏账准备约人民币</w:t>
      </w:r>
      <w:r>
        <w:rPr>
          <w:rFonts w:ascii="Arial" w:eastAsia="Arial" w:hAnsi="Arial" w:cs="Arial"/>
          <w:color w:val="000000"/>
          <w:spacing w:val="0"/>
          <w:w w:val="100"/>
          <w:position w:val="0"/>
          <w:sz w:val="24"/>
          <w:szCs w:val="24"/>
        </w:rPr>
        <w:t>209.90</w:t>
      </w:r>
      <w:r>
        <w:rPr>
          <w:color w:val="000000"/>
          <w:spacing w:val="0"/>
          <w:w w:val="100"/>
          <w:position w:val="0"/>
          <w:sz w:val="24"/>
          <w:szCs w:val="24"/>
        </w:rPr>
        <w:t>亿元，本集团相应按照权益法调整当期损益约人民币</w:t>
      </w:r>
      <w:r>
        <w:rPr>
          <w:rFonts w:ascii="Arial" w:eastAsia="Arial" w:hAnsi="Arial" w:cs="Arial"/>
          <w:color w:val="000000"/>
          <w:spacing w:val="0"/>
          <w:w w:val="100"/>
          <w:position w:val="0"/>
          <w:sz w:val="24"/>
          <w:szCs w:val="24"/>
        </w:rPr>
        <w:t>102.85</w:t>
      </w:r>
      <w:r>
        <w:rPr>
          <w:color w:val="000000"/>
          <w:spacing w:val="0"/>
          <w:w w:val="100"/>
          <w:position w:val="0"/>
          <w:sz w:val="24"/>
          <w:szCs w:val="24"/>
        </w:rPr>
        <w:t>亿元。</w:t>
      </w:r>
    </w:p>
    <w:p>
      <w:pPr>
        <w:pStyle w:val="Style72"/>
        <w:keepNext w:val="0"/>
        <w:keepLines w:val="0"/>
        <w:widowControl w:val="0"/>
        <w:shd w:val="clear" w:color="auto" w:fill="auto"/>
        <w:tabs>
          <w:tab w:pos="698" w:val="left"/>
        </w:tabs>
        <w:bidi w:val="0"/>
        <w:spacing w:before="0" w:after="280" w:line="319" w:lineRule="exact"/>
        <w:ind w:right="0" w:hanging="720"/>
        <w:jc w:val="both"/>
      </w:pPr>
      <w:bookmarkStart w:id="920" w:name="bookmark920"/>
      <w:r>
        <w:rPr>
          <w:rFonts w:ascii="Arial" w:eastAsia="Arial" w:hAnsi="Arial" w:cs="Arial"/>
          <w:color w:val="000000"/>
          <w:spacing w:val="0"/>
          <w:w w:val="100"/>
          <w:position w:val="0"/>
          <w:sz w:val="24"/>
          <w:szCs w:val="24"/>
        </w:rPr>
        <w:t>（</w:t>
      </w:r>
      <w:bookmarkEnd w:id="920"/>
      <w:r>
        <w:rPr>
          <w:rFonts w:ascii="Arial" w:eastAsia="Arial" w:hAnsi="Arial" w:cs="Arial"/>
          <w:color w:val="000000"/>
          <w:spacing w:val="0"/>
          <w:w w:val="100"/>
          <w:position w:val="0"/>
          <w:sz w:val="24"/>
          <w:szCs w:val="24"/>
        </w:rPr>
        <w:t>iii）</w:t>
        <w:tab/>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月，本集团与普洛斯投资</w:t>
      </w:r>
      <w:r>
        <w:rPr>
          <w:rFonts w:ascii="Arial" w:eastAsia="Arial" w:hAnsi="Arial" w:cs="Arial"/>
          <w:color w:val="000000"/>
          <w:spacing w:val="0"/>
          <w:w w:val="100"/>
          <w:position w:val="0"/>
          <w:sz w:val="24"/>
          <w:szCs w:val="24"/>
        </w:rPr>
        <w:t>（</w:t>
      </w:r>
      <w:r>
        <w:rPr>
          <w:color w:val="000000"/>
          <w:spacing w:val="0"/>
          <w:w w:val="100"/>
          <w:position w:val="0"/>
          <w:sz w:val="24"/>
          <w:szCs w:val="24"/>
        </w:rPr>
        <w:t>上海</w:t>
      </w:r>
      <w:r>
        <w:rPr>
          <w:rFonts w:ascii="Arial" w:eastAsia="Arial" w:hAnsi="Arial" w:cs="Arial"/>
          <w:color w:val="000000"/>
          <w:spacing w:val="0"/>
          <w:w w:val="100"/>
          <w:position w:val="0"/>
          <w:sz w:val="24"/>
          <w:szCs w:val="24"/>
        </w:rPr>
        <w:t>）</w:t>
      </w:r>
      <w:r>
        <w:rPr>
          <w:color w:val="000000"/>
          <w:spacing w:val="0"/>
          <w:w w:val="100"/>
          <w:position w:val="0"/>
          <w:sz w:val="24"/>
          <w:szCs w:val="24"/>
        </w:rPr>
        <w:t>有限公司</w:t>
      </w:r>
      <w:r>
        <w:rPr>
          <w:rFonts w:ascii="Arial" w:eastAsia="Arial" w:hAnsi="Arial" w:cs="Arial"/>
          <w:color w:val="000000"/>
          <w:spacing w:val="0"/>
          <w:w w:val="100"/>
          <w:position w:val="0"/>
          <w:sz w:val="24"/>
          <w:szCs w:val="24"/>
        </w:rPr>
        <w:t>（</w:t>
      </w:r>
      <w:r>
        <w:rPr>
          <w:color w:val="000000"/>
          <w:spacing w:val="0"/>
          <w:w w:val="100"/>
          <w:position w:val="0"/>
          <w:sz w:val="24"/>
          <w:szCs w:val="24"/>
        </w:rPr>
        <w:t>以下简称</w:t>
      </w:r>
      <w:r>
        <w:rPr>
          <w:rFonts w:ascii="Arial" w:eastAsia="Arial" w:hAnsi="Arial" w:cs="Arial"/>
          <w:color w:val="000000"/>
          <w:spacing w:val="0"/>
          <w:w w:val="100"/>
          <w:position w:val="0"/>
          <w:sz w:val="24"/>
          <w:szCs w:val="24"/>
        </w:rPr>
        <w:t>“</w:t>
      </w:r>
      <w:r>
        <w:rPr>
          <w:color w:val="000000"/>
          <w:spacing w:val="0"/>
          <w:w w:val="100"/>
          <w:position w:val="0"/>
          <w:sz w:val="24"/>
          <w:szCs w:val="24"/>
        </w:rPr>
        <w:t>普洛斯</w:t>
      </w:r>
      <w:r>
        <w:rPr>
          <w:rFonts w:ascii="Arial" w:eastAsia="Arial" w:hAnsi="Arial" w:cs="Arial"/>
          <w:color w:val="000000"/>
          <w:spacing w:val="0"/>
          <w:w w:val="100"/>
          <w:position w:val="0"/>
          <w:sz w:val="24"/>
          <w:szCs w:val="24"/>
        </w:rPr>
        <w:t>”）</w:t>
      </w:r>
      <w:r>
        <w:rPr>
          <w:color w:val="000000"/>
          <w:spacing w:val="0"/>
          <w:w w:val="100"/>
          <w:position w:val="0"/>
          <w:sz w:val="24"/>
          <w:szCs w:val="24"/>
        </w:rPr>
        <w:t>出资成立普易物流，均为普通合伙人。于</w:t>
      </w:r>
      <w:r>
        <w:rPr>
          <w:rFonts w:ascii="Arial" w:eastAsia="Arial" w:hAnsi="Arial" w:cs="Arial"/>
          <w:color w:val="000000"/>
          <w:spacing w:val="0"/>
          <w:w w:val="100"/>
          <w:position w:val="0"/>
          <w:sz w:val="24"/>
          <w:szCs w:val="24"/>
        </w:rPr>
        <w:t>2021</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日，本集团作为普通合伙人实缴出资约人民币</w:t>
      </w:r>
      <w:r>
        <w:rPr>
          <w:rFonts w:ascii="Arial" w:eastAsia="Arial" w:hAnsi="Arial" w:cs="Arial"/>
          <w:color w:val="000000"/>
          <w:spacing w:val="0"/>
          <w:w w:val="100"/>
          <w:position w:val="0"/>
          <w:sz w:val="24"/>
          <w:szCs w:val="24"/>
        </w:rPr>
        <w:t>6.49</w:t>
      </w:r>
      <w:r>
        <w:rPr>
          <w:color w:val="000000"/>
          <w:spacing w:val="0"/>
          <w:w w:val="100"/>
          <w:position w:val="0"/>
          <w:sz w:val="24"/>
          <w:szCs w:val="24"/>
        </w:rPr>
        <w:t>亿元，约占</w:t>
      </w:r>
      <w:r>
        <w:rPr>
          <w:rFonts w:ascii="Arial" w:eastAsia="Arial" w:hAnsi="Arial" w:cs="Arial"/>
          <w:color w:val="000000"/>
          <w:spacing w:val="0"/>
          <w:w w:val="100"/>
          <w:position w:val="0"/>
          <w:sz w:val="24"/>
          <w:szCs w:val="24"/>
        </w:rPr>
        <w:t>22.78%</w:t>
      </w:r>
      <w:r>
        <w:rPr>
          <w:color w:val="000000"/>
          <w:spacing w:val="0"/>
          <w:w w:val="100"/>
          <w:position w:val="0"/>
          <w:sz w:val="24"/>
          <w:szCs w:val="24"/>
        </w:rPr>
        <w:t>的份额。普易物流运营相关事务决议需由运 营管理委员会成员过半数同意方可通过，本集团在珠海普易三名委员组成的运营管理委员会中占一个委员席位。</w:t>
      </w:r>
    </w:p>
    <w:p>
      <w:pPr>
        <w:pStyle w:val="Style72"/>
        <w:keepNext w:val="0"/>
        <w:keepLines w:val="0"/>
        <w:widowControl w:val="0"/>
        <w:shd w:val="clear" w:color="auto" w:fill="auto"/>
        <w:bidi w:val="0"/>
        <w:spacing w:before="0" w:after="280" w:line="307"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日，本集团用所持有的星图金服</w:t>
      </w:r>
      <w:r>
        <w:rPr>
          <w:rFonts w:ascii="Arial" w:eastAsia="Arial" w:hAnsi="Arial" w:cs="Arial"/>
          <w:color w:val="000000"/>
          <w:spacing w:val="0"/>
          <w:w w:val="100"/>
          <w:position w:val="0"/>
          <w:sz w:val="24"/>
          <w:szCs w:val="24"/>
        </w:rPr>
        <w:t>63,591,467</w:t>
      </w:r>
      <w:r>
        <w:rPr>
          <w:color w:val="000000"/>
          <w:spacing w:val="0"/>
          <w:w w:val="100"/>
          <w:position w:val="0"/>
          <w:sz w:val="24"/>
          <w:szCs w:val="24"/>
        </w:rPr>
        <w:t>股普通股用于短期借款的质押</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日：无</w:t>
      </w:r>
      <w:r>
        <w:rPr>
          <w:rFonts w:ascii="Arial" w:eastAsia="Arial" w:hAnsi="Arial" w:cs="Arial"/>
          <w:color w:val="000000"/>
          <w:spacing w:val="0"/>
          <w:w w:val="100"/>
          <w:position w:val="0"/>
          <w:sz w:val="24"/>
          <w:szCs w:val="24"/>
        </w:rPr>
        <w:t>）（</w:t>
      </w:r>
      <w:r>
        <w:rPr>
          <w:color w:val="000000"/>
          <w:spacing w:val="0"/>
          <w:w w:val="100"/>
          <w:position w:val="0"/>
          <w:sz w:val="24"/>
          <w:szCs w:val="24"/>
        </w:rPr>
        <w:t>附 注四</w:t>
      </w:r>
      <w:r>
        <w:rPr>
          <w:rFonts w:ascii="Arial" w:eastAsia="Arial" w:hAnsi="Arial" w:cs="Arial"/>
          <w:color w:val="000000"/>
          <w:spacing w:val="0"/>
          <w:w w:val="100"/>
          <w:position w:val="0"/>
          <w:sz w:val="24"/>
          <w:szCs w:val="24"/>
        </w:rPr>
        <w:t>（24））</w:t>
      </w:r>
      <w:r>
        <w:rPr>
          <w:color w:val="000000"/>
          <w:spacing w:val="0"/>
          <w:w w:val="100"/>
          <w:position w:val="0"/>
          <w:sz w:val="24"/>
          <w:szCs w:val="24"/>
        </w:rPr>
        <w:t>。</w:t>
      </w:r>
    </w:p>
    <w:p>
      <w:pPr>
        <w:pStyle w:val="Style72"/>
        <w:keepNext w:val="0"/>
        <w:keepLines w:val="0"/>
        <w:widowControl w:val="0"/>
        <w:shd w:val="clear" w:color="auto" w:fill="auto"/>
        <w:bidi w:val="0"/>
        <w:spacing w:before="0" w:after="280" w:line="310" w:lineRule="exact"/>
        <w:ind w:left="0" w:right="0" w:firstLine="720"/>
        <w:jc w:val="both"/>
        <w:sectPr>
          <w:footnotePr>
            <w:pos w:val="pageBottom"/>
            <w:numFmt w:val="decimal"/>
            <w:numStart w:val="1"/>
            <w:numRestart w:val="continuous"/>
            <w15:footnoteColumns w:val="1"/>
          </w:footnotePr>
          <w:pgSz w:w="16840" w:h="11900" w:orient="landscape"/>
          <w:pgMar w:top="2405" w:right="1416" w:bottom="2405" w:left="1714" w:header="0" w:footer="3" w:gutter="0"/>
          <w:cols w:space="720"/>
          <w:noEndnote/>
          <w:rtlGutter w:val="0"/>
          <w:docGrid w:linePitch="360"/>
        </w:sectPr>
      </w:pPr>
      <w:r>
        <w:rPr>
          <w:color w:val="000000"/>
          <w:spacing w:val="0"/>
          <w:w w:val="100"/>
          <w:position w:val="0"/>
          <w:sz w:val="24"/>
          <w:szCs w:val="24"/>
        </w:rPr>
        <w:t>在联营企业中的权益相关信息见附注六</w:t>
      </w:r>
      <w:r>
        <w:rPr>
          <w:rFonts w:ascii="Arial" w:eastAsia="Arial" w:hAnsi="Arial" w:cs="Arial"/>
          <w:color w:val="000000"/>
          <w:spacing w:val="0"/>
          <w:w w:val="100"/>
          <w:position w:val="0"/>
          <w:sz w:val="24"/>
          <w:szCs w:val="24"/>
        </w:rPr>
        <w:t>（2）</w:t>
      </w:r>
      <w:r>
        <w:rPr>
          <w:color w:val="000000"/>
          <w:spacing w:val="0"/>
          <w:w w:val="100"/>
          <w:position w:val="0"/>
          <w:sz w:val="24"/>
          <w:szCs w:val="24"/>
        </w:rPr>
        <w:t>。</w:t>
      </w:r>
    </w:p>
    <w:p>
      <w:pPr>
        <w:pStyle w:val="Style72"/>
        <w:keepNext w:val="0"/>
        <w:keepLines w:val="0"/>
        <w:widowControl w:val="0"/>
        <w:shd w:val="clear" w:color="auto" w:fill="auto"/>
        <w:tabs>
          <w:tab w:pos="6" w:val="left"/>
        </w:tabs>
        <w:bidi w:val="0"/>
        <w:spacing w:before="0" w:after="280" w:line="240" w:lineRule="auto"/>
        <w:ind w:left="0" w:right="0" w:hanging="70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240" w:lineRule="auto"/>
        <w:ind w:left="0" w:right="0" w:hanging="700"/>
        <w:jc w:val="both"/>
      </w:pPr>
      <w:r>
        <w:rPr>
          <w:rFonts w:ascii="Arial" w:eastAsia="Arial" w:hAnsi="Arial" w:cs="Arial"/>
          <w:color w:val="000000"/>
          <w:spacing w:val="0"/>
          <w:w w:val="100"/>
          <w:position w:val="0"/>
          <w:sz w:val="24"/>
          <w:szCs w:val="24"/>
        </w:rPr>
        <w:t>(14)</w:t>
      </w:r>
      <w:r>
        <w:rPr>
          <w:b/>
          <w:bCs/>
          <w:color w:val="000000"/>
          <w:spacing w:val="0"/>
          <w:w w:val="100"/>
          <w:position w:val="0"/>
          <w:sz w:val="24"/>
          <w:szCs w:val="24"/>
        </w:rPr>
        <w:t>投资性房地产</w:t>
      </w:r>
    </w:p>
    <w:p>
      <w:pPr>
        <w:pStyle w:val="Style72"/>
        <w:keepNext w:val="0"/>
        <w:keepLines w:val="0"/>
        <w:widowControl w:val="0"/>
        <w:shd w:val="clear" w:color="auto" w:fill="auto"/>
        <w:bidi w:val="0"/>
        <w:spacing w:before="0" w:after="280" w:line="240" w:lineRule="auto"/>
        <w:ind w:left="0" w:right="0" w:firstLine="0"/>
        <w:jc w:val="right"/>
      </w:pPr>
      <w:r>
        <w:rPr>
          <w:color w:val="000000"/>
          <w:spacing w:val="0"/>
          <w:w w:val="100"/>
          <w:position w:val="0"/>
          <w:sz w:val="24"/>
          <w:szCs w:val="24"/>
        </w:rPr>
        <w:t>房屋及建筑物</w:t>
      </w:r>
    </w:p>
    <w:p>
      <w:pPr>
        <w:pStyle w:val="Style2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原价</w:t>
      </w:r>
    </w:p>
    <w:tbl>
      <w:tblPr>
        <w:tblOverlap w:val="never"/>
        <w:jc w:val="center"/>
        <w:tblLayout w:type="fixed"/>
      </w:tblPr>
      <w:tblGrid>
        <w:gridCol w:w="5035"/>
        <w:gridCol w:w="2995"/>
      </w:tblGrid>
      <w:tr>
        <w:trPr>
          <w:trHeight w:val="63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本年增加</w:t>
            </w:r>
          </w:p>
        </w:tc>
        <w:tc>
          <w:tcPr>
            <w:tcBorders>
              <w:top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rPr>
                <w:sz w:val="24"/>
                <w:szCs w:val="24"/>
              </w:rPr>
            </w:pPr>
            <w:r>
              <w:rPr>
                <w:rFonts w:ascii="Arial" w:eastAsia="Arial" w:hAnsi="Arial" w:cs="Arial"/>
                <w:color w:val="000000"/>
                <w:spacing w:val="0"/>
                <w:w w:val="100"/>
                <w:position w:val="0"/>
                <w:sz w:val="24"/>
                <w:szCs w:val="24"/>
              </w:rPr>
              <w:t>7,855,846</w:t>
            </w:r>
          </w:p>
        </w:tc>
      </w:tr>
      <w:tr>
        <w:trPr>
          <w:trHeight w:val="629"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322" w:lineRule="exact"/>
              <w:ind w:left="0" w:right="0" w:firstLine="260"/>
              <w:jc w:val="left"/>
              <w:rPr>
                <w:sz w:val="24"/>
                <w:szCs w:val="24"/>
              </w:rPr>
            </w:pPr>
            <w:r>
              <w:rPr>
                <w:rFonts w:ascii="SimSun" w:eastAsia="SimSun" w:hAnsi="SimSun" w:cs="SimSun"/>
                <w:color w:val="000000"/>
                <w:spacing w:val="0"/>
                <w:w w:val="100"/>
                <w:position w:val="0"/>
                <w:sz w:val="24"/>
                <w:szCs w:val="24"/>
              </w:rPr>
              <w:t>固定资产转入</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rFonts w:ascii="Arial" w:eastAsia="Arial" w:hAnsi="Arial" w:cs="Arial"/>
                <w:color w:val="000000"/>
                <w:spacing w:val="0"/>
                <w:w w:val="100"/>
                <w:position w:val="0"/>
                <w:sz w:val="24"/>
                <w:szCs w:val="24"/>
              </w:rPr>
              <w:t xml:space="preserve">(15)) </w:t>
            </w:r>
            <w:r>
              <w:rPr>
                <w:rFonts w:ascii="SimSun" w:eastAsia="SimSun" w:hAnsi="SimSun" w:cs="SimSun"/>
                <w:color w:val="000000"/>
                <w:spacing w:val="0"/>
                <w:w w:val="100"/>
                <w:position w:val="0"/>
                <w:sz w:val="24"/>
                <w:szCs w:val="24"/>
              </w:rPr>
              <w:t>本年减少</w:t>
            </w:r>
          </w:p>
        </w:tc>
        <w:tc>
          <w:tcPr>
            <w:tcBorders>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rPr>
                <w:sz w:val="24"/>
                <w:szCs w:val="24"/>
              </w:rPr>
            </w:pPr>
            <w:r>
              <w:rPr>
                <w:rFonts w:ascii="Arial" w:eastAsia="Arial" w:hAnsi="Arial" w:cs="Arial"/>
                <w:color w:val="000000"/>
                <w:spacing w:val="0"/>
                <w:w w:val="100"/>
                <w:position w:val="0"/>
                <w:sz w:val="24"/>
                <w:szCs w:val="24"/>
              </w:rPr>
              <w:t>2,233,749</w:t>
            </w:r>
          </w:p>
        </w:tc>
      </w:tr>
      <w:tr>
        <w:trPr>
          <w:trHeight w:val="317"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处置子公司</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left"/>
              <w:rPr>
                <w:sz w:val="24"/>
                <w:szCs w:val="24"/>
              </w:rPr>
            </w:pPr>
            <w:r>
              <w:rPr>
                <w:rFonts w:ascii="Arial" w:eastAsia="Arial" w:hAnsi="Arial" w:cs="Arial"/>
                <w:color w:val="000000"/>
                <w:spacing w:val="0"/>
                <w:w w:val="100"/>
                <w:position w:val="0"/>
                <w:sz w:val="24"/>
                <w:szCs w:val="24"/>
              </w:rPr>
              <w:t>(623,692)</w:t>
            </w:r>
          </w:p>
        </w:tc>
      </w:tr>
      <w:tr>
        <w:trPr>
          <w:trHeight w:val="322"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转出至固定资产</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rFonts w:ascii="Arial" w:eastAsia="Arial" w:hAnsi="Arial" w:cs="Arial"/>
                <w:color w:val="000000"/>
                <w:spacing w:val="0"/>
                <w:w w:val="100"/>
                <w:position w:val="0"/>
                <w:sz w:val="24"/>
                <w:szCs w:val="24"/>
              </w:rPr>
              <w:t>(15))</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left"/>
              <w:rPr>
                <w:sz w:val="24"/>
                <w:szCs w:val="24"/>
              </w:rPr>
            </w:pPr>
            <w:r>
              <w:rPr>
                <w:rFonts w:ascii="Arial" w:eastAsia="Arial" w:hAnsi="Arial" w:cs="Arial"/>
                <w:color w:val="000000"/>
                <w:spacing w:val="0"/>
                <w:w w:val="100"/>
                <w:position w:val="0"/>
                <w:sz w:val="24"/>
                <w:szCs w:val="24"/>
              </w:rPr>
              <w:t>(795,249)</w:t>
            </w:r>
          </w:p>
        </w:tc>
      </w:tr>
      <w:tr>
        <w:trPr>
          <w:trHeight w:val="302"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rPr>
                <w:sz w:val="24"/>
                <w:szCs w:val="24"/>
              </w:rPr>
            </w:pPr>
            <w:r>
              <w:rPr>
                <w:rFonts w:ascii="Arial" w:eastAsia="Arial" w:hAnsi="Arial" w:cs="Arial"/>
                <w:color w:val="000000"/>
                <w:spacing w:val="0"/>
                <w:w w:val="100"/>
                <w:position w:val="0"/>
                <w:sz w:val="24"/>
                <w:szCs w:val="24"/>
              </w:rPr>
              <w:t>8,670,654</w:t>
            </w:r>
          </w:p>
        </w:tc>
      </w:tr>
    </w:tbl>
    <w:p>
      <w:pPr>
        <w:widowControl w:val="0"/>
        <w:spacing w:after="279" w:line="1" w:lineRule="exact"/>
      </w:pPr>
    </w:p>
    <w:p>
      <w:pPr>
        <w:pStyle w:val="Style2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累计折旧</w:t>
      </w:r>
    </w:p>
    <w:tbl>
      <w:tblPr>
        <w:tblOverlap w:val="never"/>
        <w:jc w:val="center"/>
        <w:tblLayout w:type="fixed"/>
      </w:tblPr>
      <w:tblGrid>
        <w:gridCol w:w="5002"/>
        <w:gridCol w:w="3029"/>
      </w:tblGrid>
      <w:tr>
        <w:trPr>
          <w:trHeight w:val="64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本年增加</w:t>
            </w:r>
          </w:p>
        </w:tc>
        <w:tc>
          <w:tcPr>
            <w:tcBorders>
              <w:top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940" w:right="0" w:firstLine="0"/>
              <w:jc w:val="left"/>
              <w:rPr>
                <w:sz w:val="24"/>
                <w:szCs w:val="24"/>
              </w:rPr>
            </w:pPr>
            <w:r>
              <w:rPr>
                <w:rFonts w:ascii="Arial" w:eastAsia="Arial" w:hAnsi="Arial" w:cs="Arial"/>
                <w:color w:val="000000"/>
                <w:spacing w:val="0"/>
                <w:w w:val="100"/>
                <w:position w:val="0"/>
                <w:sz w:val="24"/>
                <w:szCs w:val="24"/>
              </w:rPr>
              <w:t>(969,647)</w:t>
            </w:r>
          </w:p>
        </w:tc>
      </w:tr>
      <w:tr>
        <w:trPr>
          <w:trHeight w:val="322"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计提</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24"/>
                <w:szCs w:val="24"/>
              </w:rPr>
            </w:pPr>
            <w:r>
              <w:rPr>
                <w:rFonts w:ascii="Arial" w:eastAsia="Arial" w:hAnsi="Arial" w:cs="Arial"/>
                <w:color w:val="000000"/>
                <w:spacing w:val="0"/>
                <w:w w:val="100"/>
                <w:position w:val="0"/>
                <w:sz w:val="24"/>
                <w:szCs w:val="24"/>
              </w:rPr>
              <w:t>(260,366)</w:t>
            </w:r>
          </w:p>
        </w:tc>
      </w:tr>
      <w:tr>
        <w:trPr>
          <w:trHeight w:val="61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322" w:lineRule="exact"/>
              <w:ind w:left="0" w:right="0" w:firstLine="260"/>
              <w:jc w:val="left"/>
              <w:rPr>
                <w:sz w:val="24"/>
                <w:szCs w:val="24"/>
              </w:rPr>
            </w:pPr>
            <w:r>
              <w:rPr>
                <w:rFonts w:ascii="SimSun" w:eastAsia="SimSun" w:hAnsi="SimSun" w:cs="SimSun"/>
                <w:color w:val="000000"/>
                <w:spacing w:val="0"/>
                <w:w w:val="100"/>
                <w:position w:val="0"/>
                <w:sz w:val="24"/>
                <w:szCs w:val="24"/>
              </w:rPr>
              <w:t>固定资产转入</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rFonts w:ascii="Arial" w:eastAsia="Arial" w:hAnsi="Arial" w:cs="Arial"/>
                <w:color w:val="000000"/>
                <w:spacing w:val="0"/>
                <w:w w:val="100"/>
                <w:position w:val="0"/>
                <w:sz w:val="24"/>
                <w:szCs w:val="24"/>
              </w:rPr>
              <w:t xml:space="preserve">(15)) </w:t>
            </w:r>
            <w:r>
              <w:rPr>
                <w:rFonts w:ascii="SimSun" w:eastAsia="SimSun" w:hAnsi="SimSun" w:cs="SimSun"/>
                <w:color w:val="000000"/>
                <w:spacing w:val="0"/>
                <w:w w:val="100"/>
                <w:position w:val="0"/>
                <w:sz w:val="24"/>
                <w:szCs w:val="24"/>
              </w:rPr>
              <w:t>本年减少</w:t>
            </w:r>
          </w:p>
        </w:tc>
        <w:tc>
          <w:tcPr>
            <w:tcBorders>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940" w:right="0" w:firstLine="0"/>
              <w:jc w:val="left"/>
              <w:rPr>
                <w:sz w:val="24"/>
                <w:szCs w:val="24"/>
              </w:rPr>
            </w:pPr>
            <w:r>
              <w:rPr>
                <w:rFonts w:ascii="Arial" w:eastAsia="Arial" w:hAnsi="Arial" w:cs="Arial"/>
                <w:color w:val="000000"/>
                <w:spacing w:val="0"/>
                <w:w w:val="100"/>
                <w:position w:val="0"/>
                <w:sz w:val="24"/>
                <w:szCs w:val="24"/>
              </w:rPr>
              <w:t>(150,521)</w:t>
            </w:r>
          </w:p>
        </w:tc>
      </w:tr>
      <w:tr>
        <w:trPr>
          <w:trHeight w:val="312"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处置子公司</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93,067</w:t>
            </w:r>
          </w:p>
        </w:tc>
      </w:tr>
      <w:tr>
        <w:trPr>
          <w:trHeight w:val="32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转出至固定资产</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rFonts w:ascii="Arial" w:eastAsia="Arial" w:hAnsi="Arial" w:cs="Arial"/>
                <w:color w:val="000000"/>
                <w:spacing w:val="0"/>
                <w:w w:val="100"/>
                <w:position w:val="0"/>
                <w:sz w:val="24"/>
                <w:szCs w:val="24"/>
              </w:rPr>
              <w:t>(15))</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149,622</w:t>
            </w:r>
          </w:p>
        </w:tc>
      </w:tr>
      <w:tr>
        <w:trPr>
          <w:trHeight w:val="302" w:hRule="exact"/>
        </w:trPr>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(1,137,845)</w:t>
            </w:r>
          </w:p>
        </w:tc>
      </w:tr>
    </w:tbl>
    <w:p>
      <w:pPr>
        <w:widowControl w:val="0"/>
        <w:spacing w:after="279" w:line="1" w:lineRule="exact"/>
      </w:pPr>
    </w:p>
    <w:p>
      <w:pPr>
        <w:pStyle w:val="Style7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减值准备</w:t>
      </w:r>
    </w:p>
    <w:p>
      <w:pPr>
        <w:pStyle w:val="Style9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075" w:val="left"/>
        </w:tabs>
        <w:bidi w:val="0"/>
        <w:spacing w:before="0" w:after="0" w:line="240" w:lineRule="auto"/>
        <w:ind w:left="0" w:right="0" w:firstLine="0"/>
        <w:jc w:val="both"/>
      </w:pPr>
      <w:r>
        <w:rPr>
          <w:color w:val="000000"/>
          <w:spacing w:val="0"/>
          <w:w w:val="100"/>
          <w:position w:val="0"/>
          <w:sz w:val="24"/>
          <w:szCs w:val="24"/>
        </w:rPr>
        <w:t xml:space="preserve">2021 </w:t>
      </w:r>
      <w:r>
        <w:rPr>
          <w:rFonts w:ascii="SimSun" w:eastAsia="SimSun" w:hAnsi="SimSun" w:cs="SimSun"/>
          <w:color w:val="000000"/>
          <w:spacing w:val="0"/>
          <w:w w:val="100"/>
          <w:position w:val="0"/>
          <w:sz w:val="24"/>
          <w:szCs w:val="24"/>
        </w:rPr>
        <w:t xml:space="preserve">年 </w:t>
      </w:r>
      <w:r>
        <w:rPr>
          <w:color w:val="000000"/>
          <w:spacing w:val="0"/>
          <w:w w:val="100"/>
          <w:position w:val="0"/>
          <w:sz w:val="24"/>
          <w:szCs w:val="24"/>
        </w:rPr>
        <w:t xml:space="preserve">12 </w:t>
      </w:r>
      <w:r>
        <w:rPr>
          <w:rFonts w:ascii="SimSun" w:eastAsia="SimSun" w:hAnsi="SimSun" w:cs="SimSun"/>
          <w:color w:val="000000"/>
          <w:spacing w:val="0"/>
          <w:w w:val="100"/>
          <w:position w:val="0"/>
          <w:sz w:val="24"/>
          <w:szCs w:val="24"/>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4"/>
          <w:szCs w:val="24"/>
        </w:rPr>
        <w:t>日</w:t>
        <w:tab/>
      </w:r>
      <w:r>
        <w:rPr>
          <w:color w:val="000000"/>
          <w:spacing w:val="0"/>
          <w:w w:val="100"/>
          <w:position w:val="0"/>
          <w:sz w:val="24"/>
          <w:szCs w:val="24"/>
        </w:rPr>
        <w:t>(48,236)</w:t>
      </w:r>
    </w:p>
    <w:p>
      <w:pPr>
        <w:pStyle w:val="Style9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05" w:val="left"/>
        </w:tabs>
        <w:bidi w:val="0"/>
        <w:spacing w:before="0" w:after="280" w:line="240" w:lineRule="auto"/>
        <w:ind w:left="0" w:right="0" w:firstLine="0"/>
        <w:jc w:val="both"/>
      </w:pP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r>
        <w:rPr>
          <w:rFonts w:ascii="SimSun" w:eastAsia="SimSun" w:hAnsi="SimSun" w:cs="SimSun"/>
          <w:color w:val="000000"/>
          <w:spacing w:val="0"/>
          <w:w w:val="100"/>
          <w:position w:val="0"/>
          <w:sz w:val="24"/>
          <w:szCs w:val="24"/>
          <w:u w:val="single"/>
        </w:rPr>
        <w:tab/>
      </w:r>
      <w:r>
        <w:rPr>
          <w:color w:val="000000"/>
          <w:spacing w:val="0"/>
          <w:w w:val="100"/>
          <w:position w:val="0"/>
          <w:sz w:val="24"/>
          <w:szCs w:val="24"/>
        </w:rPr>
        <w:t>-</w:t>
      </w:r>
    </w:p>
    <w:p>
      <w:pPr>
        <w:pStyle w:val="Style7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账面价值</w:t>
      </w:r>
    </w:p>
    <w:p>
      <w:pPr>
        <w:pStyle w:val="Style9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792" w:val="left"/>
        </w:tabs>
        <w:bidi w:val="0"/>
        <w:spacing w:before="0" w:after="0" w:line="240" w:lineRule="auto"/>
        <w:ind w:left="0" w:right="0" w:firstLine="0"/>
        <w:jc w:val="both"/>
      </w:pPr>
      <w:r>
        <w:rPr>
          <w:color w:val="000000"/>
          <w:spacing w:val="0"/>
          <w:w w:val="100"/>
          <w:position w:val="0"/>
          <w:sz w:val="24"/>
          <w:szCs w:val="24"/>
        </w:rPr>
        <w:t xml:space="preserve">2021 </w:t>
      </w:r>
      <w:r>
        <w:rPr>
          <w:rFonts w:ascii="SimSun" w:eastAsia="SimSun" w:hAnsi="SimSun" w:cs="SimSun"/>
          <w:color w:val="000000"/>
          <w:spacing w:val="0"/>
          <w:w w:val="100"/>
          <w:position w:val="0"/>
          <w:sz w:val="24"/>
          <w:szCs w:val="24"/>
        </w:rPr>
        <w:t xml:space="preserve">年 </w:t>
      </w:r>
      <w:r>
        <w:rPr>
          <w:color w:val="000000"/>
          <w:spacing w:val="0"/>
          <w:w w:val="100"/>
          <w:position w:val="0"/>
          <w:sz w:val="24"/>
          <w:szCs w:val="24"/>
        </w:rPr>
        <w:t xml:space="preserve">12 </w:t>
      </w:r>
      <w:r>
        <w:rPr>
          <w:rFonts w:ascii="SimSun" w:eastAsia="SimSun" w:hAnsi="SimSun" w:cs="SimSun"/>
          <w:color w:val="000000"/>
          <w:spacing w:val="0"/>
          <w:w w:val="100"/>
          <w:position w:val="0"/>
          <w:sz w:val="24"/>
          <w:szCs w:val="24"/>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4"/>
          <w:szCs w:val="24"/>
        </w:rPr>
        <w:t>日</w:t>
        <w:tab/>
      </w:r>
      <w:r>
        <w:rPr>
          <w:color w:val="000000"/>
          <w:spacing w:val="0"/>
          <w:w w:val="100"/>
          <w:position w:val="0"/>
          <w:sz w:val="24"/>
          <w:szCs w:val="24"/>
        </w:rPr>
        <w:t>7,484,573</w:t>
      </w:r>
    </w:p>
    <w:p>
      <w:pPr>
        <w:pStyle w:val="Style9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792" w:val="left"/>
        </w:tabs>
        <w:bidi w:val="0"/>
        <w:spacing w:before="0" w:after="280" w:line="240" w:lineRule="auto"/>
        <w:ind w:left="0" w:right="0" w:firstLine="0"/>
        <w:jc w:val="both"/>
      </w:pPr>
      <w:r>
        <w:rPr>
          <w:color w:val="000000"/>
          <w:spacing w:val="0"/>
          <w:w w:val="100"/>
          <w:position w:val="0"/>
          <w:sz w:val="24"/>
          <w:szCs w:val="24"/>
          <w:u w:val="single"/>
        </w:rPr>
        <w:t xml:space="preserve">2020 </w:t>
      </w:r>
      <w:r>
        <w:rPr>
          <w:rFonts w:ascii="SimSun" w:eastAsia="SimSun" w:hAnsi="SimSun" w:cs="SimSun"/>
          <w:color w:val="000000"/>
          <w:spacing w:val="0"/>
          <w:w w:val="100"/>
          <w:position w:val="0"/>
          <w:sz w:val="24"/>
          <w:szCs w:val="24"/>
          <w:u w:val="single"/>
        </w:rPr>
        <w:t xml:space="preserve">年 </w:t>
      </w:r>
      <w:r>
        <w:rPr>
          <w:color w:val="000000"/>
          <w:spacing w:val="0"/>
          <w:w w:val="100"/>
          <w:position w:val="0"/>
          <w:sz w:val="24"/>
          <w:szCs w:val="24"/>
          <w:u w:val="single"/>
        </w:rPr>
        <w:t xml:space="preserve">12 </w:t>
      </w:r>
      <w:r>
        <w:rPr>
          <w:rFonts w:ascii="SimSun" w:eastAsia="SimSun" w:hAnsi="SimSun" w:cs="SimSun"/>
          <w:color w:val="000000"/>
          <w:spacing w:val="0"/>
          <w:w w:val="100"/>
          <w:position w:val="0"/>
          <w:sz w:val="24"/>
          <w:szCs w:val="24"/>
          <w:u w:val="single"/>
        </w:rPr>
        <w:t xml:space="preserve">月 </w:t>
      </w:r>
      <w:r>
        <w:rPr>
          <w:color w:val="000000"/>
          <w:spacing w:val="0"/>
          <w:w w:val="100"/>
          <w:position w:val="0"/>
          <w:sz w:val="24"/>
          <w:szCs w:val="24"/>
          <w:u w:val="single"/>
        </w:rPr>
        <w:t xml:space="preserve">31 </w:t>
      </w:r>
      <w:r>
        <w:rPr>
          <w:rFonts w:ascii="SimSun" w:eastAsia="SimSun" w:hAnsi="SimSun" w:cs="SimSun"/>
          <w:color w:val="000000"/>
          <w:spacing w:val="0"/>
          <w:w w:val="100"/>
          <w:position w:val="0"/>
          <w:sz w:val="24"/>
          <w:szCs w:val="24"/>
          <w:u w:val="single"/>
        </w:rPr>
        <w:t>日</w:t>
        <w:tab/>
      </w:r>
      <w:r>
        <w:rPr>
          <w:color w:val="000000"/>
          <w:spacing w:val="0"/>
          <w:w w:val="100"/>
          <w:position w:val="0"/>
          <w:sz w:val="24"/>
          <w:szCs w:val="24"/>
          <w:u w:val="single"/>
        </w:rPr>
        <w:t xml:space="preserve">6,886,199 </w:t>
      </w:r>
      <w:r>
        <w:rPr>
          <w:rStyle w:val="CharStyle73"/>
          <w:rFonts w:ascii="Arial" w:eastAsia="Arial" w:hAnsi="Arial" w:cs="Arial"/>
        </w:rPr>
        <w:t>2021</w:t>
      </w:r>
      <w:r>
        <w:rPr>
          <w:rStyle w:val="CharStyle73"/>
        </w:rPr>
        <w:t>年度投资性房地产计提折旧金额约人民币</w:t>
      </w:r>
      <w:r>
        <w:rPr>
          <w:rStyle w:val="CharStyle73"/>
          <w:rFonts w:ascii="Arial" w:eastAsia="Arial" w:hAnsi="Arial" w:cs="Arial"/>
        </w:rPr>
        <w:t>2.60</w:t>
      </w:r>
      <w:r>
        <w:rPr>
          <w:rStyle w:val="CharStyle73"/>
        </w:rPr>
        <w:t>亿元</w:t>
      </w:r>
      <w:r>
        <w:rPr>
          <w:rStyle w:val="CharStyle73"/>
          <w:rFonts w:ascii="Arial" w:eastAsia="Arial" w:hAnsi="Arial" w:cs="Arial"/>
        </w:rPr>
        <w:t>(2020</w:t>
      </w:r>
      <w:r>
        <w:rPr>
          <w:rStyle w:val="CharStyle73"/>
        </w:rPr>
        <w:t>年度：约人民 币</w:t>
      </w:r>
      <w:r>
        <w:rPr>
          <w:rStyle w:val="CharStyle73"/>
          <w:rFonts w:ascii="Arial" w:eastAsia="Arial" w:hAnsi="Arial" w:cs="Arial"/>
        </w:rPr>
        <w:t>2.57</w:t>
      </w:r>
      <w:r>
        <w:rPr>
          <w:rStyle w:val="CharStyle73"/>
        </w:rPr>
        <w:t>亿元</w:t>
      </w:r>
      <w:r>
        <w:rPr>
          <w:rStyle w:val="CharStyle73"/>
          <w:rFonts w:ascii="Arial" w:eastAsia="Arial" w:hAnsi="Arial" w:cs="Arial"/>
        </w:rPr>
        <w:t>)</w:t>
      </w:r>
      <w:r>
        <w:rPr>
          <w:rStyle w:val="CharStyle73"/>
        </w:rPr>
        <w:t>。</w:t>
      </w:r>
    </w:p>
    <w:p>
      <w:pPr>
        <w:pStyle w:val="Style72"/>
        <w:keepNext w:val="0"/>
        <w:keepLines w:val="0"/>
        <w:widowControl w:val="0"/>
        <w:shd w:val="clear" w:color="auto" w:fill="auto"/>
        <w:bidi w:val="0"/>
        <w:spacing w:before="0" w:after="280" w:line="319" w:lineRule="exact"/>
        <w:ind w:left="0"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年度，本集团将账面价值约人民币</w:t>
      </w:r>
      <w:r>
        <w:rPr>
          <w:rFonts w:ascii="Arial" w:eastAsia="Arial" w:hAnsi="Arial" w:cs="Arial"/>
          <w:color w:val="000000"/>
          <w:spacing w:val="0"/>
          <w:w w:val="100"/>
          <w:position w:val="0"/>
          <w:sz w:val="24"/>
          <w:szCs w:val="24"/>
        </w:rPr>
        <w:t>6.46</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原价：约人民币</w:t>
      </w:r>
      <w:r>
        <w:rPr>
          <w:rFonts w:ascii="Arial" w:eastAsia="Arial" w:hAnsi="Arial" w:cs="Arial"/>
          <w:color w:val="000000"/>
          <w:spacing w:val="0"/>
          <w:w w:val="100"/>
          <w:position w:val="0"/>
          <w:sz w:val="24"/>
          <w:szCs w:val="24"/>
        </w:rPr>
        <w:t xml:space="preserve">7.95 </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的房屋及建筑物改为自用，自改变用途之日起，将相应的投资性房地产 转换为固定资产核算。</w:t>
      </w:r>
    </w:p>
    <w:p>
      <w:pPr>
        <w:pStyle w:val="Style72"/>
        <w:keepNext w:val="0"/>
        <w:keepLines w:val="0"/>
        <w:widowControl w:val="0"/>
        <w:shd w:val="clear" w:color="auto" w:fill="auto"/>
        <w:bidi w:val="0"/>
        <w:spacing w:before="0" w:after="280" w:line="324" w:lineRule="exact"/>
        <w:ind w:left="0" w:right="0" w:firstLine="0"/>
        <w:jc w:val="both"/>
        <w:sectPr>
          <w:footnotePr>
            <w:pos w:val="pageBottom"/>
            <w:numFmt w:val="decimal"/>
            <w:numStart w:val="1"/>
            <w:numRestart w:val="continuous"/>
            <w15:footnoteColumns w:val="1"/>
          </w:footnotePr>
          <w:pgSz w:w="11900" w:h="16840"/>
          <w:pgMar w:top="2338" w:right="1417" w:bottom="1392" w:left="2418" w:header="0" w:footer="3" w:gutter="0"/>
          <w:cols w:space="720"/>
          <w:noEndnote/>
          <w:rtlGutter w:val="0"/>
          <w:docGrid w:linePitch="360"/>
        </w:sectPr>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年度，本集团将账面价值约人民币</w:t>
      </w:r>
      <w:r>
        <w:rPr>
          <w:rFonts w:ascii="Arial" w:eastAsia="Arial" w:hAnsi="Arial" w:cs="Arial"/>
          <w:color w:val="000000"/>
          <w:spacing w:val="0"/>
          <w:w w:val="100"/>
          <w:position w:val="0"/>
          <w:sz w:val="24"/>
          <w:szCs w:val="24"/>
        </w:rPr>
        <w:t>20.83</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原价：约人民币</w:t>
      </w:r>
      <w:r>
        <w:rPr>
          <w:rFonts w:ascii="Arial" w:eastAsia="Arial" w:hAnsi="Arial" w:cs="Arial"/>
          <w:color w:val="000000"/>
          <w:spacing w:val="0"/>
          <w:w w:val="100"/>
          <w:position w:val="0"/>
          <w:sz w:val="24"/>
          <w:szCs w:val="24"/>
        </w:rPr>
        <w:t xml:space="preserve">22.34 </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的房屋及建筑物改为出租，自改变用途之日起，将相应的固定资产转换 为投资性房地产核算。</w:t>
      </w:r>
    </w:p>
    <w:p>
      <w:pPr>
        <w:pStyle w:val="Style72"/>
        <w:keepNext w:val="0"/>
        <w:keepLines w:val="0"/>
        <w:widowControl w:val="0"/>
        <w:shd w:val="clear" w:color="auto" w:fill="auto"/>
        <w:tabs>
          <w:tab w:pos="702" w:val="left"/>
        </w:tabs>
        <w:bidi w:val="0"/>
        <w:spacing w:before="0" w:after="26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87"/>
        </w:numPr>
        <w:shd w:val="clear" w:color="auto" w:fill="auto"/>
        <w:tabs>
          <w:tab w:pos="702" w:val="left"/>
        </w:tabs>
        <w:bidi w:val="0"/>
        <w:spacing w:before="0" w:after="260" w:line="240" w:lineRule="auto"/>
        <w:ind w:left="0" w:right="0" w:firstLine="0"/>
        <w:jc w:val="left"/>
      </w:pPr>
      <w:bookmarkStart w:id="921" w:name="bookmark921"/>
      <w:bookmarkEnd w:id="921"/>
      <w:r>
        <w:rPr>
          <w:b/>
          <w:bCs/>
          <w:color w:val="000000"/>
          <w:spacing w:val="0"/>
          <w:w w:val="100"/>
          <w:position w:val="0"/>
          <w:sz w:val="24"/>
          <w:szCs w:val="24"/>
        </w:rPr>
        <w:t>投资性房地产</w:t>
      </w:r>
    </w:p>
    <w:p>
      <w:pPr>
        <w:pStyle w:val="Style72"/>
        <w:keepNext w:val="0"/>
        <w:keepLines w:val="0"/>
        <w:widowControl w:val="0"/>
        <w:shd w:val="clear" w:color="auto" w:fill="auto"/>
        <w:bidi w:val="0"/>
        <w:spacing w:before="0" w:after="260" w:line="317"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日，本集团账面价值约人民币</w:t>
      </w:r>
      <w:r>
        <w:rPr>
          <w:rFonts w:ascii="Arial" w:eastAsia="Arial" w:hAnsi="Arial" w:cs="Arial"/>
          <w:color w:val="000000"/>
          <w:spacing w:val="0"/>
          <w:w w:val="100"/>
          <w:position w:val="0"/>
          <w:sz w:val="24"/>
          <w:szCs w:val="24"/>
        </w:rPr>
        <w:t>1.07</w:t>
      </w:r>
      <w:r>
        <w:rPr>
          <w:color w:val="000000"/>
          <w:spacing w:val="0"/>
          <w:w w:val="100"/>
          <w:position w:val="0"/>
          <w:sz w:val="24"/>
          <w:szCs w:val="24"/>
        </w:rPr>
        <w:t>亿元的投资性房地产未办妥房产权证</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日：账面价 值约人民币</w:t>
      </w:r>
      <w:r>
        <w:rPr>
          <w:rFonts w:ascii="Arial" w:eastAsia="Arial" w:hAnsi="Arial" w:cs="Arial"/>
          <w:color w:val="000000"/>
          <w:spacing w:val="0"/>
          <w:w w:val="100"/>
          <w:position w:val="0"/>
          <w:sz w:val="24"/>
          <w:szCs w:val="24"/>
        </w:rPr>
        <w:t>1.54</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60" w:line="314" w:lineRule="exact"/>
        <w:ind w:left="700" w:right="0" w:firstLine="2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年度，由于新冠肺炎疫情的持续影响及相关防控措施，市场租金下降，部分投资性房地产存在减值迹象。本集团将上 述投资性房地产所属资产组进行减值测试，经比较该资产组的公允价值减去处置费用后的净额和预计未来现金流量的现值 后，对上述投资性房地产采用现金流折现法</w:t>
      </w:r>
      <w:r>
        <w:rPr>
          <w:rFonts w:ascii="Arial" w:eastAsia="Arial" w:hAnsi="Arial" w:cs="Arial"/>
          <w:color w:val="000000"/>
          <w:spacing w:val="0"/>
          <w:w w:val="100"/>
          <w:position w:val="0"/>
          <w:sz w:val="24"/>
          <w:szCs w:val="24"/>
        </w:rPr>
        <w:t>(</w:t>
      </w:r>
      <w:r>
        <w:rPr>
          <w:color w:val="000000"/>
          <w:spacing w:val="0"/>
          <w:w w:val="100"/>
          <w:position w:val="0"/>
          <w:sz w:val="24"/>
          <w:szCs w:val="24"/>
        </w:rPr>
        <w:t>市场租金折算资本化率</w:t>
      </w:r>
      <w:r>
        <w:rPr>
          <w:rFonts w:ascii="Arial" w:eastAsia="Arial" w:hAnsi="Arial" w:cs="Arial"/>
          <w:color w:val="000000"/>
          <w:spacing w:val="0"/>
          <w:w w:val="100"/>
          <w:position w:val="0"/>
          <w:sz w:val="24"/>
          <w:szCs w:val="24"/>
        </w:rPr>
        <w:t>)</w:t>
      </w:r>
      <w:r>
        <w:rPr>
          <w:color w:val="000000"/>
          <w:spacing w:val="0"/>
          <w:w w:val="100"/>
          <w:position w:val="0"/>
          <w:sz w:val="24"/>
          <w:szCs w:val="24"/>
        </w:rPr>
        <w:t>评估相关资产的公允价值，按照公允价值减去处置费用 确定相关的资产的可收回金额，并计提减值准备约人民币</w:t>
      </w:r>
      <w:r>
        <w:rPr>
          <w:rFonts w:ascii="Arial" w:eastAsia="Arial" w:hAnsi="Arial" w:cs="Arial"/>
          <w:color w:val="000000"/>
          <w:spacing w:val="0"/>
          <w:w w:val="100"/>
          <w:position w:val="0"/>
          <w:sz w:val="24"/>
          <w:szCs w:val="24"/>
        </w:rPr>
        <w:t>4,824</w:t>
      </w:r>
      <w:r>
        <w:rPr>
          <w:color w:val="000000"/>
          <w:spacing w:val="0"/>
          <w:w w:val="100"/>
          <w:position w:val="0"/>
          <w:sz w:val="24"/>
          <w:szCs w:val="24"/>
        </w:rPr>
        <w:t>万元。本集团在计算可收回金额时采用的资本化率为</w:t>
      </w:r>
      <w:r>
        <w:rPr>
          <w:rFonts w:ascii="Arial" w:eastAsia="Arial" w:hAnsi="Arial" w:cs="Arial"/>
          <w:color w:val="000000"/>
          <w:spacing w:val="0"/>
          <w:w w:val="100"/>
          <w:position w:val="0"/>
          <w:sz w:val="24"/>
          <w:szCs w:val="24"/>
        </w:rPr>
        <w:t>6.50%</w:t>
      </w:r>
      <w:r>
        <w:rPr>
          <w:color w:val="000000"/>
          <w:spacing w:val="0"/>
          <w:w w:val="100"/>
          <w:position w:val="0"/>
          <w:sz w:val="24"/>
          <w:szCs w:val="24"/>
        </w:rPr>
        <w:t>。</w:t>
      </w:r>
    </w:p>
    <w:p>
      <w:pPr>
        <w:pStyle w:val="Style72"/>
        <w:keepNext w:val="0"/>
        <w:keepLines w:val="0"/>
        <w:widowControl w:val="0"/>
        <w:numPr>
          <w:ilvl w:val="0"/>
          <w:numId w:val="87"/>
        </w:numPr>
        <w:shd w:val="clear" w:color="auto" w:fill="auto"/>
        <w:tabs>
          <w:tab w:pos="702" w:val="left"/>
        </w:tabs>
        <w:bidi w:val="0"/>
        <w:spacing w:before="0" w:after="260" w:line="240" w:lineRule="auto"/>
        <w:ind w:left="0" w:right="0" w:firstLine="0"/>
        <w:jc w:val="left"/>
      </w:pPr>
      <w:bookmarkStart w:id="922" w:name="bookmark922"/>
      <w:bookmarkEnd w:id="922"/>
      <w:r>
        <w:rPr>
          <w:b/>
          <w:bCs/>
          <w:color w:val="000000"/>
          <w:spacing w:val="0"/>
          <w:w w:val="100"/>
          <w:position w:val="0"/>
          <w:sz w:val="24"/>
          <w:szCs w:val="24"/>
        </w:rPr>
        <w:t>固定资产</w:t>
      </w:r>
    </w:p>
    <w:p>
      <w:pPr>
        <w:pStyle w:val="Style55"/>
        <w:keepNext w:val="0"/>
        <w:keepLines w:val="0"/>
        <w:widowControl w:val="0"/>
        <w:shd w:val="clear" w:color="auto" w:fill="auto"/>
        <w:tabs>
          <w:tab w:pos="1934" w:val="left"/>
          <w:tab w:pos="3528" w:val="left"/>
          <w:tab w:pos="5136" w:val="left"/>
          <w:tab w:pos="6701" w:val="left"/>
          <w:tab w:pos="8650" w:val="left"/>
        </w:tabs>
        <w:bidi w:val="0"/>
        <w:spacing w:before="0" w:after="260" w:line="240" w:lineRule="auto"/>
        <w:ind w:left="0" w:right="240" w:firstLine="0"/>
        <w:jc w:val="right"/>
      </w:pPr>
      <w:r>
        <w:rPr>
          <w:color w:val="000000"/>
          <w:spacing w:val="0"/>
          <w:w w:val="100"/>
          <w:position w:val="0"/>
        </w:rPr>
        <w:t>房屋及建筑物</w:t>
        <w:tab/>
        <w:t>机器设备</w:t>
        <w:tab/>
        <w:t>运输工具</w:t>
        <w:tab/>
        <w:t>电子设备</w:t>
        <w:tab/>
        <w:t>其他设备</w:t>
        <w:tab/>
        <w:t>合计</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原价</w:t>
      </w:r>
    </w:p>
    <w:tbl>
      <w:tblPr>
        <w:tblOverlap w:val="never"/>
        <w:jc w:val="center"/>
        <w:tblLayout w:type="fixed"/>
      </w:tblPr>
      <w:tblGrid>
        <w:gridCol w:w="3403"/>
        <w:gridCol w:w="1920"/>
        <w:gridCol w:w="1632"/>
        <w:gridCol w:w="1541"/>
        <w:gridCol w:w="1594"/>
        <w:gridCol w:w="1526"/>
        <w:gridCol w:w="1320"/>
      </w:tblGrid>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17,591,723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2,225,701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370,598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3,525,372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1,439,923</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25,153,317</w:t>
            </w: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本年增加</w:t>
            </w:r>
          </w:p>
        </w:tc>
        <w:tc>
          <w:tcPr>
            <w:gridSpan w:val="6"/>
            <w:tcBorders>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购置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10,127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48,640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207,453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60" w:firstLine="0"/>
              <w:jc w:val="right"/>
              <w:rPr>
                <w:sz w:val="18"/>
                <w:szCs w:val="18"/>
              </w:rPr>
            </w:pPr>
            <w:r>
              <w:rPr>
                <w:rFonts w:ascii="Arial" w:eastAsia="Arial" w:hAnsi="Arial" w:cs="Arial"/>
                <w:color w:val="000000"/>
                <w:spacing w:val="0"/>
                <w:w w:val="100"/>
                <w:position w:val="0"/>
                <w:sz w:val="18"/>
                <w:szCs w:val="18"/>
              </w:rPr>
              <w:t>26,616</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292,836</w:t>
            </w:r>
          </w:p>
        </w:tc>
      </w:tr>
      <w:tr>
        <w:trPr>
          <w:trHeight w:val="24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投资性房地产转入</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附注四</w:t>
            </w:r>
            <w:r>
              <w:rPr>
                <w:rFonts w:ascii="Arial" w:eastAsia="Arial" w:hAnsi="Arial" w:cs="Arial"/>
                <w:color w:val="000000"/>
                <w:spacing w:val="0"/>
                <w:w w:val="100"/>
                <w:position w:val="0"/>
                <w:sz w:val="18"/>
                <w:szCs w:val="18"/>
              </w:rPr>
              <w:t>(14))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795,249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4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795,249</w:t>
            </w: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在建工程转入</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附注四</w:t>
            </w:r>
            <w:r>
              <w:rPr>
                <w:rFonts w:ascii="Arial" w:eastAsia="Arial" w:hAnsi="Arial" w:cs="Arial"/>
                <w:color w:val="000000"/>
                <w:spacing w:val="0"/>
                <w:w w:val="100"/>
                <w:position w:val="0"/>
                <w:sz w:val="18"/>
                <w:szCs w:val="18"/>
              </w:rPr>
              <w:t>(16))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1,634,579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4,265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4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4,599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1,643,443</w:t>
            </w: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本年减少</w:t>
            </w:r>
          </w:p>
        </w:tc>
        <w:tc>
          <w:tcPr>
            <w:gridSpan w:val="6"/>
            <w:tcBorders>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处置及报废</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(198,978)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(390,585)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(122,449)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(427,494)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Arial" w:eastAsia="Arial" w:hAnsi="Arial" w:cs="Arial"/>
                <w:color w:val="000000"/>
                <w:spacing w:val="0"/>
                <w:w w:val="100"/>
                <w:position w:val="0"/>
                <w:sz w:val="18"/>
                <w:szCs w:val="18"/>
              </w:rPr>
              <w:t>(393,737)</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(1,533,243)</w:t>
            </w:r>
          </w:p>
        </w:tc>
      </w:tr>
      <w:tr>
        <w:trPr>
          <w:trHeight w:val="22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处置子公司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(3,416,933)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(10,135)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(4,506)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Arial" w:eastAsia="Arial" w:hAnsi="Arial" w:cs="Arial"/>
                <w:color w:val="000000"/>
                <w:spacing w:val="0"/>
                <w:w w:val="100"/>
                <w:position w:val="0"/>
                <w:sz w:val="18"/>
                <w:szCs w:val="18"/>
              </w:rPr>
              <w:t>(1,565)</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(3,433,139)</w:t>
            </w:r>
          </w:p>
        </w:tc>
      </w:tr>
      <w:tr>
        <w:trPr>
          <w:trHeight w:val="23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转出至投资性房地产</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附注四</w:t>
            </w:r>
            <w:r>
              <w:rPr>
                <w:rFonts w:ascii="Arial" w:eastAsia="Arial" w:hAnsi="Arial" w:cs="Arial"/>
                <w:color w:val="000000"/>
                <w:spacing w:val="0"/>
                <w:w w:val="100"/>
                <w:position w:val="0"/>
                <w:sz w:val="18"/>
                <w:szCs w:val="18"/>
              </w:rPr>
              <w:t>(14))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(2,233,749)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4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(2,233,749)</w:t>
            </w:r>
          </w:p>
        </w:tc>
      </w:tr>
      <w:tr>
        <w:trPr>
          <w:trHeight w:val="25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本年外币报表折算差异</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60" w:firstLine="0"/>
              <w:jc w:val="right"/>
              <w:rPr>
                <w:sz w:val="18"/>
                <w:szCs w:val="18"/>
              </w:rPr>
            </w:pPr>
            <w:r>
              <w:rPr>
                <w:rFonts w:ascii="Arial" w:eastAsia="Arial" w:hAnsi="Arial" w:cs="Arial"/>
                <w:color w:val="000000"/>
                <w:spacing w:val="0"/>
                <w:w w:val="100"/>
                <w:position w:val="0"/>
                <w:sz w:val="18"/>
                <w:szCs w:val="18"/>
              </w:rPr>
              <w:t>(19)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60" w:firstLine="0"/>
              <w:jc w:val="right"/>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Arial" w:eastAsia="Arial" w:hAnsi="Arial" w:cs="Arial"/>
                <w:color w:val="000000"/>
                <w:spacing w:val="0"/>
                <w:w w:val="100"/>
                <w:position w:val="0"/>
                <w:sz w:val="18"/>
                <w:szCs w:val="18"/>
              </w:rPr>
              <w:t>(132)</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(241)</w:t>
            </w:r>
          </w:p>
        </w:tc>
      </w:tr>
      <w:tr>
        <w:trPr>
          <w:trHeight w:val="226" w:hRule="exact"/>
        </w:trPr>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14,171,891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1,839,373</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296,770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3,305,334</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1,071,105</w:t>
            </w:r>
          </w:p>
        </w:tc>
        <w:tc>
          <w:tcPr>
            <w:tcBorders>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20,684,473</w:t>
            </w:r>
          </w:p>
        </w:tc>
      </w:tr>
    </w:tbl>
    <w:p>
      <w:pPr>
        <w:spacing w:lineRule="exact" w:line="1"/>
        <w:rPr>
          <w:sz w:val="2"/>
          <w:szCs w:val="2"/>
        </w:rPr>
      </w:pPr>
      <w:r>
        <w:br w:type="page"/>
      </w:r>
    </w:p>
    <w:p>
      <w:pPr>
        <w:pStyle w:val="Style72"/>
        <w:keepNext w:val="0"/>
        <w:keepLines w:val="0"/>
        <w:widowControl w:val="0"/>
        <w:shd w:val="clear" w:color="auto" w:fill="auto"/>
        <w:tabs>
          <w:tab w:pos="706" w:val="left"/>
        </w:tabs>
        <w:bidi w:val="0"/>
        <w:spacing w:before="0" w:after="24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after="240" w:line="240" w:lineRule="auto"/>
        <w:ind w:left="0" w:right="0" w:firstLine="0"/>
        <w:jc w:val="left"/>
        <w:rPr>
          <w:sz w:val="28"/>
          <w:szCs w:val="28"/>
        </w:rPr>
      </w:pPr>
      <w:r>
        <w:rPr>
          <w:color w:val="000000"/>
          <w:spacing w:val="0"/>
          <w:w w:val="100"/>
          <w:position w:val="0"/>
          <w:sz w:val="24"/>
          <w:szCs w:val="24"/>
        </w:rPr>
        <w:t>（15）</w:t>
      </w:r>
      <w:r>
        <w:rPr>
          <w:rFonts w:ascii="SimSun" w:eastAsia="SimSun" w:hAnsi="SimSun" w:cs="SimSun"/>
          <w:b/>
          <w:bCs/>
          <w:color w:val="000000"/>
          <w:spacing w:val="0"/>
          <w:w w:val="100"/>
          <w:position w:val="0"/>
          <w:sz w:val="24"/>
          <w:szCs w:val="24"/>
        </w:rPr>
        <w:t>固定资产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55"/>
        <w:keepNext w:val="0"/>
        <w:keepLines w:val="0"/>
        <w:widowControl w:val="0"/>
        <w:shd w:val="clear" w:color="auto" w:fill="auto"/>
        <w:tabs>
          <w:tab w:pos="1934" w:val="left"/>
          <w:tab w:pos="3514" w:val="left"/>
          <w:tab w:pos="5107" w:val="left"/>
          <w:tab w:pos="6701" w:val="left"/>
          <w:tab w:pos="8650" w:val="left"/>
        </w:tabs>
        <w:bidi w:val="0"/>
        <w:spacing w:before="0" w:after="240" w:line="240" w:lineRule="auto"/>
        <w:ind w:left="0" w:right="0" w:firstLine="0"/>
        <w:jc w:val="right"/>
      </w:pPr>
      <w:r>
        <w:rPr>
          <w:color w:val="000000"/>
          <w:spacing w:val="0"/>
          <w:w w:val="100"/>
          <w:position w:val="0"/>
        </w:rPr>
        <w:t>房屋及建筑物</w:t>
        <w:tab/>
        <w:t>机器设备</w:t>
        <w:tab/>
        <w:t>运输工具</w:t>
        <w:tab/>
        <w:t>电子设备</w:t>
        <w:tab/>
        <w:t>其他设备</w:t>
        <w:tab/>
        <w:t>合计</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累计折旧</w:t>
      </w:r>
    </w:p>
    <w:tbl>
      <w:tblPr>
        <w:tblOverlap w:val="never"/>
        <w:jc w:val="center"/>
        <w:tblLayout w:type="fixed"/>
      </w:tblPr>
      <w:tblGrid>
        <w:gridCol w:w="3451"/>
        <w:gridCol w:w="1867"/>
        <w:gridCol w:w="1661"/>
        <w:gridCol w:w="1507"/>
        <w:gridCol w:w="1661"/>
        <w:gridCol w:w="1512"/>
        <w:gridCol w:w="1301"/>
      </w:tblGrid>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(2,413,855)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(1,020,443)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(186,893)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(2,330,769)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(939,995)</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(6,891,955)</w:t>
            </w:r>
          </w:p>
        </w:tc>
      </w:tr>
      <w:tr>
        <w:trPr>
          <w:trHeight w:val="226"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本年增加</w:t>
            </w:r>
          </w:p>
        </w:tc>
        <w:tc>
          <w:tcPr>
            <w:gridSpan w:val="6"/>
            <w:tcBorders>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计提</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(477,366)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(325,363)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(50,667)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(451,178)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(118,366)</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(1,422,940)</w:t>
            </w:r>
          </w:p>
        </w:tc>
      </w:tr>
      <w:tr>
        <w:trPr>
          <w:trHeight w:val="24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投资性房地产转入</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附注四</w:t>
            </w:r>
            <w:r>
              <w:rPr>
                <w:rFonts w:ascii="Arial" w:eastAsia="Arial" w:hAnsi="Arial" w:cs="Arial"/>
                <w:color w:val="000000"/>
                <w:spacing w:val="0"/>
                <w:w w:val="100"/>
                <w:position w:val="0"/>
                <w:sz w:val="18"/>
                <w:szCs w:val="18"/>
              </w:rPr>
              <w:t>（14））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(149,622)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(149,622)</w:t>
            </w:r>
          </w:p>
        </w:tc>
      </w:tr>
      <w:tr>
        <w:trPr>
          <w:trHeight w:val="226"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本年减少</w:t>
            </w:r>
          </w:p>
        </w:tc>
        <w:tc>
          <w:tcPr>
            <w:gridSpan w:val="6"/>
            <w:tcBorders>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处置及报废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63,121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181,491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50,186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325,354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229,527</w:t>
            </w:r>
          </w:p>
        </w:tc>
        <w:tc>
          <w:tcPr>
            <w:tcBorders>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849,679</w:t>
            </w:r>
          </w:p>
        </w:tc>
      </w:tr>
      <w:tr>
        <w:trPr>
          <w:trHeight w:val="24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处置子公司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222,253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2,628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1,152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1,245</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227,278</w:t>
            </w:r>
          </w:p>
        </w:tc>
      </w:tr>
      <w:tr>
        <w:trPr>
          <w:trHeight w:val="25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转出至投资性房地产</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附注四</w:t>
            </w:r>
            <w:r>
              <w:rPr>
                <w:rFonts w:ascii="Arial" w:eastAsia="Arial" w:hAnsi="Arial" w:cs="Arial"/>
                <w:color w:val="000000"/>
                <w:spacing w:val="0"/>
                <w:w w:val="100"/>
                <w:position w:val="0"/>
                <w:sz w:val="18"/>
                <w:szCs w:val="18"/>
              </w:rPr>
              <w:t>（14））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150,521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150,521</w:t>
            </w:r>
          </w:p>
        </w:tc>
      </w:tr>
      <w:tr>
        <w:trPr>
          <w:trHeight w:val="226"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本年外币报表折算差异</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400" w:firstLine="0"/>
              <w:jc w:val="right"/>
              <w:rPr>
                <w:sz w:val="18"/>
                <w:szCs w:val="18"/>
              </w:rPr>
            </w:pPr>
            <w:r>
              <w:rPr>
                <w:rFonts w:ascii="Arial" w:eastAsia="Arial" w:hAnsi="Arial" w:cs="Arial"/>
                <w:color w:val="000000"/>
                <w:spacing w:val="0"/>
                <w:w w:val="100"/>
                <w:position w:val="0"/>
                <w:sz w:val="18"/>
                <w:szCs w:val="18"/>
              </w:rPr>
              <w:t>65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60" w:firstLine="0"/>
              <w:jc w:val="right"/>
              <w:rPr>
                <w:sz w:val="18"/>
                <w:szCs w:val="18"/>
              </w:rPr>
            </w:pPr>
            <w:r>
              <w:rPr>
                <w:rFonts w:ascii="Arial" w:eastAsia="Arial" w:hAnsi="Arial" w:cs="Arial"/>
                <w:color w:val="000000"/>
                <w:spacing w:val="0"/>
                <w:w w:val="100"/>
                <w:position w:val="0"/>
                <w:sz w:val="18"/>
                <w:szCs w:val="18"/>
              </w:rPr>
              <w:t>113</w:t>
            </w:r>
          </w:p>
        </w:tc>
        <w:tc>
          <w:tcPr>
            <w:tcBorders>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193</w:t>
            </w:r>
          </w:p>
        </w:tc>
      </w:tr>
      <w:tr>
        <w:trPr>
          <w:trHeight w:val="250"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(2,604,948)</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(1,161,687)</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(187,359)</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(2,455,376)</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(827,476)</w:t>
            </w:r>
          </w:p>
        </w:tc>
        <w:tc>
          <w:tcPr>
            <w:tcBorders>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(7,236,846)</w:t>
            </w:r>
          </w:p>
        </w:tc>
      </w:tr>
    </w:tbl>
    <w:p>
      <w:pPr>
        <w:widowControl w:val="0"/>
        <w:spacing w:after="239" w:line="1" w:lineRule="exact"/>
      </w:pP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bl>
      <w:tblPr>
        <w:tblOverlap w:val="never"/>
        <w:jc w:val="center"/>
        <w:tblLayout w:type="fixed"/>
      </w:tblPr>
      <w:tblGrid>
        <w:gridCol w:w="2904"/>
        <w:gridCol w:w="2462"/>
        <w:gridCol w:w="1834"/>
        <w:gridCol w:w="1416"/>
        <w:gridCol w:w="1872"/>
        <w:gridCol w:w="1205"/>
        <w:gridCol w:w="1267"/>
      </w:tblGrid>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(161,700)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(79)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(168)</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(161,947)</w:t>
            </w: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本年计提</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rFonts w:ascii="Arial" w:eastAsia="Arial" w:hAnsi="Arial" w:cs="Arial"/>
                <w:color w:val="000000"/>
                <w:spacing w:val="0"/>
                <w:w w:val="100"/>
                <w:position w:val="0"/>
                <w:sz w:val="18"/>
                <w:szCs w:val="18"/>
              </w:rPr>
              <w:t>(41,121)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(22,531)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(22,339)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(86,011)</w:t>
            </w:r>
          </w:p>
        </w:tc>
      </w:tr>
      <w:tr>
        <w:trPr>
          <w:trHeight w:val="24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本年处置及报废</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125,849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2,032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127,881</w:t>
            </w:r>
          </w:p>
        </w:tc>
      </w:tr>
      <w:tr>
        <w:trPr>
          <w:trHeight w:val="226" w:hRule="exact"/>
        </w:trPr>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rFonts w:ascii="Arial" w:eastAsia="Arial" w:hAnsi="Arial" w:cs="Arial"/>
                <w:color w:val="000000"/>
                <w:spacing w:val="0"/>
                <w:w w:val="100"/>
                <w:position w:val="0"/>
                <w:sz w:val="18"/>
                <w:szCs w:val="18"/>
              </w:rPr>
              <w:t>(41,121)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(58,382)</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(99)</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(20,475)</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w:t>
            </w:r>
          </w:p>
        </w:tc>
        <w:tc>
          <w:tcPr>
            <w:tcBorders>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(120,077)</w:t>
            </w:r>
          </w:p>
        </w:tc>
      </w:tr>
    </w:tbl>
    <w:p>
      <w:pPr>
        <w:widowControl w:val="0"/>
        <w:spacing w:after="239" w:line="1" w:lineRule="exact"/>
      </w:pP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bl>
      <w:tblPr>
        <w:tblOverlap w:val="never"/>
        <w:jc w:val="center"/>
        <w:tblLayout w:type="fixed"/>
      </w:tblPr>
      <w:tblGrid>
        <w:gridCol w:w="2794"/>
        <w:gridCol w:w="2530"/>
        <w:gridCol w:w="1661"/>
        <w:gridCol w:w="1512"/>
        <w:gridCol w:w="1656"/>
        <w:gridCol w:w="1464"/>
        <w:gridCol w:w="1344"/>
      </w:tblGrid>
      <w:tr>
        <w:trPr>
          <w:trHeight w:val="2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11,525,822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619,304</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109,312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829,483</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243,629</w:t>
            </w:r>
          </w:p>
        </w:tc>
        <w:tc>
          <w:tcPr>
            <w:tcBorders>
              <w:top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13,327,550</w:t>
            </w:r>
          </w:p>
        </w:tc>
      </w:tr>
      <w:tr>
        <w:trPr>
          <w:trHeight w:val="245" w:hRule="exact"/>
        </w:trPr>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15,177,868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1,043,558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183,626</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1,194,435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499,928</w:t>
            </w:r>
          </w:p>
        </w:tc>
        <w:tc>
          <w:tcPr>
            <w:tcBorders>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18,099,415</w:t>
            </w:r>
          </w:p>
        </w:tc>
      </w:tr>
    </w:tbl>
    <w:p>
      <w:pPr>
        <w:widowControl w:val="0"/>
        <w:spacing w:after="179" w:line="1" w:lineRule="exact"/>
      </w:pPr>
    </w:p>
    <w:p>
      <w:pPr>
        <w:pStyle w:val="Style72"/>
        <w:keepNext w:val="0"/>
        <w:keepLines w:val="0"/>
        <w:widowControl w:val="0"/>
        <w:shd w:val="clear" w:color="auto" w:fill="auto"/>
        <w:bidi w:val="0"/>
        <w:spacing w:before="0" w:after="0" w:line="317" w:lineRule="exact"/>
        <w:ind w:left="0" w:right="0" w:firstLine="0"/>
        <w:jc w:val="left"/>
      </w:pPr>
      <w:r>
        <w:rPr>
          <w:rFonts w:ascii="Arial" w:eastAsia="Arial" w:hAnsi="Arial" w:cs="Arial"/>
          <w:color w:val="000000"/>
          <w:spacing w:val="0"/>
          <w:w w:val="100"/>
          <w:position w:val="0"/>
          <w:sz w:val="24"/>
          <w:szCs w:val="24"/>
        </w:rPr>
        <w:t xml:space="preserve">（a） </w:t>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日，本集团用账面价值约为人民币</w:t>
      </w:r>
      <w:r>
        <w:rPr>
          <w:rFonts w:ascii="Arial" w:eastAsia="Arial" w:hAnsi="Arial" w:cs="Arial"/>
          <w:color w:val="000000"/>
          <w:spacing w:val="0"/>
          <w:w w:val="100"/>
          <w:position w:val="0"/>
          <w:sz w:val="24"/>
          <w:szCs w:val="24"/>
        </w:rPr>
        <w:t>12.53</w:t>
      </w:r>
      <w:r>
        <w:rPr>
          <w:color w:val="000000"/>
          <w:spacing w:val="0"/>
          <w:w w:val="100"/>
          <w:position w:val="0"/>
          <w:sz w:val="24"/>
          <w:szCs w:val="24"/>
        </w:rPr>
        <w:t>亿元的固定资产抵押用于取得短期借款约为人民币</w:t>
      </w:r>
      <w:r>
        <w:rPr>
          <w:rFonts w:ascii="Arial" w:eastAsia="Arial" w:hAnsi="Arial" w:cs="Arial"/>
          <w:color w:val="000000"/>
          <w:spacing w:val="0"/>
          <w:w w:val="100"/>
          <w:position w:val="0"/>
          <w:sz w:val="24"/>
          <w:szCs w:val="24"/>
        </w:rPr>
        <w:t>22.86</w:t>
      </w:r>
      <w:r>
        <w:rPr>
          <w:color w:val="000000"/>
          <w:spacing w:val="0"/>
          <w:w w:val="100"/>
          <w:position w:val="0"/>
          <w:sz w:val="24"/>
          <w:szCs w:val="24"/>
        </w:rPr>
        <w:t>亿元</w:t>
      </w:r>
    </w:p>
    <w:p>
      <w:pPr>
        <w:pStyle w:val="Style72"/>
        <w:keepNext w:val="0"/>
        <w:keepLines w:val="0"/>
        <w:widowControl w:val="0"/>
        <w:shd w:val="clear" w:color="auto" w:fill="auto"/>
        <w:bidi w:val="0"/>
        <w:spacing w:before="0" w:after="240" w:line="317" w:lineRule="exact"/>
        <w:ind w:left="700" w:right="0" w:firstLine="20"/>
        <w:jc w:val="left"/>
        <w:sectPr>
          <w:footnotePr>
            <w:pos w:val="pageBottom"/>
            <w:numFmt w:val="decimal"/>
            <w:numStart w:val="1"/>
            <w:numRestart w:val="continuous"/>
            <w15:footnoteColumns w:val="1"/>
          </w:footnotePr>
          <w:pgSz w:w="16840" w:h="11900" w:orient="landscape"/>
          <w:pgMar w:top="2333" w:right="1346" w:bottom="1863" w:left="1689" w:header="0" w:footer="3" w:gutter="0"/>
          <w:cols w:space="720"/>
          <w:noEndnote/>
          <w:rtlGutter w:val="0"/>
          <w:docGrid w:linePitch="360"/>
        </w:sectPr>
      </w:pP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日：无</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（24））</w:t>
      </w:r>
      <w:r>
        <w:rPr>
          <w:color w:val="000000"/>
          <w:spacing w:val="0"/>
          <w:w w:val="100"/>
          <w:position w:val="0"/>
          <w:sz w:val="24"/>
          <w:szCs w:val="24"/>
        </w:rPr>
        <w:t>，用账面价值约为人民币</w:t>
      </w:r>
      <w:r>
        <w:rPr>
          <w:rFonts w:ascii="Arial" w:eastAsia="Arial" w:hAnsi="Arial" w:cs="Arial"/>
          <w:color w:val="000000"/>
          <w:spacing w:val="0"/>
          <w:w w:val="100"/>
          <w:position w:val="0"/>
          <w:sz w:val="24"/>
          <w:szCs w:val="24"/>
        </w:rPr>
        <w:t>7.79</w:t>
      </w:r>
      <w:r>
        <w:rPr>
          <w:color w:val="000000"/>
          <w:spacing w:val="0"/>
          <w:w w:val="100"/>
          <w:position w:val="0"/>
          <w:sz w:val="24"/>
          <w:szCs w:val="24"/>
        </w:rPr>
        <w:t>亿元的固定资产</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r>
      <w:r>
        <w:rPr>
          <w:rFonts w:ascii="Arial" w:eastAsia="Arial" w:hAnsi="Arial" w:cs="Arial"/>
          <w:color w:val="000000"/>
          <w:spacing w:val="0"/>
          <w:w w:val="100"/>
          <w:position w:val="0"/>
          <w:sz w:val="24"/>
          <w:szCs w:val="24"/>
        </w:rPr>
        <w:t>8.08</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抵押 用于取得一年内到期的长期借款约为人民币</w:t>
      </w:r>
      <w:r>
        <w:rPr>
          <w:rFonts w:ascii="Arial" w:eastAsia="Arial" w:hAnsi="Arial" w:cs="Arial"/>
          <w:color w:val="000000"/>
          <w:spacing w:val="0"/>
          <w:w w:val="100"/>
          <w:position w:val="0"/>
          <w:sz w:val="24"/>
          <w:szCs w:val="24"/>
        </w:rPr>
        <w:t>10.58</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日：约为人民币</w:t>
      </w:r>
      <w:r>
        <w:rPr>
          <w:rFonts w:ascii="Arial" w:eastAsia="Arial" w:hAnsi="Arial" w:cs="Arial"/>
          <w:color w:val="000000"/>
          <w:spacing w:val="0"/>
          <w:w w:val="100"/>
          <w:position w:val="0"/>
          <w:sz w:val="24"/>
          <w:szCs w:val="24"/>
        </w:rPr>
        <w:t>17.04</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（34））</w:t>
      </w:r>
      <w:r>
        <w:rPr>
          <w:color w:val="000000"/>
          <w:spacing w:val="0"/>
          <w:w w:val="100"/>
          <w:position w:val="0"/>
          <w:sz w:val="24"/>
          <w:szCs w:val="24"/>
        </w:rPr>
        <w:t>。</w:t>
      </w:r>
    </w:p>
    <w:p>
      <w:pPr>
        <w:pStyle w:val="Style72"/>
        <w:keepNext w:val="0"/>
        <w:keepLines w:val="0"/>
        <w:widowControl w:val="0"/>
        <w:shd w:val="clear" w:color="auto" w:fill="auto"/>
        <w:tabs>
          <w:tab w:pos="706"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ind w:left="0" w:right="0" w:firstLine="0"/>
        <w:jc w:val="left"/>
        <w:rPr>
          <w:sz w:val="28"/>
          <w:szCs w:val="28"/>
        </w:rPr>
      </w:pPr>
      <w:r>
        <w:rPr>
          <w:color w:val="000000"/>
          <w:spacing w:val="0"/>
          <w:w w:val="100"/>
          <w:position w:val="0"/>
          <w:sz w:val="24"/>
          <w:szCs w:val="24"/>
        </w:rPr>
        <w:t>（15）</w:t>
      </w:r>
      <w:r>
        <w:rPr>
          <w:rFonts w:ascii="SimSun" w:eastAsia="SimSun" w:hAnsi="SimSun" w:cs="SimSun"/>
          <w:b/>
          <w:bCs/>
          <w:color w:val="000000"/>
          <w:spacing w:val="0"/>
          <w:w w:val="100"/>
          <w:position w:val="0"/>
          <w:sz w:val="24"/>
          <w:szCs w:val="24"/>
        </w:rPr>
        <w:t>固定资产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706" w:val="left"/>
        </w:tabs>
        <w:bidi w:val="0"/>
        <w:spacing w:before="0" w:after="300" w:line="311" w:lineRule="exact"/>
        <w:ind w:right="0" w:hanging="720"/>
        <w:jc w:val="both"/>
      </w:pPr>
      <w:bookmarkStart w:id="923" w:name="bookmark923"/>
      <w:r>
        <w:rPr>
          <w:rFonts w:ascii="Arial" w:eastAsia="Arial" w:hAnsi="Arial" w:cs="Arial"/>
          <w:color w:val="000000"/>
          <w:spacing w:val="0"/>
          <w:w w:val="100"/>
          <w:position w:val="0"/>
          <w:sz w:val="24"/>
          <w:szCs w:val="24"/>
        </w:rPr>
        <w:t>（</w:t>
      </w:r>
      <w:bookmarkEnd w:id="923"/>
      <w:r>
        <w:rPr>
          <w:rFonts w:ascii="Arial" w:eastAsia="Arial" w:hAnsi="Arial" w:cs="Arial"/>
          <w:color w:val="000000"/>
          <w:spacing w:val="0"/>
          <w:w w:val="100"/>
          <w:position w:val="0"/>
          <w:sz w:val="24"/>
          <w:szCs w:val="24"/>
        </w:rPr>
        <w:t>a）</w:t>
        <w:tab/>
      </w:r>
      <w:r>
        <w:rPr>
          <w:rFonts w:ascii="Arial" w:eastAsia="Arial" w:hAnsi="Arial" w:cs="Arial"/>
          <w:color w:val="000000"/>
          <w:spacing w:val="0"/>
          <w:w w:val="100"/>
          <w:position w:val="0"/>
          <w:sz w:val="24"/>
          <w:szCs w:val="24"/>
        </w:rPr>
        <w:t>2021</w:t>
      </w:r>
      <w:r>
        <w:rPr>
          <w:color w:val="000000"/>
          <w:spacing w:val="0"/>
          <w:w w:val="100"/>
          <w:position w:val="0"/>
          <w:sz w:val="24"/>
          <w:szCs w:val="24"/>
        </w:rPr>
        <w:t>年度固定资产计提的折旧金额约人民币</w:t>
      </w:r>
      <w:r>
        <w:rPr>
          <w:rFonts w:ascii="Arial" w:eastAsia="Arial" w:hAnsi="Arial" w:cs="Arial"/>
          <w:color w:val="000000"/>
          <w:spacing w:val="0"/>
          <w:w w:val="100"/>
          <w:position w:val="0"/>
          <w:sz w:val="24"/>
          <w:szCs w:val="24"/>
        </w:rPr>
        <w:t>14.23</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年度：约人民 币</w:t>
      </w:r>
      <w:r>
        <w:rPr>
          <w:rFonts w:ascii="Arial" w:eastAsia="Arial" w:hAnsi="Arial" w:cs="Arial"/>
          <w:color w:val="000000"/>
          <w:spacing w:val="0"/>
          <w:w w:val="100"/>
          <w:position w:val="0"/>
          <w:sz w:val="24"/>
          <w:szCs w:val="24"/>
        </w:rPr>
        <w:t>17.5</w:t>
      </w:r>
      <w:r>
        <w:rPr>
          <w:rFonts w:ascii="Arial" w:eastAsia="Arial" w:hAnsi="Arial" w:cs="Arial"/>
          <w:color w:val="000000"/>
          <w:spacing w:val="0"/>
          <w:w w:val="100"/>
          <w:position w:val="0"/>
          <w:sz w:val="24"/>
          <w:szCs w:val="24"/>
        </w:rPr>
        <w:t>2</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，其中计入营业成本、销售费用、管理费用及研发费用的折旧 费用分别约人民币</w:t>
      </w:r>
      <w:r>
        <w:rPr>
          <w:rFonts w:ascii="Arial" w:eastAsia="Arial" w:hAnsi="Arial" w:cs="Arial"/>
          <w:color w:val="000000"/>
          <w:spacing w:val="0"/>
          <w:w w:val="100"/>
          <w:position w:val="0"/>
          <w:sz w:val="24"/>
          <w:szCs w:val="24"/>
        </w:rPr>
        <w:t>0.27</w:t>
      </w:r>
      <w:r>
        <w:rPr>
          <w:color w:val="000000"/>
          <w:spacing w:val="0"/>
          <w:w w:val="100"/>
          <w:position w:val="0"/>
          <w:sz w:val="24"/>
          <w:szCs w:val="24"/>
        </w:rPr>
        <w:t>亿元、约人民币</w:t>
      </w:r>
      <w:r>
        <w:rPr>
          <w:rFonts w:ascii="Arial" w:eastAsia="Arial" w:hAnsi="Arial" w:cs="Arial"/>
          <w:color w:val="000000"/>
          <w:spacing w:val="0"/>
          <w:w w:val="100"/>
          <w:position w:val="0"/>
          <w:sz w:val="24"/>
          <w:szCs w:val="24"/>
        </w:rPr>
        <w:t>7.47</w:t>
      </w:r>
      <w:r>
        <w:rPr>
          <w:color w:val="000000"/>
          <w:spacing w:val="0"/>
          <w:w w:val="100"/>
          <w:position w:val="0"/>
          <w:sz w:val="24"/>
          <w:szCs w:val="24"/>
        </w:rPr>
        <w:t>亿元、约人民币</w:t>
      </w:r>
      <w:r>
        <w:rPr>
          <w:rFonts w:ascii="Arial" w:eastAsia="Arial" w:hAnsi="Arial" w:cs="Arial"/>
          <w:color w:val="000000"/>
          <w:spacing w:val="0"/>
          <w:w w:val="100"/>
          <w:position w:val="0"/>
          <w:sz w:val="24"/>
          <w:szCs w:val="24"/>
        </w:rPr>
        <w:t>3.39</w:t>
      </w:r>
      <w:r>
        <w:rPr>
          <w:color w:val="000000"/>
          <w:spacing w:val="0"/>
          <w:w w:val="100"/>
          <w:position w:val="0"/>
          <w:sz w:val="24"/>
          <w:szCs w:val="24"/>
        </w:rPr>
        <w:t>亿元及约 人民币</w:t>
      </w:r>
      <w:r>
        <w:rPr>
          <w:rFonts w:ascii="Arial" w:eastAsia="Arial" w:hAnsi="Arial" w:cs="Arial"/>
          <w:color w:val="000000"/>
          <w:spacing w:val="0"/>
          <w:w w:val="100"/>
          <w:position w:val="0"/>
          <w:sz w:val="24"/>
          <w:szCs w:val="24"/>
        </w:rPr>
        <w:t>3.10</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年度：约人民币</w:t>
      </w:r>
      <w:r>
        <w:rPr>
          <w:rFonts w:ascii="Arial" w:eastAsia="Arial" w:hAnsi="Arial" w:cs="Arial"/>
          <w:color w:val="000000"/>
          <w:spacing w:val="0"/>
          <w:w w:val="100"/>
          <w:position w:val="0"/>
          <w:sz w:val="24"/>
          <w:szCs w:val="24"/>
        </w:rPr>
        <w:t>0.28</w:t>
      </w:r>
      <w:r>
        <w:rPr>
          <w:color w:val="000000"/>
          <w:spacing w:val="0"/>
          <w:w w:val="100"/>
          <w:position w:val="0"/>
          <w:sz w:val="24"/>
          <w:szCs w:val="24"/>
        </w:rPr>
        <w:t>亿元、约人民币</w:t>
      </w:r>
      <w:r>
        <w:rPr>
          <w:rFonts w:ascii="Arial" w:eastAsia="Arial" w:hAnsi="Arial" w:cs="Arial"/>
          <w:color w:val="000000"/>
          <w:spacing w:val="0"/>
          <w:w w:val="100"/>
          <w:position w:val="0"/>
          <w:sz w:val="24"/>
          <w:szCs w:val="24"/>
        </w:rPr>
        <w:t>10.28</w:t>
      </w:r>
      <w:r>
        <w:rPr>
          <w:color w:val="000000"/>
          <w:spacing w:val="0"/>
          <w:w w:val="100"/>
          <w:position w:val="0"/>
          <w:sz w:val="24"/>
          <w:szCs w:val="24"/>
        </w:rPr>
        <w:t>亿元、约 人民币</w:t>
      </w:r>
      <w:r>
        <w:rPr>
          <w:rFonts w:ascii="Arial" w:eastAsia="Arial" w:hAnsi="Arial" w:cs="Arial"/>
          <w:color w:val="000000"/>
          <w:spacing w:val="0"/>
          <w:w w:val="100"/>
          <w:position w:val="0"/>
          <w:sz w:val="24"/>
          <w:szCs w:val="24"/>
        </w:rPr>
        <w:t>3.87</w:t>
      </w:r>
      <w:r>
        <w:rPr>
          <w:color w:val="000000"/>
          <w:spacing w:val="0"/>
          <w:w w:val="100"/>
          <w:position w:val="0"/>
          <w:sz w:val="24"/>
          <w:szCs w:val="24"/>
        </w:rPr>
        <w:t>亿元及约人民币</w:t>
      </w:r>
      <w:r>
        <w:rPr>
          <w:rFonts w:ascii="Arial" w:eastAsia="Arial" w:hAnsi="Arial" w:cs="Arial"/>
          <w:color w:val="000000"/>
          <w:spacing w:val="0"/>
          <w:w w:val="100"/>
          <w:position w:val="0"/>
          <w:sz w:val="24"/>
          <w:szCs w:val="24"/>
        </w:rPr>
        <w:t>3.09</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60" w:line="298" w:lineRule="exact"/>
        <w:ind w:right="0" w:firstLine="0"/>
        <w:jc w:val="both"/>
      </w:pPr>
      <w:r>
        <w:rPr>
          <w:color w:val="000000"/>
          <w:spacing w:val="0"/>
          <w:w w:val="100"/>
          <w:position w:val="0"/>
          <w:sz w:val="24"/>
          <w:szCs w:val="24"/>
        </w:rPr>
        <w:t>由在建工程转入固定资产的原价约人民币</w:t>
      </w:r>
      <w:r>
        <w:rPr>
          <w:rFonts w:ascii="Arial" w:eastAsia="Arial" w:hAnsi="Arial" w:cs="Arial"/>
          <w:color w:val="000000"/>
          <w:spacing w:val="0"/>
          <w:w w:val="100"/>
          <w:position w:val="0"/>
          <w:sz w:val="24"/>
          <w:szCs w:val="24"/>
        </w:rPr>
        <w:t>16.43</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 xml:space="preserve">年度：约人民币 </w:t>
      </w:r>
      <w:r>
        <w:rPr>
          <w:rFonts w:ascii="Arial" w:eastAsia="Arial" w:hAnsi="Arial" w:cs="Arial"/>
          <w:color w:val="000000"/>
          <w:spacing w:val="0"/>
          <w:w w:val="100"/>
          <w:position w:val="0"/>
          <w:sz w:val="24"/>
          <w:szCs w:val="24"/>
        </w:rPr>
        <w:t xml:space="preserve">43.59 </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60" w:line="310" w:lineRule="exact"/>
        <w:ind w:right="0" w:firstLine="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年度，由于新冠肺炎疫情的持续影响及相关防控措施，本集团零售分部 业绩未达预期，部分机器设备、电子设备及运输设备</w:t>
      </w:r>
      <w:r>
        <w:rPr>
          <w:rFonts w:ascii="Arial" w:eastAsia="Arial" w:hAnsi="Arial" w:cs="Arial"/>
          <w:color w:val="000000"/>
          <w:spacing w:val="0"/>
          <w:w w:val="100"/>
          <w:position w:val="0"/>
          <w:sz w:val="24"/>
          <w:szCs w:val="24"/>
        </w:rPr>
        <w:t>（“</w:t>
      </w:r>
      <w:r>
        <w:rPr>
          <w:color w:val="000000"/>
          <w:spacing w:val="0"/>
          <w:w w:val="100"/>
          <w:position w:val="0"/>
          <w:sz w:val="24"/>
          <w:szCs w:val="24"/>
        </w:rPr>
        <w:t>生产设备</w:t>
      </w:r>
      <w:r>
        <w:rPr>
          <w:rFonts w:ascii="Arial" w:eastAsia="Arial" w:hAnsi="Arial" w:cs="Arial"/>
          <w:color w:val="000000"/>
          <w:spacing w:val="0"/>
          <w:w w:val="100"/>
          <w:position w:val="0"/>
          <w:sz w:val="24"/>
          <w:szCs w:val="24"/>
        </w:rPr>
        <w:t>”）</w:t>
      </w:r>
      <w:r>
        <w:rPr>
          <w:color w:val="000000"/>
          <w:spacing w:val="0"/>
          <w:w w:val="100"/>
          <w:position w:val="0"/>
          <w:sz w:val="24"/>
          <w:szCs w:val="24"/>
        </w:rPr>
        <w:t>存在减值迹 象。本集团将上述生产设备所属公司作为资产组进行减值测试，经比较该资 产组的公允价值减去处置费用后的净额和预计未来现金流量的现值后，采用 预计未来现金流量的现值确定相关资产组的可收回金额，并计提减值准备约 人民币</w:t>
      </w:r>
      <w:r>
        <w:rPr>
          <w:rFonts w:ascii="Arial" w:eastAsia="Arial" w:hAnsi="Arial" w:cs="Arial"/>
          <w:color w:val="000000"/>
          <w:spacing w:val="0"/>
          <w:w w:val="100"/>
          <w:position w:val="0"/>
          <w:sz w:val="24"/>
          <w:szCs w:val="24"/>
        </w:rPr>
        <w:t>4,489</w:t>
      </w:r>
      <w:r>
        <w:rPr>
          <w:color w:val="000000"/>
          <w:spacing w:val="0"/>
          <w:w w:val="100"/>
          <w:position w:val="0"/>
          <w:sz w:val="24"/>
          <w:szCs w:val="24"/>
        </w:rPr>
        <w:t xml:space="preserve">万元。本集团在计算可收回金额时所采用的税前折现率为 </w:t>
      </w:r>
      <w:r>
        <w:rPr>
          <w:rFonts w:ascii="Arial" w:eastAsia="Arial" w:hAnsi="Arial" w:cs="Arial"/>
          <w:color w:val="000000"/>
          <w:spacing w:val="0"/>
          <w:w w:val="100"/>
          <w:position w:val="0"/>
          <w:sz w:val="24"/>
          <w:szCs w:val="24"/>
        </w:rPr>
        <w:t>11.46%</w:t>
      </w:r>
      <w:r>
        <w:rPr>
          <w:color w:val="000000"/>
          <w:spacing w:val="0"/>
          <w:w w:val="100"/>
          <w:position w:val="0"/>
          <w:sz w:val="24"/>
          <w:szCs w:val="24"/>
        </w:rPr>
        <w:t>。</w:t>
      </w:r>
    </w:p>
    <w:p>
      <w:pPr>
        <w:pStyle w:val="Style72"/>
        <w:keepNext w:val="0"/>
        <w:keepLines w:val="0"/>
        <w:widowControl w:val="0"/>
        <w:shd w:val="clear" w:color="auto" w:fill="auto"/>
        <w:bidi w:val="0"/>
        <w:spacing w:before="0" w:after="260" w:line="311" w:lineRule="exact"/>
        <w:ind w:right="0" w:firstLine="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年度，由于新冠肺炎疫情的持续影响及相关防控措施，市场租金下降， 部分房屋及建筑物存在减值迹象。本集团将上述房屋及建筑物所属资产组进 行减值测试，经比较该资产组的公允价值减去处置费用后的净额和预计未来 现金流量的现值后，对上述房屋及建筑物及对应土地使用权作为整体采用现 金流折现法</w:t>
      </w:r>
      <w:r>
        <w:rPr>
          <w:rFonts w:ascii="Arial" w:eastAsia="Arial" w:hAnsi="Arial" w:cs="Arial"/>
          <w:color w:val="000000"/>
          <w:spacing w:val="0"/>
          <w:w w:val="100"/>
          <w:position w:val="0"/>
          <w:sz w:val="24"/>
          <w:szCs w:val="24"/>
        </w:rPr>
        <w:t>（</w:t>
      </w:r>
      <w:r>
        <w:rPr>
          <w:color w:val="000000"/>
          <w:spacing w:val="0"/>
          <w:w w:val="100"/>
          <w:position w:val="0"/>
          <w:sz w:val="24"/>
          <w:szCs w:val="24"/>
        </w:rPr>
        <w:t>市场租金折算资本化率</w:t>
      </w:r>
      <w:r>
        <w:rPr>
          <w:rFonts w:ascii="Arial" w:eastAsia="Arial" w:hAnsi="Arial" w:cs="Arial"/>
          <w:color w:val="000000"/>
          <w:spacing w:val="0"/>
          <w:w w:val="100"/>
          <w:position w:val="0"/>
          <w:sz w:val="24"/>
          <w:szCs w:val="24"/>
        </w:rPr>
        <w:t>）</w:t>
      </w:r>
      <w:r>
        <w:rPr>
          <w:color w:val="000000"/>
          <w:spacing w:val="0"/>
          <w:w w:val="100"/>
          <w:position w:val="0"/>
          <w:sz w:val="24"/>
          <w:szCs w:val="24"/>
        </w:rPr>
        <w:t>评估相关资产的公允价值，按照公允价值 减去处置费用确定相关的资产的可收回金额，并对房屋及建筑物计提减值准 备约人民币</w:t>
      </w:r>
      <w:r>
        <w:rPr>
          <w:rFonts w:ascii="Arial" w:eastAsia="Arial" w:hAnsi="Arial" w:cs="Arial"/>
          <w:color w:val="000000"/>
          <w:spacing w:val="0"/>
          <w:w w:val="100"/>
          <w:position w:val="0"/>
          <w:sz w:val="24"/>
          <w:szCs w:val="24"/>
        </w:rPr>
        <w:t>4,112</w:t>
      </w:r>
      <w:r>
        <w:rPr>
          <w:color w:val="000000"/>
          <w:spacing w:val="0"/>
          <w:w w:val="100"/>
          <w:position w:val="0"/>
          <w:sz w:val="24"/>
          <w:szCs w:val="24"/>
        </w:rPr>
        <w:t xml:space="preserve">万元。本集团在计算可收回金额时采用的资本化率为 </w:t>
      </w:r>
      <w:r>
        <w:rPr>
          <w:rFonts w:ascii="Arial" w:eastAsia="Arial" w:hAnsi="Arial" w:cs="Arial"/>
          <w:color w:val="000000"/>
          <w:spacing w:val="0"/>
          <w:w w:val="100"/>
          <w:position w:val="0"/>
          <w:sz w:val="24"/>
          <w:szCs w:val="24"/>
        </w:rPr>
        <w:t>6.50%</w:t>
      </w:r>
      <w:r>
        <w:rPr>
          <w:color w:val="000000"/>
          <w:spacing w:val="0"/>
          <w:w w:val="100"/>
          <w:position w:val="0"/>
          <w:sz w:val="24"/>
          <w:szCs w:val="24"/>
        </w:rPr>
        <w:t>。</w:t>
      </w:r>
    </w:p>
    <w:p>
      <w:pPr>
        <w:pStyle w:val="Style72"/>
        <w:keepNext w:val="0"/>
        <w:keepLines w:val="0"/>
        <w:widowControl w:val="0"/>
        <w:shd w:val="clear" w:color="auto" w:fill="auto"/>
        <w:tabs>
          <w:tab w:pos="706" w:val="left"/>
        </w:tabs>
        <w:bidi w:val="0"/>
        <w:spacing w:before="0" w:after="260" w:line="271" w:lineRule="auto"/>
        <w:ind w:left="0" w:right="0" w:firstLine="0"/>
        <w:jc w:val="left"/>
      </w:pPr>
      <w:bookmarkStart w:id="924" w:name="bookmark924"/>
      <w:r>
        <w:rPr>
          <w:rFonts w:ascii="Arial" w:eastAsia="Arial" w:hAnsi="Arial" w:cs="Arial"/>
          <w:color w:val="000000"/>
          <w:spacing w:val="0"/>
          <w:w w:val="100"/>
          <w:position w:val="0"/>
          <w:sz w:val="24"/>
          <w:szCs w:val="24"/>
        </w:rPr>
        <w:t>（</w:t>
      </w:r>
      <w:bookmarkEnd w:id="924"/>
      <w:r>
        <w:rPr>
          <w:rFonts w:ascii="Arial" w:eastAsia="Arial" w:hAnsi="Arial" w:cs="Arial"/>
          <w:color w:val="000000"/>
          <w:spacing w:val="0"/>
          <w:w w:val="100"/>
          <w:position w:val="0"/>
          <w:sz w:val="24"/>
          <w:szCs w:val="24"/>
        </w:rPr>
        <w:t>b）</w:t>
        <w:tab/>
      </w:r>
      <w:r>
        <w:rPr>
          <w:color w:val="000000"/>
          <w:spacing w:val="0"/>
          <w:w w:val="100"/>
          <w:position w:val="0"/>
          <w:sz w:val="24"/>
          <w:szCs w:val="24"/>
        </w:rPr>
        <w:t>暂时闲置的固定资产</w:t>
      </w:r>
    </w:p>
    <w:p>
      <w:pPr>
        <w:pStyle w:val="Style72"/>
        <w:keepNext w:val="0"/>
        <w:keepLines w:val="0"/>
        <w:widowControl w:val="0"/>
        <w:shd w:val="clear" w:color="auto" w:fill="auto"/>
        <w:bidi w:val="0"/>
        <w:spacing w:before="0" w:after="300" w:line="311" w:lineRule="exact"/>
        <w:ind w:left="0" w:right="0" w:firstLine="72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日和</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日，本集团无重大闲置的固定资产。</w:t>
      </w:r>
    </w:p>
    <w:p>
      <w:pPr>
        <w:pStyle w:val="Style72"/>
        <w:keepNext w:val="0"/>
        <w:keepLines w:val="0"/>
        <w:widowControl w:val="0"/>
        <w:shd w:val="clear" w:color="auto" w:fill="auto"/>
        <w:tabs>
          <w:tab w:pos="706" w:val="left"/>
        </w:tabs>
        <w:bidi w:val="0"/>
        <w:spacing w:before="0" w:after="260" w:line="311" w:lineRule="exact"/>
        <w:ind w:left="0" w:right="0" w:firstLine="0"/>
        <w:jc w:val="left"/>
      </w:pPr>
      <w:bookmarkStart w:id="925" w:name="bookmark925"/>
      <w:r>
        <w:rPr>
          <w:rFonts w:ascii="Arial" w:eastAsia="Arial" w:hAnsi="Arial" w:cs="Arial"/>
          <w:color w:val="000000"/>
          <w:spacing w:val="0"/>
          <w:w w:val="100"/>
          <w:position w:val="0"/>
          <w:sz w:val="24"/>
          <w:szCs w:val="24"/>
        </w:rPr>
        <w:t>（</w:t>
      </w:r>
      <w:bookmarkEnd w:id="925"/>
      <w:r>
        <w:rPr>
          <w:rFonts w:ascii="Arial" w:eastAsia="Arial" w:hAnsi="Arial" w:cs="Arial"/>
          <w:color w:val="000000"/>
          <w:spacing w:val="0"/>
          <w:w w:val="100"/>
          <w:position w:val="0"/>
          <w:sz w:val="24"/>
          <w:szCs w:val="24"/>
        </w:rPr>
        <w:t>c）</w:t>
        <w:tab/>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日，未办妥产权证书的固定资产：</w:t>
      </w:r>
    </w:p>
    <w:p>
      <w:pPr>
        <w:pStyle w:val="Style72"/>
        <w:keepNext w:val="0"/>
        <w:keepLines w:val="0"/>
        <w:widowControl w:val="0"/>
        <w:shd w:val="clear" w:color="auto" w:fill="auto"/>
        <w:bidi w:val="0"/>
        <w:spacing w:before="0" w:after="260" w:line="311" w:lineRule="exact"/>
        <w:ind w:left="0" w:right="280" w:firstLine="0"/>
        <w:jc w:val="right"/>
      </w:pPr>
      <w:r>
        <w:rPr>
          <w:color w:val="000000"/>
          <w:spacing w:val="0"/>
          <w:w w:val="100"/>
          <w:position w:val="0"/>
          <w:sz w:val="24"/>
          <w:szCs w:val="24"/>
        </w:rPr>
        <w:t>账面价值未办妥产权证书原因</w:t>
      </w:r>
    </w:p>
    <w:p>
      <w:pPr>
        <w:pStyle w:val="Style72"/>
        <w:keepNext w:val="0"/>
        <w:keepLines w:val="0"/>
        <w:widowControl w:val="0"/>
        <w:shd w:val="clear" w:color="auto" w:fill="auto"/>
        <w:tabs>
          <w:tab w:pos="4920" w:val="left"/>
          <w:tab w:pos="7142" w:val="left"/>
        </w:tabs>
        <w:bidi w:val="0"/>
        <w:spacing w:before="0" w:after="260" w:line="311" w:lineRule="exact"/>
        <w:ind w:left="0" w:right="0" w:firstLine="720"/>
        <w:jc w:val="both"/>
        <w:sectPr>
          <w:footnotePr>
            <w:pos w:val="pageBottom"/>
            <w:numFmt w:val="decimal"/>
            <w:numStart w:val="1"/>
            <w:numRestart w:val="continuous"/>
            <w15:footnoteColumns w:val="1"/>
          </w:footnotePr>
          <w:pgSz w:w="11900" w:h="16840"/>
          <w:pgMar w:top="2338" w:right="1302" w:bottom="2338" w:left="1709" w:header="0" w:footer="3" w:gutter="0"/>
          <w:cols w:space="720"/>
          <w:noEndnote/>
          <w:rtlGutter w:val="0"/>
          <w:docGrid w:linePitch="360"/>
        </w:sectPr>
      </w:pPr>
      <w:r>
        <w:rPr>
          <w:color w:val="000000"/>
          <w:spacing w:val="0"/>
          <w:w w:val="100"/>
          <w:position w:val="0"/>
          <w:sz w:val="24"/>
          <w:szCs w:val="24"/>
        </w:rPr>
        <w:t>房屋及建筑物</w:t>
        <w:tab/>
      </w:r>
      <w:r>
        <w:rPr>
          <w:rFonts w:ascii="Arial" w:eastAsia="Arial" w:hAnsi="Arial" w:cs="Arial"/>
          <w:color w:val="000000"/>
          <w:spacing w:val="0"/>
          <w:w w:val="100"/>
          <w:position w:val="0"/>
          <w:sz w:val="24"/>
          <w:szCs w:val="24"/>
        </w:rPr>
        <w:t>11.51</w:t>
      </w:r>
      <w:r>
        <w:rPr>
          <w:color w:val="000000"/>
          <w:spacing w:val="0"/>
          <w:w w:val="100"/>
          <w:position w:val="0"/>
          <w:sz w:val="24"/>
          <w:szCs w:val="24"/>
        </w:rPr>
        <w:t>亿元</w:t>
        <w:tab/>
        <w:t>手续在办理中</w:t>
      </w:r>
    </w:p>
    <w:p>
      <w:pPr>
        <w:widowControl w:val="0"/>
        <w:spacing w:line="199" w:lineRule="exact"/>
        <w:rPr>
          <w:sz w:val="16"/>
          <w:szCs w:val="16"/>
        </w:rPr>
      </w:pPr>
    </w:p>
    <w:p>
      <w:pPr>
        <w:widowControl w:val="0"/>
        <w:spacing w:line="1" w:lineRule="exact"/>
        <w:sectPr>
          <w:footnotePr>
            <w:pos w:val="pageBottom"/>
            <w:numFmt w:val="decimal"/>
            <w:numStart w:val="1"/>
            <w:numRestart w:val="continuous"/>
            <w15:footnoteColumns w:val="1"/>
          </w:footnotePr>
          <w:pgSz w:w="11900" w:h="16840"/>
          <w:pgMar w:top="2131" w:right="1407" w:bottom="984" w:left="1709" w:header="0" w:footer="3" w:gutter="0"/>
          <w:cols w:space="720"/>
          <w:noEndnote/>
          <w:rtlGutter w:val="0"/>
          <w:docGrid w:linePitch="360"/>
        </w:sectPr>
      </w:pPr>
    </w:p>
    <w:p>
      <w:pPr>
        <w:pStyle w:val="Style72"/>
        <w:keepNext w:val="0"/>
        <w:keepLines w:val="0"/>
        <w:framePr w:w="461" w:h="878" w:wrap="none" w:vAnchor="text" w:hAnchor="page" w:x="1710" w:y="21"/>
        <w:widowControl w:val="0"/>
        <w:shd w:val="clear" w:color="auto" w:fill="auto"/>
        <w:bidi w:val="0"/>
        <w:spacing w:before="0" w:after="300" w:line="240" w:lineRule="auto"/>
        <w:ind w:left="0" w:right="0" w:firstLine="0"/>
        <w:jc w:val="left"/>
      </w:pPr>
      <w:r>
        <w:rPr>
          <w:b/>
          <w:bCs/>
          <w:color w:val="000000"/>
          <w:spacing w:val="0"/>
          <w:w w:val="100"/>
          <w:position w:val="0"/>
          <w:sz w:val="24"/>
          <w:szCs w:val="24"/>
        </w:rPr>
        <w:t>四</w:t>
      </w:r>
    </w:p>
    <w:p>
      <w:pPr>
        <w:pStyle w:val="Style92"/>
        <w:keepNext w:val="0"/>
        <w:keepLines w:val="0"/>
        <w:framePr w:w="461" w:h="878" w:wrap="none" w:vAnchor="text" w:hAnchor="page" w:x="1710" w:y="21"/>
        <w:widowControl w:val="0"/>
        <w:shd w:val="clear" w:color="auto" w:fill="auto"/>
        <w:bidi w:val="0"/>
        <w:spacing w:before="0" w:after="0" w:line="240" w:lineRule="auto"/>
        <w:ind w:left="0" w:right="0" w:firstLine="0"/>
        <w:jc w:val="left"/>
      </w:pPr>
      <w:r>
        <w:rPr>
          <w:color w:val="000000"/>
          <w:spacing w:val="0"/>
          <w:w w:val="100"/>
          <w:position w:val="0"/>
          <w:sz w:val="24"/>
          <w:szCs w:val="24"/>
        </w:rPr>
        <w:t>(16)</w:t>
      </w:r>
    </w:p>
    <w:p>
      <w:pPr>
        <w:pStyle w:val="Style72"/>
        <w:keepNext w:val="0"/>
        <w:keepLines w:val="0"/>
        <w:framePr w:w="3230" w:h="854" w:wrap="none" w:vAnchor="text" w:hAnchor="page" w:x="2415" w:y="25"/>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framePr w:w="3230" w:h="854" w:wrap="none" w:vAnchor="text" w:hAnchor="page" w:x="2415" w:y="25"/>
        <w:widowControl w:val="0"/>
        <w:shd w:val="clear" w:color="auto" w:fill="auto"/>
        <w:bidi w:val="0"/>
        <w:spacing w:before="0" w:after="0" w:line="240" w:lineRule="auto"/>
        <w:ind w:left="0" w:right="0" w:firstLine="0"/>
        <w:jc w:val="left"/>
      </w:pPr>
      <w:r>
        <w:rPr>
          <w:b/>
          <w:bCs/>
          <w:color w:val="000000"/>
          <w:spacing w:val="0"/>
          <w:w w:val="100"/>
          <w:position w:val="0"/>
          <w:sz w:val="24"/>
          <w:szCs w:val="24"/>
        </w:rPr>
        <w:t>在建工程</w:t>
      </w:r>
    </w:p>
    <w:p>
      <w:pPr>
        <w:pStyle w:val="Style92"/>
        <w:keepNext w:val="0"/>
        <w:keepLines w:val="0"/>
        <w:framePr w:w="326" w:h="302" w:wrap="none" w:vAnchor="text" w:hAnchor="page" w:x="1710" w:y="2977"/>
        <w:widowControl w:val="0"/>
        <w:shd w:val="clear" w:color="auto" w:fill="auto"/>
        <w:bidi w:val="0"/>
        <w:spacing w:before="0" w:after="0" w:line="240" w:lineRule="auto"/>
        <w:ind w:left="0" w:right="0" w:firstLine="0"/>
        <w:jc w:val="left"/>
      </w:pPr>
      <w:r>
        <w:rPr>
          <w:color w:val="000000"/>
          <w:spacing w:val="0"/>
          <w:w w:val="100"/>
          <w:position w:val="0"/>
          <w:sz w:val="24"/>
          <w:szCs w:val="24"/>
        </w:rPr>
        <w:t>(a)</w:t>
      </w:r>
    </w:p>
    <w:tbl>
      <w:tblPr>
        <w:tblOverlap w:val="never"/>
        <w:jc w:val="left"/>
        <w:tblLayout w:type="fixed"/>
      </w:tblPr>
      <w:tblGrid>
        <w:gridCol w:w="2395"/>
        <w:gridCol w:w="893"/>
        <w:gridCol w:w="960"/>
        <w:gridCol w:w="1190"/>
        <w:gridCol w:w="1200"/>
        <w:gridCol w:w="1440"/>
      </w:tblGrid>
      <w:tr>
        <w:trPr>
          <w:trHeight w:val="442" w:hRule="exact"/>
        </w:trPr>
        <w:tc>
          <w:tcPr>
            <w:tcBorders/>
            <w:shd w:val="clear" w:color="auto" w:fill="FFFFFF"/>
            <w:vAlign w:val="top"/>
          </w:tcPr>
          <w:p>
            <w:pPr>
              <w:framePr w:w="8078" w:h="10949" w:wrap="none" w:vAnchor="text" w:hAnchor="page" w:x="2415" w:y="1167"/>
              <w:widowControl w:val="0"/>
              <w:rPr>
                <w:sz w:val="10"/>
                <w:szCs w:val="10"/>
              </w:rPr>
            </w:pPr>
          </w:p>
        </w:tc>
        <w:tc>
          <w:tcPr>
            <w:gridSpan w:val="3"/>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92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gridSpan w:val="2"/>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56"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在建工程</w:t>
            </w:r>
            <w:r>
              <w:rPr>
                <w:rFonts w:ascii="Arial" w:eastAsia="Arial" w:hAnsi="Arial" w:cs="Arial"/>
                <w:color w:val="000000"/>
                <w:spacing w:val="0"/>
                <w:w w:val="100"/>
                <w:position w:val="0"/>
                <w:sz w:val="24"/>
                <w:szCs w:val="24"/>
              </w:rPr>
              <w:t>（a）</w:t>
            </w:r>
          </w:p>
        </w:tc>
        <w:tc>
          <w:tcPr>
            <w:tcBorders/>
            <w:shd w:val="clear" w:color="auto" w:fill="FFFFFF"/>
            <w:vAlign w:val="top"/>
          </w:tcPr>
          <w:p>
            <w:pPr>
              <w:framePr w:w="8078" w:h="10949" w:wrap="none" w:vAnchor="text" w:hAnchor="page" w:x="2415" w:y="1167"/>
              <w:widowControl w:val="0"/>
              <w:rPr>
                <w:sz w:val="10"/>
                <w:szCs w:val="10"/>
              </w:rPr>
            </w:pPr>
          </w:p>
        </w:tc>
        <w:tc>
          <w:tcPr>
            <w:tcBorders/>
            <w:shd w:val="clear" w:color="auto" w:fill="FFFFFF"/>
            <w:vAlign w:val="top"/>
          </w:tcPr>
          <w:p>
            <w:pPr>
              <w:framePr w:w="8078" w:h="10949" w:wrap="none" w:vAnchor="text" w:hAnchor="page" w:x="2415" w:y="1167"/>
              <w:widowControl w:val="0"/>
              <w:rPr>
                <w:sz w:val="10"/>
                <w:szCs w:val="10"/>
              </w:rPr>
            </w:pP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3,849,656</w:t>
            </w:r>
          </w:p>
        </w:tc>
        <w:tc>
          <w:tcPr>
            <w:tcBorders/>
            <w:shd w:val="clear" w:color="auto" w:fill="FFFFFF"/>
            <w:vAlign w:val="top"/>
          </w:tcPr>
          <w:p>
            <w:pPr>
              <w:framePr w:w="8078" w:h="10949" w:wrap="none" w:vAnchor="text" w:hAnchor="page" w:x="2415" w:y="1167"/>
              <w:widowControl w:val="0"/>
              <w:rPr>
                <w:sz w:val="10"/>
                <w:szCs w:val="10"/>
              </w:rPr>
            </w:pP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3,453,564</w:t>
            </w:r>
          </w:p>
        </w:tc>
      </w:tr>
      <w:tr>
        <w:trPr>
          <w:trHeight w:val="302"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工程物资</w:t>
            </w:r>
          </w:p>
        </w:tc>
        <w:tc>
          <w:tcPr>
            <w:tcBorders/>
            <w:shd w:val="clear" w:color="auto" w:fill="FFFFFF"/>
            <w:vAlign w:val="top"/>
          </w:tcPr>
          <w:p>
            <w:pPr>
              <w:framePr w:w="8078" w:h="10949" w:wrap="none" w:vAnchor="text" w:hAnchor="page" w:x="2415" w:y="1167"/>
              <w:widowControl w:val="0"/>
              <w:rPr>
                <w:sz w:val="10"/>
                <w:szCs w:val="10"/>
              </w:rPr>
            </w:pPr>
          </w:p>
        </w:tc>
        <w:tc>
          <w:tcPr>
            <w:tcBorders/>
            <w:shd w:val="clear" w:color="auto" w:fill="FFFFFF"/>
            <w:vAlign w:val="top"/>
          </w:tcPr>
          <w:p>
            <w:pPr>
              <w:framePr w:w="8078" w:h="10949" w:wrap="none" w:vAnchor="text" w:hAnchor="page" w:x="2415" w:y="1167"/>
              <w:widowControl w:val="0"/>
              <w:rPr>
                <w:sz w:val="10"/>
                <w:szCs w:val="10"/>
              </w:rPr>
            </w:pP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252</w:t>
            </w:r>
          </w:p>
        </w:tc>
        <w:tc>
          <w:tcPr>
            <w:tcBorders/>
            <w:shd w:val="clear" w:color="auto" w:fill="FFFFFF"/>
            <w:vAlign w:val="top"/>
          </w:tcPr>
          <w:p>
            <w:pPr>
              <w:framePr w:w="8078" w:h="10949" w:wrap="none" w:vAnchor="text" w:hAnchor="page" w:x="2415" w:y="1167"/>
              <w:widowControl w:val="0"/>
              <w:rPr>
                <w:sz w:val="10"/>
                <w:szCs w:val="10"/>
              </w:rPr>
            </w:pP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9,414</w:t>
            </w:r>
          </w:p>
        </w:tc>
      </w:tr>
      <w:tr>
        <w:trPr>
          <w:trHeight w:val="293" w:hRule="exact"/>
        </w:trPr>
        <w:tc>
          <w:tcPr>
            <w:tcBorders/>
            <w:shd w:val="clear" w:color="auto" w:fill="FFFFFF"/>
            <w:vAlign w:val="top"/>
          </w:tcPr>
          <w:p>
            <w:pPr>
              <w:framePr w:w="8078" w:h="10949" w:wrap="none" w:vAnchor="text" w:hAnchor="page" w:x="2415" w:y="1167"/>
              <w:widowControl w:val="0"/>
              <w:rPr>
                <w:sz w:val="10"/>
                <w:szCs w:val="10"/>
              </w:rPr>
            </w:pPr>
          </w:p>
        </w:tc>
        <w:tc>
          <w:tcPr>
            <w:tcBorders/>
            <w:shd w:val="clear" w:color="auto" w:fill="FFFFFF"/>
            <w:vAlign w:val="top"/>
          </w:tcPr>
          <w:p>
            <w:pPr>
              <w:framePr w:w="8078" w:h="10949" w:wrap="none" w:vAnchor="text" w:hAnchor="page" w:x="2415" w:y="1167"/>
              <w:widowControl w:val="0"/>
              <w:rPr>
                <w:sz w:val="10"/>
                <w:szCs w:val="10"/>
              </w:rPr>
            </w:pPr>
          </w:p>
        </w:tc>
        <w:tc>
          <w:tcPr>
            <w:tcBorders>
              <w:top w:val="single" w:sz="4"/>
            </w:tcBorders>
            <w:shd w:val="clear" w:color="auto" w:fill="FFFFFF"/>
            <w:vAlign w:val="top"/>
          </w:tcPr>
          <w:p>
            <w:pPr>
              <w:framePr w:w="8078" w:h="10949" w:wrap="none" w:vAnchor="text" w:hAnchor="page" w:x="2415" w:y="1167"/>
              <w:widowControl w:val="0"/>
              <w:rPr>
                <w:sz w:val="10"/>
                <w:szCs w:val="10"/>
              </w:rPr>
            </w:pPr>
          </w:p>
        </w:tc>
        <w:tc>
          <w:tcPr>
            <w:tcBorders>
              <w:top w:val="single" w:sz="4"/>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3,849,908</w:t>
            </w:r>
          </w:p>
        </w:tc>
        <w:tc>
          <w:tcPr>
            <w:tcBorders>
              <w:top w:val="single" w:sz="4"/>
            </w:tcBorders>
            <w:shd w:val="clear" w:color="auto" w:fill="FFFFFF"/>
            <w:vAlign w:val="top"/>
          </w:tcPr>
          <w:p>
            <w:pPr>
              <w:framePr w:w="8078" w:h="10949" w:wrap="none" w:vAnchor="text" w:hAnchor="page" w:x="2415" w:y="1167"/>
              <w:widowControl w:val="0"/>
              <w:rPr>
                <w:sz w:val="10"/>
                <w:szCs w:val="10"/>
              </w:rPr>
            </w:pPr>
          </w:p>
        </w:tc>
        <w:tc>
          <w:tcPr>
            <w:tcBorders>
              <w:top w:val="single" w:sz="4"/>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3,462,978</w:t>
            </w:r>
          </w:p>
        </w:tc>
      </w:tr>
      <w:tr>
        <w:trPr>
          <w:trHeight w:val="715"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在建工程</w:t>
            </w:r>
          </w:p>
        </w:tc>
        <w:tc>
          <w:tcPr>
            <w:tcBorders/>
            <w:shd w:val="clear" w:color="auto" w:fill="FFFFFF"/>
            <w:vAlign w:val="top"/>
          </w:tcPr>
          <w:p>
            <w:pPr>
              <w:framePr w:w="8078" w:h="10949" w:wrap="none" w:vAnchor="text" w:hAnchor="page" w:x="2415" w:y="1167"/>
              <w:widowControl w:val="0"/>
              <w:rPr>
                <w:sz w:val="10"/>
                <w:szCs w:val="10"/>
              </w:rPr>
            </w:pPr>
          </w:p>
        </w:tc>
        <w:tc>
          <w:tcPr>
            <w:tcBorders>
              <w:top w:val="single" w:sz="4"/>
            </w:tcBorders>
            <w:shd w:val="clear" w:color="auto" w:fill="FFFFFF"/>
            <w:vAlign w:val="top"/>
          </w:tcPr>
          <w:p>
            <w:pPr>
              <w:framePr w:w="8078" w:h="10949" w:wrap="none" w:vAnchor="text" w:hAnchor="page" w:x="2415" w:y="1167"/>
              <w:widowControl w:val="0"/>
              <w:rPr>
                <w:sz w:val="10"/>
                <w:szCs w:val="10"/>
              </w:rPr>
            </w:pPr>
          </w:p>
        </w:tc>
        <w:tc>
          <w:tcPr>
            <w:tcBorders>
              <w:top w:val="single" w:sz="4"/>
            </w:tcBorders>
            <w:shd w:val="clear" w:color="auto" w:fill="FFFFFF"/>
            <w:vAlign w:val="top"/>
          </w:tcPr>
          <w:p>
            <w:pPr>
              <w:framePr w:w="8078" w:h="10949" w:wrap="none" w:vAnchor="text" w:hAnchor="page" w:x="2415" w:y="1167"/>
              <w:widowControl w:val="0"/>
              <w:rPr>
                <w:sz w:val="10"/>
                <w:szCs w:val="10"/>
              </w:rPr>
            </w:pPr>
          </w:p>
        </w:tc>
        <w:tc>
          <w:tcPr>
            <w:tcBorders>
              <w:top w:val="single" w:sz="4"/>
            </w:tcBorders>
            <w:shd w:val="clear" w:color="auto" w:fill="FFFFFF"/>
            <w:vAlign w:val="top"/>
          </w:tcPr>
          <w:p>
            <w:pPr>
              <w:framePr w:w="8078" w:h="10949" w:wrap="none" w:vAnchor="text" w:hAnchor="page" w:x="2415" w:y="1167"/>
              <w:widowControl w:val="0"/>
              <w:rPr>
                <w:sz w:val="10"/>
                <w:szCs w:val="10"/>
              </w:rPr>
            </w:pPr>
          </w:p>
        </w:tc>
        <w:tc>
          <w:tcPr>
            <w:tcBorders>
              <w:top w:val="single" w:sz="4"/>
            </w:tcBorders>
            <w:shd w:val="clear" w:color="auto" w:fill="FFFFFF"/>
            <w:vAlign w:val="top"/>
          </w:tcPr>
          <w:p>
            <w:pPr>
              <w:framePr w:w="8078" w:h="10949" w:wrap="none" w:vAnchor="text" w:hAnchor="page" w:x="2415" w:y="1167"/>
              <w:widowControl w:val="0"/>
              <w:rPr>
                <w:sz w:val="10"/>
                <w:szCs w:val="10"/>
              </w:rPr>
            </w:pPr>
          </w:p>
        </w:tc>
      </w:tr>
      <w:tr>
        <w:trPr>
          <w:trHeight w:val="341" w:hRule="exact"/>
        </w:trPr>
        <w:tc>
          <w:tcPr>
            <w:tcBorders/>
            <w:shd w:val="clear" w:color="auto" w:fill="FFFFFF"/>
            <w:vAlign w:val="top"/>
          </w:tcPr>
          <w:p>
            <w:pPr>
              <w:framePr w:w="8078" w:h="10949" w:wrap="none" w:vAnchor="text" w:hAnchor="page" w:x="2415" w:y="1167"/>
              <w:widowControl w:val="0"/>
              <w:rPr>
                <w:sz w:val="10"/>
                <w:szCs w:val="10"/>
              </w:rPr>
            </w:pPr>
          </w:p>
        </w:tc>
        <w:tc>
          <w:tcPr>
            <w:gridSpan w:val="2"/>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2021 </w:t>
            </w:r>
            <w:r>
              <w:rPr>
                <w:rFonts w:ascii="SimSun" w:eastAsia="SimSun" w:hAnsi="SimSun" w:cs="SimSun"/>
                <w:color w:val="000000"/>
                <w:spacing w:val="0"/>
                <w:w w:val="100"/>
                <w:position w:val="0"/>
                <w:sz w:val="15"/>
                <w:szCs w:val="15"/>
              </w:rPr>
              <w:t xml:space="preserve">年 </w:t>
            </w:r>
            <w:r>
              <w:rPr>
                <w:rFonts w:ascii="Arial" w:eastAsia="Arial" w:hAnsi="Arial" w:cs="Arial"/>
                <w:color w:val="000000"/>
                <w:spacing w:val="0"/>
                <w:w w:val="100"/>
                <w:position w:val="0"/>
                <w:sz w:val="16"/>
                <w:szCs w:val="16"/>
              </w:rPr>
              <w:t xml:space="preserve">12 </w:t>
            </w:r>
            <w:r>
              <w:rPr>
                <w:rFonts w:ascii="SimSun" w:eastAsia="SimSun" w:hAnsi="SimSun" w:cs="SimSun"/>
                <w:color w:val="000000"/>
                <w:spacing w:val="0"/>
                <w:w w:val="100"/>
                <w:position w:val="0"/>
                <w:sz w:val="15"/>
                <w:szCs w:val="15"/>
              </w:rPr>
              <w:t xml:space="preserve">月 </w:t>
            </w:r>
            <w:r>
              <w:rPr>
                <w:rFonts w:ascii="Arial" w:eastAsia="Arial" w:hAnsi="Arial" w:cs="Arial"/>
                <w:color w:val="000000"/>
                <w:spacing w:val="0"/>
                <w:w w:val="100"/>
                <w:position w:val="0"/>
                <w:sz w:val="16"/>
                <w:szCs w:val="16"/>
              </w:rPr>
              <w:t>31</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w:t>
            </w:r>
          </w:p>
        </w:tc>
        <w:tc>
          <w:tcPr>
            <w:gridSpan w:val="2"/>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r>
      <w:tr>
        <w:trPr>
          <w:trHeight w:val="379" w:hRule="exact"/>
        </w:trPr>
        <w:tc>
          <w:tcPr>
            <w:tcBorders>
              <w:top w:val="single" w:sz="4"/>
            </w:tcBorders>
            <w:shd w:val="clear" w:color="auto" w:fill="FFFFFF"/>
            <w:vAlign w:val="top"/>
          </w:tcPr>
          <w:p>
            <w:pPr>
              <w:framePr w:w="8078" w:h="10949" w:wrap="none" w:vAnchor="text" w:hAnchor="page" w:x="2415" w:y="1167"/>
              <w:widowControl w:val="0"/>
              <w:rPr>
                <w:sz w:val="10"/>
                <w:szCs w:val="10"/>
              </w:rPr>
            </w:pPr>
          </w:p>
        </w:tc>
        <w:tc>
          <w:tcPr>
            <w:tcBorders>
              <w:top w:val="single" w:sz="4"/>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账面余额</w:t>
            </w:r>
          </w:p>
        </w:tc>
        <w:tc>
          <w:tcPr>
            <w:tcBorders>
              <w:top w:val="single" w:sz="4"/>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减值准备</w:t>
            </w:r>
          </w:p>
        </w:tc>
        <w:tc>
          <w:tcPr>
            <w:tcBorders>
              <w:top w:val="single" w:sz="4"/>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账面价值</w:t>
            </w:r>
          </w:p>
        </w:tc>
        <w:tc>
          <w:tcPr>
            <w:gridSpan w:val="2"/>
            <w:tcBorders>
              <w:top w:val="single" w:sz="4"/>
            </w:tcBorders>
            <w:shd w:val="clear" w:color="auto" w:fill="FFFFFF"/>
            <w:vAlign w:val="top"/>
          </w:tcPr>
          <w:p>
            <w:pPr>
              <w:pStyle w:val="Style29"/>
              <w:keepNext w:val="0"/>
              <w:keepLines w:val="0"/>
              <w:framePr w:w="8078" w:h="10949" w:wrap="none" w:vAnchor="text" w:hAnchor="page" w:x="2415" w:y="1167"/>
              <w:widowControl w:val="0"/>
              <w:shd w:val="clear" w:color="auto" w:fill="auto"/>
              <w:tabs>
                <w:tab w:pos="1829" w:val="lef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账面余额减值准备</w:t>
              <w:tab/>
              <w:t>账面价值</w:t>
            </w:r>
          </w:p>
        </w:tc>
      </w:tr>
      <w:tr>
        <w:trPr>
          <w:trHeight w:val="365"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南京空港物流基地二期</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616,980</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616,980</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398,011</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tabs>
                <w:tab w:pos="698"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398,011</w:t>
            </w:r>
          </w:p>
        </w:tc>
      </w:tr>
      <w:tr>
        <w:trPr>
          <w:trHeight w:val="235"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苏宁华东电商产业园项目</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546,240</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546,240</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162,744</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698"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162,744</w:t>
            </w:r>
          </w:p>
        </w:tc>
      </w:tr>
      <w:tr>
        <w:trPr>
          <w:trHeight w:val="240"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苏宁重庆智慧产业园项目</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509,178</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509,178</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327,258</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688"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327,258</w:t>
            </w:r>
          </w:p>
        </w:tc>
      </w:tr>
      <w:tr>
        <w:trPr>
          <w:trHeight w:val="240"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济南高新物流基地</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375,110</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375,110</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162,669</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698"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162,669</w:t>
            </w:r>
          </w:p>
        </w:tc>
      </w:tr>
      <w:tr>
        <w:trPr>
          <w:trHeight w:val="240"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青岛胶州物流基地</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306,302</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306,302</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97,851</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774"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97,851</w:t>
            </w:r>
          </w:p>
        </w:tc>
      </w:tr>
      <w:tr>
        <w:trPr>
          <w:trHeight w:val="235"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湖北宗海物流基地</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293,066</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(60,744)</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232,322</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375,764</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688"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375,764</w:t>
            </w:r>
          </w:p>
        </w:tc>
      </w:tr>
      <w:tr>
        <w:trPr>
          <w:trHeight w:val="422"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广州空港保税项目</w:t>
            </w:r>
          </w:p>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苏宁华南电商总部暨苏宁华南</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251,649</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251,649</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36,582</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tabs>
                <w:tab w:pos="774"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36,582</w:t>
            </w:r>
          </w:p>
        </w:tc>
      </w:tr>
      <w:tr>
        <w:trPr>
          <w:trHeight w:val="235"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绿色冷链总部项目</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234,981</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234,981</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108,879</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698"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108,879</w:t>
            </w:r>
          </w:p>
        </w:tc>
      </w:tr>
      <w:tr>
        <w:trPr>
          <w:trHeight w:val="230"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沈阳于洪物流基地</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232,879</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(104,558)</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128,321</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92,305</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tabs>
                <w:tab w:pos="774"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92,305</w:t>
            </w:r>
          </w:p>
        </w:tc>
      </w:tr>
      <w:tr>
        <w:trPr>
          <w:trHeight w:val="235"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新建苏宁环上海电商产业园项目</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197,532</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197,532</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49,029</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774"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49,029</w:t>
            </w:r>
          </w:p>
        </w:tc>
      </w:tr>
      <w:tr>
        <w:trPr>
          <w:trHeight w:val="245"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西安国际港务区物流基地</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119,561</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119,561</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47,844</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774"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47,844</w:t>
            </w:r>
          </w:p>
        </w:tc>
      </w:tr>
      <w:tr>
        <w:trPr>
          <w:trHeight w:val="427"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雨花云数据中心项目</w:t>
            </w:r>
          </w:p>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苏宁易购内江电商智慧产业园项</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119,191</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119,191</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116,771</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tabs>
                <w:tab w:pos="707"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116,771</w:t>
            </w:r>
          </w:p>
        </w:tc>
      </w:tr>
      <w:tr>
        <w:trPr>
          <w:trHeight w:val="226"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目</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42,776</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42,776</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12,695</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784"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12,695</w:t>
            </w:r>
          </w:p>
        </w:tc>
      </w:tr>
      <w:tr>
        <w:trPr>
          <w:trHeight w:val="235"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苏宁易购江西电商产业园</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41,757</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41,757</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4,979</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866"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4,979</w:t>
            </w:r>
          </w:p>
        </w:tc>
      </w:tr>
      <w:tr>
        <w:trPr>
          <w:trHeight w:val="221"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眉山二期物流基地</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40,340</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40,340</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283,069</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tabs>
                <w:tab w:pos="688"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283,069</w:t>
            </w:r>
          </w:p>
        </w:tc>
      </w:tr>
      <w:tr>
        <w:trPr>
          <w:trHeight w:val="250" w:hRule="exact"/>
        </w:trPr>
        <w:tc>
          <w:tcPr>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苏州二期物流基地</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31,773</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31,773</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1,283</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tabs>
                <w:tab w:pos="875"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1,283</w:t>
            </w:r>
          </w:p>
        </w:tc>
      </w:tr>
      <w:tr>
        <w:trPr>
          <w:trHeight w:val="240"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广西智慧电商产业园项目</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22,954</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22,954</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8,032</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866"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8,032</w:t>
            </w:r>
          </w:p>
        </w:tc>
      </w:tr>
      <w:tr>
        <w:trPr>
          <w:trHeight w:val="240"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山西电子商务运营中心项目</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19,054</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19,054</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3,569</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866"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3,569</w:t>
            </w:r>
          </w:p>
        </w:tc>
      </w:tr>
      <w:tr>
        <w:trPr>
          <w:trHeight w:val="240"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贵阳高新物流基地</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10,525</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10,525</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8,020</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866"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8,020</w:t>
            </w:r>
          </w:p>
        </w:tc>
      </w:tr>
      <w:tr>
        <w:trPr>
          <w:trHeight w:val="235"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绍兴三期物流基地</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left w:val="single" w:sz="4"/>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312,042</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tabs>
                <w:tab w:pos="688"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312,042</w:t>
            </w:r>
          </w:p>
        </w:tc>
      </w:tr>
      <w:tr>
        <w:trPr>
          <w:trHeight w:val="240"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大连二期物流基地</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left w:val="single" w:sz="4"/>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186,052</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tabs>
                <w:tab w:pos="698"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186,052</w:t>
            </w:r>
          </w:p>
        </w:tc>
      </w:tr>
      <w:tr>
        <w:trPr>
          <w:trHeight w:val="235"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郑州保税物流基地</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left w:val="single" w:sz="4"/>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139,074</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tabs>
                <w:tab w:pos="698"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139,074</w:t>
            </w:r>
          </w:p>
        </w:tc>
      </w:tr>
      <w:tr>
        <w:trPr>
          <w:trHeight w:val="235"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苏宁冀东电商产业园</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left w:val="single" w:sz="4"/>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133,100</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tabs>
                <w:tab w:pos="698"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133,100</w:t>
            </w:r>
          </w:p>
        </w:tc>
      </w:tr>
      <w:tr>
        <w:trPr>
          <w:trHeight w:val="437"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安庆悦城易购广场项目</w:t>
            </w:r>
          </w:p>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苏宁易购桂北智慧电商产业园项</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left w:val="single" w:sz="4"/>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100,085</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tabs>
                <w:tab w:pos="698"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100,085</w:t>
            </w:r>
          </w:p>
        </w:tc>
      </w:tr>
      <w:tr>
        <w:trPr>
          <w:trHeight w:val="221"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目</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82,487</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tabs>
                <w:tab w:pos="774"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82,487</w:t>
            </w:r>
          </w:p>
        </w:tc>
      </w:tr>
      <w:tr>
        <w:trPr>
          <w:trHeight w:val="230"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郑州二期物流基地</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81,333</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tabs>
                <w:tab w:pos="774"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81,333</w:t>
            </w:r>
          </w:p>
        </w:tc>
      </w:tr>
      <w:tr>
        <w:trPr>
          <w:trHeight w:val="432"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株洲易购广场项目</w:t>
            </w:r>
          </w:p>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苏宁云商杭州</w:t>
            </w:r>
            <w:r>
              <w:rPr>
                <w:rFonts w:ascii="Arial" w:eastAsia="Arial" w:hAnsi="Arial" w:cs="Arial"/>
                <w:color w:val="000000"/>
                <w:spacing w:val="0"/>
                <w:w w:val="100"/>
                <w:position w:val="0"/>
                <w:sz w:val="16"/>
                <w:szCs w:val="16"/>
              </w:rPr>
              <w:t>B2C（</w:t>
            </w:r>
            <w:r>
              <w:rPr>
                <w:rFonts w:ascii="SimSun" w:eastAsia="SimSun" w:hAnsi="SimSun" w:cs="SimSun"/>
                <w:color w:val="000000"/>
                <w:spacing w:val="0"/>
                <w:w w:val="100"/>
                <w:position w:val="0"/>
                <w:sz w:val="15"/>
                <w:szCs w:val="15"/>
              </w:rPr>
              <w:t>绍兴</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自动</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56,755</w:t>
            </w:r>
          </w:p>
        </w:tc>
        <w:tc>
          <w:tcPr>
            <w:tcBorders/>
            <w:shd w:val="clear" w:color="auto" w:fill="FFFFFF"/>
            <w:vAlign w:val="top"/>
          </w:tcPr>
          <w:p>
            <w:pPr>
              <w:pStyle w:val="Style29"/>
              <w:keepNext w:val="0"/>
              <w:keepLines w:val="0"/>
              <w:framePr w:w="8078" w:h="10949" w:wrap="none" w:vAnchor="text" w:hAnchor="page" w:x="2415" w:y="1167"/>
              <w:widowControl w:val="0"/>
              <w:shd w:val="clear" w:color="auto" w:fill="auto"/>
              <w:tabs>
                <w:tab w:pos="774"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56,755</w:t>
            </w:r>
          </w:p>
        </w:tc>
      </w:tr>
      <w:tr>
        <w:trPr>
          <w:trHeight w:val="230" w:hRule="exact"/>
        </w:trPr>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分拣中心项目</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期综合楼</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25,011</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789"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25,011</w:t>
            </w:r>
          </w:p>
        </w:tc>
      </w:tr>
      <w:tr>
        <w:trPr>
          <w:trHeight w:val="216" w:hRule="exact"/>
        </w:trPr>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其他项目</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3,110</w:t>
            </w:r>
          </w:p>
        </w:tc>
        <w:tc>
          <w:tcPr>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000000"/>
                <w:spacing w:val="0"/>
                <w:w w:val="100"/>
                <w:position w:val="0"/>
                <w:sz w:val="16"/>
                <w:szCs w:val="16"/>
              </w:rPr>
              <w:t>3,110</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40,271</w:t>
            </w:r>
          </w:p>
        </w:tc>
        <w:tc>
          <w:tcPr>
            <w:tcBorders/>
            <w:shd w:val="clear" w:color="auto" w:fill="FFFFFF"/>
            <w:vAlign w:val="bottom"/>
          </w:tcPr>
          <w:p>
            <w:pPr>
              <w:pStyle w:val="Style29"/>
              <w:keepNext w:val="0"/>
              <w:keepLines w:val="0"/>
              <w:framePr w:w="8078" w:h="10949" w:wrap="none" w:vAnchor="text" w:hAnchor="page" w:x="2415" w:y="1167"/>
              <w:widowControl w:val="0"/>
              <w:shd w:val="clear" w:color="auto" w:fill="auto"/>
              <w:tabs>
                <w:tab w:pos="774"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40,271</w:t>
            </w:r>
          </w:p>
        </w:tc>
      </w:tr>
      <w:tr>
        <w:trPr>
          <w:trHeight w:val="307" w:hRule="exact"/>
        </w:trPr>
        <w:tc>
          <w:tcPr>
            <w:tcBorders>
              <w:top w:val="single" w:sz="4"/>
              <w:bottom w:val="single" w:sz="4"/>
            </w:tcBorders>
            <w:shd w:val="clear" w:color="auto" w:fill="FFFFFF"/>
            <w:vAlign w:val="top"/>
          </w:tcPr>
          <w:p>
            <w:pPr>
              <w:framePr w:w="8078" w:h="10949" w:wrap="none" w:vAnchor="text" w:hAnchor="page" w:x="2415" w:y="1167"/>
              <w:widowControl w:val="0"/>
              <w:rPr>
                <w:sz w:val="10"/>
                <w:szCs w:val="10"/>
              </w:rPr>
            </w:pPr>
          </w:p>
        </w:tc>
        <w:tc>
          <w:tcPr>
            <w:tcBorders>
              <w:top w:val="single" w:sz="4"/>
              <w:bottom w:val="single" w:sz="4"/>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4,014,958</w:t>
            </w:r>
          </w:p>
        </w:tc>
        <w:tc>
          <w:tcPr>
            <w:tcBorders>
              <w:top w:val="single" w:sz="4"/>
              <w:bottom w:val="single" w:sz="4"/>
            </w:tcBorders>
            <w:shd w:val="clear" w:color="auto" w:fill="FFFFFF"/>
            <w:vAlign w:val="center"/>
          </w:tcPr>
          <w:p>
            <w:pPr>
              <w:pStyle w:val="Style29"/>
              <w:keepNext w:val="0"/>
              <w:keepLines w:val="0"/>
              <w:framePr w:w="8078" w:h="10949" w:wrap="none" w:vAnchor="text" w:hAnchor="page" w:x="2415" w:y="1167"/>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(165,302)</w:t>
            </w:r>
          </w:p>
        </w:tc>
        <w:tc>
          <w:tcPr>
            <w:gridSpan w:val="2"/>
            <w:tcBorders>
              <w:top w:val="single" w:sz="4"/>
              <w:bottom w:val="single" w:sz="4"/>
            </w:tcBorders>
            <w:shd w:val="clear" w:color="auto" w:fill="FFFFFF"/>
            <w:vAlign w:val="bottom"/>
          </w:tcPr>
          <w:p>
            <w:pPr>
              <w:pStyle w:val="Style29"/>
              <w:keepNext w:val="0"/>
              <w:keepLines w:val="0"/>
              <w:framePr w:w="8078" w:h="10949" w:wrap="none" w:vAnchor="text" w:hAnchor="page" w:x="2415" w:y="1167"/>
              <w:widowControl w:val="0"/>
              <w:shd w:val="clear" w:color="auto" w:fill="auto"/>
              <w:tabs>
                <w:tab w:pos="989" w:val="left"/>
                <w:tab w:pos="1901" w:val="left"/>
                <w:tab w:leader="underscore" w:pos="2266"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u w:val="single"/>
              </w:rPr>
              <w:t>3,849,656</w:t>
              <w:tab/>
              <w:t>3,453,564</w:t>
            </w:r>
            <w:r>
              <w:rPr>
                <w:rFonts w:ascii="Arial" w:eastAsia="Arial" w:hAnsi="Arial" w:cs="Arial"/>
                <w:color w:val="000000"/>
                <w:spacing w:val="0"/>
                <w:w w:val="100"/>
                <w:position w:val="0"/>
                <w:sz w:val="16"/>
                <w:szCs w:val="16"/>
              </w:rPr>
              <w:tab/>
              <w:tab/>
            </w:r>
          </w:p>
        </w:tc>
        <w:tc>
          <w:tcPr>
            <w:tcBorders>
              <w:top w:val="single" w:sz="4"/>
              <w:bottom w:val="single" w:sz="4"/>
            </w:tcBorders>
            <w:shd w:val="clear" w:color="auto" w:fill="FFFFFF"/>
            <w:vAlign w:val="center"/>
          </w:tcPr>
          <w:p>
            <w:pPr>
              <w:pStyle w:val="Style29"/>
              <w:keepNext w:val="0"/>
              <w:keepLines w:val="0"/>
              <w:framePr w:w="8078" w:h="10949" w:wrap="none" w:vAnchor="text" w:hAnchor="page" w:x="2415" w:y="1167"/>
              <w:widowControl w:val="0"/>
              <w:shd w:val="clear" w:color="auto" w:fill="auto"/>
              <w:tabs>
                <w:tab w:pos="554"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w:t>
              <w:tab/>
              <w:t>3,453,564</w:t>
            </w:r>
          </w:p>
        </w:tc>
      </w:tr>
    </w:tbl>
    <w:p>
      <w:pPr>
        <w:framePr w:w="8078" w:h="10949" w:wrap="none" w:vAnchor="text" w:hAnchor="page" w:x="2415" w:y="1167"/>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2131" w:right="1407" w:bottom="984" w:left="1709" w:header="0" w:footer="3" w:gutter="0"/>
          <w:cols w:space="720"/>
          <w:noEndnote/>
          <w:rtlGutter w:val="0"/>
          <w:docGrid w:linePitch="360"/>
        </w:sectPr>
      </w:pPr>
    </w:p>
    <w:p>
      <w:pPr>
        <w:pStyle w:val="Style72"/>
        <w:keepNext w:val="0"/>
        <w:keepLines w:val="0"/>
        <w:widowControl w:val="0"/>
        <w:shd w:val="clear" w:color="auto" w:fill="auto"/>
        <w:tabs>
          <w:tab w:pos="698"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after="300" w:line="240" w:lineRule="auto"/>
        <w:ind w:left="0" w:right="0" w:firstLine="0"/>
        <w:jc w:val="left"/>
        <w:rPr>
          <w:sz w:val="28"/>
          <w:szCs w:val="28"/>
        </w:rPr>
      </w:pPr>
      <w:r>
        <w:rPr>
          <w:color w:val="000000"/>
          <w:spacing w:val="0"/>
          <w:w w:val="100"/>
          <w:position w:val="0"/>
          <w:sz w:val="24"/>
          <w:szCs w:val="24"/>
        </w:rPr>
        <w:t>（16）</w:t>
      </w:r>
      <w:r>
        <w:rPr>
          <w:rFonts w:ascii="SimSun" w:eastAsia="SimSun" w:hAnsi="SimSun" w:cs="SimSun"/>
          <w:b/>
          <w:bCs/>
          <w:color w:val="000000"/>
          <w:spacing w:val="0"/>
          <w:w w:val="100"/>
          <w:position w:val="0"/>
          <w:sz w:val="24"/>
          <w:szCs w:val="24"/>
        </w:rPr>
        <w:t>在建工程</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shd w:val="clear" w:color="auto" w:fill="auto"/>
        <w:tabs>
          <w:tab w:pos="698" w:val="left"/>
        </w:tabs>
        <w:bidi w:val="0"/>
        <w:spacing w:before="0" w:after="300" w:line="240" w:lineRule="auto"/>
        <w:ind w:left="0" w:right="0" w:firstLine="0"/>
        <w:jc w:val="left"/>
        <w:rPr>
          <w:sz w:val="28"/>
          <w:szCs w:val="28"/>
        </w:rPr>
      </w:pPr>
      <w:r>
        <w:rPr>
          <w:color w:val="000000"/>
          <w:spacing w:val="0"/>
          <w:w w:val="100"/>
          <w:position w:val="0"/>
          <w:sz w:val="24"/>
          <w:szCs w:val="24"/>
        </w:rPr>
        <w:t>（a）</w:t>
        <w:tab/>
      </w:r>
      <w:r>
        <w:rPr>
          <w:rFonts w:ascii="SimSun" w:eastAsia="SimSun" w:hAnsi="SimSun" w:cs="SimSun"/>
          <w:color w:val="000000"/>
          <w:spacing w:val="0"/>
          <w:w w:val="100"/>
          <w:position w:val="0"/>
          <w:sz w:val="24"/>
          <w:szCs w:val="24"/>
        </w:rPr>
        <w:t>在建工程</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98" w:val="left"/>
        </w:tabs>
        <w:bidi w:val="0"/>
        <w:spacing w:before="0" w:after="240" w:line="240" w:lineRule="auto"/>
        <w:ind w:left="0" w:right="0" w:firstLine="0"/>
        <w:jc w:val="left"/>
      </w:pPr>
      <w:r>
        <w:rPr>
          <w:color w:val="000000"/>
          <w:spacing w:val="0"/>
          <w:w w:val="100"/>
          <w:position w:val="0"/>
          <w:sz w:val="24"/>
          <w:szCs w:val="24"/>
        </w:rPr>
        <w:t>⑴</w:t>
        <w:tab/>
        <w:t>重大在建工程项目变动</w:t>
      </w:r>
    </w:p>
    <w:p>
      <w:pPr>
        <w:pStyle w:val="Style2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其中：本</w:t>
      </w:r>
    </w:p>
    <w:tbl>
      <w:tblPr>
        <w:tblOverlap w:val="never"/>
        <w:jc w:val="center"/>
        <w:tblLayout w:type="fixed"/>
      </w:tblPr>
      <w:tblGrid>
        <w:gridCol w:w="1848"/>
        <w:gridCol w:w="926"/>
        <w:gridCol w:w="946"/>
        <w:gridCol w:w="826"/>
        <w:gridCol w:w="994"/>
        <w:gridCol w:w="782"/>
        <w:gridCol w:w="811"/>
        <w:gridCol w:w="912"/>
        <w:gridCol w:w="778"/>
        <w:gridCol w:w="1003"/>
        <w:gridCol w:w="806"/>
        <w:gridCol w:w="739"/>
        <w:gridCol w:w="734"/>
        <w:gridCol w:w="830"/>
      </w:tblGrid>
      <w:tr>
        <w:trPr>
          <w:trHeight w:val="66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工程名称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SimSun" w:eastAsia="SimSun" w:hAnsi="SimSun" w:cs="SimSun"/>
                <w:color w:val="000000"/>
                <w:spacing w:val="0"/>
                <w:w w:val="100"/>
                <w:position w:val="0"/>
                <w:sz w:val="14"/>
                <w:szCs w:val="14"/>
              </w:rPr>
              <w:t>预算数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 xml:space="preserve">2020 </w:t>
            </w:r>
            <w:r>
              <w:rPr>
                <w:rFonts w:ascii="SimSun" w:eastAsia="SimSun" w:hAnsi="SimSun" w:cs="SimSun"/>
                <w:color w:val="000000"/>
                <w:spacing w:val="0"/>
                <w:w w:val="100"/>
                <w:position w:val="0"/>
                <w:sz w:val="14"/>
                <w:szCs w:val="14"/>
              </w:rPr>
              <w:t>年</w:t>
            </w:r>
          </w:p>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12</w:t>
            </w:r>
            <w:r>
              <w:rPr>
                <w:rFonts w:ascii="SimSun" w:eastAsia="SimSun" w:hAnsi="SimSun" w:cs="SimSun"/>
                <w:color w:val="000000"/>
                <w:spacing w:val="0"/>
                <w:w w:val="100"/>
                <w:position w:val="0"/>
                <w:sz w:val="14"/>
                <w:szCs w:val="14"/>
              </w:rPr>
              <w:t>月</w:t>
            </w:r>
            <w:r>
              <w:rPr>
                <w:rFonts w:ascii="Arial" w:eastAsia="Arial" w:hAnsi="Arial" w:cs="Arial"/>
                <w:color w:val="000000"/>
                <w:spacing w:val="0"/>
                <w:w w:val="100"/>
                <w:position w:val="0"/>
                <w:sz w:val="14"/>
                <w:szCs w:val="14"/>
              </w:rPr>
              <w:t>31</w:t>
            </w:r>
            <w:r>
              <w:rPr>
                <w:rFonts w:ascii="SimSun" w:eastAsia="SimSun" w:hAnsi="SimSun" w:cs="SimSun"/>
                <w:color w:val="000000"/>
                <w:spacing w:val="0"/>
                <w:w w:val="100"/>
                <w:position w:val="0"/>
                <w:sz w:val="14"/>
                <w:szCs w:val="14"/>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本年转入</w:t>
            </w:r>
          </w:p>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固定资产</w:t>
            </w:r>
          </w:p>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w:t>
            </w:r>
            <w:r>
              <w:rPr>
                <w:rFonts w:ascii="SimSun" w:eastAsia="SimSun" w:hAnsi="SimSun" w:cs="SimSun"/>
                <w:color w:val="000000"/>
                <w:spacing w:val="0"/>
                <w:w w:val="100"/>
                <w:position w:val="0"/>
                <w:sz w:val="14"/>
                <w:szCs w:val="14"/>
              </w:rPr>
              <w:t>附注四</w:t>
            </w:r>
            <w:r>
              <w:rPr>
                <w:rFonts w:ascii="Arial" w:eastAsia="Arial" w:hAnsi="Arial" w:cs="Arial"/>
                <w:color w:val="000000"/>
                <w:spacing w:val="0"/>
                <w:w w:val="100"/>
                <w:position w:val="0"/>
                <w:sz w:val="14"/>
                <w:szCs w:val="14"/>
              </w:rPr>
              <w:t>（15））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处置子公</w:t>
            </w:r>
          </w:p>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SimSun" w:eastAsia="SimSun" w:hAnsi="SimSun" w:cs="SimSun"/>
                <w:color w:val="000000"/>
                <w:spacing w:val="0"/>
                <w:w w:val="100"/>
                <w:position w:val="0"/>
                <w:sz w:val="14"/>
                <w:szCs w:val="14"/>
              </w:rPr>
              <w:t>司减少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本年其他</w:t>
            </w:r>
          </w:p>
          <w:p>
            <w:pPr>
              <w:pStyle w:val="Style29"/>
              <w:keepNext w:val="0"/>
              <w:keepLines w:val="0"/>
              <w:widowControl w:val="0"/>
              <w:shd w:val="clear" w:color="auto" w:fill="auto"/>
              <w:bidi w:val="0"/>
              <w:spacing w:before="0" w:after="0" w:line="240" w:lineRule="auto"/>
              <w:ind w:left="0" w:right="0" w:firstLine="380"/>
              <w:jc w:val="left"/>
              <w:rPr>
                <w:sz w:val="14"/>
                <w:szCs w:val="14"/>
              </w:rPr>
            </w:pPr>
            <w:r>
              <w:rPr>
                <w:rFonts w:ascii="SimSun" w:eastAsia="SimSun" w:hAnsi="SimSun" w:cs="SimSun"/>
                <w:color w:val="000000"/>
                <w:spacing w:val="0"/>
                <w:w w:val="100"/>
                <w:position w:val="0"/>
                <w:sz w:val="14"/>
                <w:szCs w:val="14"/>
              </w:rPr>
              <w:t>减少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 xml:space="preserve">2021 </w:t>
            </w:r>
            <w:r>
              <w:rPr>
                <w:rFonts w:ascii="SimSun" w:eastAsia="SimSun" w:hAnsi="SimSun" w:cs="SimSun"/>
                <w:color w:val="000000"/>
                <w:spacing w:val="0"/>
                <w:w w:val="100"/>
                <w:position w:val="0"/>
                <w:sz w:val="14"/>
                <w:szCs w:val="14"/>
              </w:rPr>
              <w:t>年</w:t>
            </w:r>
          </w:p>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w:t>
            </w:r>
            <w:r>
              <w:rPr>
                <w:rFonts w:ascii="SimSun" w:eastAsia="SimSun" w:hAnsi="SimSun" w:cs="SimSun"/>
                <w:color w:val="000000"/>
                <w:spacing w:val="0"/>
                <w:w w:val="100"/>
                <w:position w:val="0"/>
                <w:sz w:val="14"/>
                <w:szCs w:val="14"/>
              </w:rPr>
              <w:t>月</w:t>
            </w:r>
            <w:r>
              <w:rPr>
                <w:rFonts w:ascii="Arial" w:eastAsia="Arial" w:hAnsi="Arial" w:cs="Arial"/>
                <w:color w:val="000000"/>
                <w:spacing w:val="0"/>
                <w:w w:val="100"/>
                <w:position w:val="0"/>
                <w:sz w:val="14"/>
                <w:szCs w:val="14"/>
              </w:rPr>
              <w:t>31</w:t>
            </w:r>
            <w:r>
              <w:rPr>
                <w:rFonts w:ascii="SimSun" w:eastAsia="SimSun" w:hAnsi="SimSun" w:cs="SimSun"/>
                <w:color w:val="000000"/>
                <w:spacing w:val="0"/>
                <w:w w:val="100"/>
                <w:position w:val="0"/>
                <w:sz w:val="14"/>
                <w:szCs w:val="14"/>
              </w:rPr>
              <w:t>日</w:t>
            </w:r>
          </w:p>
        </w:tc>
        <w:tc>
          <w:tcPr>
            <w:tcBorders/>
            <w:shd w:val="clear" w:color="auto" w:fill="FFFFFF"/>
            <w:vAlign w:val="top"/>
          </w:tcPr>
          <w:p>
            <w:pPr>
              <w:pStyle w:val="Style29"/>
              <w:keepNext w:val="0"/>
              <w:keepLines w:val="0"/>
              <w:widowControl w:val="0"/>
              <w:shd w:val="clear" w:color="auto" w:fill="auto"/>
              <w:bidi w:val="0"/>
              <w:spacing w:before="0" w:after="0" w:line="180" w:lineRule="exact"/>
              <w:ind w:left="0" w:right="0" w:firstLine="0"/>
              <w:jc w:val="right"/>
              <w:rPr>
                <w:sz w:val="14"/>
                <w:szCs w:val="14"/>
              </w:rPr>
            </w:pPr>
            <w:r>
              <w:rPr>
                <w:rFonts w:ascii="SimSun" w:eastAsia="SimSun" w:hAnsi="SimSun" w:cs="SimSun"/>
                <w:color w:val="000000"/>
                <w:spacing w:val="0"/>
                <w:w w:val="100"/>
                <w:position w:val="0"/>
                <w:sz w:val="14"/>
                <w:szCs w:val="14"/>
              </w:rPr>
              <w:t>工程投入 占预算的 比例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4"/>
                <w:szCs w:val="14"/>
              </w:rPr>
            </w:pPr>
            <w:r>
              <w:rPr>
                <w:rFonts w:ascii="SimSun" w:eastAsia="SimSun" w:hAnsi="SimSun" w:cs="SimSun"/>
                <w:color w:val="000000"/>
                <w:spacing w:val="0"/>
                <w:w w:val="100"/>
                <w:position w:val="0"/>
                <w:sz w:val="14"/>
                <w:szCs w:val="14"/>
              </w:rPr>
              <w:t>工程进度</w:t>
            </w:r>
          </w:p>
        </w:tc>
        <w:tc>
          <w:tcPr>
            <w:tcBorders/>
            <w:shd w:val="clear" w:color="auto" w:fill="FFFFFF"/>
            <w:vAlign w:val="top"/>
          </w:tcPr>
          <w:p>
            <w:pPr>
              <w:pStyle w:val="Style29"/>
              <w:keepNext w:val="0"/>
              <w:keepLines w:val="0"/>
              <w:widowControl w:val="0"/>
              <w:shd w:val="clear" w:color="auto" w:fill="auto"/>
              <w:bidi w:val="0"/>
              <w:spacing w:before="0" w:after="0" w:line="178" w:lineRule="exact"/>
              <w:ind w:left="0" w:right="0" w:firstLine="0"/>
              <w:jc w:val="right"/>
              <w:rPr>
                <w:sz w:val="14"/>
                <w:szCs w:val="14"/>
              </w:rPr>
            </w:pPr>
            <w:r>
              <w:rPr>
                <w:rFonts w:ascii="SimSun" w:eastAsia="SimSun" w:hAnsi="SimSun" w:cs="SimSun"/>
                <w:color w:val="000000"/>
                <w:spacing w:val="0"/>
                <w:w w:val="100"/>
                <w:position w:val="0"/>
                <w:sz w:val="14"/>
                <w:szCs w:val="14"/>
              </w:rPr>
              <w:t>借款费用</w:t>
            </w:r>
          </w:p>
          <w:p>
            <w:pPr>
              <w:pStyle w:val="Style29"/>
              <w:keepNext w:val="0"/>
              <w:keepLines w:val="0"/>
              <w:widowControl w:val="0"/>
              <w:shd w:val="clear" w:color="auto" w:fill="auto"/>
              <w:bidi w:val="0"/>
              <w:spacing w:before="0" w:after="0" w:line="178" w:lineRule="exact"/>
              <w:ind w:left="0" w:right="0" w:firstLine="0"/>
              <w:jc w:val="right"/>
              <w:rPr>
                <w:sz w:val="14"/>
                <w:szCs w:val="14"/>
              </w:rPr>
            </w:pPr>
            <w:r>
              <w:rPr>
                <w:rFonts w:ascii="SimSun" w:eastAsia="SimSun" w:hAnsi="SimSun" w:cs="SimSun"/>
                <w:color w:val="000000"/>
                <w:spacing w:val="0"/>
                <w:w w:val="100"/>
                <w:position w:val="0"/>
                <w:sz w:val="14"/>
                <w:szCs w:val="14"/>
              </w:rPr>
              <w:t>资本化 累计金额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年借款费</w:t>
            </w:r>
          </w:p>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用资本化</w:t>
            </w:r>
          </w:p>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金额</w:t>
            </w:r>
          </w:p>
        </w:tc>
        <w:tc>
          <w:tcPr>
            <w:tcBorders/>
            <w:shd w:val="clear" w:color="auto" w:fill="FFFFFF"/>
            <w:vAlign w:val="top"/>
          </w:tcPr>
          <w:p>
            <w:pPr>
              <w:pStyle w:val="Style29"/>
              <w:keepNext w:val="0"/>
              <w:keepLines w:val="0"/>
              <w:widowControl w:val="0"/>
              <w:shd w:val="clear" w:color="auto" w:fill="auto"/>
              <w:bidi w:val="0"/>
              <w:spacing w:before="0" w:after="0" w:line="190" w:lineRule="exact"/>
              <w:ind w:left="0" w:right="0" w:firstLine="0"/>
              <w:jc w:val="right"/>
              <w:rPr>
                <w:sz w:val="14"/>
                <w:szCs w:val="14"/>
              </w:rPr>
            </w:pPr>
            <w:r>
              <w:rPr>
                <w:rFonts w:ascii="SimSun" w:eastAsia="SimSun" w:hAnsi="SimSun" w:cs="SimSun"/>
                <w:color w:val="000000"/>
                <w:spacing w:val="0"/>
                <w:w w:val="100"/>
                <w:position w:val="0"/>
                <w:sz w:val="14"/>
                <w:szCs w:val="14"/>
              </w:rPr>
              <w:t>本年借款 费用资本 化率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资金来源</w:t>
            </w:r>
          </w:p>
        </w:tc>
      </w:tr>
      <w:tr>
        <w:trPr>
          <w:trHeight w:val="5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南京空港物流基地二期</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700,256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398,011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218,969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616,980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17,086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14,035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借款及募集</w:t>
            </w:r>
          </w:p>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资金</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苏宁华东电商产业园项目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1,029,740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162,744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383,496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546,240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12,469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11,623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借款</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苏宁重庆智慧产业园项目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700,000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327,258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181,920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509,178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17,871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13,776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借款及募集</w:t>
            </w:r>
          </w:p>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资金</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济南高新物流基地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467,748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162,669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212,441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375,110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9,184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7,208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借款及募集</w:t>
            </w:r>
          </w:p>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资金</w:t>
            </w:r>
          </w:p>
        </w:tc>
      </w:tr>
      <w:tr>
        <w:trPr>
          <w:trHeight w:val="3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青岛胶州物流基地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768,797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97,851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208,451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306,302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6,983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6,255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借款及募集</w:t>
            </w:r>
          </w:p>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资金</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湖北宗海物流基地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517,334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375,764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39,996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(122,694)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293,066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17,234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4,006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借款</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广州空港保税项目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420,664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36,582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215,067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251,649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4,895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4,685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借款及募集</w:t>
            </w:r>
          </w:p>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资金</w:t>
            </w:r>
          </w:p>
        </w:tc>
      </w:tr>
      <w:tr>
        <w:trPr>
          <w:trHeight w:val="365" w:hRule="exact"/>
        </w:trPr>
        <w:tc>
          <w:tcPr>
            <w:tcBorders/>
            <w:shd w:val="clear" w:color="auto" w:fill="FFFFFF"/>
            <w:vAlign w:val="top"/>
          </w:tcPr>
          <w:p>
            <w:pPr>
              <w:pStyle w:val="Style29"/>
              <w:keepNext w:val="0"/>
              <w:keepLines w:val="0"/>
              <w:widowControl w:val="0"/>
              <w:shd w:val="clear" w:color="auto" w:fill="auto"/>
              <w:bidi w:val="0"/>
              <w:spacing w:before="0" w:after="0" w:line="182" w:lineRule="exact"/>
              <w:ind w:left="160" w:right="0" w:hanging="160"/>
              <w:jc w:val="left"/>
              <w:rPr>
                <w:sz w:val="14"/>
                <w:szCs w:val="14"/>
              </w:rPr>
            </w:pPr>
            <w:r>
              <w:rPr>
                <w:rFonts w:ascii="SimSun" w:eastAsia="SimSun" w:hAnsi="SimSun" w:cs="SimSun"/>
                <w:color w:val="000000"/>
                <w:spacing w:val="0"/>
                <w:w w:val="100"/>
                <w:position w:val="0"/>
                <w:sz w:val="14"/>
                <w:szCs w:val="14"/>
              </w:rPr>
              <w:t>苏宁华南电商总部暨苏宁 华南绿色冷链总部项目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446,583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108,879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126,102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234,981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1,293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1,293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借款及募集</w:t>
            </w:r>
          </w:p>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资金</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沈阳于洪物流基地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665,712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92,305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140,574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232,879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5,920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5,245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借款及募集</w:t>
            </w:r>
          </w:p>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资金</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新建苏宁环上海电商产业</w:t>
            </w:r>
          </w:p>
          <w:p>
            <w:pPr>
              <w:pStyle w:val="Style29"/>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园项目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474,578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49,029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148,503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197,532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4,869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4,714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借款</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西安国际港务区物流基地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424,219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47,844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71,717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119,561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3,693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2,945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借款及募集</w:t>
            </w:r>
          </w:p>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资金</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雨花云数据中心项目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432,656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116,771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2,420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119,191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停建中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2,582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借款</w:t>
            </w:r>
          </w:p>
        </w:tc>
      </w:tr>
      <w:tr>
        <w:trPr>
          <w:trHeight w:val="39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苏宁易购内江电商智慧产</w:t>
            </w:r>
          </w:p>
          <w:p>
            <w:pPr>
              <w:pStyle w:val="Style29"/>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业园项目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228,793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12,695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30,081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42,776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1,172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1,110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借款</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苏宁易购江西电商产业园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373,103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4,979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36,778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41,757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1,069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1,058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借款</w:t>
            </w:r>
          </w:p>
        </w:tc>
      </w:tr>
      <w:tr>
        <w:trPr>
          <w:trHeight w:val="3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眉山二期物流基地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450,000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283,069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107,871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(350,600)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40,340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5,424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借款及募集</w:t>
            </w:r>
          </w:p>
          <w:p>
            <w:pPr>
              <w:pStyle w:val="Style29"/>
              <w:keepNext w:val="0"/>
              <w:keepLines w:val="0"/>
              <w:widowControl w:val="0"/>
              <w:shd w:val="clear" w:color="auto" w:fill="auto"/>
              <w:bidi w:val="0"/>
              <w:spacing w:before="0" w:after="0" w:line="240" w:lineRule="auto"/>
              <w:ind w:left="0" w:right="0" w:firstLine="520"/>
              <w:jc w:val="both"/>
              <w:rPr>
                <w:sz w:val="14"/>
                <w:szCs w:val="14"/>
              </w:rPr>
            </w:pPr>
            <w:r>
              <w:rPr>
                <w:rFonts w:ascii="SimSun" w:eastAsia="SimSun" w:hAnsi="SimSun" w:cs="SimSun"/>
                <w:color w:val="000000"/>
                <w:spacing w:val="0"/>
                <w:w w:val="100"/>
                <w:position w:val="0"/>
                <w:sz w:val="14"/>
                <w:szCs w:val="14"/>
              </w:rPr>
              <w:t>资金</w:t>
            </w:r>
          </w:p>
        </w:tc>
      </w:tr>
      <w:tr>
        <w:trPr>
          <w:trHeight w:val="22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苏州二期物流基地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61,971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1,283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30,490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31,773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51%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715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623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top"/>
          </w:tcPr>
          <w:p>
            <w:pPr>
              <w:widowControl w:val="0"/>
              <w:rPr>
                <w:sz w:val="10"/>
                <w:szCs w:val="10"/>
              </w:rPr>
            </w:pPr>
          </w:p>
        </w:tc>
      </w:tr>
    </w:tbl>
    <w:p>
      <w:pPr>
        <w:sectPr>
          <w:footnotePr>
            <w:pos w:val="pageBottom"/>
            <w:numFmt w:val="decimal"/>
            <w:numStart w:val="1"/>
            <w:numRestart w:val="continuous"/>
            <w15:footnoteColumns w:val="1"/>
          </w:footnotePr>
          <w:pgSz w:w="16840" w:h="11900" w:orient="landscape"/>
          <w:pgMar w:top="2405" w:right="1469" w:bottom="1095" w:left="1714" w:header="0" w:footer="3" w:gutter="0"/>
          <w:cols w:space="720"/>
          <w:noEndnote/>
          <w:rtlGutter w:val="0"/>
          <w:docGrid w:linePitch="360"/>
        </w:sectPr>
      </w:pPr>
    </w:p>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20" w:line="240" w:lineRule="auto"/>
        <w:ind w:left="0" w:right="0" w:firstLine="72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tbl>
      <w:tblPr>
        <w:tblOverlap w:val="never"/>
        <w:jc w:val="center"/>
        <w:tblLayout w:type="fixed"/>
      </w:tblPr>
      <w:tblGrid>
        <w:gridCol w:w="586"/>
        <w:gridCol w:w="2026"/>
        <w:gridCol w:w="950"/>
        <w:gridCol w:w="864"/>
        <w:gridCol w:w="840"/>
        <w:gridCol w:w="979"/>
        <w:gridCol w:w="811"/>
        <w:gridCol w:w="811"/>
        <w:gridCol w:w="898"/>
        <w:gridCol w:w="782"/>
        <w:gridCol w:w="998"/>
        <w:gridCol w:w="806"/>
        <w:gridCol w:w="734"/>
        <w:gridCol w:w="744"/>
        <w:gridCol w:w="826"/>
      </w:tblGrid>
      <w:tr>
        <w:trPr>
          <w:trHeight w:val="44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b/>
                <w:bCs/>
                <w:color w:val="000000"/>
                <w:spacing w:val="0"/>
                <w:w w:val="100"/>
                <w:position w:val="0"/>
                <w:sz w:val="24"/>
                <w:szCs w:val="24"/>
              </w:rPr>
              <w:t>四</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b/>
                <w:bCs/>
                <w:color w:val="000000"/>
                <w:spacing w:val="0"/>
                <w:w w:val="100"/>
                <w:position w:val="0"/>
                <w:sz w:val="24"/>
                <w:szCs w:val="24"/>
              </w:rPr>
              <w:t>合并财务报表项目附注</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Arial" w:eastAsia="Arial" w:hAnsi="Arial" w:cs="Arial"/>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(16)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b/>
                <w:bCs/>
                <w:color w:val="000000"/>
                <w:spacing w:val="0"/>
                <w:w w:val="100"/>
                <w:position w:val="0"/>
                <w:sz w:val="24"/>
                <w:szCs w:val="24"/>
              </w:rPr>
              <w:t>在建工程</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(a)</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color w:val="000000"/>
                <w:spacing w:val="0"/>
                <w:w w:val="100"/>
                <w:position w:val="0"/>
                <w:sz w:val="24"/>
                <w:szCs w:val="24"/>
              </w:rPr>
              <w:t>在建工程</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8"/>
                <w:szCs w:val="28"/>
              </w:rPr>
            </w:pPr>
            <w:r>
              <w:rPr>
                <w:rFonts w:ascii="SimSun" w:eastAsia="SimSun" w:hAnsi="SimSun" w:cs="SimSun"/>
                <w:color w:val="000000"/>
                <w:spacing w:val="0"/>
                <w:w w:val="100"/>
                <w:position w:val="0"/>
                <w:sz w:val="28"/>
                <w:szCs w:val="28"/>
              </w:rPr>
              <w:t>⑴</w:t>
            </w:r>
          </w:p>
        </w:tc>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重大在建工程项目变动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其中：本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本年转入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工程投入</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借款费用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年借款费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本年借款</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 xml:space="preserve">2020 </w:t>
            </w:r>
            <w:r>
              <w:rPr>
                <w:rFonts w:ascii="SimSun" w:eastAsia="SimSun" w:hAnsi="SimSun" w:cs="SimSun"/>
                <w:color w:val="000000"/>
                <w:spacing w:val="0"/>
                <w:w w:val="100"/>
                <w:position w:val="0"/>
                <w:sz w:val="14"/>
                <w:szCs w:val="14"/>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SimSun" w:eastAsia="SimSun" w:hAnsi="SimSun" w:cs="SimSun"/>
                <w:color w:val="000000"/>
                <w:spacing w:val="0"/>
                <w:w w:val="100"/>
                <w:position w:val="0"/>
                <w:sz w:val="14"/>
                <w:szCs w:val="14"/>
              </w:rPr>
              <w:t>固定资产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处置子公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本年其他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 xml:space="preserve">2021 </w:t>
            </w:r>
            <w:r>
              <w:rPr>
                <w:rFonts w:ascii="SimSun" w:eastAsia="SimSun" w:hAnsi="SimSun" w:cs="SimSun"/>
                <w:color w:val="000000"/>
                <w:spacing w:val="0"/>
                <w:w w:val="100"/>
                <w:position w:val="0"/>
                <w:sz w:val="14"/>
                <w:szCs w:val="14"/>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占预算的</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资本化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用资本化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费用资本</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工程名称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预算数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12</w:t>
            </w:r>
            <w:r>
              <w:rPr>
                <w:rFonts w:ascii="SimSun" w:eastAsia="SimSun" w:hAnsi="SimSun" w:cs="SimSun"/>
                <w:color w:val="000000"/>
                <w:spacing w:val="0"/>
                <w:w w:val="100"/>
                <w:position w:val="0"/>
                <w:sz w:val="14"/>
                <w:szCs w:val="14"/>
              </w:rPr>
              <w:t>月</w:t>
            </w:r>
            <w:r>
              <w:rPr>
                <w:rFonts w:ascii="Arial" w:eastAsia="Arial" w:hAnsi="Arial" w:cs="Arial"/>
                <w:color w:val="000000"/>
                <w:spacing w:val="0"/>
                <w:w w:val="100"/>
                <w:position w:val="0"/>
                <w:sz w:val="14"/>
                <w:szCs w:val="14"/>
              </w:rPr>
              <w:t>31</w:t>
            </w:r>
            <w:r>
              <w:rPr>
                <w:rFonts w:ascii="SimSun" w:eastAsia="SimSun" w:hAnsi="SimSun" w:cs="SimSun"/>
                <w:color w:val="000000"/>
                <w:spacing w:val="0"/>
                <w:w w:val="100"/>
                <w:position w:val="0"/>
                <w:sz w:val="14"/>
                <w:szCs w:val="1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w:t>
            </w:r>
            <w:r>
              <w:rPr>
                <w:rFonts w:ascii="SimSun" w:eastAsia="SimSun" w:hAnsi="SimSun" w:cs="SimSun"/>
                <w:color w:val="000000"/>
                <w:spacing w:val="0"/>
                <w:w w:val="100"/>
                <w:position w:val="0"/>
                <w:sz w:val="14"/>
                <w:szCs w:val="14"/>
              </w:rPr>
              <w:t>附注四</w:t>
            </w:r>
            <w:r>
              <w:rPr>
                <w:rFonts w:ascii="Arial" w:eastAsia="Arial" w:hAnsi="Arial" w:cs="Arial"/>
                <w:color w:val="000000"/>
                <w:spacing w:val="0"/>
                <w:w w:val="100"/>
                <w:position w:val="0"/>
                <w:sz w:val="14"/>
                <w:szCs w:val="14"/>
              </w:rPr>
              <w:t>（15））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司减少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w:t>
            </w:r>
            <w:r>
              <w:rPr>
                <w:rFonts w:ascii="SimSun" w:eastAsia="SimSun" w:hAnsi="SimSun" w:cs="SimSun"/>
                <w:color w:val="000000"/>
                <w:spacing w:val="0"/>
                <w:w w:val="100"/>
                <w:position w:val="0"/>
                <w:sz w:val="14"/>
                <w:szCs w:val="14"/>
              </w:rPr>
              <w:t>月</w:t>
            </w:r>
            <w:r>
              <w:rPr>
                <w:rFonts w:ascii="Arial" w:eastAsia="Arial" w:hAnsi="Arial" w:cs="Arial"/>
                <w:color w:val="000000"/>
                <w:spacing w:val="0"/>
                <w:w w:val="100"/>
                <w:position w:val="0"/>
                <w:sz w:val="14"/>
                <w:szCs w:val="14"/>
              </w:rPr>
              <w:t>31</w:t>
            </w:r>
            <w:r>
              <w:rPr>
                <w:rFonts w:ascii="SimSun" w:eastAsia="SimSun" w:hAnsi="SimSun" w:cs="SimSun"/>
                <w:color w:val="000000"/>
                <w:spacing w:val="0"/>
                <w:w w:val="100"/>
                <w:position w:val="0"/>
                <w:sz w:val="14"/>
                <w:szCs w:val="1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比例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4"/>
                <w:szCs w:val="14"/>
              </w:rPr>
            </w:pPr>
            <w:r>
              <w:rPr>
                <w:rFonts w:ascii="SimSun" w:eastAsia="SimSun" w:hAnsi="SimSun" w:cs="SimSun"/>
                <w:color w:val="000000"/>
                <w:spacing w:val="0"/>
                <w:w w:val="100"/>
                <w:position w:val="0"/>
                <w:sz w:val="14"/>
                <w:szCs w:val="14"/>
              </w:rPr>
              <w:t>工程进度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累计金额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化率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资金来源</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广西智慧电商产业园项目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636,273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8,032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14,922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22,954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借款</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山西电子商务运营中心项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186,984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3,569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15,485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19,054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451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443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借款</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借款及募集</w:t>
            </w: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贵阳高新物流基地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549,734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8,020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2,505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10,525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基础建设中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资金</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借款及募集</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绍兴三期物流基地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420,504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31 2,042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56,108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(368,150)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已投入运营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资金</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大连二期物流基地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249,400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186,052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41,170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(227,222)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已投入运营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募集资金</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借款及募集</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郑州保税物流基地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157,671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139,074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14,310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(152,056)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已投入运营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4,460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2,182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资金</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苏宁冀东电商产业园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196,654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133,100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26,177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(159,277)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已投入运营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借款</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自有资金及</w:t>
            </w: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安庆悦城易购广场项目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972,709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100,085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10,593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(110,678)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已投入运营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借款</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苏宁易购桂北智慧电商产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业园项目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131,149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82,487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31,907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(114,394)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已投入运营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793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募集资金</w:t>
            </w: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借款及募集</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郑州二期物流基地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97,701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81,333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8,982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(90,315)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已投入运营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3,471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1,129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资金</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株洲易购广场项目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72,519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56,755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1,228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(57,983)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已投入运营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764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借款</w:t>
            </w: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4"/>
                <w:szCs w:val="14"/>
              </w:rPr>
              <w:t>苏宁云商杭州</w:t>
            </w:r>
            <w:r>
              <w:rPr>
                <w:rFonts w:ascii="Arial" w:eastAsia="Arial" w:hAnsi="Arial" w:cs="Arial"/>
                <w:color w:val="000000"/>
                <w:spacing w:val="0"/>
                <w:w w:val="100"/>
                <w:position w:val="0"/>
                <w:sz w:val="14"/>
                <w:szCs w:val="14"/>
              </w:rPr>
              <w:t>B2C（</w:t>
            </w:r>
            <w:r>
              <w:rPr>
                <w:rFonts w:ascii="SimSun" w:eastAsia="SimSun" w:hAnsi="SimSun" w:cs="SimSun"/>
                <w:color w:val="000000"/>
                <w:spacing w:val="0"/>
                <w:w w:val="100"/>
                <w:position w:val="0"/>
                <w:sz w:val="14"/>
                <w:szCs w:val="14"/>
              </w:rPr>
              <w:t>绍兴</w:t>
            </w:r>
            <w:r>
              <w:rPr>
                <w:rFonts w:ascii="SimSun" w:eastAsia="SimSun" w:hAnsi="SimSun" w:cs="SimSun"/>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自动分拣中心项目</w:t>
            </w:r>
            <w:r>
              <w:rPr>
                <w:rFonts w:ascii="Arial" w:eastAsia="Arial" w:hAnsi="Arial" w:cs="Arial"/>
                <w:color w:val="000000"/>
                <w:spacing w:val="0"/>
                <w:w w:val="100"/>
                <w:position w:val="0"/>
                <w:sz w:val="14"/>
                <w:szCs w:val="14"/>
              </w:rPr>
              <w:t>（3）</w:t>
            </w:r>
            <w:r>
              <w:rPr>
                <w:rFonts w:ascii="SimSun" w:eastAsia="SimSun" w:hAnsi="SimSun" w:cs="SimSun"/>
                <w:color w:val="000000"/>
                <w:spacing w:val="0"/>
                <w:w w:val="100"/>
                <w:position w:val="0"/>
                <w:sz w:val="14"/>
                <w:szCs w:val="14"/>
              </w:rPr>
              <w:t>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SimSun" w:eastAsia="SimSun" w:hAnsi="SimSun" w:cs="SimSun"/>
                <w:color w:val="000000"/>
                <w:spacing w:val="0"/>
                <w:w w:val="100"/>
                <w:position w:val="0"/>
                <w:sz w:val="14"/>
                <w:szCs w:val="14"/>
              </w:rPr>
              <w:t>综合楼</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31,203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25,011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(25,011)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已投入运营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募集资金</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rFonts w:ascii="SimSun" w:eastAsia="SimSun" w:hAnsi="SimSun" w:cs="SimSun"/>
                <w:color w:val="000000"/>
                <w:spacing w:val="0"/>
                <w:w w:val="100"/>
                <w:position w:val="0"/>
                <w:sz w:val="14"/>
                <w:szCs w:val="14"/>
              </w:rPr>
              <w:t>其他项目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511,080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40,271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37,171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(33,724)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(40,608)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3,110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2,587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4.92%</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3,453,564</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2,415,434</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(1,643,443)</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(110,678)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(99,919)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4,014,958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127,974</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83,420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20" w:line="240" w:lineRule="auto"/>
        <w:ind w:left="0" w:right="0" w:firstLine="72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tabs>
          <w:tab w:pos="693" w:val="left"/>
        </w:tabs>
        <w:bidi w:val="0"/>
        <w:spacing w:before="0" w:after="260" w:line="240" w:lineRule="auto"/>
        <w:ind w:left="0" w:right="0" w:firstLine="0"/>
        <w:jc w:val="left"/>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92"/>
        <w:keepNext w:val="0"/>
        <w:keepLines w:val="0"/>
        <w:widowControl w:val="0"/>
        <w:shd w:val="clear" w:color="auto" w:fill="auto"/>
        <w:bidi w:val="0"/>
        <w:spacing w:before="0" w:after="320" w:line="240" w:lineRule="auto"/>
        <w:ind w:left="0" w:right="0" w:firstLine="0"/>
        <w:jc w:val="left"/>
        <w:rPr>
          <w:sz w:val="28"/>
          <w:szCs w:val="28"/>
        </w:rPr>
      </w:pPr>
      <w:r>
        <w:rPr>
          <w:color w:val="000000"/>
          <w:spacing w:val="0"/>
          <w:w w:val="100"/>
          <w:position w:val="0"/>
          <w:sz w:val="24"/>
          <w:szCs w:val="24"/>
        </w:rPr>
        <w:t>（16）</w:t>
      </w:r>
      <w:r>
        <w:rPr>
          <w:rFonts w:ascii="SimSun" w:eastAsia="SimSun" w:hAnsi="SimSun" w:cs="SimSun"/>
          <w:b/>
          <w:bCs/>
          <w:color w:val="000000"/>
          <w:spacing w:val="0"/>
          <w:w w:val="100"/>
          <w:position w:val="0"/>
          <w:sz w:val="24"/>
          <w:szCs w:val="24"/>
        </w:rPr>
        <w:t>在建工程</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shd w:val="clear" w:color="auto" w:fill="auto"/>
        <w:tabs>
          <w:tab w:pos="693" w:val="left"/>
        </w:tabs>
        <w:bidi w:val="0"/>
        <w:spacing w:before="0" w:after="320" w:line="240" w:lineRule="auto"/>
        <w:ind w:left="0" w:right="0" w:firstLine="0"/>
        <w:jc w:val="left"/>
        <w:rPr>
          <w:sz w:val="28"/>
          <w:szCs w:val="28"/>
        </w:rPr>
      </w:pPr>
      <w:r>
        <w:rPr>
          <w:color w:val="000000"/>
          <w:spacing w:val="0"/>
          <w:w w:val="100"/>
          <w:position w:val="0"/>
          <w:sz w:val="24"/>
          <w:szCs w:val="24"/>
        </w:rPr>
        <w:t>（a）</w:t>
        <w:tab/>
      </w:r>
      <w:r>
        <w:rPr>
          <w:rFonts w:ascii="SimSun" w:eastAsia="SimSun" w:hAnsi="SimSun" w:cs="SimSun"/>
          <w:color w:val="000000"/>
          <w:spacing w:val="0"/>
          <w:w w:val="100"/>
          <w:position w:val="0"/>
          <w:sz w:val="24"/>
          <w:szCs w:val="24"/>
        </w:rPr>
        <w:t>在建工程</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93" w:val="left"/>
        </w:tabs>
        <w:bidi w:val="0"/>
        <w:spacing w:before="0" w:after="460" w:line="240" w:lineRule="auto"/>
        <w:ind w:left="0" w:right="0" w:firstLine="0"/>
        <w:jc w:val="left"/>
      </w:pPr>
      <w:r>
        <w:rPr>
          <w:rFonts w:ascii="Arial" w:eastAsia="Arial" w:hAnsi="Arial" w:cs="Arial"/>
          <w:color w:val="000000"/>
          <w:spacing w:val="0"/>
          <w:w w:val="100"/>
          <w:position w:val="0"/>
          <w:sz w:val="24"/>
          <w:szCs w:val="24"/>
        </w:rPr>
        <w:t>（ii）</w:t>
        <w:tab/>
      </w:r>
      <w:r>
        <w:rPr>
          <w:color w:val="000000"/>
          <w:spacing w:val="0"/>
          <w:w w:val="100"/>
          <w:position w:val="0"/>
          <w:sz w:val="24"/>
          <w:szCs w:val="24"/>
        </w:rPr>
        <w:t>在建工程减值准备</w:t>
      </w:r>
    </w:p>
    <w:tbl>
      <w:tblPr>
        <w:tblOverlap w:val="never"/>
        <w:jc w:val="center"/>
        <w:tblLayout w:type="fixed"/>
      </w:tblPr>
      <w:tblGrid>
        <w:gridCol w:w="1805"/>
        <w:gridCol w:w="2342"/>
        <w:gridCol w:w="1565"/>
        <w:gridCol w:w="1430"/>
        <w:gridCol w:w="2318"/>
        <w:gridCol w:w="3667"/>
      </w:tblGrid>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本年减少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400" w:firstLine="0"/>
              <w:jc w:val="righ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计提原因</w:t>
            </w: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湖北宗海物流基地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60,744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400" w:firstLine="0"/>
              <w:jc w:val="right"/>
              <w:rPr>
                <w:sz w:val="18"/>
                <w:szCs w:val="18"/>
              </w:rPr>
            </w:pPr>
            <w:r>
              <w:rPr>
                <w:rFonts w:ascii="Arial" w:eastAsia="Arial" w:hAnsi="Arial" w:cs="Arial"/>
                <w:color w:val="000000"/>
                <w:spacing w:val="0"/>
                <w:w w:val="100"/>
                <w:position w:val="0"/>
                <w:sz w:val="18"/>
                <w:szCs w:val="18"/>
              </w:rPr>
              <w:t>60,744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工程停工，评估可收回金额小于账面价值</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沈阳于洪物流基地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104,558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104,558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工程停工，评估可收回金额小于账面价值</w:t>
            </w:r>
          </w:p>
        </w:tc>
      </w:tr>
      <w:tr>
        <w:trPr>
          <w:trHeight w:val="326"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165,302</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165,302</w:t>
            </w:r>
          </w:p>
        </w:tc>
        <w:tc>
          <w:tcPr>
            <w:tcBorders/>
            <w:shd w:val="clear" w:color="auto" w:fill="FFFFFF"/>
            <w:vAlign w:val="top"/>
          </w:tcPr>
          <w:p>
            <w:pPr>
              <w:widowControl w:val="0"/>
              <w:rPr>
                <w:sz w:val="10"/>
                <w:szCs w:val="10"/>
              </w:rPr>
            </w:pPr>
          </w:p>
        </w:tc>
      </w:tr>
    </w:tbl>
    <w:p>
      <w:pPr>
        <w:widowControl w:val="0"/>
        <w:spacing w:after="259" w:line="1" w:lineRule="exact"/>
      </w:pPr>
    </w:p>
    <w:p>
      <w:pPr>
        <w:pStyle w:val="Style72"/>
        <w:keepNext w:val="0"/>
        <w:keepLines w:val="0"/>
        <w:widowControl w:val="0"/>
        <w:shd w:val="clear" w:color="auto" w:fill="auto"/>
        <w:bidi w:val="0"/>
        <w:spacing w:before="0" w:after="280" w:line="310" w:lineRule="exact"/>
        <w:ind w:right="0" w:firstLine="0"/>
        <w:jc w:val="both"/>
        <w:sectPr>
          <w:footnotePr>
            <w:pos w:val="pageBottom"/>
            <w:numFmt w:val="decimal"/>
            <w:numStart w:val="1"/>
            <w:numRestart w:val="continuous"/>
            <w15:footnoteColumns w:val="1"/>
          </w:footnotePr>
          <w:pgSz w:w="16840" w:h="11900" w:orient="landscape"/>
          <w:pgMar w:top="1152" w:right="1289" w:bottom="1738" w:left="1654" w:header="0" w:footer="3" w:gutter="0"/>
          <w:cols w:space="720"/>
          <w:noEndnote/>
          <w:rtlGutter w:val="0"/>
          <w:docGrid w:linePitch="360"/>
        </w:sectPr>
      </w:pPr>
      <w:r>
        <w:rPr>
          <w:rFonts w:ascii="Arial" w:eastAsia="Arial" w:hAnsi="Arial" w:cs="Arial"/>
          <w:color w:val="000000"/>
          <w:spacing w:val="0"/>
          <w:w w:val="100"/>
          <w:position w:val="0"/>
          <w:sz w:val="24"/>
          <w:szCs w:val="24"/>
        </w:rPr>
        <w:t>2021</w:t>
      </w:r>
      <w:r>
        <w:rPr>
          <w:color w:val="000000"/>
          <w:spacing w:val="0"/>
          <w:w w:val="100"/>
          <w:position w:val="0"/>
          <w:sz w:val="24"/>
          <w:szCs w:val="24"/>
        </w:rPr>
        <w:t>年度，由于新冠肺炎疫情的持续影响及相关防控措施，本集团物流分部的部分在建工程因停工而存在减值迹象。本集团将 上述在建工程作为资产组进行减值测试，经比较该资产组的公允价值减去处置费用后的净额和预计未来现金流量的现值后，采 用公允价值减去处置费用后的净额确定相关资产组的可收回金额，并计提减值准备约人民币</w:t>
      </w:r>
      <w:r>
        <w:rPr>
          <w:rFonts w:ascii="Arial" w:eastAsia="Arial" w:hAnsi="Arial" w:cs="Arial"/>
          <w:color w:val="000000"/>
          <w:spacing w:val="0"/>
          <w:w w:val="100"/>
          <w:position w:val="0"/>
          <w:sz w:val="24"/>
          <w:szCs w:val="24"/>
        </w:rPr>
        <w:t>1.65</w:t>
      </w:r>
      <w:r>
        <w:rPr>
          <w:color w:val="000000"/>
          <w:spacing w:val="0"/>
          <w:w w:val="100"/>
          <w:position w:val="0"/>
          <w:sz w:val="24"/>
          <w:szCs w:val="24"/>
        </w:rPr>
        <w:t>亿元。本集团在计算可收回金 额时所采用的税后折现率为</w:t>
      </w:r>
      <w:r>
        <w:rPr>
          <w:rFonts w:ascii="Arial" w:eastAsia="Arial" w:hAnsi="Arial" w:cs="Arial"/>
          <w:color w:val="000000"/>
          <w:spacing w:val="0"/>
          <w:w w:val="100"/>
          <w:position w:val="0"/>
          <w:sz w:val="24"/>
          <w:szCs w:val="24"/>
        </w:rPr>
        <w:t>7.15%-7.33%</w:t>
      </w:r>
      <w:r>
        <w:rPr>
          <w:i/>
          <w:iCs/>
          <w:color w:val="000000"/>
          <w:spacing w:val="0"/>
          <w:w w:val="100"/>
          <w:position w:val="0"/>
          <w:sz w:val="24"/>
          <w:szCs w:val="24"/>
        </w:rPr>
        <w:t>。</w:t>
      </w:r>
    </w:p>
    <w:p>
      <w:pPr>
        <w:pStyle w:val="Style72"/>
        <w:keepNext w:val="0"/>
        <w:keepLines w:val="0"/>
        <w:widowControl w:val="0"/>
        <w:shd w:val="clear" w:color="auto" w:fill="auto"/>
        <w:tabs>
          <w:tab w:pos="706" w:val="left"/>
        </w:tabs>
        <w:bidi w:val="0"/>
        <w:spacing w:before="0" w:after="32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60" w:line="240" w:lineRule="auto"/>
        <w:ind w:left="0" w:right="0" w:firstLine="0"/>
        <w:jc w:val="left"/>
      </w:pPr>
      <w:r>
        <w:rPr>
          <w:rFonts w:ascii="Arial" w:eastAsia="Arial" w:hAnsi="Arial" w:cs="Arial"/>
          <w:color w:val="000000"/>
          <w:spacing w:val="0"/>
          <w:w w:val="100"/>
          <w:position w:val="0"/>
          <w:sz w:val="24"/>
          <w:szCs w:val="24"/>
        </w:rPr>
        <w:t>(17)</w:t>
      </w:r>
      <w:r>
        <w:rPr>
          <w:b/>
          <w:bCs/>
          <w:color w:val="000000"/>
          <w:spacing w:val="0"/>
          <w:w w:val="100"/>
          <w:position w:val="0"/>
          <w:sz w:val="24"/>
          <w:szCs w:val="24"/>
        </w:rPr>
        <w:t>使用权资产</w:t>
      </w:r>
    </w:p>
    <w:p>
      <w:pPr>
        <w:pStyle w:val="Style26"/>
        <w:keepNext w:val="0"/>
        <w:keepLines w:val="0"/>
        <w:widowControl w:val="0"/>
        <w:shd w:val="clear" w:color="auto" w:fill="auto"/>
        <w:tabs>
          <w:tab w:pos="2102" w:val="left"/>
          <w:tab w:pos="3970" w:val="left"/>
        </w:tabs>
        <w:bidi w:val="0"/>
        <w:spacing w:before="0" w:after="0" w:line="240" w:lineRule="auto"/>
        <w:ind w:left="0" w:right="0" w:firstLine="0"/>
        <w:jc w:val="right"/>
        <w:rPr>
          <w:sz w:val="24"/>
          <w:szCs w:val="24"/>
        </w:rPr>
      </w:pPr>
      <w:r>
        <w:rPr>
          <w:color w:val="000000"/>
          <w:spacing w:val="0"/>
          <w:w w:val="100"/>
          <w:position w:val="0"/>
          <w:sz w:val="24"/>
          <w:szCs w:val="24"/>
        </w:rPr>
        <w:t>房屋及建筑物</w:t>
        <w:tab/>
        <w:t>机器设备</w:t>
        <w:tab/>
        <w:t>合计</w:t>
      </w:r>
    </w:p>
    <w:p>
      <w:pPr>
        <w:pStyle w:val="Style2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原价</w:t>
      </w:r>
    </w:p>
    <w:tbl>
      <w:tblPr>
        <w:tblOverlap w:val="never"/>
        <w:jc w:val="center"/>
        <w:tblLayout w:type="fixed"/>
      </w:tblPr>
      <w:tblGrid>
        <w:gridCol w:w="3163"/>
        <w:gridCol w:w="2198"/>
        <w:gridCol w:w="1301"/>
        <w:gridCol w:w="1555"/>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w:t>
            </w:r>
          </w:p>
        </w:tc>
        <w:tc>
          <w:tcPr>
            <w:tcBorders>
              <w:top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3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会计政策变更</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附注二</w:t>
            </w:r>
            <w:r>
              <w:rPr>
                <w:rFonts w:ascii="Arial" w:eastAsia="Arial" w:hAnsi="Arial" w:cs="Arial"/>
                <w:color w:val="000000"/>
                <w:spacing w:val="0"/>
                <w:w w:val="100"/>
                <w:position w:val="0"/>
                <w:sz w:val="24"/>
                <w:szCs w:val="24"/>
              </w:rPr>
              <w:t>(30))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35,119,040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8,088</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35,127,128</w:t>
            </w:r>
          </w:p>
        </w:tc>
      </w:tr>
      <w:tr>
        <w:trPr>
          <w:trHeight w:val="60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35,119,040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8,088</w:t>
            </w:r>
          </w:p>
        </w:tc>
        <w:tc>
          <w:tcPr>
            <w:tcBorders>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35,127,128</w:t>
            </w:r>
          </w:p>
        </w:tc>
      </w:tr>
      <w:tr>
        <w:trPr>
          <w:trHeight w:val="629"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322" w:lineRule="exact"/>
              <w:ind w:left="0" w:right="0" w:firstLine="200"/>
              <w:jc w:val="left"/>
              <w:rPr>
                <w:sz w:val="24"/>
                <w:szCs w:val="24"/>
              </w:rPr>
            </w:pPr>
            <w:r>
              <w:rPr>
                <w:rFonts w:ascii="SimSun" w:eastAsia="SimSun" w:hAnsi="SimSun" w:cs="SimSun"/>
                <w:color w:val="000000"/>
                <w:spacing w:val="0"/>
                <w:w w:val="100"/>
                <w:position w:val="0"/>
                <w:sz w:val="24"/>
                <w:szCs w:val="24"/>
              </w:rPr>
              <w:t>新增租赁合同 本年减少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8,037,787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w:t>
            </w:r>
          </w:p>
        </w:tc>
        <w:tc>
          <w:tcPr>
            <w:tcBorders>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8,037,787</w:t>
            </w:r>
          </w:p>
        </w:tc>
      </w:tr>
      <w:tr>
        <w:trPr>
          <w:trHeight w:val="331"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租赁变更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(10,621,985)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(886)</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Fonts w:ascii="Arial" w:eastAsia="Arial" w:hAnsi="Arial" w:cs="Arial"/>
                <w:color w:val="000000"/>
                <w:spacing w:val="0"/>
                <w:w w:val="100"/>
                <w:position w:val="0"/>
                <w:sz w:val="24"/>
                <w:szCs w:val="24"/>
              </w:rPr>
              <w:t>(10,622,871)</w:t>
            </w:r>
          </w:p>
        </w:tc>
      </w:tr>
      <w:tr>
        <w:trPr>
          <w:trHeight w:val="293" w:hRule="exact"/>
        </w:trPr>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32,534,842</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7,202</w:t>
            </w:r>
          </w:p>
        </w:tc>
        <w:tc>
          <w:tcPr>
            <w:tcBorders>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32,542,044</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累计折旧</w:t>
      </w:r>
    </w:p>
    <w:tbl>
      <w:tblPr>
        <w:tblOverlap w:val="never"/>
        <w:jc w:val="right"/>
        <w:tblLayout w:type="fixed"/>
      </w:tblPr>
      <w:tblGrid>
        <w:gridCol w:w="3221"/>
        <w:gridCol w:w="2093"/>
        <w:gridCol w:w="1402"/>
        <w:gridCol w:w="1502"/>
      </w:tblGrid>
      <w:tr>
        <w:trPr>
          <w:trHeight w:val="31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24"/>
                <w:szCs w:val="24"/>
              </w:rPr>
            </w:pPr>
            <w:r>
              <w:rPr>
                <w:rFonts w:ascii="Arial" w:eastAsia="Arial" w:hAnsi="Arial" w:cs="Arial"/>
                <w:color w:val="000000"/>
                <w:spacing w:val="0"/>
                <w:w w:val="100"/>
                <w:position w:val="0"/>
                <w:sz w:val="24"/>
                <w:szCs w:val="24"/>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00" w:firstLine="0"/>
              <w:jc w:val="right"/>
              <w:rPr>
                <w:sz w:val="24"/>
                <w:szCs w:val="24"/>
              </w:rPr>
            </w:pPr>
            <w:r>
              <w:rPr>
                <w:rFonts w:ascii="Arial" w:eastAsia="Arial" w:hAnsi="Arial" w:cs="Arial"/>
                <w:color w:val="000000"/>
                <w:spacing w:val="0"/>
                <w:w w:val="100"/>
                <w:position w:val="0"/>
                <w:sz w:val="24"/>
                <w:szCs w:val="24"/>
              </w:rPr>
              <w:t>—</w:t>
            </w:r>
          </w:p>
        </w:tc>
        <w:tc>
          <w:tcPr>
            <w:tcBorders>
              <w:top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31"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会计政策变更</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附注二</w:t>
            </w:r>
            <w:r>
              <w:rPr>
                <w:rFonts w:ascii="Arial" w:eastAsia="Arial" w:hAnsi="Arial" w:cs="Arial"/>
                <w:color w:val="000000"/>
                <w:spacing w:val="0"/>
                <w:w w:val="100"/>
                <w:position w:val="0"/>
                <w:sz w:val="24"/>
                <w:szCs w:val="24"/>
              </w:rPr>
              <w:t>(30))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rPr>
              <w:t>-</w:t>
            </w:r>
          </w:p>
        </w:tc>
        <w:tc>
          <w:tcPr>
            <w:tcBorders>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624"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rPr>
              <w:t>-</w:t>
            </w:r>
          </w:p>
        </w:tc>
        <w:tc>
          <w:tcPr>
            <w:tcBorders>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61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center"/>
              <w:rPr>
                <w:sz w:val="24"/>
                <w:szCs w:val="24"/>
              </w:rPr>
            </w:pPr>
            <w:r>
              <w:rPr>
                <w:rFonts w:ascii="SimSun" w:eastAsia="SimSun" w:hAnsi="SimSun" w:cs="SimSun"/>
                <w:color w:val="000000"/>
                <w:spacing w:val="0"/>
                <w:w w:val="100"/>
                <w:position w:val="0"/>
                <w:sz w:val="24"/>
                <w:szCs w:val="24"/>
              </w:rPr>
              <w:t>计提 本年减少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(5,235,711)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4"/>
                <w:szCs w:val="24"/>
              </w:rPr>
            </w:pPr>
            <w:r>
              <w:rPr>
                <w:rFonts w:ascii="Arial" w:eastAsia="Arial" w:hAnsi="Arial" w:cs="Arial"/>
                <w:color w:val="000000"/>
                <w:spacing w:val="0"/>
                <w:w w:val="100"/>
                <w:position w:val="0"/>
                <w:sz w:val="24"/>
                <w:szCs w:val="24"/>
              </w:rPr>
              <w:t>(1,338)</w:t>
            </w:r>
          </w:p>
        </w:tc>
        <w:tc>
          <w:tcPr>
            <w:tcBorders>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4"/>
                <w:szCs w:val="24"/>
              </w:rPr>
            </w:pPr>
            <w:r>
              <w:rPr>
                <w:rFonts w:ascii="Arial" w:eastAsia="Arial" w:hAnsi="Arial" w:cs="Arial"/>
                <w:color w:val="000000"/>
                <w:spacing w:val="0"/>
                <w:w w:val="100"/>
                <w:position w:val="0"/>
                <w:sz w:val="24"/>
                <w:szCs w:val="24"/>
              </w:rPr>
              <w:t>(5,237,049)</w:t>
            </w:r>
          </w:p>
        </w:tc>
      </w:tr>
      <w:tr>
        <w:trPr>
          <w:trHeight w:val="312"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租赁变更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126,039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24"/>
                <w:szCs w:val="24"/>
              </w:rPr>
            </w:pPr>
            <w:r>
              <w:rPr>
                <w:rFonts w:ascii="Arial" w:eastAsia="Arial" w:hAnsi="Arial" w:cs="Arial"/>
                <w:color w:val="000000"/>
                <w:spacing w:val="0"/>
                <w:w w:val="100"/>
                <w:position w:val="0"/>
                <w:sz w:val="24"/>
                <w:szCs w:val="24"/>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126,039</w:t>
            </w:r>
          </w:p>
        </w:tc>
      </w:tr>
      <w:tr>
        <w:trPr>
          <w:trHeight w:val="312"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(5,109,672)</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4"/>
                <w:szCs w:val="24"/>
              </w:rPr>
            </w:pPr>
            <w:r>
              <w:rPr>
                <w:rFonts w:ascii="Arial" w:eastAsia="Arial" w:hAnsi="Arial" w:cs="Arial"/>
                <w:color w:val="000000"/>
                <w:spacing w:val="0"/>
                <w:w w:val="100"/>
                <w:position w:val="0"/>
                <w:sz w:val="24"/>
                <w:szCs w:val="24"/>
              </w:rPr>
              <w:t>(1,338)</w:t>
            </w:r>
          </w:p>
        </w:tc>
        <w:tc>
          <w:tcPr>
            <w:tcBorders>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4"/>
                <w:szCs w:val="24"/>
              </w:rPr>
            </w:pPr>
            <w:r>
              <w:rPr>
                <w:rFonts w:ascii="Arial" w:eastAsia="Arial" w:hAnsi="Arial" w:cs="Arial"/>
                <w:color w:val="000000"/>
                <w:spacing w:val="0"/>
                <w:w w:val="100"/>
                <w:position w:val="0"/>
                <w:sz w:val="24"/>
                <w:szCs w:val="24"/>
              </w:rPr>
              <w:t>(5,111,010)</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减值准备</w:t>
      </w:r>
    </w:p>
    <w:tbl>
      <w:tblPr>
        <w:tblOverlap w:val="never"/>
        <w:jc w:val="right"/>
        <w:tblLayout w:type="fixed"/>
      </w:tblPr>
      <w:tblGrid>
        <w:gridCol w:w="3216"/>
        <w:gridCol w:w="2352"/>
        <w:gridCol w:w="1099"/>
        <w:gridCol w:w="1550"/>
      </w:tblGrid>
      <w:tr>
        <w:trPr>
          <w:trHeight w:val="317"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tabs>
                <w:tab w:pos="4574" w:val="left"/>
                <w:tab w:pos="6134" w:val="left"/>
                <w:tab w:pos="7829" w:val="left"/>
              </w:tabs>
              <w:bidi w:val="0"/>
              <w:spacing w:before="0" w:after="0" w:line="240" w:lineRule="auto"/>
              <w:ind w:left="0" w:right="0" w:firstLine="0"/>
              <w:jc w:val="left"/>
              <w:rPr>
                <w:sz w:val="28"/>
                <w:szCs w:val="28"/>
              </w:rPr>
            </w:pPr>
            <w:r>
              <w:rPr>
                <w:rFonts w:ascii="Arial" w:eastAsia="Arial" w:hAnsi="Arial" w:cs="Arial"/>
                <w:color w:val="000000"/>
                <w:spacing w:val="0"/>
                <w:w w:val="100"/>
                <w:position w:val="0"/>
                <w:sz w:val="24"/>
                <w:szCs w:val="24"/>
              </w:rPr>
              <w:t xml:space="preserve">2020 </w:t>
            </w:r>
            <w:r>
              <w:rPr>
                <w:rFonts w:ascii="SimSun" w:eastAsia="SimSun" w:hAnsi="SimSun" w:cs="SimSun"/>
                <w:color w:val="000000"/>
                <w:spacing w:val="0"/>
                <w:w w:val="100"/>
                <w:position w:val="0"/>
                <w:sz w:val="24"/>
                <w:szCs w:val="24"/>
              </w:rPr>
              <w:t xml:space="preserve">年 </w:t>
            </w:r>
            <w:r>
              <w:rPr>
                <w:rFonts w:ascii="Arial" w:eastAsia="Arial" w:hAnsi="Arial" w:cs="Arial"/>
                <w:color w:val="000000"/>
                <w:spacing w:val="0"/>
                <w:w w:val="100"/>
                <w:position w:val="0"/>
                <w:sz w:val="24"/>
                <w:szCs w:val="24"/>
              </w:rPr>
              <w:t xml:space="preserve">12 </w:t>
            </w:r>
            <w:r>
              <w:rPr>
                <w:rFonts w:ascii="SimSun" w:eastAsia="SimSun" w:hAnsi="SimSun" w:cs="SimSun"/>
                <w:color w:val="000000"/>
                <w:spacing w:val="0"/>
                <w:w w:val="100"/>
                <w:position w:val="0"/>
                <w:sz w:val="24"/>
                <w:szCs w:val="24"/>
              </w:rPr>
              <w:t xml:space="preserve">月 </w:t>
            </w:r>
            <w:r>
              <w:rPr>
                <w:rFonts w:ascii="Arial" w:eastAsia="Arial" w:hAnsi="Arial" w:cs="Arial"/>
                <w:color w:val="000000"/>
                <w:spacing w:val="0"/>
                <w:w w:val="100"/>
                <w:position w:val="0"/>
                <w:sz w:val="24"/>
                <w:szCs w:val="24"/>
              </w:rPr>
              <w:t xml:space="preserve">31 </w:t>
            </w:r>
            <w:r>
              <w:rPr>
                <w:rFonts w:ascii="SimSun" w:eastAsia="SimSun" w:hAnsi="SimSun" w:cs="SimSun"/>
                <w:color w:val="000000"/>
                <w:spacing w:val="0"/>
                <w:w w:val="100"/>
                <w:position w:val="0"/>
                <w:sz w:val="24"/>
                <w:szCs w:val="24"/>
              </w:rPr>
              <w:t>日</w:t>
              <w:tab/>
            </w:r>
            <w:r>
              <w:rPr>
                <w:rFonts w:ascii="SimSun" w:eastAsia="SimSun" w:hAnsi="SimSun" w:cs="SimSun"/>
                <w:color w:val="000000"/>
                <w:spacing w:val="0"/>
                <w:w w:val="100"/>
                <w:position w:val="0"/>
                <w:sz w:val="28"/>
                <w:szCs w:val="28"/>
              </w:rPr>
              <w:t>一</w:t>
            </w:r>
            <w:r>
              <w:rPr>
                <w:rFonts w:ascii="Arial" w:eastAsia="Arial" w:hAnsi="Arial" w:cs="Arial"/>
                <w:color w:val="000000"/>
                <w:spacing w:val="0"/>
                <w:w w:val="100"/>
                <w:position w:val="0"/>
                <w:sz w:val="24"/>
                <w:szCs w:val="24"/>
              </w:rPr>
              <w:tab/>
            </w:r>
            <w:r>
              <w:rPr>
                <w:rFonts w:ascii="SimSun" w:eastAsia="SimSun" w:hAnsi="SimSun" w:cs="SimSun"/>
                <w:color w:val="000000"/>
                <w:spacing w:val="0"/>
                <w:w w:val="100"/>
                <w:position w:val="0"/>
                <w:sz w:val="28"/>
                <w:szCs w:val="28"/>
              </w:rPr>
              <w:t>一</w:t>
            </w:r>
            <w:r>
              <w:rPr>
                <w:rFonts w:ascii="Arial" w:eastAsia="Arial" w:hAnsi="Arial" w:cs="Arial"/>
                <w:color w:val="000000"/>
                <w:spacing w:val="0"/>
                <w:w w:val="100"/>
                <w:position w:val="0"/>
                <w:sz w:val="24"/>
                <w:szCs w:val="24"/>
              </w:rPr>
              <w:tab/>
            </w:r>
            <w:r>
              <w:rPr>
                <w:rFonts w:ascii="SimSun" w:eastAsia="SimSun" w:hAnsi="SimSun" w:cs="SimSun"/>
                <w:color w:val="000000"/>
                <w:spacing w:val="0"/>
                <w:w w:val="100"/>
                <w:position w:val="0"/>
                <w:sz w:val="28"/>
                <w:szCs w:val="28"/>
              </w:rPr>
              <w:t>一</w:t>
            </w:r>
          </w:p>
        </w:tc>
      </w:tr>
      <w:tr>
        <w:trPr>
          <w:trHeight w:val="331"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会计政策变更</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附注二</w:t>
            </w:r>
            <w:r>
              <w:rPr>
                <w:rFonts w:ascii="Arial" w:eastAsia="Arial" w:hAnsi="Arial" w:cs="Arial"/>
                <w:color w:val="000000"/>
                <w:spacing w:val="0"/>
                <w:w w:val="100"/>
                <w:position w:val="0"/>
                <w:sz w:val="24"/>
                <w:szCs w:val="24"/>
              </w:rPr>
              <w:t>(30))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w:t>
            </w:r>
          </w:p>
        </w:tc>
        <w:tc>
          <w:tcPr>
            <w:tcBorders>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624"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w:t>
            </w:r>
          </w:p>
        </w:tc>
        <w:tc>
          <w:tcPr>
            <w:tcBorders>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26"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计提</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(3,878,622)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w:t>
            </w:r>
          </w:p>
        </w:tc>
        <w:tc>
          <w:tcPr>
            <w:tcBorders>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(3,878,622)</w:t>
            </w:r>
          </w:p>
        </w:tc>
      </w:tr>
      <w:tr>
        <w:trPr>
          <w:trHeight w:val="293" w:hRule="exact"/>
        </w:trPr>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(3,878,622)</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w:t>
            </w:r>
          </w:p>
        </w:tc>
        <w:tc>
          <w:tcPr>
            <w:tcBorders>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(3,878,622)</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账面价值</w:t>
      </w:r>
    </w:p>
    <w:tbl>
      <w:tblPr>
        <w:tblOverlap w:val="never"/>
        <w:jc w:val="right"/>
        <w:tblLayout w:type="fixed"/>
      </w:tblPr>
      <w:tblGrid>
        <w:gridCol w:w="1834"/>
        <w:gridCol w:w="1022"/>
        <w:gridCol w:w="2467"/>
        <w:gridCol w:w="1325"/>
        <w:gridCol w:w="1570"/>
      </w:tblGrid>
      <w:tr>
        <w:trPr>
          <w:trHeight w:val="31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2021 </w:t>
            </w:r>
            <w:r>
              <w:rPr>
                <w:rFonts w:ascii="SimSun" w:eastAsia="SimSun" w:hAnsi="SimSun" w:cs="SimSun"/>
                <w:color w:val="000000"/>
                <w:spacing w:val="0"/>
                <w:w w:val="100"/>
                <w:position w:val="0"/>
                <w:sz w:val="24"/>
                <w:szCs w:val="24"/>
              </w:rPr>
              <w:t xml:space="preserve">年 </w:t>
            </w:r>
            <w:r>
              <w:rPr>
                <w:rFonts w:ascii="Arial" w:eastAsia="Arial" w:hAnsi="Arial" w:cs="Arial"/>
                <w:color w:val="000000"/>
                <w:spacing w:val="0"/>
                <w:w w:val="100"/>
                <w:position w:val="0"/>
                <w:sz w:val="24"/>
                <w:szCs w:val="24"/>
              </w:rPr>
              <w:t xml:space="preserve">12 </w:t>
            </w:r>
            <w:r>
              <w:rPr>
                <w:rFonts w:ascii="SimSun" w:eastAsia="SimSun" w:hAnsi="SimSun" w:cs="SimSun"/>
                <w:color w:val="000000"/>
                <w:spacing w:val="0"/>
                <w:w w:val="100"/>
                <w:position w:val="0"/>
                <w:sz w:val="24"/>
                <w:szCs w:val="24"/>
              </w:rPr>
              <w:t xml:space="preserve">月 </w:t>
            </w:r>
            <w:r>
              <w:rPr>
                <w:rFonts w:ascii="Arial" w:eastAsia="Arial" w:hAnsi="Arial" w:cs="Arial"/>
                <w:color w:val="000000"/>
                <w:spacing w:val="0"/>
                <w:w w:val="100"/>
                <w:position w:val="0"/>
                <w:sz w:val="24"/>
                <w:szCs w:val="24"/>
              </w:rPr>
              <w:t>31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日</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23,546,548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5,864</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23,552,412</w:t>
            </w:r>
          </w:p>
        </w:tc>
      </w:tr>
      <w:tr>
        <w:trPr>
          <w:trHeight w:val="331"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2020 </w:t>
            </w:r>
            <w:r>
              <w:rPr>
                <w:rFonts w:ascii="SimSun" w:eastAsia="SimSun" w:hAnsi="SimSun" w:cs="SimSun"/>
                <w:color w:val="000000"/>
                <w:spacing w:val="0"/>
                <w:w w:val="100"/>
                <w:position w:val="0"/>
                <w:sz w:val="24"/>
                <w:szCs w:val="24"/>
              </w:rPr>
              <w:t xml:space="preserve">年 </w:t>
            </w:r>
            <w:r>
              <w:rPr>
                <w:rFonts w:ascii="Arial" w:eastAsia="Arial" w:hAnsi="Arial" w:cs="Arial"/>
                <w:color w:val="000000"/>
                <w:spacing w:val="0"/>
                <w:w w:val="100"/>
                <w:position w:val="0"/>
                <w:sz w:val="24"/>
                <w:szCs w:val="24"/>
              </w:rPr>
              <w:t xml:space="preserve">12 </w:t>
            </w:r>
            <w:r>
              <w:rPr>
                <w:rFonts w:ascii="SimSun" w:eastAsia="SimSun" w:hAnsi="SimSun" w:cs="SimSun"/>
                <w:color w:val="000000"/>
                <w:spacing w:val="0"/>
                <w:w w:val="100"/>
                <w:position w:val="0"/>
                <w:sz w:val="24"/>
                <w:szCs w:val="24"/>
              </w:rPr>
              <w:t xml:space="preserve">月 </w:t>
            </w:r>
            <w:r>
              <w:rPr>
                <w:rFonts w:ascii="Arial" w:eastAsia="Arial" w:hAnsi="Arial" w:cs="Arial"/>
                <w:color w:val="000000"/>
                <w:spacing w:val="0"/>
                <w:w w:val="100"/>
                <w:position w:val="0"/>
                <w:sz w:val="24"/>
                <w:szCs w:val="24"/>
              </w:rPr>
              <w:t>31</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日</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rPr>
                <w:sz w:val="24"/>
                <w:szCs w:val="24"/>
              </w:rPr>
            </w:pPr>
            <w:r>
              <w:rPr>
                <w:rFonts w:ascii="Arial" w:eastAsia="Arial" w:hAnsi="Arial" w:cs="Arial"/>
                <w:color w:val="000000"/>
                <w:spacing w:val="0"/>
                <w:w w:val="100"/>
                <w:position w:val="0"/>
                <w:sz w:val="24"/>
                <w:szCs w:val="24"/>
              </w:rPr>
              <w:t>—</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24"/>
                <w:szCs w:val="24"/>
              </w:rPr>
            </w:pPr>
            <w:r>
              <w:rPr>
                <w:rFonts w:ascii="Arial" w:eastAsia="Arial" w:hAnsi="Arial" w:cs="Arial"/>
                <w:color w:val="000000"/>
                <w:spacing w:val="0"/>
                <w:w w:val="100"/>
                <w:position w:val="0"/>
                <w:sz w:val="24"/>
                <w:szCs w:val="24"/>
              </w:rPr>
              <w:t>—</w:t>
            </w:r>
          </w:p>
        </w:tc>
        <w:tc>
          <w:tcPr>
            <w:tcBorders>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bl>
    <w:p>
      <w:pPr>
        <w:sectPr>
          <w:footnotePr>
            <w:pos w:val="pageBottom"/>
            <w:numFmt w:val="decimal"/>
            <w:numStart w:val="1"/>
            <w:numRestart w:val="continuous"/>
            <w15:footnoteColumns w:val="1"/>
          </w:footnotePr>
          <w:pgSz w:w="11900" w:h="16840"/>
          <w:pgMar w:top="2410" w:right="1528" w:bottom="2410" w:left="1420" w:header="0" w:footer="3" w:gutter="0"/>
          <w:cols w:space="720"/>
          <w:noEndnote/>
          <w:rtlGutter w:val="0"/>
          <w:docGrid w:linePitch="360"/>
        </w:sectPr>
      </w:pPr>
    </w:p>
    <w:p>
      <w:pPr>
        <w:pStyle w:val="Style72"/>
        <w:keepNext w:val="0"/>
        <w:keepLines w:val="0"/>
        <w:widowControl w:val="0"/>
        <w:shd w:val="clear" w:color="auto" w:fill="auto"/>
        <w:tabs>
          <w:tab w:pos="701" w:val="left"/>
        </w:tabs>
        <w:bidi w:val="0"/>
        <w:spacing w:before="0" w:after="28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numPr>
          <w:ilvl w:val="0"/>
          <w:numId w:val="89"/>
        </w:numPr>
        <w:shd w:val="clear" w:color="auto" w:fill="auto"/>
        <w:tabs>
          <w:tab w:pos="701" w:val="left"/>
        </w:tabs>
        <w:bidi w:val="0"/>
        <w:spacing w:before="0" w:after="280"/>
        <w:ind w:left="0" w:right="0" w:firstLine="0"/>
        <w:jc w:val="left"/>
        <w:rPr>
          <w:sz w:val="28"/>
          <w:szCs w:val="28"/>
        </w:rPr>
      </w:pPr>
      <w:bookmarkStart w:id="926" w:name="bookmark926"/>
      <w:bookmarkEnd w:id="926"/>
      <w:r>
        <w:rPr>
          <w:rFonts w:ascii="SimSun" w:eastAsia="SimSun" w:hAnsi="SimSun" w:cs="SimSun"/>
          <w:b/>
          <w:bCs/>
          <w:color w:val="000000"/>
          <w:spacing w:val="0"/>
          <w:w w:val="100"/>
          <w:position w:val="0"/>
          <w:sz w:val="24"/>
          <w:szCs w:val="24"/>
        </w:rPr>
        <w:t>使用权资产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280" w:line="312" w:lineRule="exact"/>
        <w:ind w:left="700" w:right="0" w:firstLine="2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年度，由于新冠肺炎疫情的持续影响及相关防控措施和本集团面临的流动性问题，本集团零售分部与物 流分部业绩未达预期，部分使用权资产存在减值迹象。本集团将上述使用权资产所属门店或公司作为资产组进 行减值测试，经比较该资产组的公允价值减去处置费用后的净额和预计未来现金流量的现值后，采用预计未来 现金流量的现值确定相关资产组的可收回金额，零售分部与物流运配分部分别计提减值准备约人民币</w:t>
      </w:r>
      <w:r>
        <w:rPr>
          <w:rFonts w:ascii="Arial" w:eastAsia="Arial" w:hAnsi="Arial" w:cs="Arial"/>
          <w:color w:val="000000"/>
          <w:spacing w:val="0"/>
          <w:w w:val="100"/>
          <w:position w:val="0"/>
          <w:sz w:val="24"/>
          <w:szCs w:val="24"/>
        </w:rPr>
        <w:t xml:space="preserve">28.75 </w:t>
      </w:r>
      <w:r>
        <w:rPr>
          <w:color w:val="000000"/>
          <w:spacing w:val="0"/>
          <w:w w:val="100"/>
          <w:position w:val="0"/>
          <w:sz w:val="24"/>
          <w:szCs w:val="24"/>
        </w:rPr>
        <w:t>亿元与</w:t>
      </w:r>
      <w:r>
        <w:rPr>
          <w:rFonts w:ascii="Arial" w:eastAsia="Arial" w:hAnsi="Arial" w:cs="Arial"/>
          <w:color w:val="000000"/>
          <w:spacing w:val="0"/>
          <w:w w:val="100"/>
          <w:position w:val="0"/>
          <w:sz w:val="24"/>
          <w:szCs w:val="24"/>
        </w:rPr>
        <w:t>10.04</w:t>
      </w:r>
      <w:r>
        <w:rPr>
          <w:color w:val="000000"/>
          <w:spacing w:val="0"/>
          <w:w w:val="100"/>
          <w:position w:val="0"/>
          <w:sz w:val="24"/>
          <w:szCs w:val="24"/>
        </w:rPr>
        <w:t>亿元。本集团在计算可收回金额时所采用的税前折现率区间为</w:t>
      </w:r>
      <w:r>
        <w:rPr>
          <w:rFonts w:ascii="Arial" w:eastAsia="Arial" w:hAnsi="Arial" w:cs="Arial"/>
          <w:color w:val="000000"/>
          <w:spacing w:val="0"/>
          <w:w w:val="100"/>
          <w:position w:val="0"/>
          <w:sz w:val="24"/>
          <w:szCs w:val="24"/>
        </w:rPr>
        <w:t>11.13%</w:t>
      </w:r>
      <w:r>
        <w:rPr>
          <w:color w:val="000000"/>
          <w:spacing w:val="0"/>
          <w:w w:val="100"/>
          <w:position w:val="0"/>
          <w:sz w:val="24"/>
          <w:szCs w:val="24"/>
        </w:rPr>
        <w:t>至</w:t>
      </w:r>
      <w:r>
        <w:rPr>
          <w:rFonts w:ascii="Arial" w:eastAsia="Arial" w:hAnsi="Arial" w:cs="Arial"/>
          <w:color w:val="000000"/>
          <w:spacing w:val="0"/>
          <w:w w:val="100"/>
          <w:position w:val="0"/>
          <w:sz w:val="24"/>
          <w:szCs w:val="24"/>
        </w:rPr>
        <w:t>15.81%</w:t>
      </w:r>
      <w:r>
        <w:rPr>
          <w:color w:val="000000"/>
          <w:spacing w:val="0"/>
          <w:w w:val="100"/>
          <w:position w:val="0"/>
          <w:sz w:val="24"/>
          <w:szCs w:val="24"/>
        </w:rPr>
        <w:t>。</w:t>
      </w:r>
    </w:p>
    <w:p>
      <w:pPr>
        <w:pStyle w:val="Style72"/>
        <w:keepNext w:val="0"/>
        <w:keepLines w:val="0"/>
        <w:widowControl w:val="0"/>
        <w:numPr>
          <w:ilvl w:val="0"/>
          <w:numId w:val="89"/>
        </w:numPr>
        <w:shd w:val="clear" w:color="auto" w:fill="auto"/>
        <w:tabs>
          <w:tab w:pos="701" w:val="left"/>
        </w:tabs>
        <w:bidi w:val="0"/>
        <w:spacing w:before="0" w:after="280" w:line="240" w:lineRule="auto"/>
        <w:ind w:left="0" w:right="0" w:firstLine="0"/>
        <w:jc w:val="left"/>
      </w:pPr>
      <w:bookmarkStart w:id="927" w:name="bookmark927"/>
      <w:bookmarkEnd w:id="927"/>
      <w:r>
        <w:rPr>
          <w:b/>
          <w:bCs/>
          <w:color w:val="000000"/>
          <w:spacing w:val="0"/>
          <w:w w:val="100"/>
          <w:position w:val="0"/>
          <w:sz w:val="24"/>
          <w:szCs w:val="24"/>
        </w:rPr>
        <w:t>无形资产</w:t>
      </w:r>
    </w:p>
    <w:p>
      <w:pPr>
        <w:pStyle w:val="Style55"/>
        <w:keepNext w:val="0"/>
        <w:keepLines w:val="0"/>
        <w:widowControl w:val="0"/>
        <w:shd w:val="clear" w:color="auto" w:fill="auto"/>
        <w:tabs>
          <w:tab w:pos="9617" w:val="left"/>
        </w:tabs>
        <w:bidi w:val="0"/>
        <w:spacing w:before="0" w:after="0" w:line="240" w:lineRule="auto"/>
        <w:ind w:left="8100" w:right="0" w:firstLine="0"/>
        <w:jc w:val="left"/>
      </w:pPr>
      <w:r>
        <w:rPr>
          <w:color w:val="000000"/>
          <w:spacing w:val="0"/>
          <w:w w:val="100"/>
          <w:position w:val="0"/>
        </w:rPr>
        <w:t>客户关系类</w:t>
        <w:tab/>
        <w:t>优惠承租权</w:t>
      </w:r>
    </w:p>
    <w:p>
      <w:pPr>
        <w:pStyle w:val="Style55"/>
        <w:keepNext w:val="0"/>
        <w:keepLines w:val="0"/>
        <w:widowControl w:val="0"/>
        <w:shd w:val="clear" w:color="auto" w:fill="auto"/>
        <w:tabs>
          <w:tab w:pos="2030" w:val="left"/>
          <w:tab w:pos="3024" w:val="left"/>
          <w:tab w:pos="4733" w:val="left"/>
          <w:tab w:pos="6005" w:val="left"/>
          <w:tab w:pos="8150" w:val="left"/>
        </w:tabs>
        <w:bidi w:val="0"/>
        <w:spacing w:before="0" w:after="280" w:line="240" w:lineRule="auto"/>
        <w:ind w:left="0" w:right="0" w:firstLine="0"/>
        <w:jc w:val="right"/>
      </w:pPr>
      <w:r>
        <w:rPr>
          <w:color w:val="000000"/>
          <w:spacing w:val="0"/>
          <w:w w:val="100"/>
          <w:position w:val="0"/>
        </w:rPr>
        <w:t>土地使用权</w:t>
        <w:tab/>
        <w:t>软件</w:t>
        <w:tab/>
        <w:t>商标及域名</w:t>
        <w:tab/>
        <w:t>无形资产</w:t>
        <w:tab/>
      </w:r>
      <w:r>
        <w:rPr>
          <w:color w:val="000000"/>
          <w:spacing w:val="0"/>
          <w:w w:val="100"/>
          <w:position w:val="0"/>
          <w:sz w:val="22"/>
          <w:szCs w:val="22"/>
        </w:rPr>
        <w:t>(</w:t>
      </w:r>
      <w:r>
        <w:rPr>
          <w:color w:val="000000"/>
          <w:spacing w:val="0"/>
          <w:w w:val="100"/>
          <w:position w:val="0"/>
        </w:rPr>
        <w:t>附注二</w:t>
      </w:r>
      <w:r>
        <w:rPr>
          <w:rFonts w:ascii="Arial" w:eastAsia="Arial" w:hAnsi="Arial" w:cs="Arial"/>
          <w:color w:val="000000"/>
          <w:spacing w:val="0"/>
          <w:w w:val="100"/>
          <w:position w:val="0"/>
        </w:rPr>
        <w:t>(30))</w:t>
        <w:tab/>
      </w:r>
      <w:r>
        <w:rPr>
          <w:color w:val="000000"/>
          <w:spacing w:val="0"/>
          <w:w w:val="100"/>
          <w:position w:val="0"/>
        </w:rPr>
        <w:t>合计</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原价</w:t>
      </w:r>
    </w:p>
    <w:tbl>
      <w:tblPr>
        <w:tblOverlap w:val="never"/>
        <w:jc w:val="center"/>
        <w:tblLayout w:type="fixed"/>
      </w:tblPr>
      <w:tblGrid>
        <w:gridCol w:w="2419"/>
        <w:gridCol w:w="1642"/>
        <w:gridCol w:w="1526"/>
        <w:gridCol w:w="1526"/>
        <w:gridCol w:w="1502"/>
        <w:gridCol w:w="1512"/>
        <w:gridCol w:w="1301"/>
      </w:tblGrid>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10,500,170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1,954,051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1,952,866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3,395,206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1,349,329</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19,151,622</w:t>
            </w:r>
          </w:p>
        </w:tc>
      </w:tr>
      <w:tr>
        <w:trPr>
          <w:trHeight w:val="26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会计政策变更</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附注二</w:t>
            </w:r>
            <w:r>
              <w:rPr>
                <w:rFonts w:ascii="Arial" w:eastAsia="Arial" w:hAnsi="Arial" w:cs="Arial"/>
                <w:color w:val="000000"/>
                <w:spacing w:val="0"/>
                <w:w w:val="100"/>
                <w:position w:val="0"/>
                <w:sz w:val="18"/>
                <w:szCs w:val="18"/>
              </w:rPr>
              <w:t>(30))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(1,349,329)</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(1,349,329)</w:t>
            </w: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10,500,170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1,954,051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1,952,866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3,395,206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17,802,293</w:t>
            </w: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本年增加</w:t>
            </w:r>
          </w:p>
        </w:tc>
        <w:tc>
          <w:tcPr>
            <w:gridSpan w:val="6"/>
            <w:tcBorders>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购置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58,088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53,372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111,460</w:t>
            </w:r>
          </w:p>
        </w:tc>
      </w:tr>
      <w:tr>
        <w:trPr>
          <w:trHeight w:val="24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开发支出转入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7,532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7,532</w:t>
            </w:r>
          </w:p>
        </w:tc>
      </w:tr>
      <w:tr>
        <w:trPr>
          <w:trHeight w:val="24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本年减少</w:t>
            </w:r>
          </w:p>
        </w:tc>
        <w:tc>
          <w:tcPr>
            <w:gridSpan w:val="6"/>
            <w:tcBorders>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处置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(20,093)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(256,824)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(276,917)</w:t>
            </w: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处置子公司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(999,390)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(999,390)</w:t>
            </w:r>
          </w:p>
        </w:tc>
      </w:tr>
      <w:tr>
        <w:trPr>
          <w:trHeight w:val="26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本年外币报表折算差异</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(370)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Arial" w:eastAsia="Arial" w:hAnsi="Arial" w:cs="Arial"/>
                <w:color w:val="000000"/>
                <w:spacing w:val="0"/>
                <w:w w:val="100"/>
                <w:position w:val="0"/>
                <w:sz w:val="18"/>
                <w:szCs w:val="18"/>
              </w:rPr>
              <w:t>(84)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(454)</w:t>
            </w:r>
          </w:p>
        </w:tc>
      </w:tr>
      <w:tr>
        <w:trPr>
          <w:trHeight w:val="240" w:hRule="exact"/>
        </w:trPr>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9,538,775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1,758,131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1,952,496</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3,395,122</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rPr>
              <w:t>-</w:t>
            </w:r>
          </w:p>
        </w:tc>
        <w:tc>
          <w:tcPr>
            <w:tcBorders>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16,644,524</w:t>
            </w:r>
          </w:p>
        </w:tc>
      </w:tr>
    </w:tbl>
    <w:p>
      <w:pPr>
        <w:pStyle w:val="Style72"/>
        <w:keepNext w:val="0"/>
        <w:keepLines w:val="0"/>
        <w:widowControl w:val="0"/>
        <w:shd w:val="clear" w:color="auto" w:fill="auto"/>
        <w:tabs>
          <w:tab w:pos="706" w:val="left"/>
        </w:tabs>
        <w:bidi w:val="0"/>
        <w:spacing w:before="0" w:after="24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after="300" w:line="240" w:lineRule="auto"/>
        <w:ind w:left="0" w:right="0" w:firstLine="0"/>
        <w:jc w:val="left"/>
        <w:rPr>
          <w:sz w:val="28"/>
          <w:szCs w:val="28"/>
        </w:rPr>
      </w:pPr>
      <w:r>
        <w:rPr>
          <w:color w:val="000000"/>
          <w:spacing w:val="0"/>
          <w:w w:val="100"/>
          <w:position w:val="0"/>
          <w:sz w:val="24"/>
          <w:szCs w:val="24"/>
        </w:rPr>
        <w:t>(18)</w:t>
      </w:r>
      <w:r>
        <w:rPr>
          <w:rFonts w:ascii="SimSun" w:eastAsia="SimSun" w:hAnsi="SimSun" w:cs="SimSun"/>
          <w:b/>
          <w:bCs/>
          <w:color w:val="000000"/>
          <w:spacing w:val="0"/>
          <w:w w:val="100"/>
          <w:position w:val="0"/>
          <w:sz w:val="24"/>
          <w:szCs w:val="24"/>
        </w:rPr>
        <w:t>无形资产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55"/>
        <w:keepNext w:val="0"/>
        <w:keepLines w:val="0"/>
        <w:widowControl w:val="0"/>
        <w:shd w:val="clear" w:color="auto" w:fill="auto"/>
        <w:tabs>
          <w:tab w:pos="9617" w:val="left"/>
        </w:tabs>
        <w:bidi w:val="0"/>
        <w:spacing w:before="0" w:after="0" w:line="240" w:lineRule="auto"/>
        <w:ind w:left="8100" w:right="0" w:firstLine="0"/>
        <w:jc w:val="left"/>
      </w:pPr>
      <w:r>
        <w:rPr>
          <w:color w:val="000000"/>
          <w:spacing w:val="0"/>
          <w:w w:val="100"/>
          <w:position w:val="0"/>
        </w:rPr>
        <w:t>客户关系类</w:t>
        <w:tab/>
        <w:t>优惠承租权</w:t>
      </w:r>
    </w:p>
    <w:p>
      <w:pPr>
        <w:pStyle w:val="Style55"/>
        <w:keepNext w:val="0"/>
        <w:keepLines w:val="0"/>
        <w:widowControl w:val="0"/>
        <w:shd w:val="clear" w:color="auto" w:fill="auto"/>
        <w:tabs>
          <w:tab w:pos="2074" w:val="left"/>
          <w:tab w:pos="3058" w:val="left"/>
          <w:tab w:pos="4766" w:val="left"/>
          <w:tab w:pos="6024" w:val="left"/>
          <w:tab w:pos="8174" w:val="left"/>
        </w:tabs>
        <w:bidi w:val="0"/>
        <w:spacing w:before="0" w:after="240" w:line="240" w:lineRule="auto"/>
        <w:ind w:left="0" w:right="0" w:firstLine="0"/>
        <w:jc w:val="right"/>
      </w:pPr>
      <w:r>
        <w:rPr>
          <w:color w:val="000000"/>
          <w:spacing w:val="0"/>
          <w:w w:val="100"/>
          <w:position w:val="0"/>
        </w:rPr>
        <w:t>土地使用权</w:t>
        <w:tab/>
        <w:t>软件</w:t>
        <w:tab/>
        <w:t>商标及域名</w:t>
        <w:tab/>
        <w:t>无形资产</w:t>
        <w:tab/>
      </w:r>
      <w:r>
        <w:rPr>
          <w:color w:val="000000"/>
          <w:spacing w:val="0"/>
          <w:w w:val="100"/>
          <w:position w:val="0"/>
          <w:sz w:val="22"/>
          <w:szCs w:val="22"/>
        </w:rPr>
        <w:t>(</w:t>
      </w:r>
      <w:r>
        <w:rPr>
          <w:color w:val="000000"/>
          <w:spacing w:val="0"/>
          <w:w w:val="100"/>
          <w:position w:val="0"/>
        </w:rPr>
        <w:t>附注二</w:t>
      </w:r>
      <w:r>
        <w:rPr>
          <w:rFonts w:ascii="Arial" w:eastAsia="Arial" w:hAnsi="Arial" w:cs="Arial"/>
          <w:color w:val="000000"/>
          <w:spacing w:val="0"/>
          <w:w w:val="100"/>
          <w:position w:val="0"/>
        </w:rPr>
        <w:t>(30))</w:t>
        <w:tab/>
      </w:r>
      <w:r>
        <w:rPr>
          <w:color w:val="000000"/>
          <w:spacing w:val="0"/>
          <w:w w:val="100"/>
          <w:position w:val="0"/>
        </w:rPr>
        <w:t>合计</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累计摊销</w:t>
      </w:r>
    </w:p>
    <w:tbl>
      <w:tblPr>
        <w:tblOverlap w:val="never"/>
        <w:jc w:val="center"/>
        <w:tblLayout w:type="fixed"/>
      </w:tblPr>
      <w:tblGrid>
        <w:gridCol w:w="2390"/>
        <w:gridCol w:w="1637"/>
        <w:gridCol w:w="1608"/>
        <w:gridCol w:w="1526"/>
        <w:gridCol w:w="1541"/>
        <w:gridCol w:w="1440"/>
        <w:gridCol w:w="1286"/>
      </w:tblGrid>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(1,195,915)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(1,433,232)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(540,997)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(720,286)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(358,445)</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(4,248,875)</w:t>
            </w:r>
          </w:p>
        </w:tc>
      </w:tr>
      <w:tr>
        <w:trPr>
          <w:trHeight w:val="25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会计政策变更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4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rPr>
              <w:t>358,445</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358,445</w:t>
            </w:r>
          </w:p>
        </w:tc>
      </w:tr>
      <w:tr>
        <w:trPr>
          <w:trHeight w:val="24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(1,195,915)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(1,433,232)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(540,997)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(720,286)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(3,890,430)</w:t>
            </w:r>
          </w:p>
        </w:tc>
      </w:tr>
      <w:tr>
        <w:trPr>
          <w:trHeight w:val="499"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200" w:right="0" w:hanging="200"/>
              <w:jc w:val="left"/>
              <w:rPr>
                <w:sz w:val="18"/>
                <w:szCs w:val="18"/>
              </w:rPr>
            </w:pPr>
            <w:r>
              <w:rPr>
                <w:rFonts w:ascii="SimSun" w:eastAsia="SimSun" w:hAnsi="SimSun" w:cs="SimSun"/>
                <w:color w:val="000000"/>
                <w:spacing w:val="0"/>
                <w:w w:val="100"/>
                <w:position w:val="0"/>
                <w:sz w:val="18"/>
                <w:szCs w:val="18"/>
              </w:rPr>
              <w:t>本年增加 计提</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(287,783)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(216,759)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60" w:firstLine="0"/>
              <w:jc w:val="right"/>
              <w:rPr>
                <w:sz w:val="18"/>
                <w:szCs w:val="18"/>
              </w:rPr>
            </w:pPr>
            <w:r>
              <w:rPr>
                <w:rFonts w:ascii="Arial" w:eastAsia="Arial" w:hAnsi="Arial" w:cs="Arial"/>
                <w:color w:val="000000"/>
                <w:spacing w:val="0"/>
                <w:w w:val="100"/>
                <w:position w:val="0"/>
                <w:sz w:val="18"/>
                <w:szCs w:val="18"/>
              </w:rPr>
              <w:t>(87,660)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(209,069)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(801,271)</w:t>
            </w:r>
          </w:p>
        </w:tc>
      </w:tr>
      <w:tr>
        <w:trPr>
          <w:trHeight w:val="49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200" w:right="0" w:hanging="200"/>
              <w:jc w:val="left"/>
              <w:rPr>
                <w:sz w:val="18"/>
                <w:szCs w:val="18"/>
              </w:rPr>
            </w:pPr>
            <w:r>
              <w:rPr>
                <w:rFonts w:ascii="SimSun" w:eastAsia="SimSun" w:hAnsi="SimSun" w:cs="SimSun"/>
                <w:color w:val="000000"/>
                <w:spacing w:val="0"/>
                <w:w w:val="100"/>
                <w:position w:val="0"/>
                <w:sz w:val="18"/>
                <w:szCs w:val="18"/>
              </w:rPr>
              <w:t>本年减少 处置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4,130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151,291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155,421</w:t>
            </w:r>
          </w:p>
        </w:tc>
      </w:tr>
      <w:tr>
        <w:trPr>
          <w:trHeight w:val="25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处置子公司</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附注五</w:t>
            </w:r>
            <w:r>
              <w:rPr>
                <w:rFonts w:ascii="Arial" w:eastAsia="Arial" w:hAnsi="Arial" w:cs="Arial"/>
                <w:color w:val="000000"/>
                <w:spacing w:val="0"/>
                <w:w w:val="100"/>
                <w:position w:val="0"/>
                <w:sz w:val="18"/>
                <w:szCs w:val="18"/>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90,318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4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90,318</w:t>
            </w:r>
          </w:p>
        </w:tc>
      </w:tr>
      <w:tr>
        <w:trPr>
          <w:trHeight w:val="250"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本年外币报表折算差异</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109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420" w:firstLine="0"/>
              <w:jc w:val="right"/>
              <w:rPr>
                <w:sz w:val="18"/>
                <w:szCs w:val="18"/>
              </w:rPr>
            </w:pPr>
            <w:r>
              <w:rPr>
                <w:rFonts w:ascii="Arial" w:eastAsia="Arial" w:hAnsi="Arial" w:cs="Arial"/>
                <w:color w:val="000000"/>
                <w:spacing w:val="0"/>
                <w:w w:val="100"/>
                <w:position w:val="0"/>
                <w:sz w:val="18"/>
                <w:szCs w:val="18"/>
              </w:rPr>
              <w:t>370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440" w:firstLine="0"/>
              <w:jc w:val="right"/>
              <w:rPr>
                <w:sz w:val="18"/>
                <w:szCs w:val="18"/>
              </w:rPr>
            </w:pPr>
            <w:r>
              <w:rPr>
                <w:rFonts w:ascii="Arial" w:eastAsia="Arial" w:hAnsi="Arial" w:cs="Arial"/>
                <w:color w:val="000000"/>
                <w:spacing w:val="0"/>
                <w:w w:val="100"/>
                <w:position w:val="0"/>
                <w:sz w:val="18"/>
                <w:szCs w:val="18"/>
              </w:rPr>
              <w:t>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563</w:t>
            </w:r>
          </w:p>
        </w:tc>
      </w:tr>
      <w:tr>
        <w:trPr>
          <w:trHeight w:val="240" w:hRule="exact"/>
        </w:trPr>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(1,389,141)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(1,498,700)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(628,287)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(929,271)</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(4,445,399)</w:t>
            </w:r>
          </w:p>
        </w:tc>
      </w:tr>
    </w:tbl>
    <w:p>
      <w:pPr>
        <w:widowControl w:val="0"/>
        <w:spacing w:after="239" w:line="1" w:lineRule="exact"/>
      </w:pP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bl>
      <w:tblPr>
        <w:tblOverlap w:val="never"/>
        <w:jc w:val="center"/>
        <w:tblLayout w:type="fixed"/>
      </w:tblPr>
      <w:tblGrid>
        <w:gridCol w:w="2294"/>
        <w:gridCol w:w="1973"/>
        <w:gridCol w:w="1282"/>
        <w:gridCol w:w="1536"/>
        <w:gridCol w:w="1939"/>
        <w:gridCol w:w="1070"/>
        <w:gridCol w:w="1296"/>
      </w:tblGrid>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(284)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Arial" w:eastAsia="Arial" w:hAnsi="Arial" w:cs="Arial"/>
                <w:color w:val="000000"/>
                <w:spacing w:val="0"/>
                <w:w w:val="100"/>
                <w:position w:val="0"/>
                <w:sz w:val="18"/>
                <w:szCs w:val="18"/>
              </w:rPr>
              <w:t>(6,534)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(1,013,900)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(1,020,718)</w:t>
            </w:r>
          </w:p>
        </w:tc>
      </w:tr>
      <w:tr>
        <w:trPr>
          <w:trHeight w:val="22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本年计提</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(82,749)</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(1,309,483)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(522,011)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(1,914,243)</w:t>
            </w:r>
          </w:p>
        </w:tc>
      </w:tr>
      <w:tr>
        <w:trPr>
          <w:trHeight w:val="235"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本年处置及报废</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65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w:t>
            </w:r>
          </w:p>
        </w:tc>
      </w:tr>
      <w:tr>
        <w:trPr>
          <w:trHeight w:val="235" w:hRule="exact"/>
        </w:trPr>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(82,749)</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(219)</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(1,316,017)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(1,535,911)</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w:t>
            </w:r>
          </w:p>
        </w:tc>
        <w:tc>
          <w:tcPr>
            <w:tcBorders>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(2,934,896)</w:t>
            </w:r>
          </w:p>
        </w:tc>
      </w:tr>
    </w:tbl>
    <w:p>
      <w:pPr>
        <w:widowControl w:val="0"/>
        <w:spacing w:after="239" w:line="1" w:lineRule="exact"/>
      </w:pP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bl>
      <w:tblPr>
        <w:tblOverlap w:val="never"/>
        <w:jc w:val="center"/>
        <w:tblLayout w:type="fixed"/>
      </w:tblPr>
      <w:tblGrid>
        <w:gridCol w:w="2208"/>
        <w:gridCol w:w="1891"/>
        <w:gridCol w:w="1469"/>
        <w:gridCol w:w="1526"/>
        <w:gridCol w:w="1603"/>
        <w:gridCol w:w="1406"/>
        <w:gridCol w:w="1330"/>
      </w:tblGrid>
      <w:tr>
        <w:trPr>
          <w:trHeight w:val="27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8,066,885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259,212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8,192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929,940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Arial" w:eastAsia="Arial" w:hAnsi="Arial" w:cs="Arial"/>
                <w:color w:val="000000"/>
                <w:spacing w:val="0"/>
                <w:w w:val="100"/>
                <w:position w:val="0"/>
                <w:sz w:val="18"/>
                <w:szCs w:val="18"/>
              </w:rPr>
              <w:t>-</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9,264,229</w:t>
            </w:r>
          </w:p>
        </w:tc>
      </w:tr>
      <w:tr>
        <w:trPr>
          <w:trHeight w:val="226" w:hRule="exact"/>
        </w:trPr>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9,304,255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520,535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1,405,335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1,661,020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Arial" w:eastAsia="Arial" w:hAnsi="Arial" w:cs="Arial"/>
                <w:color w:val="000000"/>
                <w:spacing w:val="0"/>
                <w:w w:val="100"/>
                <w:position w:val="0"/>
                <w:sz w:val="18"/>
                <w:szCs w:val="18"/>
              </w:rPr>
              <w:t>990,884</w:t>
            </w:r>
          </w:p>
        </w:tc>
        <w:tc>
          <w:tcPr>
            <w:tcBorders>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13,882,029</w:t>
            </w:r>
          </w:p>
        </w:tc>
      </w:tr>
    </w:tbl>
    <w:p>
      <w:pPr>
        <w:sectPr>
          <w:footnotePr>
            <w:pos w:val="pageBottom"/>
            <w:numFmt w:val="decimal"/>
            <w:numStart w:val="1"/>
            <w:numRestart w:val="continuous"/>
            <w15:footnoteColumns w:val="1"/>
          </w:footnotePr>
          <w:pgSz w:w="16840" w:h="11900" w:orient="landscape"/>
          <w:pgMar w:top="2367" w:right="2955" w:bottom="2243" w:left="1712" w:header="0" w:footer="3" w:gutter="0"/>
          <w:cols w:space="720"/>
          <w:noEndnote/>
          <w:rtlGutter w:val="0"/>
          <w:docGrid w:linePitch="360"/>
        </w:sectPr>
      </w:pPr>
    </w:p>
    <w:p>
      <w:pPr>
        <w:pStyle w:val="Style72"/>
        <w:keepNext w:val="0"/>
        <w:keepLines w:val="0"/>
        <w:widowControl w:val="0"/>
        <w:shd w:val="clear" w:color="auto" w:fill="auto"/>
        <w:tabs>
          <w:tab w:pos="662" w:val="left"/>
        </w:tabs>
        <w:bidi w:val="0"/>
        <w:spacing w:before="0" w:after="28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after="240"/>
        <w:ind w:left="0" w:right="0" w:firstLine="0"/>
        <w:jc w:val="left"/>
        <w:rPr>
          <w:sz w:val="28"/>
          <w:szCs w:val="28"/>
        </w:rPr>
      </w:pPr>
      <w:r>
        <w:rPr>
          <w:color w:val="000000"/>
          <w:spacing w:val="0"/>
          <w:w w:val="100"/>
          <w:position w:val="0"/>
          <w:sz w:val="24"/>
          <w:szCs w:val="24"/>
        </w:rPr>
        <w:t>（18）</w:t>
      </w:r>
      <w:r>
        <w:rPr>
          <w:rFonts w:ascii="SimSun" w:eastAsia="SimSun" w:hAnsi="SimSun" w:cs="SimSun"/>
          <w:b/>
          <w:bCs/>
          <w:color w:val="000000"/>
          <w:spacing w:val="0"/>
          <w:w w:val="100"/>
          <w:position w:val="0"/>
          <w:sz w:val="24"/>
          <w:szCs w:val="24"/>
        </w:rPr>
        <w:t>无形资产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280" w:line="331" w:lineRule="exact"/>
        <w:ind w:right="0" w:firstLine="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年度无形资产的摊销金额约人民币</w:t>
      </w:r>
      <w:r>
        <w:rPr>
          <w:rFonts w:ascii="Arial" w:eastAsia="Arial" w:hAnsi="Arial" w:cs="Arial"/>
          <w:color w:val="000000"/>
          <w:spacing w:val="0"/>
          <w:w w:val="100"/>
          <w:position w:val="0"/>
          <w:sz w:val="24"/>
          <w:szCs w:val="24"/>
        </w:rPr>
        <w:t>8.01</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年度:约人民币</w:t>
      </w:r>
      <w:r>
        <w:rPr>
          <w:rFonts w:ascii="Arial" w:eastAsia="Arial" w:hAnsi="Arial" w:cs="Arial"/>
          <w:color w:val="000000"/>
          <w:spacing w:val="0"/>
          <w:w w:val="100"/>
          <w:position w:val="0"/>
          <w:sz w:val="24"/>
          <w:szCs w:val="24"/>
        </w:rPr>
        <w:t xml:space="preserve">9.88 </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40" w:line="312"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日，账面价值约</w:t>
      </w:r>
      <w:r>
        <w:rPr>
          <w:rFonts w:ascii="Arial" w:eastAsia="Arial" w:hAnsi="Arial" w:cs="Arial"/>
          <w:color w:val="000000"/>
          <w:spacing w:val="0"/>
          <w:w w:val="100"/>
          <w:position w:val="0"/>
          <w:sz w:val="24"/>
          <w:szCs w:val="24"/>
        </w:rPr>
        <w:t>1</w:t>
      </w:r>
      <w:r>
        <w:rPr>
          <w:rFonts w:ascii="Arial" w:eastAsia="Arial" w:hAnsi="Arial" w:cs="Arial"/>
          <w:color w:val="000000"/>
          <w:spacing w:val="0"/>
          <w:w w:val="100"/>
          <w:position w:val="0"/>
          <w:sz w:val="24"/>
          <w:szCs w:val="24"/>
        </w:rPr>
        <w:t>.39</w:t>
      </w:r>
      <w:r>
        <w:rPr>
          <w:color w:val="000000"/>
          <w:spacing w:val="0"/>
          <w:w w:val="100"/>
          <w:position w:val="0"/>
          <w:sz w:val="24"/>
          <w:szCs w:val="24"/>
        </w:rPr>
        <w:t xml:space="preserve">亿元的土地使用权未办妥产权证。 </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w:t>
      </w:r>
      <w:r>
        <w:rPr>
          <w:rFonts w:ascii="Arial" w:eastAsia="Arial" w:hAnsi="Arial" w:cs="Arial"/>
          <w:color w:val="000000"/>
          <w:spacing w:val="0"/>
          <w:w w:val="100"/>
          <w:position w:val="0"/>
          <w:sz w:val="24"/>
          <w:szCs w:val="24"/>
        </w:rPr>
        <w:t>0.86</w:t>
      </w:r>
      <w:r>
        <w:rPr>
          <w:color w:val="000000"/>
          <w:spacing w:val="0"/>
          <w:w w:val="100"/>
          <w:position w:val="0"/>
          <w:sz w:val="24"/>
          <w:szCs w:val="24"/>
        </w:rPr>
        <w:t>亿元的土地使用权未办妥产权证</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80" w:line="311"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日，本集团用账面价值约为人民币</w:t>
      </w:r>
      <w:r>
        <w:rPr>
          <w:rFonts w:ascii="Arial" w:eastAsia="Arial" w:hAnsi="Arial" w:cs="Arial"/>
          <w:color w:val="000000"/>
          <w:spacing w:val="0"/>
          <w:w w:val="100"/>
          <w:position w:val="0"/>
          <w:sz w:val="24"/>
          <w:szCs w:val="24"/>
        </w:rPr>
        <w:t>3</w:t>
      </w:r>
      <w:r>
        <w:rPr>
          <w:color w:val="000000"/>
          <w:spacing w:val="0"/>
          <w:w w:val="100"/>
          <w:position w:val="0"/>
          <w:sz w:val="24"/>
          <w:szCs w:val="24"/>
        </w:rPr>
        <w:t>亿元的土地使用权 抵押用于取得短期借款约为人民币</w:t>
      </w:r>
      <w:r>
        <w:rPr>
          <w:rFonts w:ascii="Arial" w:eastAsia="Arial" w:hAnsi="Arial" w:cs="Arial"/>
          <w:color w:val="000000"/>
          <w:spacing w:val="0"/>
          <w:w w:val="100"/>
          <w:position w:val="0"/>
          <w:sz w:val="24"/>
          <w:szCs w:val="24"/>
        </w:rPr>
        <w:t>22.86</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日：无</w:t>
      </w:r>
      <w:r>
        <w:rPr>
          <w:rFonts w:ascii="Arial" w:eastAsia="Arial" w:hAnsi="Arial" w:cs="Arial"/>
          <w:color w:val="000000"/>
          <w:spacing w:val="0"/>
          <w:w w:val="100"/>
          <w:position w:val="0"/>
          <w:sz w:val="24"/>
          <w:szCs w:val="24"/>
        </w:rPr>
        <w:t>）（</w:t>
      </w:r>
      <w:r>
        <w:rPr>
          <w:color w:val="000000"/>
          <w:spacing w:val="0"/>
          <w:w w:val="100"/>
          <w:position w:val="0"/>
          <w:sz w:val="24"/>
          <w:szCs w:val="24"/>
        </w:rPr>
        <w:t>附注 四</w:t>
      </w:r>
      <w:r>
        <w:rPr>
          <w:rFonts w:ascii="Arial" w:eastAsia="Arial" w:hAnsi="Arial" w:cs="Arial"/>
          <w:color w:val="000000"/>
          <w:spacing w:val="0"/>
          <w:w w:val="100"/>
          <w:position w:val="0"/>
          <w:sz w:val="24"/>
          <w:szCs w:val="24"/>
        </w:rPr>
        <w:t>（24））</w:t>
      </w:r>
      <w:r>
        <w:rPr>
          <w:color w:val="000000"/>
          <w:spacing w:val="0"/>
          <w:w w:val="100"/>
          <w:position w:val="0"/>
          <w:sz w:val="24"/>
          <w:szCs w:val="24"/>
        </w:rPr>
        <w:t>，用账面价值约为人民币</w:t>
      </w:r>
      <w:r>
        <w:rPr>
          <w:rFonts w:ascii="Arial" w:eastAsia="Arial" w:hAnsi="Arial" w:cs="Arial"/>
          <w:color w:val="000000"/>
          <w:spacing w:val="0"/>
          <w:w w:val="100"/>
          <w:position w:val="0"/>
          <w:sz w:val="24"/>
          <w:szCs w:val="24"/>
        </w:rPr>
        <w:t>4.15</w:t>
      </w:r>
      <w:r>
        <w:rPr>
          <w:color w:val="000000"/>
          <w:spacing w:val="0"/>
          <w:w w:val="100"/>
          <w:position w:val="0"/>
          <w:sz w:val="24"/>
          <w:szCs w:val="24"/>
        </w:rPr>
        <w:t>亿元的土地使用权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 xml:space="preserve">日： </w:t>
      </w:r>
      <w:r>
        <w:rPr>
          <w:rFonts w:ascii="Arial" w:eastAsia="Arial" w:hAnsi="Arial" w:cs="Arial"/>
          <w:color w:val="000000"/>
          <w:spacing w:val="0"/>
          <w:w w:val="100"/>
          <w:position w:val="0"/>
          <w:sz w:val="24"/>
          <w:szCs w:val="24"/>
        </w:rPr>
        <w:t>4.25</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抵押用于取得一年内到期的长期借款约为人民币</w:t>
      </w:r>
      <w:r>
        <w:rPr>
          <w:rFonts w:ascii="Arial" w:eastAsia="Arial" w:hAnsi="Arial" w:cs="Arial"/>
          <w:color w:val="000000"/>
          <w:spacing w:val="0"/>
          <w:w w:val="100"/>
          <w:position w:val="0"/>
          <w:sz w:val="24"/>
          <w:szCs w:val="24"/>
        </w:rPr>
        <w:t>10.58</w:t>
      </w:r>
      <w:r>
        <w:rPr>
          <w:color w:val="000000"/>
          <w:spacing w:val="0"/>
          <w:w w:val="100"/>
          <w:position w:val="0"/>
          <w:sz w:val="24"/>
          <w:szCs w:val="24"/>
        </w:rPr>
        <w:t>亿元</w:t>
      </w:r>
      <w:r>
        <w:rPr>
          <w:rFonts w:ascii="Arial" w:eastAsia="Arial" w:hAnsi="Arial" w:cs="Arial"/>
          <w:color w:val="000000"/>
          <w:spacing w:val="0"/>
          <w:w w:val="100"/>
          <w:position w:val="0"/>
          <w:sz w:val="24"/>
          <w:szCs w:val="24"/>
        </w:rPr>
        <w:t xml:space="preserve">（2020 </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日：约为人民币</w:t>
      </w:r>
      <w:r>
        <w:rPr>
          <w:rFonts w:ascii="Arial" w:eastAsia="Arial" w:hAnsi="Arial" w:cs="Arial"/>
          <w:color w:val="000000"/>
          <w:spacing w:val="0"/>
          <w:w w:val="100"/>
          <w:position w:val="0"/>
          <w:sz w:val="24"/>
          <w:szCs w:val="24"/>
        </w:rPr>
        <w:t>17.04</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（34））</w:t>
      </w:r>
      <w:r>
        <w:rPr>
          <w:color w:val="000000"/>
          <w:spacing w:val="0"/>
          <w:w w:val="100"/>
          <w:position w:val="0"/>
          <w:sz w:val="24"/>
          <w:szCs w:val="24"/>
        </w:rPr>
        <w:t>。</w:t>
      </w:r>
    </w:p>
    <w:p>
      <w:pPr>
        <w:pStyle w:val="Style72"/>
        <w:keepNext w:val="0"/>
        <w:keepLines w:val="0"/>
        <w:widowControl w:val="0"/>
        <w:shd w:val="clear" w:color="auto" w:fill="auto"/>
        <w:bidi w:val="0"/>
        <w:spacing w:before="0" w:after="280" w:line="312" w:lineRule="exact"/>
        <w:ind w:right="0" w:firstLine="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年度，由于新冠疫情肺炎疫情的持续影响及相关的防控措施，本集团零 售分部业绩未达预期，本集团对客户关系类无形资产所属资产组进行减值测 试，经比较该资产组的公允价值减去处置费用后的净额和预计未来现金流量 的现值后，采用公允价值减去处置费用后的净额确定相关资产组的可收回金 额，并计提减值准备约人民币</w:t>
      </w:r>
      <w:r>
        <w:rPr>
          <w:rFonts w:ascii="Arial" w:eastAsia="Arial" w:hAnsi="Arial" w:cs="Arial"/>
          <w:color w:val="000000"/>
          <w:spacing w:val="0"/>
          <w:w w:val="100"/>
          <w:position w:val="0"/>
          <w:sz w:val="24"/>
          <w:szCs w:val="24"/>
        </w:rPr>
        <w:t>5.22</w:t>
      </w:r>
      <w:r>
        <w:rPr>
          <w:color w:val="000000"/>
          <w:spacing w:val="0"/>
          <w:w w:val="100"/>
          <w:position w:val="0"/>
          <w:sz w:val="24"/>
          <w:szCs w:val="24"/>
        </w:rPr>
        <w:t>亿元，本集团在计算可收回金额时所采 用的税后折现率为</w:t>
      </w:r>
      <w:r>
        <w:rPr>
          <w:rFonts w:ascii="Arial" w:eastAsia="Arial" w:hAnsi="Arial" w:cs="Arial"/>
          <w:color w:val="000000"/>
          <w:spacing w:val="0"/>
          <w:w w:val="100"/>
          <w:position w:val="0"/>
          <w:sz w:val="24"/>
          <w:szCs w:val="24"/>
        </w:rPr>
        <w:t>10.4%</w:t>
      </w:r>
      <w:r>
        <w:rPr>
          <w:color w:val="000000"/>
          <w:spacing w:val="0"/>
          <w:w w:val="100"/>
          <w:position w:val="0"/>
          <w:sz w:val="24"/>
          <w:szCs w:val="24"/>
        </w:rPr>
        <w:t>。</w:t>
      </w:r>
    </w:p>
    <w:p>
      <w:pPr>
        <w:pStyle w:val="Style72"/>
        <w:keepNext w:val="0"/>
        <w:keepLines w:val="0"/>
        <w:widowControl w:val="0"/>
        <w:shd w:val="clear" w:color="auto" w:fill="auto"/>
        <w:bidi w:val="0"/>
        <w:spacing w:before="0" w:after="240" w:line="311" w:lineRule="exact"/>
        <w:ind w:right="0" w:firstLine="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 xml:space="preserve">年度，由于新冠肺炎疫情的持续影响及相关防控措施，市场租金下降， 部分土地使用权存在减值迹象。本集团将上述土地使用权所属资产组进行减 值测试，经比较该资产组的公允价值减去处置费用后的净额和预计未来现金 流量的现值后，对上述土地使用权及地上建筑物作为整体采用现金流折现法 </w:t>
      </w:r>
      <w:r>
        <w:rPr>
          <w:rFonts w:ascii="Arial" w:eastAsia="Arial" w:hAnsi="Arial" w:cs="Arial"/>
          <w:color w:val="000000"/>
          <w:spacing w:val="0"/>
          <w:w w:val="100"/>
          <w:position w:val="0"/>
          <w:sz w:val="24"/>
          <w:szCs w:val="24"/>
        </w:rPr>
        <w:t>（</w:t>
      </w:r>
      <w:r>
        <w:rPr>
          <w:color w:val="000000"/>
          <w:spacing w:val="0"/>
          <w:w w:val="100"/>
          <w:position w:val="0"/>
          <w:sz w:val="24"/>
          <w:szCs w:val="24"/>
        </w:rPr>
        <w:t>市场租金折算资本化率</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评估相关资产的公允价值，按照公允价值减去处置费 用确定相关的资产的可收回金额，并对土地使用权计提减值准备约人民币 </w:t>
      </w:r>
      <w:r>
        <w:rPr>
          <w:rFonts w:ascii="Arial" w:eastAsia="Arial" w:hAnsi="Arial" w:cs="Arial"/>
          <w:color w:val="000000"/>
          <w:spacing w:val="0"/>
          <w:w w:val="100"/>
          <w:position w:val="0"/>
          <w:sz w:val="24"/>
          <w:szCs w:val="24"/>
        </w:rPr>
        <w:t>8,275</w:t>
      </w:r>
      <w:r>
        <w:rPr>
          <w:color w:val="000000"/>
          <w:spacing w:val="0"/>
          <w:w w:val="100"/>
          <w:position w:val="0"/>
          <w:sz w:val="24"/>
          <w:szCs w:val="24"/>
        </w:rPr>
        <w:t>万元。本集团在计算可收回金额时采用的资本化率为</w:t>
      </w:r>
      <w:r>
        <w:rPr>
          <w:rFonts w:ascii="Arial" w:eastAsia="Arial" w:hAnsi="Arial" w:cs="Arial"/>
          <w:color w:val="000000"/>
          <w:spacing w:val="0"/>
          <w:w w:val="100"/>
          <w:position w:val="0"/>
          <w:sz w:val="24"/>
          <w:szCs w:val="24"/>
        </w:rPr>
        <w:t>6.50%</w:t>
      </w:r>
      <w:r>
        <w:rPr>
          <w:color w:val="000000"/>
          <w:spacing w:val="0"/>
          <w:w w:val="100"/>
          <w:position w:val="0"/>
          <w:sz w:val="24"/>
          <w:szCs w:val="24"/>
        </w:rPr>
        <w:t>。</w:t>
      </w:r>
    </w:p>
    <w:p>
      <w:pPr>
        <w:pStyle w:val="Style72"/>
        <w:keepNext w:val="0"/>
        <w:keepLines w:val="0"/>
        <w:widowControl w:val="0"/>
        <w:shd w:val="clear" w:color="auto" w:fill="auto"/>
        <w:bidi w:val="0"/>
        <w:spacing w:before="0" w:after="260" w:line="322" w:lineRule="exact"/>
        <w:ind w:right="0" w:firstLine="0"/>
        <w:jc w:val="both"/>
        <w:sectPr>
          <w:footnotePr>
            <w:pos w:val="pageBottom"/>
            <w:numFmt w:val="decimal"/>
            <w:numStart w:val="1"/>
            <w:numRestart w:val="continuous"/>
            <w15:footnoteColumns w:val="1"/>
          </w:footnotePr>
          <w:pgSz w:w="11900" w:h="16840"/>
          <w:pgMar w:top="2338" w:right="1302" w:bottom="2338" w:left="1709" w:header="0" w:footer="3" w:gutter="0"/>
          <w:cols w:space="720"/>
          <w:noEndnote/>
          <w:rtlGutter w:val="0"/>
          <w:docGrid w:linePitch="360"/>
        </w:sectPr>
      </w:pPr>
      <w:r>
        <w:rPr>
          <w:color w:val="000000"/>
          <w:spacing w:val="0"/>
          <w:w w:val="100"/>
          <w:position w:val="0"/>
          <w:sz w:val="24"/>
          <w:szCs w:val="24"/>
        </w:rPr>
        <w:t>此外，于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年度本集团决定终止天天快递物流业务，相应将原收购天天快 递物流业务产生的无形资产全额计提减值准备约人民币</w:t>
      </w:r>
      <w:r>
        <w:rPr>
          <w:rFonts w:ascii="Arial" w:eastAsia="Arial" w:hAnsi="Arial" w:cs="Arial"/>
          <w:color w:val="000000"/>
          <w:spacing w:val="0"/>
          <w:w w:val="100"/>
          <w:position w:val="0"/>
          <w:sz w:val="24"/>
          <w:szCs w:val="24"/>
        </w:rPr>
        <w:t>13.09</w:t>
      </w:r>
      <w:r>
        <w:rPr>
          <w:color w:val="000000"/>
          <w:spacing w:val="0"/>
          <w:w w:val="100"/>
          <w:position w:val="0"/>
          <w:sz w:val="24"/>
          <w:szCs w:val="24"/>
        </w:rPr>
        <w:t>亿元。</w:t>
      </w:r>
    </w:p>
    <w:p>
      <w:pPr>
        <w:pStyle w:val="Style72"/>
        <w:keepNext w:val="0"/>
        <w:keepLines w:val="0"/>
        <w:widowControl w:val="0"/>
        <w:shd w:val="clear" w:color="auto" w:fill="auto"/>
        <w:tabs>
          <w:tab w:pos="696" w:val="left"/>
        </w:tabs>
        <w:bidi w:val="0"/>
        <w:spacing w:before="0" w:after="28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after="280" w:line="240" w:lineRule="auto"/>
        <w:ind w:left="0" w:right="0" w:firstLine="0"/>
        <w:jc w:val="left"/>
        <w:rPr>
          <w:sz w:val="28"/>
          <w:szCs w:val="28"/>
        </w:rPr>
      </w:pPr>
      <w:r>
        <w:rPr>
          <w:color w:val="000000"/>
          <w:spacing w:val="0"/>
          <w:w w:val="100"/>
          <w:position w:val="0"/>
          <w:sz w:val="24"/>
          <w:szCs w:val="24"/>
        </w:rPr>
        <w:t>（18）</w:t>
      </w:r>
      <w:r>
        <w:rPr>
          <w:rFonts w:ascii="SimSun" w:eastAsia="SimSun" w:hAnsi="SimSun" w:cs="SimSun"/>
          <w:b/>
          <w:bCs/>
          <w:color w:val="000000"/>
          <w:spacing w:val="0"/>
          <w:w w:val="100"/>
          <w:position w:val="0"/>
          <w:sz w:val="24"/>
          <w:szCs w:val="24"/>
        </w:rPr>
        <w:t>无形资产</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96" w:val="left"/>
        </w:tabs>
        <w:bidi w:val="0"/>
        <w:spacing w:before="0" w:after="280" w:line="240" w:lineRule="auto"/>
        <w:ind w:left="0" w:right="0" w:firstLine="0"/>
        <w:jc w:val="left"/>
      </w:pPr>
      <w:r>
        <w:rPr>
          <w:rFonts w:ascii="Arial" w:eastAsia="Arial" w:hAnsi="Arial" w:cs="Arial"/>
          <w:color w:val="000000"/>
          <w:spacing w:val="0"/>
          <w:w w:val="100"/>
          <w:position w:val="0"/>
          <w:sz w:val="24"/>
          <w:szCs w:val="24"/>
        </w:rPr>
        <w:t>（a）</w:t>
        <w:tab/>
      </w:r>
      <w:r>
        <w:rPr>
          <w:color w:val="000000"/>
          <w:spacing w:val="0"/>
          <w:w w:val="100"/>
          <w:position w:val="0"/>
          <w:sz w:val="24"/>
          <w:szCs w:val="24"/>
        </w:rPr>
        <w:t>本集团开发支出列示如下：</w:t>
      </w:r>
    </w:p>
    <w:tbl>
      <w:tblPr>
        <w:tblOverlap w:val="never"/>
        <w:jc w:val="right"/>
        <w:tblLayout w:type="fixed"/>
      </w:tblPr>
      <w:tblGrid>
        <w:gridCol w:w="1008"/>
        <w:gridCol w:w="1426"/>
        <w:gridCol w:w="1440"/>
        <w:gridCol w:w="1397"/>
        <w:gridCol w:w="1642"/>
        <w:gridCol w:w="1066"/>
      </w:tblGrid>
      <w:tr>
        <w:trPr>
          <w:trHeight w:val="4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本年增加</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本年减少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计入损益</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确认为无形资产</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软件开发</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41,138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48,005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(43,901)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Arial" w:eastAsia="Arial" w:hAnsi="Arial" w:cs="Arial"/>
                <w:color w:val="000000"/>
                <w:spacing w:val="0"/>
                <w:w w:val="100"/>
                <w:position w:val="0"/>
                <w:sz w:val="18"/>
                <w:szCs w:val="18"/>
              </w:rPr>
              <w:t>(7,532)</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37,710</w:t>
            </w:r>
          </w:p>
        </w:tc>
      </w:tr>
    </w:tbl>
    <w:p>
      <w:pPr>
        <w:widowControl w:val="0"/>
        <w:spacing w:after="279" w:line="1" w:lineRule="exact"/>
      </w:pPr>
    </w:p>
    <w:p>
      <w:pPr>
        <w:pStyle w:val="Style72"/>
        <w:keepNext w:val="0"/>
        <w:keepLines w:val="0"/>
        <w:widowControl w:val="0"/>
        <w:shd w:val="clear" w:color="auto" w:fill="auto"/>
        <w:bidi w:val="0"/>
        <w:spacing w:before="0" w:after="280" w:line="312" w:lineRule="exact"/>
        <w:ind w:right="0" w:firstLine="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年度，本集团新增软件开发支出约人民币</w:t>
      </w:r>
      <w:r>
        <w:rPr>
          <w:rFonts w:ascii="Arial" w:eastAsia="Arial" w:hAnsi="Arial" w:cs="Arial"/>
          <w:color w:val="000000"/>
          <w:spacing w:val="0"/>
          <w:w w:val="100"/>
          <w:position w:val="0"/>
          <w:sz w:val="24"/>
          <w:szCs w:val="24"/>
        </w:rPr>
        <w:t>4,801</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年度：约人 民币</w:t>
      </w:r>
      <w:r>
        <w:rPr>
          <w:rFonts w:ascii="Arial" w:eastAsia="Arial" w:hAnsi="Arial" w:cs="Arial"/>
          <w:color w:val="000000"/>
          <w:spacing w:val="0"/>
          <w:w w:val="100"/>
          <w:position w:val="0"/>
          <w:sz w:val="24"/>
          <w:szCs w:val="24"/>
        </w:rPr>
        <w:t>1.22</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，约人民币</w:t>
      </w:r>
      <w:r>
        <w:rPr>
          <w:rFonts w:ascii="Arial" w:eastAsia="Arial" w:hAnsi="Arial" w:cs="Arial"/>
          <w:color w:val="000000"/>
          <w:spacing w:val="0"/>
          <w:w w:val="100"/>
          <w:position w:val="0"/>
          <w:sz w:val="24"/>
          <w:szCs w:val="24"/>
        </w:rPr>
        <w:t>753</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年度：约人民币</w:t>
      </w:r>
      <w:r>
        <w:rPr>
          <w:rFonts w:ascii="Arial" w:eastAsia="Arial" w:hAnsi="Arial" w:cs="Arial"/>
          <w:color w:val="000000"/>
          <w:spacing w:val="0"/>
          <w:w w:val="100"/>
          <w:position w:val="0"/>
          <w:sz w:val="24"/>
          <w:szCs w:val="24"/>
        </w:rPr>
        <w:t>8,858</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于当 期确认为无形资产，约人民币</w:t>
      </w:r>
      <w:r>
        <w:rPr>
          <w:rFonts w:ascii="Arial" w:eastAsia="Arial" w:hAnsi="Arial" w:cs="Arial"/>
          <w:color w:val="000000"/>
          <w:spacing w:val="0"/>
          <w:w w:val="100"/>
          <w:position w:val="0"/>
          <w:sz w:val="24"/>
          <w:szCs w:val="24"/>
        </w:rPr>
        <w:t>3,771</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年度：约人民币</w:t>
      </w:r>
      <w:r>
        <w:rPr>
          <w:rFonts w:ascii="Arial" w:eastAsia="Arial" w:hAnsi="Arial" w:cs="Arial"/>
          <w:color w:val="000000"/>
          <w:spacing w:val="0"/>
          <w:w w:val="100"/>
          <w:position w:val="0"/>
          <w:sz w:val="24"/>
          <w:szCs w:val="24"/>
        </w:rPr>
        <w:t>4,114</w:t>
      </w:r>
      <w:r>
        <w:rPr>
          <w:color w:val="000000"/>
          <w:spacing w:val="0"/>
          <w:w w:val="100"/>
          <w:position w:val="0"/>
          <w:sz w:val="24"/>
          <w:szCs w:val="24"/>
        </w:rPr>
        <w:t>万元</w:t>
      </w:r>
      <w:r>
        <w:rPr>
          <w:rFonts w:ascii="Arial" w:eastAsia="Arial" w:hAnsi="Arial" w:cs="Arial"/>
          <w:color w:val="000000"/>
          <w:spacing w:val="0"/>
          <w:w w:val="100"/>
          <w:position w:val="0"/>
          <w:sz w:val="24"/>
          <w:szCs w:val="24"/>
        </w:rPr>
        <w:t xml:space="preserve">） </w:t>
      </w:r>
      <w:r>
        <w:rPr>
          <w:color w:val="000000"/>
          <w:spacing w:val="0"/>
          <w:w w:val="100"/>
          <w:position w:val="0"/>
          <w:sz w:val="24"/>
          <w:szCs w:val="24"/>
        </w:rPr>
        <w:t>包含在开发支出的年末余额中。</w:t>
      </w:r>
      <w:r>
        <w:br w:type="page"/>
      </w:r>
    </w:p>
    <w:p>
      <w:pPr>
        <w:pStyle w:val="Style72"/>
        <w:keepNext w:val="0"/>
        <w:keepLines w:val="0"/>
        <w:widowControl w:val="0"/>
        <w:shd w:val="clear" w:color="auto" w:fill="auto"/>
        <w:tabs>
          <w:tab w:pos="706"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（19）</w:t>
      </w:r>
      <w:r>
        <w:rPr>
          <w:rFonts w:ascii="SimSun" w:eastAsia="SimSun" w:hAnsi="SimSun" w:cs="SimSun"/>
          <w:b/>
          <w:bCs/>
          <w:color w:val="000000"/>
          <w:spacing w:val="0"/>
          <w:w w:val="100"/>
          <w:position w:val="0"/>
          <w:sz w:val="24"/>
          <w:szCs w:val="24"/>
        </w:rPr>
        <w:t>商誉</w:t>
      </w:r>
    </w:p>
    <w:tbl>
      <w:tblPr>
        <w:tblOverlap w:val="never"/>
        <w:jc w:val="right"/>
        <w:tblLayout w:type="fixed"/>
      </w:tblPr>
      <w:tblGrid>
        <w:gridCol w:w="2232"/>
        <w:gridCol w:w="1531"/>
        <w:gridCol w:w="1459"/>
        <w:gridCol w:w="1522"/>
        <w:gridCol w:w="1330"/>
      </w:tblGrid>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40" w:firstLine="0"/>
              <w:jc w:val="right"/>
              <w:rPr>
                <w:sz w:val="18"/>
                <w:szCs w:val="18"/>
              </w:rPr>
            </w:pPr>
            <w:r>
              <w:rPr>
                <w:rFonts w:ascii="SimSun" w:eastAsia="SimSun" w:hAnsi="SimSun" w:cs="SimSun"/>
                <w:color w:val="000000"/>
                <w:spacing w:val="0"/>
                <w:w w:val="100"/>
                <w:position w:val="0"/>
                <w:sz w:val="18"/>
                <w:szCs w:val="18"/>
              </w:rPr>
              <w:t>本年减少</w:t>
            </w:r>
          </w:p>
          <w:p>
            <w:pPr>
              <w:pStyle w:val="Style29"/>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附注五</w:t>
            </w:r>
            <w:r>
              <w:rPr>
                <w:rFonts w:ascii="Arial" w:eastAsia="Arial" w:hAnsi="Arial" w:cs="Arial"/>
                <w:color w:val="000000"/>
                <w:spacing w:val="0"/>
                <w:w w:val="100"/>
                <w:position w:val="0"/>
                <w:sz w:val="18"/>
                <w:szCs w:val="18"/>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47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商誉</w:t>
            </w: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家乐福中国业务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3,872,201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3,872,201</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天天快递物流业务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2,191,953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2,191,953</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万达百货业务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1,381,015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1,381,015</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红孩子母婴及美妆业务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270,670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270,670</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物流仓储业务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59,458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(59,458)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满座网业务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33,372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33,372</w:t>
            </w:r>
          </w:p>
        </w:tc>
      </w:tr>
      <w:tr>
        <w:trPr>
          <w:trHeight w:val="46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好耶广告技术板块业务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苏宁智能终端有限公司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25,109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25,109</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苏宁智能终端</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1,264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1,264</w:t>
            </w:r>
          </w:p>
        </w:tc>
      </w:tr>
      <w:tr>
        <w:trPr>
          <w:trHeight w:val="2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Citicall Retain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Management Limited</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之零售批发业务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616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616</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无锡胜利门苏宁云商销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售有限公司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569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569</w:t>
            </w: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7,836,227</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(59,458)</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7,776,769</w:t>
            </w:r>
          </w:p>
        </w:tc>
      </w:tr>
      <w:tr>
        <w:trPr>
          <w:trHeight w:val="46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减：减值准备</w:t>
            </w: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天天快递物流业务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(1,390,808)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(801,145)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(2,191,953)</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家乐福中国业务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(129,550)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(129,550)</w:t>
            </w:r>
          </w:p>
        </w:tc>
      </w:tr>
      <w:tr>
        <w:trPr>
          <w:trHeight w:val="42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物流仓储业务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Citicall Retain</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(59,458)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59,458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r>
      <w:tr>
        <w:trPr>
          <w:trHeight w:val="44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Management Limited</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之零售批发业务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(616)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(616)</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(1,450,882)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(930,695)</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59,458</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(2,322,119)</w:t>
            </w:r>
          </w:p>
        </w:tc>
      </w:tr>
      <w:tr>
        <w:trPr>
          <w:trHeight w:val="365"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6,385,345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(930,695)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5,454,650</w:t>
            </w:r>
          </w:p>
        </w:tc>
      </w:tr>
    </w:tbl>
    <w:p>
      <w:pPr>
        <w:sectPr>
          <w:footnotePr>
            <w:pos w:val="pageBottom"/>
            <w:numFmt w:val="decimal"/>
            <w:numStart w:val="1"/>
            <w:numRestart w:val="continuous"/>
            <w15:footnoteColumns w:val="1"/>
          </w:footnotePr>
          <w:pgSz w:w="11900" w:h="16840"/>
          <w:pgMar w:top="2338" w:right="1409" w:bottom="5919" w:left="1706" w:header="0" w:footer="3" w:gutter="0"/>
          <w:cols w:space="720"/>
          <w:noEndnote/>
          <w:rtlGutter w:val="0"/>
          <w:docGrid w:linePitch="360"/>
        </w:sectPr>
      </w:pPr>
    </w:p>
    <w:p>
      <w:pPr>
        <w:pStyle w:val="Style72"/>
        <w:keepNext w:val="0"/>
        <w:keepLines w:val="0"/>
        <w:widowControl w:val="0"/>
        <w:shd w:val="clear" w:color="auto" w:fill="auto"/>
        <w:tabs>
          <w:tab w:pos="710" w:val="left"/>
        </w:tabs>
        <w:bidi w:val="0"/>
        <w:spacing w:before="0" w:after="260" w:line="240" w:lineRule="auto"/>
        <w:ind w:left="0" w:right="0" w:firstLine="0"/>
        <w:jc w:val="both"/>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line="266" w:lineRule="auto"/>
        <w:ind w:left="0" w:right="0" w:firstLine="0"/>
        <w:jc w:val="both"/>
        <w:rPr>
          <w:sz w:val="28"/>
          <w:szCs w:val="28"/>
        </w:rPr>
      </w:pPr>
      <w:r>
        <w:rPr>
          <w:color w:val="000000"/>
          <w:spacing w:val="0"/>
          <w:w w:val="100"/>
          <w:position w:val="0"/>
          <w:sz w:val="24"/>
          <w:szCs w:val="24"/>
        </w:rPr>
        <w:t>（19）</w:t>
      </w:r>
      <w:r>
        <w:rPr>
          <w:rFonts w:ascii="SimSun" w:eastAsia="SimSun" w:hAnsi="SimSun" w:cs="SimSun"/>
          <w:b/>
          <w:bCs/>
          <w:color w:val="000000"/>
          <w:spacing w:val="0"/>
          <w:w w:val="100"/>
          <w:position w:val="0"/>
          <w:sz w:val="24"/>
          <w:szCs w:val="24"/>
        </w:rPr>
        <w:t>商誉</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260" w:line="307" w:lineRule="exact"/>
        <w:ind w:left="700" w:right="0" w:firstLine="20"/>
        <w:jc w:val="both"/>
      </w:pPr>
      <w:r>
        <w:rPr>
          <w:color w:val="000000"/>
          <w:spacing w:val="0"/>
          <w:w w:val="100"/>
          <w:position w:val="0"/>
          <w:sz w:val="24"/>
          <w:szCs w:val="24"/>
        </w:rPr>
        <w:t>本集团的所有商誉已于购买日分摊至相关的资产组或资产组组合，分摊情况 根据经营分部</w:t>
      </w:r>
      <w:r>
        <w:rPr>
          <w:rFonts w:ascii="Arial" w:eastAsia="Arial" w:hAnsi="Arial" w:cs="Arial"/>
          <w:color w:val="000000"/>
          <w:spacing w:val="0"/>
          <w:w w:val="100"/>
          <w:position w:val="0"/>
          <w:sz w:val="24"/>
          <w:szCs w:val="24"/>
        </w:rPr>
        <w:t>（</w:t>
      </w:r>
      <w:r>
        <w:rPr>
          <w:color w:val="000000"/>
          <w:spacing w:val="0"/>
          <w:w w:val="100"/>
          <w:position w:val="0"/>
          <w:sz w:val="24"/>
          <w:szCs w:val="24"/>
        </w:rPr>
        <w:t>附注七</w:t>
      </w:r>
      <w:r>
        <w:rPr>
          <w:rFonts w:ascii="Arial" w:eastAsia="Arial" w:hAnsi="Arial" w:cs="Arial"/>
          <w:color w:val="000000"/>
          <w:spacing w:val="0"/>
          <w:w w:val="100"/>
          <w:position w:val="0"/>
          <w:sz w:val="24"/>
          <w:szCs w:val="24"/>
        </w:rPr>
        <w:t>）</w:t>
      </w:r>
      <w:r>
        <w:rPr>
          <w:color w:val="000000"/>
          <w:spacing w:val="0"/>
          <w:w w:val="100"/>
          <w:position w:val="0"/>
          <w:sz w:val="24"/>
          <w:szCs w:val="24"/>
        </w:rPr>
        <w:t>汇总如下：</w:t>
      </w:r>
    </w:p>
    <w:tbl>
      <w:tblPr>
        <w:tblOverlap w:val="never"/>
        <w:jc w:val="right"/>
        <w:tblLayout w:type="fixed"/>
      </w:tblPr>
      <w:tblGrid>
        <w:gridCol w:w="2966"/>
        <w:gridCol w:w="1387"/>
        <w:gridCol w:w="1210"/>
        <w:gridCol w:w="1440"/>
        <w:gridCol w:w="1066"/>
      </w:tblGrid>
      <w:tr>
        <w:trPr>
          <w:trHeight w:val="230" w:hRule="exact"/>
        </w:trPr>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资产组和资产组组合</w:t>
            </w:r>
          </w:p>
        </w:tc>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所属业务分部_</w:t>
            </w: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65" w:hRule="exact"/>
        </w:trPr>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SimSun" w:eastAsia="SimSun" w:hAnsi="SimSun" w:cs="SimSun"/>
                <w:color w:val="000000"/>
                <w:spacing w:val="0"/>
                <w:w w:val="100"/>
                <w:position w:val="0"/>
                <w:sz w:val="18"/>
                <w:szCs w:val="18"/>
              </w:rPr>
              <w:t>成本</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减值</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净值</w:t>
            </w: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家乐福中国业务资产组</w:t>
            </w:r>
            <w:r>
              <w:rPr>
                <w:rFonts w:ascii="Arial" w:eastAsia="Arial" w:hAnsi="Arial" w:cs="Arial"/>
                <w:color w:val="000000"/>
                <w:spacing w:val="0"/>
                <w:w w:val="100"/>
                <w:position w:val="0"/>
                <w:sz w:val="18"/>
                <w:szCs w:val="18"/>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中国地区零售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3,872,201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(129,55 0)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3,742,65 1</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苏宁物流运配业务资产组组合</w:t>
            </w:r>
            <w:r>
              <w:rPr>
                <w:rFonts w:ascii="Arial" w:eastAsia="Arial" w:hAnsi="Arial" w:cs="Arial"/>
                <w:color w:val="000000"/>
                <w:spacing w:val="0"/>
                <w:w w:val="100"/>
                <w:position w:val="0"/>
                <w:sz w:val="18"/>
                <w:szCs w:val="18"/>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中国地区物流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2,191,953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(2,191,95 3)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万达百货业务资产组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中国地区零售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1,381,015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1,381,01 5</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中国地区线上零售业务资产组组合⑴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中国地区零售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270,670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270,67 0</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开放平台业务资产组组合</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中国地区零售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58,481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58,48 1</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2,449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(61 6)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1,83 3</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7,776,769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(2,322,11 9)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5,454,65 0</w:t>
            </w:r>
          </w:p>
        </w:tc>
      </w:tr>
    </w:tbl>
    <w:p>
      <w:pPr>
        <w:widowControl w:val="0"/>
        <w:spacing w:after="259" w:line="1" w:lineRule="exact"/>
      </w:pPr>
    </w:p>
    <w:p>
      <w:pPr>
        <w:pStyle w:val="Style72"/>
        <w:keepNext w:val="0"/>
        <w:keepLines w:val="0"/>
        <w:widowControl w:val="0"/>
        <w:shd w:val="clear" w:color="auto" w:fill="auto"/>
        <w:bidi w:val="0"/>
        <w:spacing w:before="0" w:after="260" w:line="305" w:lineRule="exact"/>
        <w:ind w:left="700" w:right="0" w:firstLine="20"/>
        <w:jc w:val="both"/>
      </w:pPr>
      <w:r>
        <w:rPr>
          <w:color w:val="000000"/>
          <w:spacing w:val="0"/>
          <w:w w:val="100"/>
          <w:position w:val="0"/>
          <w:sz w:val="24"/>
          <w:szCs w:val="24"/>
        </w:rPr>
        <w:t>在进行商誉减值测试时，本集团将相关资产或资产组组合</w:t>
      </w:r>
      <w:r>
        <w:rPr>
          <w:rFonts w:ascii="Arial" w:eastAsia="Arial" w:hAnsi="Arial" w:cs="Arial"/>
          <w:color w:val="000000"/>
          <w:spacing w:val="0"/>
          <w:w w:val="100"/>
          <w:position w:val="0"/>
          <w:sz w:val="24"/>
          <w:szCs w:val="24"/>
        </w:rPr>
        <w:t>（</w:t>
      </w:r>
      <w:r>
        <w:rPr>
          <w:color w:val="000000"/>
          <w:spacing w:val="0"/>
          <w:w w:val="100"/>
          <w:position w:val="0"/>
          <w:sz w:val="24"/>
          <w:szCs w:val="24"/>
        </w:rPr>
        <w:t>含商誉</w:t>
      </w:r>
      <w:r>
        <w:rPr>
          <w:rFonts w:ascii="Arial" w:eastAsia="Arial" w:hAnsi="Arial" w:cs="Arial"/>
          <w:color w:val="000000"/>
          <w:spacing w:val="0"/>
          <w:w w:val="100"/>
          <w:position w:val="0"/>
          <w:sz w:val="24"/>
          <w:szCs w:val="24"/>
        </w:rPr>
        <w:t>）</w:t>
      </w:r>
      <w:r>
        <w:rPr>
          <w:color w:val="000000"/>
          <w:spacing w:val="0"/>
          <w:w w:val="100"/>
          <w:position w:val="0"/>
          <w:sz w:val="24"/>
          <w:szCs w:val="24"/>
        </w:rPr>
        <w:t>的账面价值 与其可收回金额进行比较，如果可收回金额低于账面价值，相关差额计入当 期损益</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（53））</w:t>
      </w:r>
      <w:r>
        <w:rPr>
          <w:color w:val="000000"/>
          <w:spacing w:val="0"/>
          <w:w w:val="100"/>
          <w:position w:val="0"/>
          <w:sz w:val="24"/>
          <w:szCs w:val="24"/>
        </w:rPr>
        <w:t>。</w:t>
      </w:r>
    </w:p>
    <w:p>
      <w:pPr>
        <w:pStyle w:val="Style72"/>
        <w:keepNext w:val="0"/>
        <w:keepLines w:val="0"/>
        <w:widowControl w:val="0"/>
        <w:shd w:val="clear" w:color="auto" w:fill="auto"/>
        <w:tabs>
          <w:tab w:pos="710" w:val="left"/>
        </w:tabs>
        <w:bidi w:val="0"/>
        <w:spacing w:before="0" w:after="0" w:line="310" w:lineRule="exact"/>
        <w:ind w:left="0" w:right="0" w:firstLine="0"/>
        <w:jc w:val="both"/>
      </w:pPr>
      <w:r>
        <w:rPr>
          <w:color w:val="000000"/>
          <w:spacing w:val="0"/>
          <w:w w:val="100"/>
          <w:position w:val="0"/>
          <w:sz w:val="24"/>
          <w:szCs w:val="24"/>
        </w:rPr>
        <w:t>⑴</w:t>
        <w:tab/>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年度，本集团调整生产经营计划而决定终止红孩子母婴及美妆线下门</w:t>
      </w:r>
    </w:p>
    <w:p>
      <w:pPr>
        <w:pStyle w:val="Style72"/>
        <w:keepNext w:val="0"/>
        <w:keepLines w:val="0"/>
        <w:widowControl w:val="0"/>
        <w:shd w:val="clear" w:color="auto" w:fill="auto"/>
        <w:bidi w:val="0"/>
        <w:spacing w:before="0" w:after="260" w:line="310" w:lineRule="exact"/>
        <w:ind w:left="700" w:right="0" w:firstLine="20"/>
        <w:jc w:val="both"/>
      </w:pPr>
      <w:r>
        <w:rPr>
          <w:color w:val="000000"/>
          <w:spacing w:val="0"/>
          <w:w w:val="100"/>
          <w:position w:val="0"/>
          <w:sz w:val="24"/>
          <w:szCs w:val="24"/>
        </w:rPr>
        <w:t>店业务，仅保留其线上平台销售业务，导致红孩子母婴及美妆业务无法受益 于中国地区线下零售业务的协同效应。因此，本集团于</w:t>
      </w:r>
      <w:r>
        <w:rPr>
          <w:rFonts w:ascii="Arial" w:eastAsia="Arial" w:hAnsi="Arial" w:cs="Arial"/>
          <w:color w:val="000000"/>
          <w:spacing w:val="0"/>
          <w:w w:val="100"/>
          <w:position w:val="0"/>
          <w:sz w:val="24"/>
          <w:szCs w:val="24"/>
        </w:rPr>
        <w:t>2021</w:t>
      </w:r>
      <w:r>
        <w:rPr>
          <w:color w:val="000000"/>
          <w:spacing w:val="0"/>
          <w:w w:val="100"/>
          <w:position w:val="0"/>
          <w:sz w:val="24"/>
          <w:szCs w:val="24"/>
        </w:rPr>
        <w:t>年度将收购红孩 子母婴及美妆线下门店业务而产生的商誉全部分摊至中国地区线上零售业务 资产组组合。于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日，红孩子母婴及美妆业务对应资产组组合经 过商誉减值测试未发生减值。除此以外，</w:t>
      </w:r>
      <w:r>
        <w:rPr>
          <w:rFonts w:ascii="Arial" w:eastAsia="Arial" w:hAnsi="Arial" w:cs="Arial"/>
          <w:color w:val="000000"/>
          <w:spacing w:val="0"/>
          <w:w w:val="100"/>
          <w:position w:val="0"/>
          <w:sz w:val="24"/>
          <w:szCs w:val="24"/>
        </w:rPr>
        <w:t>2021</w:t>
      </w:r>
      <w:r>
        <w:rPr>
          <w:color w:val="000000"/>
          <w:spacing w:val="0"/>
          <w:w w:val="100"/>
          <w:position w:val="0"/>
          <w:sz w:val="24"/>
          <w:szCs w:val="24"/>
        </w:rPr>
        <w:t>年度商誉分摊未发生变化。</w:t>
      </w:r>
    </w:p>
    <w:p>
      <w:pPr>
        <w:pStyle w:val="Style72"/>
        <w:keepNext w:val="0"/>
        <w:keepLines w:val="0"/>
        <w:widowControl w:val="0"/>
        <w:shd w:val="clear" w:color="auto" w:fill="auto"/>
        <w:bidi w:val="0"/>
        <w:spacing w:before="0" w:after="260" w:line="310" w:lineRule="exact"/>
        <w:ind w:left="700" w:right="0" w:hanging="700"/>
        <w:jc w:val="both"/>
      </w:pPr>
      <w:r>
        <w:rPr>
          <w:rFonts w:ascii="Arial" w:eastAsia="Arial" w:hAnsi="Arial" w:cs="Arial"/>
          <w:color w:val="000000"/>
          <w:spacing w:val="0"/>
          <w:w w:val="100"/>
          <w:position w:val="0"/>
          <w:sz w:val="24"/>
          <w:szCs w:val="24"/>
        </w:rPr>
        <w:t xml:space="preserve">（ii） </w:t>
      </w:r>
      <w:r>
        <w:rPr>
          <w:rFonts w:ascii="Arial" w:eastAsia="Arial" w:hAnsi="Arial" w:cs="Arial"/>
          <w:color w:val="000000"/>
          <w:spacing w:val="0"/>
          <w:w w:val="100"/>
          <w:position w:val="0"/>
          <w:sz w:val="24"/>
          <w:szCs w:val="24"/>
        </w:rPr>
        <w:t>2021</w:t>
      </w:r>
      <w:r>
        <w:rPr>
          <w:color w:val="000000"/>
          <w:spacing w:val="0"/>
          <w:w w:val="100"/>
          <w:position w:val="0"/>
          <w:sz w:val="24"/>
          <w:szCs w:val="24"/>
        </w:rPr>
        <w:t>年度，由于新冠肺炎疫情的持续影响及相关防控措施，本集团家乐福超 市业务整体经营状况未如预期，业务量相应下降。本集团在进行减值测试时， 经比较相关资产组组合的公允价值减去处置费用后的净额和预计未来现金流 量的现值后，采用预计未来现金流量的现值确定其可收回金额，并计提减值 准备约人民币</w:t>
      </w:r>
      <w:r>
        <w:rPr>
          <w:rFonts w:ascii="Arial" w:eastAsia="Arial" w:hAnsi="Arial" w:cs="Arial"/>
          <w:color w:val="000000"/>
          <w:spacing w:val="0"/>
          <w:w w:val="100"/>
          <w:position w:val="0"/>
          <w:sz w:val="24"/>
          <w:szCs w:val="24"/>
        </w:rPr>
        <w:t xml:space="preserve">1.3 </w:t>
      </w:r>
      <w:r>
        <w:rPr>
          <w:rFonts w:ascii="Arial" w:eastAsia="Arial" w:hAnsi="Arial" w:cs="Arial"/>
          <w:color w:val="000000"/>
          <w:spacing w:val="0"/>
          <w:w w:val="100"/>
          <w:position w:val="0"/>
          <w:sz w:val="24"/>
          <w:szCs w:val="24"/>
        </w:rPr>
        <w:t>0</w:t>
      </w:r>
      <w:r>
        <w:rPr>
          <w:color w:val="000000"/>
          <w:spacing w:val="0"/>
          <w:w w:val="100"/>
          <w:position w:val="0"/>
          <w:sz w:val="24"/>
          <w:szCs w:val="24"/>
        </w:rPr>
        <w:t>亿元。</w:t>
      </w:r>
    </w:p>
    <w:p>
      <w:pPr>
        <w:pStyle w:val="Style72"/>
        <w:keepNext w:val="0"/>
        <w:keepLines w:val="0"/>
        <w:widowControl w:val="0"/>
        <w:shd w:val="clear" w:color="auto" w:fill="auto"/>
        <w:bidi w:val="0"/>
        <w:spacing w:before="0" w:after="260" w:line="322" w:lineRule="exact"/>
        <w:ind w:left="700" w:right="0" w:firstLine="20"/>
        <w:jc w:val="both"/>
      </w:pPr>
      <w:r>
        <w:rPr>
          <w:color w:val="000000"/>
          <w:spacing w:val="0"/>
          <w:w w:val="100"/>
          <w:position w:val="0"/>
          <w:sz w:val="24"/>
          <w:szCs w:val="24"/>
        </w:rPr>
        <w:t>此外，于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年度本集团决定终止天天快递物流业务，相应将原收购天天快 递物流业务产生的商誉全额计提减值准备约人民币</w:t>
      </w:r>
      <w:r>
        <w:rPr>
          <w:rFonts w:ascii="Arial" w:eastAsia="Arial" w:hAnsi="Arial" w:cs="Arial"/>
          <w:color w:val="000000"/>
          <w:spacing w:val="0"/>
          <w:w w:val="100"/>
          <w:position w:val="0"/>
          <w:sz w:val="24"/>
          <w:szCs w:val="24"/>
        </w:rPr>
        <w:t>8.01</w:t>
      </w:r>
      <w:r>
        <w:rPr>
          <w:color w:val="000000"/>
          <w:spacing w:val="0"/>
          <w:w w:val="100"/>
          <w:position w:val="0"/>
          <w:sz w:val="24"/>
          <w:szCs w:val="24"/>
        </w:rPr>
        <w:t>亿元。</w:t>
      </w:r>
    </w:p>
    <w:p>
      <w:pPr>
        <w:pStyle w:val="Style72"/>
        <w:keepNext w:val="0"/>
        <w:keepLines w:val="0"/>
        <w:widowControl w:val="0"/>
        <w:shd w:val="clear" w:color="auto" w:fill="auto"/>
        <w:bidi w:val="0"/>
        <w:spacing w:before="0" w:after="260" w:line="313" w:lineRule="exact"/>
        <w:ind w:left="700" w:right="0" w:firstLine="20"/>
        <w:jc w:val="both"/>
      </w:pPr>
      <w:r>
        <w:rPr>
          <w:color w:val="000000"/>
          <w:spacing w:val="0"/>
          <w:w w:val="100"/>
          <w:position w:val="0"/>
          <w:sz w:val="24"/>
          <w:szCs w:val="24"/>
        </w:rPr>
        <w:t>本集团根据历史经验及对市场发展的预测确定增长率和毛利率，预测期增长 率基于管理层批准的五年期预算，稳定期增长率为预测期后所采用的增长率， 与权威行业报告所载的预测数据一致，不超过各产品的长期平均增长率。本 集团采用能够反映相关资产组或资产组组合的特定风险的税前利率为折现 率。</w:t>
      </w:r>
      <w:r>
        <w:br w:type="page"/>
      </w:r>
    </w:p>
    <w:p>
      <w:pPr>
        <w:pStyle w:val="Style72"/>
        <w:keepNext w:val="0"/>
        <w:keepLines w:val="0"/>
        <w:widowControl w:val="0"/>
        <w:shd w:val="clear" w:color="auto" w:fill="auto"/>
        <w:tabs>
          <w:tab w:pos="706" w:val="left"/>
        </w:tabs>
        <w:bidi w:val="0"/>
        <w:spacing w:before="0" w:after="32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after="320" w:line="240" w:lineRule="auto"/>
        <w:ind w:left="0" w:right="0" w:firstLine="0"/>
        <w:jc w:val="left"/>
        <w:rPr>
          <w:sz w:val="28"/>
          <w:szCs w:val="28"/>
        </w:rPr>
      </w:pPr>
      <w:r>
        <w:rPr>
          <w:color w:val="000000"/>
          <w:spacing w:val="0"/>
          <w:w w:val="100"/>
          <w:position w:val="0"/>
          <w:sz w:val="24"/>
          <w:szCs w:val="24"/>
        </w:rPr>
        <w:t>（19）</w:t>
      </w:r>
      <w:r>
        <w:rPr>
          <w:rFonts w:ascii="SimSun" w:eastAsia="SimSun" w:hAnsi="SimSun" w:cs="SimSun"/>
          <w:b/>
          <w:bCs/>
          <w:color w:val="000000"/>
          <w:spacing w:val="0"/>
          <w:w w:val="100"/>
          <w:position w:val="0"/>
          <w:sz w:val="24"/>
          <w:szCs w:val="24"/>
        </w:rPr>
        <w:t>商誉</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26"/>
        <w:keepNext w:val="0"/>
        <w:keepLines w:val="0"/>
        <w:widowControl w:val="0"/>
        <w:shd w:val="clear" w:color="auto" w:fill="auto"/>
        <w:bidi w:val="0"/>
        <w:spacing w:before="0" w:after="4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color w:val="000000"/>
          <w:spacing w:val="0"/>
          <w:w w:val="100"/>
          <w:position w:val="0"/>
          <w:sz w:val="24"/>
          <w:szCs w:val="24"/>
        </w:rPr>
        <w:t>年度及</w:t>
      </w:r>
      <w:r>
        <w:rPr>
          <w:rFonts w:ascii="Arial" w:eastAsia="Arial" w:hAnsi="Arial" w:cs="Arial"/>
          <w:color w:val="000000"/>
          <w:spacing w:val="0"/>
          <w:w w:val="100"/>
          <w:position w:val="0"/>
          <w:sz w:val="24"/>
          <w:szCs w:val="24"/>
        </w:rPr>
        <w:t>2020</w:t>
      </w:r>
      <w:r>
        <w:rPr>
          <w:color w:val="000000"/>
          <w:spacing w:val="0"/>
          <w:w w:val="100"/>
          <w:position w:val="0"/>
          <w:sz w:val="24"/>
          <w:szCs w:val="24"/>
        </w:rPr>
        <w:t>年度，本集团采用未来现金流量折现方法的主要假设如</w:t>
      </w:r>
    </w:p>
    <w:p>
      <w:pPr>
        <w:pStyle w:val="Style2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下：</w:t>
      </w:r>
    </w:p>
    <w:tbl>
      <w:tblPr>
        <w:tblOverlap w:val="never"/>
        <w:jc w:val="center"/>
        <w:tblLayout w:type="fixed"/>
      </w:tblPr>
      <w:tblGrid>
        <w:gridCol w:w="3576"/>
        <w:gridCol w:w="2390"/>
        <w:gridCol w:w="1872"/>
      </w:tblGrid>
      <w:tr>
        <w:trPr>
          <w:trHeight w:val="446" w:hRule="exact"/>
        </w:trPr>
        <w:tc>
          <w:tcPr>
            <w:tcBorders/>
            <w:shd w:val="clear" w:color="auto" w:fill="FFFFFF"/>
            <w:vAlign w:val="top"/>
          </w:tcPr>
          <w:p>
            <w:pPr>
              <w:pStyle w:val="Style29"/>
              <w:keepNext w:val="0"/>
              <w:keepLines w:val="0"/>
              <w:widowControl w:val="0"/>
              <w:shd w:val="clear" w:color="auto" w:fill="auto"/>
              <w:tabs>
                <w:tab w:pos="3216" w:val="left"/>
              </w:tabs>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家乐福中国业务</w:t>
              <w:tab/>
              <w:t>_</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5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收入增长率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24"/>
                <w:szCs w:val="24"/>
              </w:rPr>
            </w:pPr>
            <w:r>
              <w:rPr>
                <w:rFonts w:ascii="Arial" w:eastAsia="Arial" w:hAnsi="Arial" w:cs="Arial"/>
                <w:color w:val="000000"/>
                <w:spacing w:val="0"/>
                <w:w w:val="100"/>
                <w:position w:val="0"/>
                <w:sz w:val="24"/>
                <w:szCs w:val="24"/>
              </w:rPr>
              <w:t>-3.3%-19.1%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5.8%-13.8%</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预测期毛利率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20.1%-24.2%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22.5%-26.0%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稳定阶段毛利率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20.4%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26.0%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永续增长率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24"/>
                <w:szCs w:val="24"/>
              </w:rPr>
            </w:pPr>
            <w:r>
              <w:rPr>
                <w:rFonts w:ascii="Arial" w:eastAsia="Arial" w:hAnsi="Arial" w:cs="Arial"/>
                <w:color w:val="000000"/>
                <w:spacing w:val="0"/>
                <w:w w:val="100"/>
                <w:position w:val="0"/>
                <w:sz w:val="24"/>
                <w:szCs w:val="24"/>
              </w:rPr>
              <w:t>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24"/>
                <w:szCs w:val="24"/>
              </w:rPr>
            </w:pPr>
            <w:r>
              <w:rPr>
                <w:rFonts w:ascii="Arial" w:eastAsia="Arial" w:hAnsi="Arial" w:cs="Arial"/>
                <w:color w:val="000000"/>
                <w:spacing w:val="0"/>
                <w:w w:val="100"/>
                <w:position w:val="0"/>
                <w:sz w:val="24"/>
                <w:szCs w:val="24"/>
              </w:rPr>
              <w:t>2.6%</w:t>
            </w:r>
          </w:p>
        </w:tc>
      </w:tr>
      <w:tr>
        <w:trPr>
          <w:trHeight w:val="44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税前折现率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24"/>
                <w:szCs w:val="24"/>
              </w:rPr>
            </w:pPr>
            <w:r>
              <w:rPr>
                <w:rFonts w:ascii="Arial" w:eastAsia="Arial" w:hAnsi="Arial" w:cs="Arial"/>
                <w:color w:val="000000"/>
                <w:spacing w:val="0"/>
                <w:w w:val="100"/>
                <w:position w:val="0"/>
                <w:sz w:val="24"/>
                <w:szCs w:val="24"/>
              </w:rPr>
              <w:t>11.46%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14.75%</w:t>
            </w:r>
          </w:p>
        </w:tc>
      </w:tr>
      <w:tr>
        <w:trPr>
          <w:trHeight w:val="60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万达百货业务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4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收入增长率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24"/>
                <w:szCs w:val="24"/>
              </w:rPr>
            </w:pPr>
            <w:r>
              <w:rPr>
                <w:rFonts w:ascii="Arial" w:eastAsia="Arial" w:hAnsi="Arial" w:cs="Arial"/>
                <w:color w:val="000000"/>
                <w:spacing w:val="0"/>
                <w:w w:val="100"/>
                <w:position w:val="0"/>
                <w:sz w:val="24"/>
                <w:szCs w:val="24"/>
              </w:rPr>
              <w:t>2%-19.8%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2.6%-23.2%</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预测期毛利率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97.3%-97.8%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96.4%-96.5%</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稳定阶段毛利率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97.3%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96.5%</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永续增长率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rPr>
                <w:sz w:val="24"/>
                <w:szCs w:val="24"/>
              </w:rPr>
            </w:pPr>
            <w:r>
              <w:rPr>
                <w:rFonts w:ascii="Arial" w:eastAsia="Arial" w:hAnsi="Arial" w:cs="Arial"/>
                <w:color w:val="000000"/>
                <w:spacing w:val="0"/>
                <w:w w:val="100"/>
                <w:position w:val="0"/>
                <w:sz w:val="24"/>
                <w:szCs w:val="24"/>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24"/>
                <w:szCs w:val="24"/>
              </w:rPr>
            </w:pPr>
            <w:r>
              <w:rPr>
                <w:rFonts w:ascii="Arial" w:eastAsia="Arial" w:hAnsi="Arial" w:cs="Arial"/>
                <w:color w:val="000000"/>
                <w:spacing w:val="0"/>
                <w:w w:val="100"/>
                <w:position w:val="0"/>
                <w:sz w:val="24"/>
                <w:szCs w:val="24"/>
              </w:rPr>
              <w:t>2.6%</w:t>
            </w:r>
          </w:p>
        </w:tc>
      </w:tr>
      <w:tr>
        <w:trPr>
          <w:trHeight w:val="44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税前折现率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24"/>
                <w:szCs w:val="24"/>
              </w:rPr>
            </w:pPr>
            <w:r>
              <w:rPr>
                <w:rFonts w:ascii="Arial" w:eastAsia="Arial" w:hAnsi="Arial" w:cs="Arial"/>
                <w:color w:val="000000"/>
                <w:spacing w:val="0"/>
                <w:w w:val="100"/>
                <w:position w:val="0"/>
                <w:sz w:val="24"/>
                <w:szCs w:val="24"/>
              </w:rPr>
              <w:t>10.81%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15.08%</w:t>
            </w:r>
          </w:p>
        </w:tc>
      </w:tr>
      <w:tr>
        <w:trPr>
          <w:trHeight w:val="60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红孩子母婴及美妆业务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4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收入增长率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24"/>
                <w:szCs w:val="24"/>
              </w:rPr>
            </w:pPr>
            <w:r>
              <w:rPr>
                <w:rFonts w:ascii="Arial" w:eastAsia="Arial" w:hAnsi="Arial" w:cs="Arial"/>
                <w:color w:val="000000"/>
                <w:spacing w:val="0"/>
                <w:w w:val="100"/>
                <w:position w:val="0"/>
                <w:sz w:val="24"/>
                <w:szCs w:val="24"/>
              </w:rPr>
              <w:t>2%-10.2%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2.6%-25.5%</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预测期毛利率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7.97%-8.7%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12%-12.4%</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稳定阶段毛利率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24"/>
                <w:szCs w:val="24"/>
              </w:rPr>
            </w:pPr>
            <w:r>
              <w:rPr>
                <w:rFonts w:ascii="Arial" w:eastAsia="Arial" w:hAnsi="Arial" w:cs="Arial"/>
                <w:color w:val="000000"/>
                <w:spacing w:val="0"/>
                <w:w w:val="100"/>
                <w:position w:val="0"/>
                <w:sz w:val="24"/>
                <w:szCs w:val="24"/>
              </w:rPr>
              <w:t>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12.4%</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永续增长率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rPr>
                <w:sz w:val="24"/>
                <w:szCs w:val="24"/>
              </w:rPr>
            </w:pPr>
            <w:r>
              <w:rPr>
                <w:rFonts w:ascii="Arial" w:eastAsia="Arial" w:hAnsi="Arial" w:cs="Arial"/>
                <w:color w:val="000000"/>
                <w:spacing w:val="0"/>
                <w:w w:val="100"/>
                <w:position w:val="0"/>
                <w:sz w:val="24"/>
                <w:szCs w:val="24"/>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24"/>
                <w:szCs w:val="24"/>
              </w:rPr>
            </w:pPr>
            <w:r>
              <w:rPr>
                <w:rFonts w:ascii="Arial" w:eastAsia="Arial" w:hAnsi="Arial" w:cs="Arial"/>
                <w:color w:val="000000"/>
                <w:spacing w:val="0"/>
                <w:w w:val="100"/>
                <w:position w:val="0"/>
                <w:sz w:val="24"/>
                <w:szCs w:val="24"/>
              </w:rPr>
              <w:t>2.6%</w:t>
            </w:r>
          </w:p>
        </w:tc>
      </w:tr>
      <w:tr>
        <w:trPr>
          <w:trHeight w:val="44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税前折现率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24"/>
                <w:szCs w:val="24"/>
              </w:rPr>
            </w:pPr>
            <w:r>
              <w:rPr>
                <w:rFonts w:ascii="Arial" w:eastAsia="Arial" w:hAnsi="Arial" w:cs="Arial"/>
                <w:color w:val="000000"/>
                <w:spacing w:val="0"/>
                <w:w w:val="100"/>
                <w:position w:val="0"/>
                <w:sz w:val="24"/>
                <w:szCs w:val="24"/>
              </w:rPr>
              <w:t>16.78%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15.2%</w:t>
            </w:r>
          </w:p>
        </w:tc>
      </w:tr>
      <w:tr>
        <w:trPr>
          <w:trHeight w:val="912" w:hRule="exact"/>
        </w:trPr>
        <w:tc>
          <w:tcPr>
            <w:tcBorders/>
            <w:shd w:val="clear" w:color="auto" w:fill="FFFFFF"/>
            <w:vAlign w:val="center"/>
          </w:tcPr>
          <w:p>
            <w:pPr>
              <w:pStyle w:val="Style29"/>
              <w:keepNext w:val="0"/>
              <w:keepLines w:val="0"/>
              <w:widowControl w:val="0"/>
              <w:shd w:val="clear" w:color="auto" w:fill="auto"/>
              <w:bidi w:val="0"/>
              <w:spacing w:before="0" w:after="0" w:line="322" w:lineRule="exact"/>
              <w:ind w:left="280" w:right="0" w:hanging="280"/>
              <w:jc w:val="left"/>
              <w:rPr>
                <w:sz w:val="24"/>
                <w:szCs w:val="24"/>
              </w:rPr>
            </w:pPr>
            <w:r>
              <w:rPr>
                <w:rFonts w:ascii="SimSun" w:eastAsia="SimSun" w:hAnsi="SimSun" w:cs="SimSun"/>
                <w:color w:val="000000"/>
                <w:spacing w:val="0"/>
                <w:w w:val="100"/>
                <w:position w:val="0"/>
                <w:sz w:val="24"/>
                <w:szCs w:val="24"/>
              </w:rPr>
              <w:t>满座网业务及好耶广告技术 板块业务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4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收入增长率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-66.7%-14%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22.7%-89.5%</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预测期毛利率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85.6%-91.3%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91.6%-96.7%</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稳定阶段毛利率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91.3%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96.7%</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永续增长率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rPr>
                <w:sz w:val="24"/>
                <w:szCs w:val="24"/>
              </w:rPr>
            </w:pPr>
            <w:r>
              <w:rPr>
                <w:rFonts w:ascii="Arial" w:eastAsia="Arial" w:hAnsi="Arial" w:cs="Arial"/>
                <w:color w:val="000000"/>
                <w:spacing w:val="0"/>
                <w:w w:val="100"/>
                <w:position w:val="0"/>
                <w:sz w:val="24"/>
                <w:szCs w:val="24"/>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24"/>
                <w:szCs w:val="24"/>
              </w:rPr>
            </w:pPr>
            <w:r>
              <w:rPr>
                <w:rFonts w:ascii="Arial" w:eastAsia="Arial" w:hAnsi="Arial" w:cs="Arial"/>
                <w:color w:val="000000"/>
                <w:spacing w:val="0"/>
                <w:w w:val="100"/>
                <w:position w:val="0"/>
                <w:sz w:val="24"/>
                <w:szCs w:val="24"/>
              </w:rPr>
              <w:t>2.6%</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税前折现率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both"/>
              <w:rPr>
                <w:sz w:val="24"/>
                <w:szCs w:val="24"/>
              </w:rPr>
            </w:pPr>
            <w:r>
              <w:rPr>
                <w:rFonts w:ascii="Arial" w:eastAsia="Arial" w:hAnsi="Arial" w:cs="Arial"/>
                <w:color w:val="000000"/>
                <w:spacing w:val="0"/>
                <w:w w:val="100"/>
                <w:position w:val="0"/>
                <w:sz w:val="24"/>
                <w:szCs w:val="24"/>
              </w:rPr>
              <w:t>18.91%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20.7%</w:t>
            </w:r>
          </w:p>
        </w:tc>
      </w:tr>
    </w:tbl>
    <w:p>
      <w:pPr>
        <w:sectPr>
          <w:footnotePr>
            <w:pos w:val="pageBottom"/>
            <w:numFmt w:val="decimal"/>
            <w:numStart w:val="1"/>
            <w:numRestart w:val="continuous"/>
            <w15:footnoteColumns w:val="1"/>
          </w:footnotePr>
          <w:pgSz w:w="11900" w:h="16840"/>
          <w:pgMar w:top="2338" w:right="1302" w:bottom="2156" w:left="1709" w:header="0" w:footer="3" w:gutter="0"/>
          <w:cols w:space="720"/>
          <w:noEndnote/>
          <w:rtlGutter w:val="0"/>
          <w:docGrid w:linePitch="360"/>
        </w:sectPr>
      </w:pPr>
    </w:p>
    <w:p>
      <w:pPr>
        <w:pStyle w:val="Style72"/>
        <w:keepNext w:val="0"/>
        <w:keepLines w:val="0"/>
        <w:widowControl w:val="0"/>
        <w:shd w:val="clear" w:color="auto" w:fill="auto"/>
        <w:tabs>
          <w:tab w:pos="706"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40" w:line="240" w:lineRule="auto"/>
        <w:ind w:left="0" w:right="0" w:firstLine="0"/>
        <w:jc w:val="left"/>
      </w:pPr>
      <w:r>
        <w:rPr>
          <w:rFonts w:ascii="Arial" w:eastAsia="Arial" w:hAnsi="Arial" w:cs="Arial"/>
          <w:color w:val="000000"/>
          <w:spacing w:val="0"/>
          <w:w w:val="100"/>
          <w:position w:val="0"/>
          <w:sz w:val="24"/>
          <w:szCs w:val="24"/>
        </w:rPr>
        <w:t>(20)</w:t>
      </w:r>
      <w:r>
        <w:rPr>
          <w:b/>
          <w:bCs/>
          <w:color w:val="000000"/>
          <w:spacing w:val="0"/>
          <w:w w:val="100"/>
          <w:position w:val="0"/>
          <w:sz w:val="24"/>
          <w:szCs w:val="24"/>
        </w:rPr>
        <w:t>长期待摊费用</w:t>
      </w:r>
    </w:p>
    <w:tbl>
      <w:tblPr>
        <w:tblOverlap w:val="never"/>
        <w:jc w:val="center"/>
        <w:tblLayout w:type="fixed"/>
      </w:tblPr>
      <w:tblGrid>
        <w:gridCol w:w="3014"/>
        <w:gridCol w:w="1627"/>
        <w:gridCol w:w="1690"/>
        <w:gridCol w:w="1464"/>
        <w:gridCol w:w="1416"/>
        <w:gridCol w:w="1387"/>
        <w:gridCol w:w="1358"/>
        <w:gridCol w:w="1402"/>
      </w:tblGrid>
      <w:tr>
        <w:trPr>
          <w:trHeight w:val="9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12</w:t>
            </w:r>
            <w:r>
              <w:rPr>
                <w:rFonts w:ascii="SimSun" w:eastAsia="SimSun" w:hAnsi="SimSun" w:cs="SimSun"/>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Sun" w:eastAsia="SimSun" w:hAnsi="SimSun" w:cs="SimSun"/>
                <w:color w:val="000000"/>
                <w:spacing w:val="0"/>
                <w:w w:val="100"/>
                <w:position w:val="0"/>
                <w:sz w:val="20"/>
                <w:szCs w:val="20"/>
              </w:rPr>
              <w:t>日</w:t>
            </w:r>
          </w:p>
        </w:tc>
        <w:tc>
          <w:tcPr>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40"/>
              <w:jc w:val="left"/>
              <w:rPr>
                <w:sz w:val="20"/>
                <w:szCs w:val="20"/>
              </w:rPr>
            </w:pPr>
            <w:r>
              <w:rPr>
                <w:rFonts w:ascii="SimSun" w:eastAsia="SimSun" w:hAnsi="SimSun" w:cs="SimSun"/>
                <w:color w:val="000000"/>
                <w:spacing w:val="0"/>
                <w:w w:val="100"/>
                <w:position w:val="0"/>
                <w:sz w:val="20"/>
                <w:szCs w:val="20"/>
              </w:rPr>
              <w:t>会计政策变更</w:t>
            </w:r>
          </w:p>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w:t>
            </w:r>
            <w:r>
              <w:rPr>
                <w:rFonts w:ascii="SimSun" w:eastAsia="SimSun" w:hAnsi="SimSun" w:cs="SimSun"/>
                <w:color w:val="000000"/>
                <w:spacing w:val="0"/>
                <w:w w:val="100"/>
                <w:position w:val="0"/>
                <w:sz w:val="20"/>
                <w:szCs w:val="20"/>
              </w:rPr>
              <w:t>附注二</w:t>
            </w:r>
            <w:r>
              <w:rPr>
                <w:rFonts w:ascii="Arial" w:eastAsia="Arial" w:hAnsi="Arial" w:cs="Arial"/>
                <w:color w:val="000000"/>
                <w:spacing w:val="0"/>
                <w:w w:val="100"/>
                <w:position w:val="0"/>
                <w:sz w:val="20"/>
                <w:szCs w:val="20"/>
              </w:rPr>
              <w:t>(30))</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420"/>
              <w:jc w:val="left"/>
              <w:rPr>
                <w:sz w:val="20"/>
                <w:szCs w:val="20"/>
              </w:rPr>
            </w:pPr>
            <w:r>
              <w:rPr>
                <w:rFonts w:ascii="Arial" w:eastAsia="Arial" w:hAnsi="Arial" w:cs="Arial"/>
                <w:color w:val="000000"/>
                <w:spacing w:val="0"/>
                <w:w w:val="100"/>
                <w:position w:val="0"/>
                <w:sz w:val="20"/>
                <w:szCs w:val="20"/>
              </w:rPr>
              <w:t xml:space="preserve">2021 </w:t>
            </w:r>
            <w:r>
              <w:rPr>
                <w:rFonts w:ascii="SimSun" w:eastAsia="SimSun" w:hAnsi="SimSun" w:cs="SimSun"/>
                <w:color w:val="000000"/>
                <w:spacing w:val="0"/>
                <w:w w:val="100"/>
                <w:position w:val="0"/>
                <w:sz w:val="20"/>
                <w:szCs w:val="20"/>
              </w:rPr>
              <w:t>年</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r>
              <w:rPr>
                <w:rFonts w:ascii="SimSun" w:eastAsia="SimSun" w:hAnsi="SimSun" w:cs="SimSun"/>
                <w:color w:val="000000"/>
                <w:spacing w:val="0"/>
                <w:w w:val="100"/>
                <w:position w:val="0"/>
                <w:sz w:val="20"/>
                <w:szCs w:val="20"/>
              </w:rPr>
              <w:t>月</w:t>
            </w:r>
            <w:r>
              <w:rPr>
                <w:rFonts w:ascii="Arial" w:eastAsia="Arial" w:hAnsi="Arial" w:cs="Arial"/>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本年增加</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本年减少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本年摊销</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2021 </w:t>
            </w:r>
            <w:r>
              <w:rPr>
                <w:rFonts w:ascii="SimSun" w:eastAsia="SimSun" w:hAnsi="SimSun" w:cs="SimSun"/>
                <w:color w:val="000000"/>
                <w:spacing w:val="0"/>
                <w:w w:val="100"/>
                <w:position w:val="0"/>
                <w:sz w:val="20"/>
                <w:szCs w:val="20"/>
              </w:rPr>
              <w:t>年</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w:t>
            </w:r>
            <w:r>
              <w:rPr>
                <w:rFonts w:ascii="SimSun" w:eastAsia="SimSun" w:hAnsi="SimSun" w:cs="SimSun"/>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Sun" w:eastAsia="SimSun" w:hAnsi="SimSun" w:cs="SimSun"/>
                <w:color w:val="000000"/>
                <w:spacing w:val="0"/>
                <w:w w:val="100"/>
                <w:position w:val="0"/>
                <w:sz w:val="20"/>
                <w:szCs w:val="20"/>
              </w:rPr>
              <w:t>日</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使用权资产改良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1,122,406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1,122,406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270,35 8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(68,764)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(601,258)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722,742</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426,565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(384,355)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42,210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rFonts w:ascii="Arial" w:eastAsia="Arial" w:hAnsi="Arial" w:cs="Arial"/>
                <w:color w:val="000000"/>
                <w:spacing w:val="0"/>
                <w:w w:val="100"/>
                <w:position w:val="0"/>
                <w:sz w:val="20"/>
                <w:szCs w:val="20"/>
              </w:rPr>
              <w:t>(6,224)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35,986</w:t>
            </w:r>
          </w:p>
        </w:tc>
      </w:tr>
      <w:tr>
        <w:trPr>
          <w:trHeight w:val="39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1,548,971</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(384,355)</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1,164,616</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270,358</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(68,764)</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(607,482)</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758,728</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减值准备</w:t>
            </w:r>
            <w:r>
              <w:rPr>
                <w:rFonts w:ascii="Arial" w:eastAsia="Arial" w:hAnsi="Arial" w:cs="Arial"/>
                <w:color w:val="000000"/>
                <w:spacing w:val="0"/>
                <w:w w:val="100"/>
                <w:position w:val="0"/>
                <w:sz w:val="20"/>
                <w:szCs w:val="20"/>
              </w:rPr>
              <w:t>-</w:t>
            </w:r>
            <w:r>
              <w:rPr>
                <w:rFonts w:ascii="SimSun" w:eastAsia="SimSun" w:hAnsi="SimSun" w:cs="SimSun"/>
                <w:color w:val="000000"/>
                <w:spacing w:val="0"/>
                <w:w w:val="100"/>
                <w:position w:val="0"/>
                <w:sz w:val="20"/>
                <w:szCs w:val="20"/>
              </w:rPr>
              <w:t>使用权资产改良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(38,451)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(38,451)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(148,610)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rFonts w:ascii="Arial" w:eastAsia="Arial" w:hAnsi="Arial" w:cs="Arial"/>
                <w:color w:val="000000"/>
                <w:spacing w:val="0"/>
                <w:w w:val="100"/>
                <w:position w:val="0"/>
                <w:sz w:val="20"/>
                <w:szCs w:val="20"/>
              </w:rPr>
              <w:t>46,058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(141,003)</w:t>
            </w:r>
          </w:p>
        </w:tc>
      </w:tr>
      <w:tr>
        <w:trPr>
          <w:trHeight w:val="269"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1,510,520</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(384,355)</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1,126,165</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121,748</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(22,706)</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(607,482)</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617,725</w:t>
            </w:r>
          </w:p>
        </w:tc>
      </w:tr>
    </w:tbl>
    <w:p>
      <w:pPr>
        <w:widowControl w:val="0"/>
        <w:spacing w:after="239" w:line="1" w:lineRule="exact"/>
      </w:pPr>
    </w:p>
    <w:p>
      <w:pPr>
        <w:pStyle w:val="Style72"/>
        <w:keepNext w:val="0"/>
        <w:keepLines w:val="0"/>
        <w:widowControl w:val="0"/>
        <w:shd w:val="clear" w:color="auto" w:fill="auto"/>
        <w:bidi w:val="0"/>
        <w:spacing w:before="0" w:after="260" w:line="312" w:lineRule="exact"/>
        <w:ind w:left="700" w:right="0" w:firstLine="20"/>
        <w:jc w:val="both"/>
        <w:sectPr>
          <w:footnotePr>
            <w:pos w:val="pageBottom"/>
            <w:numFmt w:val="decimal"/>
            <w:numStart w:val="1"/>
            <w:numRestart w:val="continuous"/>
            <w15:footnoteColumns w:val="1"/>
          </w:footnotePr>
          <w:pgSz w:w="16840" w:h="11900" w:orient="landscape"/>
          <w:pgMar w:top="2333" w:right="2060" w:bottom="2333" w:left="706" w:header="0" w:footer="3" w:gutter="0"/>
          <w:cols w:space="720"/>
          <w:noEndnote/>
          <w:rtlGutter w:val="0"/>
          <w:docGrid w:linePitch="360"/>
        </w:sectPr>
      </w:pPr>
      <w:r>
        <w:rPr>
          <w:color w:val="000000"/>
          <w:spacing w:val="0"/>
          <w:w w:val="100"/>
          <w:position w:val="0"/>
          <w:sz w:val="24"/>
          <w:szCs w:val="24"/>
        </w:rPr>
        <w:t>如使用权资产</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(17))</w:t>
      </w:r>
      <w:r>
        <w:rPr>
          <w:color w:val="000000"/>
          <w:spacing w:val="0"/>
          <w:w w:val="100"/>
          <w:position w:val="0"/>
          <w:sz w:val="24"/>
          <w:szCs w:val="24"/>
        </w:rPr>
        <w:t>所述，</w:t>
      </w:r>
      <w:r>
        <w:rPr>
          <w:rFonts w:ascii="Arial" w:eastAsia="Arial" w:hAnsi="Arial" w:cs="Arial"/>
          <w:color w:val="000000"/>
          <w:spacing w:val="0"/>
          <w:w w:val="100"/>
          <w:position w:val="0"/>
          <w:sz w:val="24"/>
          <w:szCs w:val="24"/>
        </w:rPr>
        <w:t>2021</w:t>
      </w:r>
      <w:r>
        <w:rPr>
          <w:color w:val="000000"/>
          <w:spacing w:val="0"/>
          <w:w w:val="100"/>
          <w:position w:val="0"/>
          <w:sz w:val="24"/>
          <w:szCs w:val="24"/>
        </w:rPr>
        <w:t>年度，由于新冠肺炎疫情的持续影响及相关防控措施，本集团零售分部业绩未达预期，客 户关系存在减值迹象。本集团将使用权资产改良所属门店或公司作为资产组进行减值测试，经比较该资产组的公允价值减去处 置费用后的净额和预计未来现金流量的现值后，采用预计未来现金流量的现值确定相关资产组的可收回金额，并计提减值准备 约人民币</w:t>
      </w:r>
      <w:r>
        <w:rPr>
          <w:rFonts w:ascii="Arial" w:eastAsia="Arial" w:hAnsi="Arial" w:cs="Arial"/>
          <w:color w:val="000000"/>
          <w:spacing w:val="0"/>
          <w:w w:val="100"/>
          <w:position w:val="0"/>
          <w:sz w:val="24"/>
          <w:szCs w:val="24"/>
        </w:rPr>
        <w:t>1.49</w:t>
      </w:r>
      <w:r>
        <w:rPr>
          <w:color w:val="000000"/>
          <w:spacing w:val="0"/>
          <w:w w:val="100"/>
          <w:position w:val="0"/>
          <w:sz w:val="24"/>
          <w:szCs w:val="24"/>
        </w:rPr>
        <w:t>亿元。本集团在计算可收回金额时所采用的税前折现率区间为</w:t>
      </w:r>
      <w:r>
        <w:rPr>
          <w:rFonts w:ascii="Arial" w:eastAsia="Arial" w:hAnsi="Arial" w:cs="Arial"/>
          <w:color w:val="000000"/>
          <w:spacing w:val="0"/>
          <w:w w:val="100"/>
          <w:position w:val="0"/>
          <w:sz w:val="24"/>
          <w:szCs w:val="24"/>
        </w:rPr>
        <w:t>11.13%-15.81%</w:t>
      </w:r>
      <w:r>
        <w:rPr>
          <w:color w:val="000000"/>
          <w:spacing w:val="0"/>
          <w:w w:val="100"/>
          <w:position w:val="0"/>
          <w:sz w:val="24"/>
          <w:szCs w:val="24"/>
        </w:rPr>
        <w:t>。</w:t>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b/>
          <w:bCs/>
          <w:color w:val="000000"/>
          <w:spacing w:val="0"/>
          <w:w w:val="100"/>
          <w:position w:val="0"/>
          <w:sz w:val="24"/>
          <w:szCs w:val="24"/>
        </w:rPr>
        <w:t>财务报表附注</w:t>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w:t>
      </w:r>
    </w:p>
    <w:p>
      <w:pPr>
        <w:pStyle w:val="Style26"/>
        <w:keepNext w:val="0"/>
        <w:keepLines w:val="0"/>
        <w:widowControl w:val="0"/>
        <w:shd w:val="clear" w:color="auto" w:fill="auto"/>
        <w:bidi w:val="0"/>
        <w:spacing w:before="0" w:after="60" w:line="240" w:lineRule="auto"/>
        <w:ind w:left="710" w:right="0" w:firstLine="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rFonts w:ascii="Arial" w:eastAsia="Arial" w:hAnsi="Arial" w:cs="Arial"/>
          <w:color w:val="000000"/>
          <w:spacing w:val="0"/>
          <w:w w:val="100"/>
          <w:position w:val="0"/>
          <w:sz w:val="18"/>
          <w:szCs w:val="18"/>
        </w:rPr>
        <w:t>）</w:t>
      </w:r>
    </w:p>
    <w:tbl>
      <w:tblPr>
        <w:tblOverlap w:val="never"/>
        <w:jc w:val="center"/>
        <w:tblLayout w:type="fixed"/>
      </w:tblPr>
      <w:tblGrid>
        <w:gridCol w:w="3902"/>
        <w:gridCol w:w="2525"/>
        <w:gridCol w:w="2290"/>
      </w:tblGrid>
      <w:tr>
        <w:trPr>
          <w:trHeight w:val="442" w:hRule="exact"/>
        </w:trPr>
        <w:tc>
          <w:tcPr>
            <w:tcBorders/>
            <w:shd w:val="clear" w:color="auto" w:fill="FFFFFF"/>
            <w:vAlign w:val="top"/>
          </w:tcPr>
          <w:p>
            <w:pPr>
              <w:pStyle w:val="Style29"/>
              <w:keepNext w:val="0"/>
              <w:keepLines w:val="0"/>
              <w:widowControl w:val="0"/>
              <w:shd w:val="clear" w:color="auto" w:fill="auto"/>
              <w:tabs>
                <w:tab w:pos="706" w:val="left"/>
              </w:tabs>
              <w:bidi w:val="0"/>
              <w:spacing w:before="0" w:after="0" w:line="240" w:lineRule="auto"/>
              <w:ind w:left="0" w:right="0" w:firstLine="0"/>
              <w:jc w:val="left"/>
              <w:rPr>
                <w:sz w:val="28"/>
                <w:szCs w:val="28"/>
              </w:rPr>
            </w:pPr>
            <w:r>
              <w:rPr>
                <w:rFonts w:ascii="SimSun" w:eastAsia="SimSun" w:hAnsi="SimSun" w:cs="SimSun"/>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（21）</w:t>
            </w:r>
            <w:r>
              <w:rPr>
                <w:rFonts w:ascii="SimSun" w:eastAsia="SimSun" w:hAnsi="SimSun" w:cs="SimSun"/>
                <w:b/>
                <w:bCs/>
                <w:color w:val="000000"/>
                <w:spacing w:val="0"/>
                <w:w w:val="100"/>
                <w:position w:val="0"/>
                <w:sz w:val="24"/>
                <w:szCs w:val="24"/>
              </w:rPr>
              <w:t>其他非流动资产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合同履约成本</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递延延保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24"/>
                <w:szCs w:val="24"/>
              </w:rPr>
            </w:pPr>
            <w:r>
              <w:rPr>
                <w:rFonts w:ascii="SimSun" w:eastAsia="SimSun" w:hAnsi="SimSun" w:cs="SimSun"/>
                <w:color w:val="000000"/>
                <w:spacing w:val="0"/>
                <w:w w:val="100"/>
                <w:position w:val="0"/>
                <w:sz w:val="24"/>
                <w:szCs w:val="24"/>
              </w:rPr>
              <w:t>业务费用</w:t>
            </w:r>
            <w:r>
              <w:rPr>
                <w:rFonts w:ascii="Arial" w:eastAsia="Arial" w:hAnsi="Arial" w:cs="Arial"/>
                <w:color w:val="000000"/>
                <w:spacing w:val="0"/>
                <w:w w:val="100"/>
                <w:position w:val="0"/>
                <w:sz w:val="24"/>
                <w:szCs w:val="24"/>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365,947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4"/>
                <w:szCs w:val="24"/>
              </w:rPr>
            </w:pPr>
            <w:r>
              <w:rPr>
                <w:rFonts w:ascii="Arial" w:eastAsia="Arial" w:hAnsi="Arial" w:cs="Arial"/>
                <w:color w:val="000000"/>
                <w:spacing w:val="0"/>
                <w:w w:val="100"/>
                <w:position w:val="0"/>
                <w:sz w:val="24"/>
                <w:szCs w:val="24"/>
              </w:rPr>
              <w:t>462,474</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预付股权收购款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24"/>
                <w:szCs w:val="24"/>
              </w:rPr>
            </w:pPr>
            <w:r>
              <w:rPr>
                <w:rFonts w:ascii="Arial" w:eastAsia="Arial" w:hAnsi="Arial" w:cs="Arial"/>
                <w:color w:val="000000"/>
                <w:spacing w:val="0"/>
                <w:w w:val="100"/>
                <w:position w:val="0"/>
                <w:sz w:val="24"/>
                <w:szCs w:val="24"/>
              </w:rPr>
              <w:t>90,923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90,923</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预付工程设备款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24"/>
                <w:szCs w:val="24"/>
              </w:rPr>
            </w:pPr>
            <w:r>
              <w:rPr>
                <w:rFonts w:ascii="Arial" w:eastAsia="Arial" w:hAnsi="Arial" w:cs="Arial"/>
                <w:color w:val="000000"/>
                <w:spacing w:val="0"/>
                <w:w w:val="100"/>
                <w:position w:val="0"/>
                <w:sz w:val="24"/>
                <w:szCs w:val="24"/>
              </w:rPr>
              <w:t>25,914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4"/>
                <w:szCs w:val="24"/>
              </w:rPr>
            </w:pPr>
            <w:r>
              <w:rPr>
                <w:rFonts w:ascii="Arial" w:eastAsia="Arial" w:hAnsi="Arial" w:cs="Arial"/>
                <w:color w:val="000000"/>
                <w:spacing w:val="0"/>
                <w:w w:val="100"/>
                <w:position w:val="0"/>
                <w:sz w:val="24"/>
                <w:szCs w:val="24"/>
              </w:rPr>
              <w:t>143,187</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保函保证金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24"/>
                <w:szCs w:val="24"/>
              </w:rPr>
            </w:pPr>
            <w:r>
              <w:rPr>
                <w:rFonts w:ascii="Arial" w:eastAsia="Arial" w:hAnsi="Arial" w:cs="Arial"/>
                <w:color w:val="000000"/>
                <w:spacing w:val="0"/>
                <w:w w:val="100"/>
                <w:position w:val="0"/>
                <w:sz w:val="24"/>
                <w:szCs w:val="24"/>
              </w:rPr>
              <w:t>14,569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81,872</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预付土地及购房款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7,494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63,095</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504,847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4"/>
                <w:szCs w:val="24"/>
              </w:rPr>
            </w:pPr>
            <w:r>
              <w:rPr>
                <w:rFonts w:ascii="Arial" w:eastAsia="Arial" w:hAnsi="Arial" w:cs="Arial"/>
                <w:color w:val="000000"/>
                <w:spacing w:val="0"/>
                <w:w w:val="100"/>
                <w:position w:val="0"/>
                <w:sz w:val="24"/>
                <w:szCs w:val="24"/>
              </w:rPr>
              <w:t>841,551</w:t>
            </w:r>
          </w:p>
        </w:tc>
      </w:tr>
    </w:tbl>
    <w:p>
      <w:pPr>
        <w:widowControl w:val="0"/>
        <w:spacing w:after="179" w:line="1" w:lineRule="exact"/>
      </w:pPr>
    </w:p>
    <w:p>
      <w:pPr>
        <w:pStyle w:val="Style72"/>
        <w:keepNext w:val="0"/>
        <w:keepLines w:val="0"/>
        <w:widowControl w:val="0"/>
        <w:shd w:val="clear" w:color="auto" w:fill="auto"/>
        <w:tabs>
          <w:tab w:pos="710" w:val="left"/>
        </w:tabs>
        <w:bidi w:val="0"/>
        <w:spacing w:before="0" w:after="0" w:line="312" w:lineRule="exact"/>
        <w:ind w:left="0" w:right="0" w:firstLine="0"/>
        <w:jc w:val="left"/>
      </w:pPr>
      <w:r>
        <w:rPr>
          <w:color w:val="000000"/>
          <w:spacing w:val="0"/>
          <w:w w:val="100"/>
          <w:position w:val="0"/>
          <w:sz w:val="24"/>
          <w:szCs w:val="24"/>
        </w:rPr>
        <w:t>⑴</w:t>
        <w:tab/>
        <w:t>合同履约成本的账面余额主要为给客户提供延保服务之前，且为履行延保服</w:t>
      </w:r>
    </w:p>
    <w:p>
      <w:pPr>
        <w:pStyle w:val="Style72"/>
        <w:keepNext w:val="0"/>
        <w:keepLines w:val="0"/>
        <w:widowControl w:val="0"/>
        <w:shd w:val="clear" w:color="auto" w:fill="auto"/>
        <w:bidi w:val="0"/>
        <w:spacing w:before="0" w:after="0" w:line="312" w:lineRule="exact"/>
        <w:ind w:right="0" w:firstLine="0"/>
        <w:jc w:val="left"/>
        <w:sectPr>
          <w:footnotePr>
            <w:pos w:val="pageBottom"/>
            <w:numFmt w:val="decimal"/>
            <w:numStart w:val="1"/>
            <w:numRestart w:val="continuous"/>
            <w15:footnoteColumns w:val="1"/>
          </w:footnotePr>
          <w:pgSz w:w="11900" w:h="16840"/>
          <w:pgMar w:top="1158" w:right="1422" w:bottom="1158" w:left="1709" w:header="0" w:footer="3" w:gutter="0"/>
          <w:cols w:space="720"/>
          <w:noEndnote/>
          <w:rtlGutter w:val="0"/>
          <w:docGrid w:linePitch="360"/>
        </w:sectPr>
      </w:pPr>
      <w:r>
        <w:rPr>
          <w:color w:val="000000"/>
          <w:spacing w:val="0"/>
          <w:w w:val="100"/>
          <w:position w:val="0"/>
          <w:sz w:val="24"/>
          <w:szCs w:val="24"/>
        </w:rPr>
        <w:t>务合同而发生的保险支出。</w:t>
      </w:r>
      <w:r>
        <w:rPr>
          <w:rFonts w:ascii="Arial" w:eastAsia="Arial" w:hAnsi="Arial" w:cs="Arial"/>
          <w:color w:val="000000"/>
          <w:spacing w:val="0"/>
          <w:w w:val="100"/>
          <w:position w:val="0"/>
          <w:sz w:val="24"/>
          <w:szCs w:val="24"/>
        </w:rPr>
        <w:t>2021</w:t>
      </w:r>
      <w:r>
        <w:rPr>
          <w:color w:val="000000"/>
          <w:spacing w:val="0"/>
          <w:w w:val="100"/>
          <w:position w:val="0"/>
          <w:sz w:val="24"/>
          <w:szCs w:val="24"/>
        </w:rPr>
        <w:t>年度，合同履约成本摊销计入营业成本的总 额约人民币</w:t>
      </w:r>
      <w:r>
        <w:rPr>
          <w:rFonts w:ascii="Arial" w:eastAsia="Arial" w:hAnsi="Arial" w:cs="Arial"/>
          <w:color w:val="000000"/>
          <w:spacing w:val="0"/>
          <w:w w:val="100"/>
          <w:position w:val="0"/>
          <w:sz w:val="24"/>
          <w:szCs w:val="24"/>
        </w:rPr>
        <w:t>1.64</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年度：人民币</w:t>
      </w:r>
      <w:r>
        <w:rPr>
          <w:rFonts w:ascii="Arial" w:eastAsia="Arial" w:hAnsi="Arial" w:cs="Arial"/>
          <w:color w:val="000000"/>
          <w:spacing w:val="0"/>
          <w:w w:val="100"/>
          <w:position w:val="0"/>
          <w:sz w:val="24"/>
          <w:szCs w:val="24"/>
        </w:rPr>
        <w:t>1.86</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tabs>
          <w:tab w:pos="696" w:val="left"/>
        </w:tabs>
        <w:bidi w:val="0"/>
        <w:spacing w:before="22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（22）</w:t>
      </w:r>
      <w:r>
        <w:rPr>
          <w:b/>
          <w:bCs/>
          <w:color w:val="000000"/>
          <w:spacing w:val="0"/>
          <w:w w:val="100"/>
          <w:position w:val="0"/>
          <w:sz w:val="24"/>
          <w:szCs w:val="24"/>
        </w:rPr>
        <w:t>递延所得税资产和递延所得税负债</w:t>
      </w:r>
    </w:p>
    <w:p>
      <w:pPr>
        <w:pStyle w:val="Style72"/>
        <w:keepNext w:val="0"/>
        <w:keepLines w:val="0"/>
        <w:widowControl w:val="0"/>
        <w:shd w:val="clear" w:color="auto" w:fill="auto"/>
        <w:tabs>
          <w:tab w:pos="696"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（a）</w:t>
        <w:tab/>
      </w:r>
      <w:r>
        <w:rPr>
          <w:color w:val="000000"/>
          <w:spacing w:val="0"/>
          <w:w w:val="100"/>
          <w:position w:val="0"/>
          <w:sz w:val="24"/>
          <w:szCs w:val="24"/>
        </w:rPr>
        <w:t>未经抵销的递延所得税资产</w:t>
      </w:r>
    </w:p>
    <w:tbl>
      <w:tblPr>
        <w:tblOverlap w:val="never"/>
        <w:jc w:val="right"/>
        <w:tblLayout w:type="fixed"/>
      </w:tblPr>
      <w:tblGrid>
        <w:gridCol w:w="2434"/>
        <w:gridCol w:w="1469"/>
        <w:gridCol w:w="1238"/>
        <w:gridCol w:w="1661"/>
        <w:gridCol w:w="1248"/>
      </w:tblGrid>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 xml:space="preserve">年 </w:t>
            </w:r>
            <w:r>
              <w:rPr>
                <w:rFonts w:ascii="Arial" w:eastAsia="Arial" w:hAnsi="Arial" w:cs="Arial"/>
                <w:color w:val="000000"/>
                <w:spacing w:val="0"/>
                <w:w w:val="100"/>
                <w:position w:val="0"/>
                <w:sz w:val="18"/>
                <w:szCs w:val="18"/>
              </w:rPr>
              <w:t>12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23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可抵扣暂时性差</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递延</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可抵扣暂时性差</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递延</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异及可抵扣亏损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所得税资产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异及可抵扣亏损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所得税资产</w:t>
            </w:r>
          </w:p>
        </w:tc>
      </w:tr>
      <w:tr>
        <w:trPr>
          <w:trHeight w:val="3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29,983,943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7,143,153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可抵扣亏损</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25,818,247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6,241,783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14,724,238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3,415,586</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广告费和业务宣传费超过当年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营业收入</w:t>
            </w:r>
            <w:r>
              <w:rPr>
                <w:rFonts w:ascii="Arial" w:eastAsia="Arial" w:hAnsi="Arial" w:cs="Arial"/>
                <w:color w:val="000000"/>
                <w:spacing w:val="0"/>
                <w:w w:val="100"/>
                <w:position w:val="0"/>
                <w:sz w:val="18"/>
                <w:szCs w:val="18"/>
              </w:rPr>
              <w:t>15%</w:t>
            </w:r>
            <w:r>
              <w:rPr>
                <w:rFonts w:ascii="SimSun" w:eastAsia="SimSun" w:hAnsi="SimSun" w:cs="SimSun"/>
                <w:color w:val="000000"/>
                <w:spacing w:val="0"/>
                <w:w w:val="100"/>
                <w:position w:val="0"/>
                <w:sz w:val="18"/>
                <w:szCs w:val="18"/>
              </w:rPr>
              <w:t>部分</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7,039,712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1,759,928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5,335,042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1,333,761</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6,072,711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1,492,974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2,891,263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706,878</w:t>
            </w:r>
          </w:p>
        </w:tc>
      </w:tr>
      <w:tr>
        <w:trPr>
          <w:trHeight w:val="2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以公允价值计量且其变动计入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其他综合收益的金融资产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2,687,110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671,778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1,467,242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366,811</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延保收入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1,093,617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273,404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694,373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173,593</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与资产相关的政府补助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634,495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158,003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838,389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207,545</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尚未支付的广告费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405,629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99,765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450,788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110,355</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以公允价值计量且其变动计入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当期损益的金融资产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333,522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83,381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189,793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63,423</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长期待摊费用摊销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12,456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3,073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color w:val="000000"/>
                <w:spacing w:val="0"/>
                <w:w w:val="100"/>
                <w:position w:val="0"/>
                <w:sz w:val="18"/>
                <w:szCs w:val="18"/>
              </w:rPr>
              <w:t>30,920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7,245</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抵销内部未实现利润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116,643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29,161</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预提租赁费</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1,277,361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304,734</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1,231,319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307,830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724,047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176,723</w:t>
            </w:r>
          </w:p>
        </w:tc>
      </w:tr>
      <w:tr>
        <w:trPr>
          <w:trHeight w:val="25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75,312,761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18,235,072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28,740,099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6,895,815</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预计于</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年内</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含</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转回的金额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971,993</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1,067,795</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预计于</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年后转回的金额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17,263,079</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5,828,020</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18,235,072</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6,895,815</w:t>
            </w:r>
          </w:p>
        </w:tc>
      </w:tr>
    </w:tbl>
    <w:p>
      <w:pPr>
        <w:spacing w:lineRule="exact" w:line="1"/>
        <w:rPr>
          <w:sz w:val="2"/>
          <w:szCs w:val="2"/>
        </w:rPr>
      </w:pPr>
      <w:r>
        <w:br w:type="page"/>
      </w:r>
    </w:p>
    <w:p>
      <w:pPr>
        <w:pStyle w:val="Style72"/>
        <w:keepNext w:val="0"/>
        <w:keepLines w:val="0"/>
        <w:widowControl w:val="0"/>
        <w:shd w:val="clear" w:color="auto" w:fill="auto"/>
        <w:bidi w:val="0"/>
        <w:spacing w:before="0" w:after="60" w:line="240" w:lineRule="auto"/>
        <w:ind w:left="0" w:right="0" w:firstLine="720"/>
        <w:jc w:val="both"/>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both"/>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20" w:line="240" w:lineRule="auto"/>
        <w:ind w:left="0" w:right="0" w:firstLine="720"/>
        <w:jc w:val="both"/>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tbl>
      <w:tblPr>
        <w:tblOverlap w:val="never"/>
        <w:jc w:val="center"/>
        <w:tblLayout w:type="fixed"/>
      </w:tblPr>
      <w:tblGrid>
        <w:gridCol w:w="581"/>
        <w:gridCol w:w="2414"/>
        <w:gridCol w:w="1368"/>
        <w:gridCol w:w="1800"/>
        <w:gridCol w:w="1171"/>
        <w:gridCol w:w="1450"/>
      </w:tblGrid>
      <w:tr>
        <w:trPr>
          <w:trHeight w:val="44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四</w:t>
            </w:r>
          </w:p>
        </w:tc>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b/>
                <w:bCs/>
                <w:color w:val="000000"/>
                <w:spacing w:val="0"/>
                <w:w w:val="100"/>
                <w:position w:val="0"/>
                <w:sz w:val="24"/>
                <w:szCs w:val="24"/>
              </w:rPr>
              <w:t>合并财务报表项目附注</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r>
      <w:tr>
        <w:trPr>
          <w:trHeight w:val="58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(22)</w:t>
            </w:r>
          </w:p>
        </w:tc>
        <w:tc>
          <w:tcPr>
            <w:gridSpan w:val="3"/>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b/>
                <w:bCs/>
                <w:color w:val="000000"/>
                <w:spacing w:val="0"/>
                <w:w w:val="100"/>
                <w:position w:val="0"/>
                <w:sz w:val="24"/>
                <w:szCs w:val="24"/>
              </w:rPr>
              <w:t>递延所得税资产和递延所得税负债</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(b)</w:t>
            </w:r>
          </w:p>
        </w:tc>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未经抵销的递延所得税负债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595"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应纳税</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暂时性差异</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SimSun" w:eastAsia="SimSun" w:hAnsi="SimSun" w:cs="SimSun"/>
                <w:color w:val="000000"/>
                <w:spacing w:val="0"/>
                <w:w w:val="100"/>
                <w:position w:val="0"/>
                <w:sz w:val="18"/>
                <w:szCs w:val="18"/>
              </w:rPr>
              <w:t>递延</w:t>
            </w:r>
          </w:p>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所得税负债</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16" w:lineRule="exact"/>
              <w:ind w:left="0" w:right="200" w:firstLine="0"/>
              <w:jc w:val="right"/>
              <w:rPr>
                <w:sz w:val="18"/>
                <w:szCs w:val="18"/>
              </w:rPr>
            </w:pPr>
            <w:r>
              <w:rPr>
                <w:rFonts w:ascii="SimSun" w:eastAsia="SimSun" w:hAnsi="SimSun" w:cs="SimSun"/>
                <w:color w:val="000000"/>
                <w:spacing w:val="0"/>
                <w:w w:val="100"/>
                <w:position w:val="0"/>
                <w:sz w:val="18"/>
                <w:szCs w:val="18"/>
              </w:rPr>
              <w:t>应纳税 暂时性差异</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递延</w:t>
            </w:r>
          </w:p>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SimSun" w:eastAsia="SimSun" w:hAnsi="SimSun" w:cs="SimSun"/>
                <w:color w:val="000000"/>
                <w:spacing w:val="0"/>
                <w:w w:val="100"/>
                <w:position w:val="0"/>
                <w:sz w:val="18"/>
                <w:szCs w:val="18"/>
              </w:rPr>
              <w:t>所得税负债</w:t>
            </w:r>
          </w:p>
        </w:tc>
      </w:tr>
      <w:tr>
        <w:trPr>
          <w:trHeight w:val="154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使用权资产</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未实现公允价值变动</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非同一控制下企业合并</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延保保费</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利息资本化</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23,552,412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10,936,531</w:t>
            </w:r>
          </w:p>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6,496,155</w:t>
            </w:r>
          </w:p>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393,305</w:t>
            </w:r>
          </w:p>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257,450</w:t>
            </w:r>
          </w:p>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1,135,556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5,812,918</w:t>
            </w:r>
          </w:p>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2,734,133</w:t>
            </w:r>
          </w:p>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1,624,039</w:t>
            </w:r>
          </w:p>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98,326</w:t>
            </w:r>
          </w:p>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64,362</w:t>
            </w:r>
          </w:p>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241,006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SimSun" w:eastAsia="SimSun" w:hAnsi="SimSun" w:cs="SimSun"/>
                <w:color w:val="000000"/>
                <w:spacing w:val="0"/>
                <w:w w:val="100"/>
                <w:position w:val="0"/>
                <w:sz w:val="18"/>
                <w:szCs w:val="18"/>
              </w:rPr>
              <w:t>—</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23,064,930</w:t>
            </w:r>
          </w:p>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Arial" w:eastAsia="Arial" w:hAnsi="Arial" w:cs="Arial"/>
                <w:color w:val="000000"/>
                <w:spacing w:val="0"/>
                <w:w w:val="100"/>
                <w:position w:val="0"/>
                <w:sz w:val="18"/>
                <w:szCs w:val="18"/>
              </w:rPr>
              <w:t>8,747,512</w:t>
            </w:r>
          </w:p>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138,538</w:t>
            </w:r>
          </w:p>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406,979</w:t>
            </w:r>
          </w:p>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203,824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5,766,232</w:t>
            </w:r>
          </w:p>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2,186,163</w:t>
            </w:r>
          </w:p>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34,635</w:t>
            </w:r>
          </w:p>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101,745</w:t>
            </w:r>
          </w:p>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22,635</w:t>
            </w:r>
          </w:p>
        </w:tc>
      </w:tr>
      <w:tr>
        <w:trPr>
          <w:trHeight w:val="259"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42,771,409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10,574,784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32,561,783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8,111,410</w:t>
            </w:r>
          </w:p>
        </w:tc>
      </w:tr>
      <w:tr>
        <w:trPr>
          <w:trHeight w:val="131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140"/>
              <w:jc w:val="left"/>
              <w:rPr>
                <w:sz w:val="18"/>
                <w:szCs w:val="18"/>
              </w:rPr>
            </w:pPr>
            <w:r>
              <w:rPr>
                <w:rFonts w:ascii="SimSun" w:eastAsia="SimSun" w:hAnsi="SimSun" w:cs="SimSun"/>
                <w:color w:val="000000"/>
                <w:spacing w:val="0"/>
                <w:w w:val="100"/>
                <w:position w:val="0"/>
                <w:sz w:val="18"/>
                <w:szCs w:val="18"/>
              </w:rPr>
              <w:t>其中：</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预计于</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年内</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含</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转</w:t>
            </w:r>
          </w:p>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回的金额</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预计于</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年后转回的金额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540"/>
              <w:jc w:val="both"/>
              <w:rPr>
                <w:sz w:val="18"/>
                <w:szCs w:val="18"/>
              </w:rPr>
            </w:pPr>
            <w:r>
              <w:rPr>
                <w:rFonts w:ascii="Arial" w:eastAsia="Arial" w:hAnsi="Arial" w:cs="Arial"/>
                <w:color w:val="000000"/>
                <w:spacing w:val="0"/>
                <w:w w:val="100"/>
                <w:position w:val="0"/>
                <w:sz w:val="18"/>
                <w:szCs w:val="18"/>
              </w:rPr>
              <w:t>735,132</w:t>
            </w:r>
          </w:p>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9,839,652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620"/>
              <w:jc w:val="both"/>
              <w:rPr>
                <w:sz w:val="18"/>
                <w:szCs w:val="18"/>
              </w:rPr>
            </w:pPr>
            <w:r>
              <w:rPr>
                <w:rFonts w:ascii="Arial" w:eastAsia="Arial" w:hAnsi="Arial" w:cs="Arial"/>
                <w:color w:val="000000"/>
                <w:spacing w:val="0"/>
                <w:w w:val="100"/>
                <w:position w:val="0"/>
                <w:sz w:val="18"/>
                <w:szCs w:val="18"/>
              </w:rPr>
              <w:t>259,063</w:t>
            </w:r>
          </w:p>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7,852,347</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10,574,784</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8,111,410</w:t>
            </w:r>
          </w:p>
        </w:tc>
      </w:tr>
      <w:tr>
        <w:trPr>
          <w:trHeight w:val="67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(c)</w:t>
            </w:r>
          </w:p>
        </w:tc>
        <w:tc>
          <w:tcPr>
            <w:gridSpan w:val="5"/>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本集团未确认递延所得税资产的可抵扣暂时性差异及可抵扣亏损分析如下：</w:t>
            </w:r>
          </w:p>
        </w:tc>
      </w:tr>
      <w:tr>
        <w:trPr>
          <w:trHeight w:val="58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7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317" w:lineRule="exact"/>
              <w:ind w:left="140" w:right="0" w:firstLine="0"/>
              <w:jc w:val="left"/>
              <w:rPr>
                <w:sz w:val="24"/>
                <w:szCs w:val="24"/>
              </w:rPr>
            </w:pPr>
            <w:r>
              <w:rPr>
                <w:rFonts w:ascii="SimSun" w:eastAsia="SimSun" w:hAnsi="SimSun" w:cs="SimSun"/>
                <w:color w:val="000000"/>
                <w:spacing w:val="0"/>
                <w:w w:val="100"/>
                <w:position w:val="0"/>
                <w:sz w:val="24"/>
                <w:szCs w:val="24"/>
              </w:rPr>
              <w:t>可抵扣暂时性差异</w:t>
            </w:r>
            <w:r>
              <w:rPr>
                <w:rFonts w:ascii="Arial" w:eastAsia="Arial" w:hAnsi="Arial" w:cs="Arial"/>
                <w:color w:val="000000"/>
                <w:spacing w:val="0"/>
                <w:w w:val="100"/>
                <w:position w:val="0"/>
                <w:sz w:val="24"/>
                <w:szCs w:val="24"/>
              </w:rPr>
              <w:t xml:space="preserve">（i） </w:t>
            </w:r>
            <w:r>
              <w:rPr>
                <w:rFonts w:ascii="SimSun" w:eastAsia="SimSun" w:hAnsi="SimSun" w:cs="SimSun"/>
                <w:color w:val="000000"/>
                <w:spacing w:val="0"/>
                <w:w w:val="100"/>
                <w:position w:val="0"/>
                <w:sz w:val="24"/>
                <w:szCs w:val="24"/>
              </w:rPr>
              <w:t>可抵扣亏损</w:t>
            </w:r>
            <w:r>
              <w:rPr>
                <w:rFonts w:ascii="Arial" w:eastAsia="Arial" w:hAnsi="Arial" w:cs="Arial"/>
                <w:color w:val="000000"/>
                <w:spacing w:val="0"/>
                <w:w w:val="100"/>
                <w:position w:val="0"/>
                <w:sz w:val="24"/>
                <w:szCs w:val="24"/>
              </w:rPr>
              <w:t>（ii）</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1,370,950</w:t>
            </w:r>
          </w:p>
          <w:p>
            <w:pPr>
              <w:pStyle w:val="Style29"/>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13,790,320</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486,944</w:t>
            </w:r>
          </w:p>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8,391,897</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15,161,270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8,878,841</w:t>
            </w:r>
          </w:p>
        </w:tc>
      </w:tr>
    </w:tbl>
    <w:p>
      <w:pPr>
        <w:widowControl w:val="0"/>
        <w:spacing w:after="259" w:line="1" w:lineRule="exact"/>
      </w:pP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递延所得税资产的确认以很可能取得用来抵扣可抵扣暂时性差异、可抵扣亏 损和税款抵减的应纳税所得额为限。</w:t>
      </w:r>
    </w:p>
    <w:p>
      <w:pPr>
        <w:pStyle w:val="Style72"/>
        <w:keepNext w:val="0"/>
        <w:keepLines w:val="0"/>
        <w:widowControl w:val="0"/>
        <w:shd w:val="clear" w:color="auto" w:fill="auto"/>
        <w:tabs>
          <w:tab w:pos="715" w:val="left"/>
        </w:tabs>
        <w:bidi w:val="0"/>
        <w:spacing w:before="0" w:after="0" w:line="312" w:lineRule="exact"/>
        <w:ind w:left="0" w:right="0" w:firstLine="0"/>
        <w:jc w:val="both"/>
      </w:pPr>
      <w:r>
        <w:rPr>
          <w:color w:val="000000"/>
          <w:spacing w:val="0"/>
          <w:w w:val="100"/>
          <w:position w:val="0"/>
          <w:sz w:val="24"/>
          <w:szCs w:val="24"/>
        </w:rPr>
        <w:t>⑴</w:t>
        <w:tab/>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日，本集团并未就可抵扣暂时性差异约人民币</w:t>
      </w:r>
      <w:r>
        <w:rPr>
          <w:rFonts w:ascii="Arial" w:eastAsia="Arial" w:hAnsi="Arial" w:cs="Arial"/>
          <w:color w:val="000000"/>
          <w:spacing w:val="0"/>
          <w:w w:val="100"/>
          <w:position w:val="0"/>
          <w:sz w:val="24"/>
          <w:szCs w:val="24"/>
        </w:rPr>
        <w:t>13.71</w:t>
      </w:r>
      <w:r>
        <w:rPr>
          <w:color w:val="000000"/>
          <w:spacing w:val="0"/>
          <w:w w:val="100"/>
          <w:position w:val="0"/>
          <w:sz w:val="24"/>
          <w:szCs w:val="24"/>
        </w:rPr>
        <w:t>亿</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4.87</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确认递延所得税资产约人民币 </w:t>
      </w:r>
      <w:r>
        <w:rPr>
          <w:rFonts w:ascii="Arial" w:eastAsia="Arial" w:hAnsi="Arial" w:cs="Arial"/>
          <w:color w:val="000000"/>
          <w:spacing w:val="0"/>
          <w:w w:val="100"/>
          <w:position w:val="0"/>
          <w:sz w:val="24"/>
          <w:szCs w:val="24"/>
        </w:rPr>
        <w:t>3.43</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1.22</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60" w:line="310" w:lineRule="exact"/>
        <w:ind w:right="0" w:hanging="720"/>
        <w:jc w:val="both"/>
      </w:pPr>
      <w:r>
        <w:rPr>
          <w:rFonts w:ascii="Arial" w:eastAsia="Arial" w:hAnsi="Arial" w:cs="Arial"/>
          <w:color w:val="000000"/>
          <w:spacing w:val="0"/>
          <w:w w:val="100"/>
          <w:position w:val="0"/>
          <w:sz w:val="24"/>
          <w:szCs w:val="24"/>
        </w:rPr>
        <w:t xml:space="preserve">（ii） </w:t>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日，本集团并未就可抵扣亏损约人民币</w:t>
      </w:r>
      <w:r>
        <w:rPr>
          <w:rFonts w:ascii="Arial" w:eastAsia="Arial" w:hAnsi="Arial" w:cs="Arial"/>
          <w:color w:val="000000"/>
          <w:spacing w:val="0"/>
          <w:w w:val="100"/>
          <w:position w:val="0"/>
          <w:sz w:val="24"/>
          <w:szCs w:val="24"/>
        </w:rPr>
        <w:t>137.90</w:t>
      </w:r>
      <w:r>
        <w:rPr>
          <w:color w:val="000000"/>
          <w:spacing w:val="0"/>
          <w:w w:val="100"/>
          <w:position w:val="0"/>
          <w:sz w:val="24"/>
          <w:szCs w:val="24"/>
        </w:rPr>
        <w:t>亿元</w:t>
      </w:r>
      <w:r>
        <w:rPr>
          <w:rFonts w:ascii="Arial" w:eastAsia="Arial" w:hAnsi="Arial" w:cs="Arial"/>
          <w:color w:val="000000"/>
          <w:spacing w:val="0"/>
          <w:w w:val="100"/>
          <w:position w:val="0"/>
          <w:sz w:val="24"/>
          <w:szCs w:val="24"/>
        </w:rPr>
        <w:t xml:space="preserve">（2020 </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83.92</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确认递延所得税资产约人民币</w:t>
      </w:r>
      <w:r>
        <w:rPr>
          <w:rFonts w:ascii="Arial" w:eastAsia="Arial" w:hAnsi="Arial" w:cs="Arial"/>
          <w:color w:val="000000"/>
          <w:spacing w:val="0"/>
          <w:w w:val="100"/>
          <w:position w:val="0"/>
          <w:sz w:val="24"/>
          <w:szCs w:val="24"/>
        </w:rPr>
        <w:t>31.54</w:t>
      </w:r>
      <w:r>
        <w:rPr>
          <w:color w:val="000000"/>
          <w:spacing w:val="0"/>
          <w:w w:val="100"/>
          <w:position w:val="0"/>
          <w:sz w:val="24"/>
          <w:szCs w:val="24"/>
        </w:rPr>
        <w:t>亿 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19.92</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r>
        <w:br w:type="page"/>
      </w:r>
    </w:p>
    <w:p>
      <w:pPr>
        <w:pStyle w:val="Style72"/>
        <w:keepNext w:val="0"/>
        <w:keepLines w:val="0"/>
        <w:widowControl w:val="0"/>
        <w:shd w:val="clear" w:color="auto" w:fill="auto"/>
        <w:tabs>
          <w:tab w:pos="706" w:val="left"/>
        </w:tabs>
        <w:bidi w:val="0"/>
        <w:spacing w:before="0" w:after="26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20" w:line="240" w:lineRule="auto"/>
        <w:ind w:left="0" w:right="0" w:firstLine="0"/>
        <w:jc w:val="left"/>
        <w:rPr>
          <w:sz w:val="28"/>
          <w:szCs w:val="28"/>
        </w:rPr>
      </w:pPr>
      <w:r>
        <w:rPr>
          <w:rFonts w:ascii="Arial" w:eastAsia="Arial" w:hAnsi="Arial" w:cs="Arial"/>
          <w:color w:val="000000"/>
          <w:spacing w:val="0"/>
          <w:w w:val="100"/>
          <w:position w:val="0"/>
          <w:sz w:val="24"/>
          <w:szCs w:val="24"/>
        </w:rPr>
        <w:t>(22)</w:t>
      </w:r>
      <w:r>
        <w:rPr>
          <w:b/>
          <w:bCs/>
          <w:color w:val="000000"/>
          <w:spacing w:val="0"/>
          <w:w w:val="100"/>
          <w:position w:val="0"/>
          <w:sz w:val="24"/>
          <w:szCs w:val="24"/>
        </w:rPr>
        <w:t>递延所得税资产和递延所得税负债</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26"/>
        <w:keepNext w:val="0"/>
        <w:keepLines w:val="0"/>
        <w:widowControl w:val="0"/>
        <w:shd w:val="clear" w:color="auto" w:fill="auto"/>
        <w:tabs>
          <w:tab w:pos="701"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(d)</w:t>
        <w:tab/>
      </w:r>
      <w:r>
        <w:rPr>
          <w:color w:val="000000"/>
          <w:spacing w:val="0"/>
          <w:w w:val="100"/>
          <w:position w:val="0"/>
          <w:sz w:val="24"/>
          <w:szCs w:val="24"/>
        </w:rPr>
        <w:t>未确认递延所得税资产的可抵扣亏损将于以下年度到期:</w:t>
      </w:r>
    </w:p>
    <w:tbl>
      <w:tblPr>
        <w:tblOverlap w:val="never"/>
        <w:jc w:val="center"/>
        <w:tblLayout w:type="fixed"/>
      </w:tblPr>
      <w:tblGrid>
        <w:gridCol w:w="2141"/>
        <w:gridCol w:w="3576"/>
        <w:gridCol w:w="2438"/>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2021 </w:t>
            </w:r>
            <w:r>
              <w:rPr>
                <w:rFonts w:ascii="SimSun" w:eastAsia="SimSun" w:hAnsi="SimSun" w:cs="SimSun"/>
                <w:color w:val="000000"/>
                <w:spacing w:val="0"/>
                <w:w w:val="100"/>
                <w:position w:val="0"/>
                <w:sz w:val="24"/>
                <w:szCs w:val="24"/>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520" w:right="0" w:firstLine="0"/>
              <w:jc w:val="both"/>
              <w:rPr>
                <w:sz w:val="24"/>
                <w:szCs w:val="24"/>
              </w:rPr>
            </w:pPr>
            <w:r>
              <w:rPr>
                <w:rFonts w:ascii="SimSun" w:eastAsia="SimSun" w:hAnsi="SimSun" w:cs="SimSun"/>
                <w:color w:val="000000"/>
                <w:spacing w:val="0"/>
                <w:w w:val="100"/>
                <w:position w:val="0"/>
                <w:sz w:val="24"/>
                <w:szCs w:val="24"/>
              </w:rPr>
              <w:t>不适用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1,513,251</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2022 </w:t>
            </w:r>
            <w:r>
              <w:rPr>
                <w:rFonts w:ascii="SimSun" w:eastAsia="SimSun" w:hAnsi="SimSun" w:cs="SimSun"/>
                <w:color w:val="000000"/>
                <w:spacing w:val="0"/>
                <w:w w:val="100"/>
                <w:position w:val="0"/>
                <w:sz w:val="24"/>
                <w:szCs w:val="24"/>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200" w:right="0" w:firstLine="0"/>
              <w:jc w:val="both"/>
              <w:rPr>
                <w:sz w:val="24"/>
                <w:szCs w:val="24"/>
              </w:rPr>
            </w:pPr>
            <w:r>
              <w:rPr>
                <w:rFonts w:ascii="Arial" w:eastAsia="Arial" w:hAnsi="Arial" w:cs="Arial"/>
                <w:color w:val="000000"/>
                <w:spacing w:val="0"/>
                <w:w w:val="100"/>
                <w:position w:val="0"/>
                <w:sz w:val="24"/>
                <w:szCs w:val="24"/>
              </w:rPr>
              <w:t>3,655,778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1,364,844</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2023 </w:t>
            </w:r>
            <w:r>
              <w:rPr>
                <w:rFonts w:ascii="SimSun" w:eastAsia="SimSun" w:hAnsi="SimSun" w:cs="SimSun"/>
                <w:color w:val="000000"/>
                <w:spacing w:val="0"/>
                <w:w w:val="100"/>
                <w:position w:val="0"/>
                <w:sz w:val="24"/>
                <w:szCs w:val="24"/>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200" w:right="0" w:firstLine="0"/>
              <w:jc w:val="both"/>
              <w:rPr>
                <w:sz w:val="24"/>
                <w:szCs w:val="24"/>
              </w:rPr>
            </w:pPr>
            <w:r>
              <w:rPr>
                <w:rFonts w:ascii="Arial" w:eastAsia="Arial" w:hAnsi="Arial" w:cs="Arial"/>
                <w:color w:val="000000"/>
                <w:spacing w:val="0"/>
                <w:w w:val="100"/>
                <w:position w:val="0"/>
                <w:sz w:val="24"/>
                <w:szCs w:val="24"/>
              </w:rPr>
              <w:t>2,368,316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1,598,953</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2024 </w:t>
            </w:r>
            <w:r>
              <w:rPr>
                <w:rFonts w:ascii="SimSun" w:eastAsia="SimSun" w:hAnsi="SimSun" w:cs="SimSun"/>
                <w:color w:val="000000"/>
                <w:spacing w:val="0"/>
                <w:w w:val="100"/>
                <w:position w:val="0"/>
                <w:sz w:val="24"/>
                <w:szCs w:val="24"/>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200" w:right="0" w:firstLine="0"/>
              <w:jc w:val="both"/>
              <w:rPr>
                <w:sz w:val="24"/>
                <w:szCs w:val="24"/>
              </w:rPr>
            </w:pPr>
            <w:r>
              <w:rPr>
                <w:rFonts w:ascii="Arial" w:eastAsia="Arial" w:hAnsi="Arial" w:cs="Arial"/>
                <w:color w:val="000000"/>
                <w:spacing w:val="0"/>
                <w:w w:val="100"/>
                <w:position w:val="0"/>
                <w:sz w:val="24"/>
                <w:szCs w:val="24"/>
              </w:rPr>
              <w:t>2,297,626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1,605,068</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2025 </w:t>
            </w:r>
            <w:r>
              <w:rPr>
                <w:rFonts w:ascii="SimSun" w:eastAsia="SimSun" w:hAnsi="SimSun" w:cs="SimSun"/>
                <w:color w:val="000000"/>
                <w:spacing w:val="0"/>
                <w:w w:val="100"/>
                <w:position w:val="0"/>
                <w:sz w:val="24"/>
                <w:szCs w:val="24"/>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200" w:right="0" w:firstLine="0"/>
              <w:jc w:val="both"/>
              <w:rPr>
                <w:sz w:val="24"/>
                <w:szCs w:val="24"/>
              </w:rPr>
            </w:pPr>
            <w:r>
              <w:rPr>
                <w:rFonts w:ascii="Arial" w:eastAsia="Arial" w:hAnsi="Arial" w:cs="Arial"/>
                <w:color w:val="000000"/>
                <w:spacing w:val="0"/>
                <w:w w:val="100"/>
                <w:position w:val="0"/>
                <w:sz w:val="24"/>
                <w:szCs w:val="24"/>
              </w:rPr>
              <w:t>1,650,081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1,132,989</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2026 </w:t>
            </w:r>
            <w:r>
              <w:rPr>
                <w:rFonts w:ascii="SimSun" w:eastAsia="SimSun" w:hAnsi="SimSun" w:cs="SimSun"/>
                <w:color w:val="000000"/>
                <w:spacing w:val="0"/>
                <w:w w:val="100"/>
                <w:position w:val="0"/>
                <w:sz w:val="24"/>
                <w:szCs w:val="24"/>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200" w:right="0" w:firstLine="0"/>
              <w:jc w:val="both"/>
              <w:rPr>
                <w:sz w:val="24"/>
                <w:szCs w:val="24"/>
              </w:rPr>
            </w:pPr>
            <w:r>
              <w:rPr>
                <w:rFonts w:ascii="Arial" w:eastAsia="Arial" w:hAnsi="Arial" w:cs="Arial"/>
                <w:color w:val="000000"/>
                <w:spacing w:val="0"/>
                <w:w w:val="100"/>
                <w:position w:val="0"/>
                <w:sz w:val="24"/>
                <w:szCs w:val="24"/>
              </w:rPr>
              <w:t>1,852,942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2033 </w:t>
            </w:r>
            <w:r>
              <w:rPr>
                <w:rFonts w:ascii="SimSun" w:eastAsia="SimSun" w:hAnsi="SimSun" w:cs="SimSun"/>
                <w:color w:val="000000"/>
                <w:spacing w:val="0"/>
                <w:w w:val="100"/>
                <w:position w:val="0"/>
                <w:sz w:val="24"/>
                <w:szCs w:val="24"/>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660" w:right="0" w:firstLine="0"/>
              <w:jc w:val="both"/>
              <w:rPr>
                <w:sz w:val="24"/>
                <w:szCs w:val="24"/>
              </w:rPr>
            </w:pPr>
            <w:r>
              <w:rPr>
                <w:rFonts w:ascii="Arial" w:eastAsia="Arial" w:hAnsi="Arial" w:cs="Arial"/>
                <w:color w:val="000000"/>
                <w:spacing w:val="0"/>
                <w:w w:val="100"/>
                <w:position w:val="0"/>
                <w:sz w:val="24"/>
                <w:szCs w:val="24"/>
              </w:rPr>
              <w:t>1,509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1,509</w:t>
            </w:r>
          </w:p>
        </w:tc>
      </w:tr>
      <w:tr>
        <w:trPr>
          <w:trHeight w:val="3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2034 </w:t>
            </w:r>
            <w:r>
              <w:rPr>
                <w:rFonts w:ascii="SimSun" w:eastAsia="SimSun" w:hAnsi="SimSun" w:cs="SimSun"/>
                <w:color w:val="000000"/>
                <w:spacing w:val="0"/>
                <w:w w:val="100"/>
                <w:position w:val="0"/>
                <w:sz w:val="24"/>
                <w:szCs w:val="24"/>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520" w:right="0" w:firstLine="0"/>
              <w:jc w:val="both"/>
              <w:rPr>
                <w:sz w:val="24"/>
                <w:szCs w:val="24"/>
              </w:rPr>
            </w:pPr>
            <w:r>
              <w:rPr>
                <w:rFonts w:ascii="Arial" w:eastAsia="Arial" w:hAnsi="Arial" w:cs="Arial"/>
                <w:color w:val="000000"/>
                <w:spacing w:val="0"/>
                <w:w w:val="100"/>
                <w:position w:val="0"/>
                <w:sz w:val="24"/>
                <w:szCs w:val="24"/>
              </w:rPr>
              <w:t>34,757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34,757</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2035 </w:t>
            </w:r>
            <w:r>
              <w:rPr>
                <w:rFonts w:ascii="SimSun" w:eastAsia="SimSun" w:hAnsi="SimSun" w:cs="SimSun"/>
                <w:color w:val="000000"/>
                <w:spacing w:val="0"/>
                <w:w w:val="100"/>
                <w:position w:val="0"/>
                <w:sz w:val="24"/>
                <w:szCs w:val="24"/>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660" w:right="0" w:firstLine="0"/>
              <w:jc w:val="both"/>
              <w:rPr>
                <w:sz w:val="24"/>
                <w:szCs w:val="24"/>
              </w:rPr>
            </w:pPr>
            <w:r>
              <w:rPr>
                <w:rFonts w:ascii="Arial" w:eastAsia="Arial" w:hAnsi="Arial" w:cs="Arial"/>
                <w:color w:val="000000"/>
                <w:spacing w:val="0"/>
                <w:w w:val="100"/>
                <w:position w:val="0"/>
                <w:sz w:val="24"/>
                <w:szCs w:val="24"/>
              </w:rPr>
              <w:t>7,289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7,289</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2036 </w:t>
            </w:r>
            <w:r>
              <w:rPr>
                <w:rFonts w:ascii="SimSun" w:eastAsia="SimSun" w:hAnsi="SimSun" w:cs="SimSun"/>
                <w:color w:val="000000"/>
                <w:spacing w:val="0"/>
                <w:w w:val="100"/>
                <w:position w:val="0"/>
                <w:sz w:val="24"/>
                <w:szCs w:val="24"/>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520" w:right="0" w:firstLine="0"/>
              <w:jc w:val="both"/>
              <w:rPr>
                <w:sz w:val="24"/>
                <w:szCs w:val="24"/>
              </w:rPr>
            </w:pPr>
            <w:r>
              <w:rPr>
                <w:rFonts w:ascii="Arial" w:eastAsia="Arial" w:hAnsi="Arial" w:cs="Arial"/>
                <w:color w:val="000000"/>
                <w:spacing w:val="0"/>
                <w:w w:val="100"/>
                <w:position w:val="0"/>
                <w:sz w:val="24"/>
                <w:szCs w:val="24"/>
              </w:rPr>
              <w:t>11,364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11,364</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2037 </w:t>
            </w:r>
            <w:r>
              <w:rPr>
                <w:rFonts w:ascii="SimSun" w:eastAsia="SimSun" w:hAnsi="SimSun" w:cs="SimSun"/>
                <w:color w:val="000000"/>
                <w:spacing w:val="0"/>
                <w:w w:val="100"/>
                <w:position w:val="0"/>
                <w:sz w:val="24"/>
                <w:szCs w:val="24"/>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520" w:right="0" w:firstLine="0"/>
              <w:jc w:val="both"/>
              <w:rPr>
                <w:sz w:val="24"/>
                <w:szCs w:val="24"/>
              </w:rPr>
            </w:pPr>
            <w:r>
              <w:rPr>
                <w:rFonts w:ascii="Arial" w:eastAsia="Arial" w:hAnsi="Arial" w:cs="Arial"/>
                <w:color w:val="000000"/>
                <w:spacing w:val="0"/>
                <w:w w:val="100"/>
                <w:position w:val="0"/>
                <w:sz w:val="24"/>
                <w:szCs w:val="24"/>
              </w:rPr>
              <w:t>10,617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10,617</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2038 </w:t>
            </w:r>
            <w:r>
              <w:rPr>
                <w:rFonts w:ascii="SimSun" w:eastAsia="SimSun" w:hAnsi="SimSun" w:cs="SimSun"/>
                <w:color w:val="000000"/>
                <w:spacing w:val="0"/>
                <w:w w:val="100"/>
                <w:position w:val="0"/>
                <w:sz w:val="24"/>
                <w:szCs w:val="24"/>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660" w:right="0" w:firstLine="0"/>
              <w:jc w:val="both"/>
              <w:rPr>
                <w:sz w:val="24"/>
                <w:szCs w:val="24"/>
              </w:rPr>
            </w:pPr>
            <w:r>
              <w:rPr>
                <w:rFonts w:ascii="Arial" w:eastAsia="Arial" w:hAnsi="Arial" w:cs="Arial"/>
                <w:color w:val="000000"/>
                <w:spacing w:val="0"/>
                <w:w w:val="100"/>
                <w:position w:val="0"/>
                <w:sz w:val="24"/>
                <w:szCs w:val="24"/>
              </w:rPr>
              <w:t>2,882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2,882</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2040 </w:t>
            </w:r>
            <w:r>
              <w:rPr>
                <w:rFonts w:ascii="SimSun" w:eastAsia="SimSun" w:hAnsi="SimSun" w:cs="SimSun"/>
                <w:color w:val="000000"/>
                <w:spacing w:val="0"/>
                <w:w w:val="100"/>
                <w:position w:val="0"/>
                <w:sz w:val="24"/>
                <w:szCs w:val="24"/>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660" w:right="0" w:firstLine="0"/>
              <w:jc w:val="both"/>
              <w:rPr>
                <w:sz w:val="24"/>
                <w:szCs w:val="24"/>
              </w:rPr>
            </w:pPr>
            <w:r>
              <w:rPr>
                <w:rFonts w:ascii="Arial" w:eastAsia="Arial" w:hAnsi="Arial" w:cs="Arial"/>
                <w:color w:val="000000"/>
                <w:spacing w:val="0"/>
                <w:w w:val="100"/>
                <w:position w:val="0"/>
                <w:sz w:val="24"/>
                <w:szCs w:val="24"/>
              </w:rPr>
              <w:t>3,008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3,008</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无到期日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200" w:right="0" w:firstLine="0"/>
              <w:jc w:val="both"/>
              <w:rPr>
                <w:sz w:val="24"/>
                <w:szCs w:val="24"/>
              </w:rPr>
            </w:pPr>
            <w:r>
              <w:rPr>
                <w:rFonts w:ascii="Arial" w:eastAsia="Arial" w:hAnsi="Arial" w:cs="Arial"/>
                <w:color w:val="000000"/>
                <w:spacing w:val="0"/>
                <w:w w:val="100"/>
                <w:position w:val="0"/>
                <w:sz w:val="24"/>
                <w:szCs w:val="24"/>
              </w:rPr>
              <w:t>1,894,151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1,105,366</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80" w:firstLine="0"/>
              <w:jc w:val="right"/>
              <w:rPr>
                <w:sz w:val="24"/>
                <w:szCs w:val="24"/>
              </w:rPr>
            </w:pPr>
            <w:r>
              <w:rPr>
                <w:rFonts w:ascii="Arial" w:eastAsia="Arial" w:hAnsi="Arial" w:cs="Arial"/>
                <w:color w:val="000000"/>
                <w:spacing w:val="0"/>
                <w:w w:val="100"/>
                <w:position w:val="0"/>
                <w:sz w:val="24"/>
                <w:szCs w:val="24"/>
              </w:rPr>
              <w:t>13,790,320</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8,391,897</w:t>
            </w:r>
          </w:p>
        </w:tc>
      </w:tr>
    </w:tbl>
    <w:p>
      <w:pPr>
        <w:pStyle w:val="Style26"/>
        <w:keepNext w:val="0"/>
        <w:keepLines w:val="0"/>
        <w:widowControl w:val="0"/>
        <w:shd w:val="clear" w:color="auto" w:fill="auto"/>
        <w:bidi w:val="0"/>
        <w:spacing w:before="0" w:after="0" w:line="310" w:lineRule="exact"/>
        <w:ind w:left="5" w:right="0" w:firstLine="0"/>
        <w:jc w:val="left"/>
        <w:rPr>
          <w:sz w:val="24"/>
          <w:szCs w:val="24"/>
        </w:rPr>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 xml:space="preserve">日，本集团重新考虑部分子公司在可抵扣亏损到期前是否 存在足够的应纳税额所得额，并减记以前年度确认的递延所得税资产约人民币 </w:t>
      </w:r>
      <w:r>
        <w:rPr>
          <w:rFonts w:ascii="Arial" w:eastAsia="Arial" w:hAnsi="Arial" w:cs="Arial"/>
          <w:color w:val="000000"/>
          <w:spacing w:val="0"/>
          <w:w w:val="100"/>
          <w:position w:val="0"/>
          <w:sz w:val="24"/>
          <w:szCs w:val="24"/>
        </w:rPr>
        <w:t>10.67</w:t>
      </w:r>
      <w:r>
        <w:rPr>
          <w:color w:val="000000"/>
          <w:spacing w:val="0"/>
          <w:w w:val="100"/>
          <w:position w:val="0"/>
          <w:sz w:val="24"/>
          <w:szCs w:val="24"/>
        </w:rPr>
        <w:t>亿元，对应的可抵扣亏损约人民币</w:t>
      </w:r>
      <w:r>
        <w:rPr>
          <w:rFonts w:ascii="Arial" w:eastAsia="Arial" w:hAnsi="Arial" w:cs="Arial"/>
          <w:color w:val="000000"/>
          <w:spacing w:val="0"/>
          <w:w w:val="100"/>
          <w:position w:val="0"/>
          <w:sz w:val="24"/>
          <w:szCs w:val="24"/>
        </w:rPr>
        <w:t>42.70</w:t>
      </w:r>
      <w:r>
        <w:rPr>
          <w:color w:val="000000"/>
          <w:spacing w:val="0"/>
          <w:w w:val="100"/>
          <w:position w:val="0"/>
          <w:sz w:val="24"/>
          <w:szCs w:val="24"/>
        </w:rPr>
        <w:t>亿元。</w:t>
      </w:r>
    </w:p>
    <w:p>
      <w:pPr>
        <w:widowControl w:val="0"/>
        <w:spacing w:after="259" w:line="1" w:lineRule="exact"/>
      </w:pPr>
    </w:p>
    <w:p>
      <w:pPr>
        <w:pStyle w:val="Style72"/>
        <w:keepNext w:val="0"/>
        <w:keepLines w:val="0"/>
        <w:widowControl w:val="0"/>
        <w:numPr>
          <w:ilvl w:val="0"/>
          <w:numId w:val="91"/>
        </w:numPr>
        <w:shd w:val="clear" w:color="auto" w:fill="auto"/>
        <w:tabs>
          <w:tab w:pos="706" w:val="left"/>
        </w:tabs>
        <w:bidi w:val="0"/>
        <w:spacing w:before="0" w:after="260" w:line="306" w:lineRule="exact"/>
        <w:ind w:left="0" w:right="0" w:firstLine="0"/>
        <w:jc w:val="left"/>
      </w:pPr>
      <w:bookmarkStart w:id="928" w:name="bookmark928"/>
      <w:bookmarkEnd w:id="928"/>
      <w:r>
        <w:rPr>
          <w:color w:val="000000"/>
          <w:spacing w:val="0"/>
          <w:w w:val="100"/>
          <w:position w:val="0"/>
          <w:sz w:val="24"/>
          <w:szCs w:val="24"/>
        </w:rPr>
        <w:t>未确认递延所得税负债的应纳税暂时性差异</w:t>
      </w:r>
    </w:p>
    <w:p>
      <w:pPr>
        <w:pStyle w:val="Style72"/>
        <w:keepNext w:val="0"/>
        <w:keepLines w:val="0"/>
        <w:widowControl w:val="0"/>
        <w:shd w:val="clear" w:color="auto" w:fill="auto"/>
        <w:bidi w:val="0"/>
        <w:spacing w:before="0" w:after="320" w:line="306" w:lineRule="exact"/>
        <w:ind w:right="0" w:firstLine="0"/>
        <w:jc w:val="both"/>
      </w:pPr>
      <w:r>
        <w:rPr>
          <w:color w:val="000000"/>
          <w:spacing w:val="0"/>
          <w:w w:val="100"/>
          <w:position w:val="0"/>
          <w:sz w:val="24"/>
          <w:szCs w:val="24"/>
        </w:rPr>
        <w:t>本集团充分考虑境外子公司累计未分配利润可能产生的纳税影响，由于本集团 能够自主决定其股利分配政策且在可预见的未来没有股利分配的计划，亦没有 处置该等子公司的意图，故本集团未就该应纳税暂时性差异约人民币</w:t>
      </w:r>
      <w:r>
        <w:rPr>
          <w:rFonts w:ascii="Arial" w:eastAsia="Arial" w:hAnsi="Arial" w:cs="Arial"/>
          <w:color w:val="000000"/>
          <w:spacing w:val="0"/>
          <w:w w:val="100"/>
          <w:position w:val="0"/>
          <w:sz w:val="24"/>
          <w:szCs w:val="24"/>
        </w:rPr>
        <w:t xml:space="preserve">129.28 </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142.50</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确认递延所得税负债。</w:t>
      </w:r>
    </w:p>
    <w:p>
      <w:pPr>
        <w:pStyle w:val="Style26"/>
        <w:keepNext w:val="0"/>
        <w:keepLines w:val="0"/>
        <w:widowControl w:val="0"/>
        <w:numPr>
          <w:ilvl w:val="0"/>
          <w:numId w:val="93"/>
        </w:numPr>
        <w:shd w:val="clear" w:color="auto" w:fill="auto"/>
        <w:tabs>
          <w:tab w:pos="715" w:val="left"/>
        </w:tabs>
        <w:bidi w:val="0"/>
        <w:spacing w:before="0" w:after="0" w:line="306" w:lineRule="exact"/>
        <w:ind w:left="0" w:right="0" w:firstLine="0"/>
        <w:jc w:val="left"/>
        <w:rPr>
          <w:sz w:val="24"/>
          <w:szCs w:val="24"/>
        </w:rPr>
      </w:pPr>
      <w:r>
        <w:rPr>
          <w:color w:val="000000"/>
          <w:spacing w:val="0"/>
          <w:w w:val="100"/>
          <w:position w:val="0"/>
          <w:sz w:val="24"/>
          <w:szCs w:val="24"/>
        </w:rPr>
        <w:t>抵销后的递延所得税资产和递延所得税负债净额列示如下：</w:t>
      </w:r>
    </w:p>
    <w:p>
      <w:pPr>
        <w:pStyle w:val="Style26"/>
        <w:keepNext w:val="0"/>
        <w:keepLines w:val="0"/>
        <w:widowControl w:val="0"/>
        <w:shd w:val="clear" w:color="auto" w:fill="auto"/>
        <w:tabs>
          <w:tab w:pos="3029" w:val="left"/>
        </w:tabs>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tab/>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r>
    </w:p>
    <w:tbl>
      <w:tblPr>
        <w:tblOverlap w:val="never"/>
        <w:jc w:val="center"/>
        <w:tblLayout w:type="fixed"/>
      </w:tblPr>
      <w:tblGrid>
        <w:gridCol w:w="2045"/>
        <w:gridCol w:w="1656"/>
        <w:gridCol w:w="1459"/>
        <w:gridCol w:w="1574"/>
        <w:gridCol w:w="1502"/>
      </w:tblGrid>
      <w:tr>
        <w:trPr>
          <w:trHeight w:val="47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24"/>
                <w:szCs w:val="24"/>
              </w:rPr>
            </w:pPr>
            <w:r>
              <w:rPr>
                <w:rFonts w:ascii="SimSun" w:eastAsia="SimSun" w:hAnsi="SimSun" w:cs="SimSun"/>
                <w:color w:val="000000"/>
                <w:spacing w:val="0"/>
                <w:w w:val="100"/>
                <w:position w:val="0"/>
                <w:sz w:val="24"/>
                <w:szCs w:val="24"/>
              </w:rPr>
              <w:t>互抵金额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抵销后余额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互抵金额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抵销后余额</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递延所得税资产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rPr>
              <w:t>(8,497,618)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9,737,454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(1,225,325)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5,670,490</w:t>
            </w:r>
          </w:p>
        </w:tc>
      </w:tr>
      <w:tr>
        <w:trPr>
          <w:trHeight w:val="34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递延所得税负债</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color w:val="000000"/>
                <w:spacing w:val="0"/>
                <w:w w:val="100"/>
                <w:position w:val="0"/>
                <w:sz w:val="24"/>
                <w:szCs w:val="24"/>
                <w:u w:val="single"/>
              </w:rPr>
              <w:t>(8,497,618)</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2,077,166</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(1,225,325)</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6,886,085</w:t>
            </w:r>
          </w:p>
        </w:tc>
      </w:tr>
    </w:tbl>
    <w:p>
      <w:pPr>
        <w:sectPr>
          <w:footnotePr>
            <w:pos w:val="pageBottom"/>
            <w:numFmt w:val="decimal"/>
            <w:numStart w:val="1"/>
            <w:numRestart w:val="continuous"/>
            <w15:footnoteColumns w:val="1"/>
          </w:footnotePr>
          <w:pgSz w:w="11900" w:h="16840"/>
          <w:pgMar w:top="1726" w:right="1299" w:bottom="2183" w:left="1650" w:header="0" w:footer="3" w:gutter="0"/>
          <w:cols w:space="720"/>
          <w:noEndnote/>
          <w:rtlGutter w:val="0"/>
          <w:docGrid w:linePitch="360"/>
        </w:sectPr>
      </w:pPr>
    </w:p>
    <w:p>
      <w:pPr>
        <w:pStyle w:val="Style72"/>
        <w:keepNext w:val="0"/>
        <w:keepLines w:val="0"/>
        <w:widowControl w:val="0"/>
        <w:shd w:val="clear" w:color="auto" w:fill="auto"/>
        <w:bidi w:val="0"/>
        <w:spacing w:before="0" w:after="280" w:line="240" w:lineRule="auto"/>
        <w:ind w:left="0" w:right="0" w:hanging="720"/>
        <w:jc w:val="left"/>
        <w:rPr>
          <w:sz w:val="28"/>
          <w:szCs w:val="28"/>
        </w:rPr>
      </w:pPr>
      <w:r>
        <w:rPr>
          <w:b/>
          <w:bCs/>
          <w:color w:val="000000"/>
          <w:spacing w:val="0"/>
          <w:w w:val="100"/>
          <w:position w:val="0"/>
          <w:sz w:val="24"/>
          <w:szCs w:val="24"/>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240" w:lineRule="auto"/>
        <w:ind w:left="0" w:right="0" w:hanging="720"/>
        <w:jc w:val="left"/>
      </w:pPr>
      <w:r>
        <w:rPr>
          <w:rFonts w:ascii="Arial" w:eastAsia="Arial" w:hAnsi="Arial" w:cs="Arial"/>
          <w:color w:val="000000"/>
          <w:spacing w:val="0"/>
          <w:w w:val="100"/>
          <w:position w:val="0"/>
          <w:sz w:val="24"/>
          <w:szCs w:val="24"/>
        </w:rPr>
        <w:t>（23）</w:t>
      </w:r>
      <w:r>
        <w:rPr>
          <w:b/>
          <w:bCs/>
          <w:color w:val="000000"/>
          <w:spacing w:val="0"/>
          <w:w w:val="100"/>
          <w:position w:val="0"/>
          <w:sz w:val="24"/>
          <w:szCs w:val="24"/>
        </w:rPr>
        <w:t>资产减值及损失准备</w:t>
      </w:r>
    </w:p>
    <w:tbl>
      <w:tblPr>
        <w:tblOverlap w:val="never"/>
        <w:jc w:val="center"/>
        <w:tblLayout w:type="fixed"/>
      </w:tblPr>
      <w:tblGrid>
        <w:gridCol w:w="2414"/>
        <w:gridCol w:w="1435"/>
        <w:gridCol w:w="1435"/>
        <w:gridCol w:w="1440"/>
        <w:gridCol w:w="1478"/>
        <w:gridCol w:w="1858"/>
        <w:gridCol w:w="1541"/>
        <w:gridCol w:w="1229"/>
      </w:tblGrid>
      <w:tr>
        <w:trPr>
          <w:trHeight w:val="466"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vMerge w:val="restart"/>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会计政策变更</w:t>
            </w:r>
          </w:p>
        </w:tc>
        <w:tc>
          <w:tcPr>
            <w:vMerge w:val="restart"/>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本年增加_</w:t>
            </w:r>
          </w:p>
        </w:tc>
        <w:tc>
          <w:tcPr>
            <w:gridSpan w:val="3"/>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本年减少</w:t>
            </w:r>
          </w:p>
        </w:tc>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74"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转回</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500" w:firstLine="0"/>
              <w:jc w:val="right"/>
              <w:rPr>
                <w:sz w:val="18"/>
                <w:szCs w:val="18"/>
              </w:rPr>
            </w:pPr>
            <w:r>
              <w:rPr>
                <w:rFonts w:ascii="SimSun" w:eastAsia="SimSun" w:hAnsi="SimSun" w:cs="SimSun"/>
                <w:color w:val="000000"/>
                <w:spacing w:val="0"/>
                <w:w w:val="100"/>
                <w:position w:val="0"/>
                <w:sz w:val="18"/>
                <w:szCs w:val="18"/>
              </w:rPr>
              <w:t>转销</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处置</w:t>
            </w:r>
          </w:p>
        </w:tc>
        <w:tc>
          <w:tcPr>
            <w:vMerge/>
            <w:tcBorders/>
            <w:shd w:val="clear" w:color="auto" w:fill="FFFFFF"/>
            <w:vAlign w:val="top"/>
          </w:tcPr>
          <w:p>
            <w:pP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673,229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2,303,055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(157,301)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(11,782)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(392)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2,806,809</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其中：单项计提坏账准备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328,659</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2,303,055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(42,225)</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2,589,489</w:t>
            </w:r>
          </w:p>
        </w:tc>
      </w:tr>
      <w:tr>
        <w:trPr>
          <w:trHeight w:val="221"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组合计提坏账准备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344,570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(115,076)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(11,782)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(392)</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217,320</w:t>
            </w:r>
          </w:p>
        </w:tc>
      </w:tr>
      <w:tr>
        <w:trPr>
          <w:trHeight w:val="2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其他应收款坏账准备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208,142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536,299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(47,723)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(52,792)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(799)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643,127</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其中：单项计提坏账准备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110,278</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444,841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rPr>
              <w:t>(83)</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460" w:firstLine="0"/>
              <w:jc w:val="righ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555,036</w:t>
            </w:r>
          </w:p>
        </w:tc>
      </w:tr>
      <w:tr>
        <w:trPr>
          <w:trHeight w:val="221"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组合计提坏账准备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97,864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91,458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(47,640)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(52,792)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(799)</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88,091</w:t>
            </w:r>
          </w:p>
        </w:tc>
      </w:tr>
      <w:tr>
        <w:trPr>
          <w:trHeight w:val="2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长期应收款坏账准备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1,440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37,576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(240)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(4,726)</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34,050</w:t>
            </w: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其中：单项计提坏账准备</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27,170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27,170</w:t>
            </w: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组合计提坏账准备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1,440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10,406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(4,726)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6,880</w:t>
            </w:r>
          </w:p>
        </w:tc>
      </w:tr>
      <w:tr>
        <w:trPr>
          <w:trHeight w:val="259"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应收票据坏账准备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24,822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119,280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(23,772)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120,330</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货币资金减值准备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83,543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(83,543)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财务担保准备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64,262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64,262</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小计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991,176</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3,060,472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(229,036)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(152,843)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(1,191)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3,668,578</w:t>
            </w:r>
          </w:p>
        </w:tc>
      </w:tr>
      <w:tr>
        <w:trPr>
          <w:trHeight w:val="50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存货跌价准备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561,137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45,560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(478,191)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128,506</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长期股权投资减值准备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40,534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8,648,921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(4,602)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8,684,853</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固定资产减值准备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161,947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86,011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(127,881)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120,077</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投资性房地产减值准备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48,236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48,236</w:t>
            </w:r>
          </w:p>
        </w:tc>
      </w:tr>
      <w:tr>
        <w:trPr>
          <w:trHeight w:val="2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使用权资产减值准备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3,878,622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3,878,622</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无形资产减值准备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1,020,718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1,914,243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2,934,896</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商誉减值准备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1,450,882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930,695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(59,458)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2,322,119</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长期待摊费用减值准备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38,451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148,610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(46,058)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141,003</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在建工程减值准备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165,302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165,302</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预付账款坏账准备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519,109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519,109</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小计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3,273,669</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16,385,309</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(482,793)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(233,462)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18,942,723</w:t>
            </w:r>
          </w:p>
        </w:tc>
      </w:tr>
      <w:tr>
        <w:trPr>
          <w:trHeight w:val="278" w:hRule="exact"/>
        </w:trPr>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4,264,845</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19,445,781</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(229,036)</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(635,636)</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(234,653)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22,611,301</w:t>
            </w:r>
          </w:p>
        </w:tc>
      </w:tr>
    </w:tbl>
    <w:p>
      <w:pPr>
        <w:sectPr>
          <w:footnotePr>
            <w:pos w:val="pageBottom"/>
            <w:numFmt w:val="decimal"/>
            <w:numStart w:val="1"/>
            <w:numRestart w:val="continuous"/>
            <w15:footnoteColumns w:val="1"/>
          </w:footnotePr>
          <w:pgSz w:w="16840" w:h="11900" w:orient="landscape"/>
          <w:pgMar w:top="2405" w:right="1566" w:bottom="1090" w:left="2444" w:header="0" w:footer="3" w:gutter="0"/>
          <w:cols w:space="720"/>
          <w:noEndnote/>
          <w:rtlGutter w:val="0"/>
          <w:docGrid w:linePitch="360"/>
        </w:sectPr>
      </w:pPr>
    </w:p>
    <w:p>
      <w:pPr>
        <w:pStyle w:val="Style72"/>
        <w:keepNext w:val="0"/>
        <w:keepLines w:val="0"/>
        <w:widowControl w:val="0"/>
        <w:shd w:val="clear" w:color="auto" w:fill="auto"/>
        <w:tabs>
          <w:tab w:pos="717" w:val="left"/>
        </w:tabs>
        <w:bidi w:val="0"/>
        <w:spacing w:before="0" w:after="26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20" w:line="240" w:lineRule="auto"/>
        <w:ind w:left="0" w:right="0" w:firstLine="0"/>
        <w:jc w:val="left"/>
      </w:pPr>
      <w:r>
        <w:rPr>
          <w:rFonts w:ascii="Arial" w:eastAsia="Arial" w:hAnsi="Arial" w:cs="Arial"/>
          <w:color w:val="000000"/>
          <w:spacing w:val="0"/>
          <w:w w:val="100"/>
          <w:position w:val="0"/>
          <w:sz w:val="24"/>
          <w:szCs w:val="24"/>
        </w:rPr>
        <w:t>(24)</w:t>
      </w:r>
      <w:r>
        <w:rPr>
          <w:b/>
          <w:bCs/>
          <w:color w:val="000000"/>
          <w:spacing w:val="0"/>
          <w:w w:val="100"/>
          <w:position w:val="0"/>
          <w:sz w:val="24"/>
          <w:szCs w:val="24"/>
        </w:rPr>
        <w:t>短期借款</w:t>
      </w:r>
    </w:p>
    <w:tbl>
      <w:tblPr>
        <w:tblOverlap w:val="never"/>
        <w:jc w:val="right"/>
        <w:tblLayout w:type="fixed"/>
      </w:tblPr>
      <w:tblGrid>
        <w:gridCol w:w="2635"/>
        <w:gridCol w:w="2995"/>
        <w:gridCol w:w="2352"/>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抵押借款</w:t>
            </w:r>
            <w:r>
              <w:rPr>
                <w:rFonts w:ascii="Arial" w:eastAsia="Arial" w:hAnsi="Arial" w:cs="Arial"/>
                <w:color w:val="000000"/>
                <w:spacing w:val="0"/>
                <w:w w:val="100"/>
                <w:position w:val="0"/>
                <w:sz w:val="24"/>
                <w:szCs w:val="24"/>
              </w:rPr>
              <w:t>(a)</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2,285,926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质押借款</w:t>
            </w:r>
            <w:r>
              <w:rPr>
                <w:rFonts w:ascii="Arial" w:eastAsia="Arial" w:hAnsi="Arial" w:cs="Arial"/>
                <w:color w:val="000000"/>
                <w:spacing w:val="0"/>
                <w:w w:val="100"/>
                <w:position w:val="0"/>
                <w:sz w:val="24"/>
                <w:szCs w:val="24"/>
              </w:rPr>
              <w:t>(b)</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24"/>
                <w:szCs w:val="24"/>
              </w:rPr>
            </w:pPr>
            <w:r>
              <w:rPr>
                <w:rFonts w:ascii="Arial" w:eastAsia="Arial" w:hAnsi="Arial" w:cs="Arial"/>
                <w:color w:val="000000"/>
                <w:spacing w:val="0"/>
                <w:w w:val="100"/>
                <w:position w:val="0"/>
                <w:sz w:val="24"/>
                <w:szCs w:val="24"/>
              </w:rPr>
              <w:t>16,462,150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13,405,707</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信用借款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24"/>
                <w:szCs w:val="24"/>
              </w:rPr>
            </w:pPr>
            <w:r>
              <w:rPr>
                <w:rFonts w:ascii="Arial" w:eastAsia="Arial" w:hAnsi="Arial" w:cs="Arial"/>
                <w:color w:val="000000"/>
                <w:spacing w:val="0"/>
                <w:w w:val="100"/>
                <w:position w:val="0"/>
                <w:sz w:val="24"/>
                <w:szCs w:val="24"/>
              </w:rPr>
              <w:t>10,741,670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9,910,939</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保证借款</w:t>
            </w:r>
            <w:r>
              <w:rPr>
                <w:rFonts w:ascii="Arial" w:eastAsia="Arial" w:hAnsi="Arial" w:cs="Arial"/>
                <w:color w:val="000000"/>
                <w:spacing w:val="0"/>
                <w:w w:val="100"/>
                <w:position w:val="0"/>
                <w:sz w:val="24"/>
                <w:szCs w:val="24"/>
              </w:rPr>
              <w:t>(c)</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520,000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391,344</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应付短期借款利息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84,647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37,701</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24"/>
                <w:szCs w:val="24"/>
              </w:rPr>
            </w:pPr>
            <w:r>
              <w:rPr>
                <w:rFonts w:ascii="Arial" w:eastAsia="Arial" w:hAnsi="Arial" w:cs="Arial"/>
                <w:color w:val="000000"/>
                <w:spacing w:val="0"/>
                <w:w w:val="100"/>
                <w:position w:val="0"/>
                <w:sz w:val="24"/>
                <w:szCs w:val="24"/>
              </w:rPr>
              <w:t>30,094,393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23,745,691</w:t>
            </w:r>
          </w:p>
        </w:tc>
      </w:tr>
    </w:tbl>
    <w:p>
      <w:pPr>
        <w:widowControl w:val="0"/>
        <w:spacing w:after="259" w:line="1" w:lineRule="exact"/>
      </w:pPr>
    </w:p>
    <w:p>
      <w:pPr>
        <w:pStyle w:val="Style72"/>
        <w:keepNext w:val="0"/>
        <w:keepLines w:val="0"/>
        <w:widowControl w:val="0"/>
        <w:numPr>
          <w:ilvl w:val="0"/>
          <w:numId w:val="95"/>
        </w:numPr>
        <w:shd w:val="clear" w:color="auto" w:fill="auto"/>
        <w:tabs>
          <w:tab w:pos="717" w:val="left"/>
        </w:tabs>
        <w:bidi w:val="0"/>
        <w:spacing w:before="0" w:after="260" w:line="314" w:lineRule="exact"/>
        <w:ind w:left="700" w:right="0" w:hanging="700"/>
        <w:jc w:val="both"/>
      </w:pPr>
      <w:bookmarkStart w:id="929" w:name="bookmark929"/>
      <w:bookmarkEnd w:id="929"/>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日，人民币银行抵押借款约人民币</w:t>
      </w:r>
      <w:r>
        <w:rPr>
          <w:rFonts w:ascii="Arial" w:eastAsia="Arial" w:hAnsi="Arial" w:cs="Arial"/>
          <w:color w:val="000000"/>
          <w:spacing w:val="0"/>
          <w:w w:val="100"/>
          <w:position w:val="0"/>
          <w:sz w:val="24"/>
          <w:szCs w:val="24"/>
        </w:rPr>
        <w:t>22.86</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日：无</w:t>
      </w:r>
      <w:r>
        <w:rPr>
          <w:rFonts w:ascii="Arial" w:eastAsia="Arial" w:hAnsi="Arial" w:cs="Arial"/>
          <w:color w:val="000000"/>
          <w:spacing w:val="0"/>
          <w:w w:val="100"/>
          <w:position w:val="0"/>
          <w:sz w:val="24"/>
          <w:szCs w:val="24"/>
        </w:rPr>
        <w:t>)</w:t>
      </w:r>
      <w:r>
        <w:rPr>
          <w:color w:val="000000"/>
          <w:spacing w:val="0"/>
          <w:w w:val="100"/>
          <w:position w:val="0"/>
          <w:sz w:val="24"/>
          <w:szCs w:val="24"/>
        </w:rPr>
        <w:t>系由账面价值约人民币</w:t>
      </w:r>
      <w:r>
        <w:rPr>
          <w:rFonts w:ascii="Arial" w:eastAsia="Arial" w:hAnsi="Arial" w:cs="Arial"/>
          <w:color w:val="000000"/>
          <w:spacing w:val="0"/>
          <w:w w:val="100"/>
          <w:position w:val="0"/>
          <w:sz w:val="24"/>
          <w:szCs w:val="24"/>
        </w:rPr>
        <w:t>12.53</w:t>
      </w:r>
      <w:r>
        <w:rPr>
          <w:color w:val="000000"/>
          <w:spacing w:val="0"/>
          <w:w w:val="100"/>
          <w:position w:val="0"/>
          <w:sz w:val="24"/>
          <w:szCs w:val="24"/>
        </w:rPr>
        <w:t>亿元的房屋及建筑物</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附注四 </w:t>
      </w:r>
      <w:r>
        <w:rPr>
          <w:rFonts w:ascii="Arial" w:eastAsia="Arial" w:hAnsi="Arial" w:cs="Arial"/>
          <w:color w:val="000000"/>
          <w:spacing w:val="0"/>
          <w:w w:val="100"/>
          <w:position w:val="0"/>
          <w:sz w:val="24"/>
          <w:szCs w:val="24"/>
        </w:rPr>
        <w:t>(15))</w:t>
      </w:r>
      <w:r>
        <w:rPr>
          <w:color w:val="000000"/>
          <w:spacing w:val="0"/>
          <w:w w:val="100"/>
          <w:position w:val="0"/>
          <w:sz w:val="24"/>
          <w:szCs w:val="24"/>
        </w:rPr>
        <w:t>以及账面价值约人民币</w:t>
      </w:r>
      <w:r>
        <w:rPr>
          <w:rFonts w:ascii="Arial" w:eastAsia="Arial" w:hAnsi="Arial" w:cs="Arial"/>
          <w:color w:val="000000"/>
          <w:spacing w:val="0"/>
          <w:w w:val="100"/>
          <w:position w:val="0"/>
          <w:sz w:val="24"/>
          <w:szCs w:val="24"/>
        </w:rPr>
        <w:t>3</w:t>
      </w:r>
      <w:r>
        <w:rPr>
          <w:color w:val="000000"/>
          <w:spacing w:val="0"/>
          <w:w w:val="100"/>
          <w:position w:val="0"/>
          <w:sz w:val="24"/>
          <w:szCs w:val="24"/>
        </w:rPr>
        <w:t>亿元的土地使用权</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(18))</w:t>
      </w:r>
      <w:r>
        <w:rPr>
          <w:color w:val="000000"/>
          <w:spacing w:val="0"/>
          <w:w w:val="100"/>
          <w:position w:val="0"/>
          <w:sz w:val="24"/>
          <w:szCs w:val="24"/>
        </w:rPr>
        <w:t>作为抵押物，并 由约人民币</w:t>
      </w:r>
      <w:r>
        <w:rPr>
          <w:rFonts w:ascii="Arial" w:eastAsia="Arial" w:hAnsi="Arial" w:cs="Arial"/>
          <w:color w:val="000000"/>
          <w:spacing w:val="0"/>
          <w:w w:val="100"/>
          <w:position w:val="0"/>
          <w:sz w:val="24"/>
          <w:szCs w:val="24"/>
        </w:rPr>
        <w:t>3.94</w:t>
      </w:r>
      <w:r>
        <w:rPr>
          <w:color w:val="000000"/>
          <w:spacing w:val="0"/>
          <w:w w:val="100"/>
          <w:position w:val="0"/>
          <w:sz w:val="24"/>
          <w:szCs w:val="24"/>
        </w:rPr>
        <w:t>亿元的保证金账户存款</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(1))</w:t>
      </w:r>
      <w:r>
        <w:rPr>
          <w:color w:val="000000"/>
          <w:spacing w:val="0"/>
          <w:w w:val="100"/>
          <w:position w:val="0"/>
          <w:sz w:val="24"/>
          <w:szCs w:val="24"/>
        </w:rPr>
        <w:t>作为质押。</w:t>
      </w:r>
    </w:p>
    <w:p>
      <w:pPr>
        <w:pStyle w:val="Style72"/>
        <w:keepNext w:val="0"/>
        <w:keepLines w:val="0"/>
        <w:widowControl w:val="0"/>
        <w:numPr>
          <w:ilvl w:val="0"/>
          <w:numId w:val="95"/>
        </w:numPr>
        <w:shd w:val="clear" w:color="auto" w:fill="auto"/>
        <w:tabs>
          <w:tab w:pos="717" w:val="left"/>
        </w:tabs>
        <w:bidi w:val="0"/>
        <w:spacing w:before="0" w:after="0" w:line="311" w:lineRule="exact"/>
        <w:ind w:left="700" w:right="0" w:hanging="700"/>
        <w:jc w:val="both"/>
      </w:pPr>
      <w:bookmarkStart w:id="930" w:name="bookmark930"/>
      <w:bookmarkEnd w:id="930"/>
      <w:r>
        <w:rPr>
          <w:color w:val="000000"/>
          <w:spacing w:val="0"/>
          <w:w w:val="100"/>
          <w:position w:val="0"/>
          <w:sz w:val="24"/>
          <w:szCs w:val="24"/>
          <w:shd w:val="clear" w:color="auto" w:fill="FFFFFF"/>
        </w:rPr>
        <w:t>于</w:t>
      </w:r>
      <w:r>
        <w:rPr>
          <w:rFonts w:ascii="Arial" w:eastAsia="Arial" w:hAnsi="Arial" w:cs="Arial"/>
          <w:color w:val="000000"/>
          <w:spacing w:val="0"/>
          <w:w w:val="100"/>
          <w:position w:val="0"/>
          <w:sz w:val="24"/>
          <w:szCs w:val="24"/>
          <w:shd w:val="clear" w:color="auto" w:fill="FFFFFF"/>
        </w:rPr>
        <w:t>2021</w:t>
      </w:r>
      <w:r>
        <w:rPr>
          <w:color w:val="000000"/>
          <w:spacing w:val="0"/>
          <w:w w:val="100"/>
          <w:position w:val="0"/>
          <w:sz w:val="24"/>
          <w:szCs w:val="24"/>
          <w:shd w:val="clear" w:color="auto" w:fill="FFFFFF"/>
        </w:rPr>
        <w:t>年</w:t>
      </w:r>
      <w:r>
        <w:rPr>
          <w:rFonts w:ascii="Arial" w:eastAsia="Arial" w:hAnsi="Arial" w:cs="Arial"/>
          <w:color w:val="000000"/>
          <w:spacing w:val="0"/>
          <w:w w:val="100"/>
          <w:position w:val="0"/>
          <w:sz w:val="24"/>
          <w:szCs w:val="24"/>
          <w:shd w:val="clear" w:color="auto" w:fill="FFFFFF"/>
        </w:rPr>
        <w:t>12</w:t>
      </w:r>
      <w:r>
        <w:rPr>
          <w:color w:val="000000"/>
          <w:spacing w:val="0"/>
          <w:w w:val="100"/>
          <w:position w:val="0"/>
          <w:sz w:val="24"/>
          <w:szCs w:val="24"/>
          <w:shd w:val="clear" w:color="auto" w:fill="FFFFFF"/>
        </w:rPr>
        <w:t>月</w:t>
      </w:r>
      <w:r>
        <w:rPr>
          <w:rFonts w:ascii="Arial" w:eastAsia="Arial" w:hAnsi="Arial" w:cs="Arial"/>
          <w:color w:val="000000"/>
          <w:spacing w:val="0"/>
          <w:w w:val="100"/>
          <w:position w:val="0"/>
          <w:sz w:val="24"/>
          <w:szCs w:val="24"/>
          <w:shd w:val="clear" w:color="auto" w:fill="FFFFFF"/>
        </w:rPr>
        <w:t>31</w:t>
      </w:r>
      <w:r>
        <w:rPr>
          <w:color w:val="000000"/>
          <w:spacing w:val="0"/>
          <w:w w:val="100"/>
          <w:position w:val="0"/>
          <w:sz w:val="24"/>
          <w:szCs w:val="24"/>
          <w:shd w:val="clear" w:color="auto" w:fill="FFFFFF"/>
        </w:rPr>
        <w:t>日，人民币银行质押借款约人民币</w:t>
      </w:r>
      <w:r>
        <w:rPr>
          <w:rFonts w:ascii="Arial" w:eastAsia="Arial" w:hAnsi="Arial" w:cs="Arial"/>
          <w:color w:val="000000"/>
          <w:spacing w:val="0"/>
          <w:w w:val="100"/>
          <w:position w:val="0"/>
          <w:sz w:val="24"/>
          <w:szCs w:val="24"/>
          <w:shd w:val="clear" w:color="auto" w:fill="FFFFFF"/>
        </w:rPr>
        <w:t>141.22</w:t>
      </w:r>
      <w:r>
        <w:rPr>
          <w:color w:val="000000"/>
          <w:spacing w:val="0"/>
          <w:w w:val="100"/>
          <w:position w:val="0"/>
          <w:sz w:val="24"/>
          <w:szCs w:val="24"/>
          <w:shd w:val="clear" w:color="auto" w:fill="FFFFFF"/>
        </w:rPr>
        <w:t>亿元系由约人 民币</w:t>
      </w:r>
      <w:r>
        <w:rPr>
          <w:rFonts w:ascii="Arial" w:eastAsia="Arial" w:hAnsi="Arial" w:cs="Arial"/>
          <w:color w:val="000000"/>
          <w:spacing w:val="0"/>
          <w:w w:val="100"/>
          <w:position w:val="0"/>
          <w:sz w:val="24"/>
          <w:szCs w:val="24"/>
          <w:shd w:val="clear" w:color="auto" w:fill="FFFFFF"/>
        </w:rPr>
        <w:t>88.02</w:t>
      </w:r>
      <w:r>
        <w:rPr>
          <w:color w:val="000000"/>
          <w:spacing w:val="0"/>
          <w:w w:val="100"/>
          <w:position w:val="0"/>
          <w:sz w:val="24"/>
          <w:szCs w:val="24"/>
          <w:shd w:val="clear" w:color="auto" w:fill="FFFFFF"/>
        </w:rPr>
        <w:t>亿元的银行定期存款和保证金账户存款</w:t>
      </w:r>
      <w:r>
        <w:rPr>
          <w:rFonts w:ascii="Arial" w:eastAsia="Arial" w:hAnsi="Arial" w:cs="Arial"/>
          <w:color w:val="000000"/>
          <w:spacing w:val="0"/>
          <w:w w:val="100"/>
          <w:position w:val="0"/>
          <w:sz w:val="24"/>
          <w:szCs w:val="24"/>
          <w:shd w:val="clear" w:color="auto" w:fill="FFFFFF"/>
        </w:rPr>
        <w:t>(</w:t>
      </w:r>
      <w:r>
        <w:rPr>
          <w:color w:val="000000"/>
          <w:spacing w:val="0"/>
          <w:w w:val="100"/>
          <w:position w:val="0"/>
          <w:sz w:val="24"/>
          <w:szCs w:val="24"/>
          <w:shd w:val="clear" w:color="auto" w:fill="FFFFFF"/>
        </w:rPr>
        <w:t>附注四</w:t>
      </w:r>
      <w:r>
        <w:rPr>
          <w:rFonts w:ascii="Arial" w:eastAsia="Arial" w:hAnsi="Arial" w:cs="Arial"/>
          <w:color w:val="000000"/>
          <w:spacing w:val="0"/>
          <w:w w:val="100"/>
          <w:position w:val="0"/>
          <w:sz w:val="24"/>
          <w:szCs w:val="24"/>
          <w:shd w:val="clear" w:color="auto" w:fill="FFFFFF"/>
        </w:rPr>
        <w:t>(1))</w:t>
      </w:r>
      <w:r>
        <w:rPr>
          <w:color w:val="000000"/>
          <w:spacing w:val="0"/>
          <w:w w:val="100"/>
          <w:position w:val="0"/>
          <w:sz w:val="24"/>
          <w:szCs w:val="24"/>
          <w:shd w:val="clear" w:color="auto" w:fill="FFFFFF"/>
        </w:rPr>
        <w:t>、人民币</w:t>
      </w:r>
      <w:r>
        <w:rPr>
          <w:rFonts w:ascii="Arial" w:eastAsia="Arial" w:hAnsi="Arial" w:cs="Arial"/>
          <w:color w:val="000000"/>
          <w:spacing w:val="0"/>
          <w:w w:val="100"/>
          <w:position w:val="0"/>
          <w:sz w:val="24"/>
          <w:szCs w:val="24"/>
          <w:shd w:val="clear" w:color="auto" w:fill="FFFFFF"/>
        </w:rPr>
        <w:t xml:space="preserve">13.1 </w:t>
      </w:r>
      <w:r>
        <w:rPr>
          <w:color w:val="000000"/>
          <w:spacing w:val="0"/>
          <w:w w:val="100"/>
          <w:position w:val="0"/>
          <w:sz w:val="24"/>
          <w:szCs w:val="24"/>
          <w:shd w:val="clear" w:color="auto" w:fill="FFFFFF"/>
        </w:rPr>
        <w:t>亿元的结构性存款</w:t>
      </w:r>
      <w:r>
        <w:rPr>
          <w:rFonts w:ascii="Arial" w:eastAsia="Arial" w:hAnsi="Arial" w:cs="Arial"/>
          <w:color w:val="000000"/>
          <w:spacing w:val="0"/>
          <w:w w:val="100"/>
          <w:position w:val="0"/>
          <w:sz w:val="24"/>
          <w:szCs w:val="24"/>
          <w:shd w:val="clear" w:color="auto" w:fill="FFFFFF"/>
        </w:rPr>
        <w:t>(</w:t>
      </w:r>
      <w:r>
        <w:rPr>
          <w:color w:val="000000"/>
          <w:spacing w:val="0"/>
          <w:w w:val="100"/>
          <w:position w:val="0"/>
          <w:sz w:val="24"/>
          <w:szCs w:val="24"/>
          <w:shd w:val="clear" w:color="auto" w:fill="FFFFFF"/>
        </w:rPr>
        <w:t>附注四</w:t>
      </w:r>
      <w:r>
        <w:rPr>
          <w:rFonts w:ascii="Arial" w:eastAsia="Arial" w:hAnsi="Arial" w:cs="Arial"/>
          <w:color w:val="000000"/>
          <w:spacing w:val="0"/>
          <w:w w:val="100"/>
          <w:position w:val="0"/>
          <w:sz w:val="24"/>
          <w:szCs w:val="24"/>
          <w:shd w:val="clear" w:color="auto" w:fill="FFFFFF"/>
        </w:rPr>
        <w:t>(2))</w:t>
      </w:r>
      <w:r>
        <w:rPr>
          <w:color w:val="000000"/>
          <w:spacing w:val="0"/>
          <w:w w:val="100"/>
          <w:position w:val="0"/>
          <w:sz w:val="24"/>
          <w:szCs w:val="24"/>
          <w:shd w:val="clear" w:color="auto" w:fill="FFFFFF"/>
        </w:rPr>
        <w:t>、本集团所持有的星图金服</w:t>
      </w:r>
      <w:r>
        <w:rPr>
          <w:rFonts w:ascii="Arial" w:eastAsia="Arial" w:hAnsi="Arial" w:cs="Arial"/>
          <w:color w:val="000000"/>
          <w:spacing w:val="0"/>
          <w:w w:val="100"/>
          <w:position w:val="0"/>
          <w:sz w:val="24"/>
          <w:szCs w:val="24"/>
          <w:shd w:val="clear" w:color="auto" w:fill="FFFFFF"/>
        </w:rPr>
        <w:t>40,690,467</w:t>
      </w:r>
      <w:r>
        <w:rPr>
          <w:color w:val="000000"/>
          <w:spacing w:val="0"/>
          <w:w w:val="100"/>
          <w:position w:val="0"/>
          <w:sz w:val="24"/>
          <w:szCs w:val="24"/>
          <w:shd w:val="clear" w:color="auto" w:fill="FFFFFF"/>
        </w:rPr>
        <w:t>股普通 股</w:t>
      </w:r>
      <w:r>
        <w:rPr>
          <w:rFonts w:ascii="Arial" w:eastAsia="Arial" w:hAnsi="Arial" w:cs="Arial"/>
          <w:color w:val="000000"/>
          <w:spacing w:val="0"/>
          <w:w w:val="100"/>
          <w:position w:val="0"/>
          <w:sz w:val="24"/>
          <w:szCs w:val="24"/>
          <w:shd w:val="clear" w:color="auto" w:fill="FFFFFF"/>
        </w:rPr>
        <w:t>(</w:t>
      </w:r>
      <w:r>
        <w:rPr>
          <w:color w:val="000000"/>
          <w:spacing w:val="0"/>
          <w:w w:val="100"/>
          <w:position w:val="0"/>
          <w:sz w:val="24"/>
          <w:szCs w:val="24"/>
          <w:shd w:val="clear" w:color="auto" w:fill="FFFFFF"/>
        </w:rPr>
        <w:t>附注四</w:t>
      </w:r>
      <w:r>
        <w:rPr>
          <w:rFonts w:ascii="Arial" w:eastAsia="Arial" w:hAnsi="Arial" w:cs="Arial"/>
          <w:color w:val="000000"/>
          <w:spacing w:val="0"/>
          <w:w w:val="100"/>
          <w:position w:val="0"/>
          <w:sz w:val="24"/>
          <w:szCs w:val="24"/>
          <w:shd w:val="clear" w:color="auto" w:fill="FFFFFF"/>
        </w:rPr>
        <w:t>(13))</w:t>
      </w:r>
      <w:r>
        <w:rPr>
          <w:color w:val="000000"/>
          <w:spacing w:val="0"/>
          <w:w w:val="100"/>
          <w:position w:val="0"/>
          <w:sz w:val="24"/>
          <w:szCs w:val="24"/>
          <w:shd w:val="clear" w:color="auto" w:fill="FFFFFF"/>
        </w:rPr>
        <w:t>作为质押;人民币银行质押借款约人民币</w:t>
      </w:r>
      <w:r>
        <w:rPr>
          <w:rFonts w:ascii="Arial" w:eastAsia="Arial" w:hAnsi="Arial" w:cs="Arial"/>
          <w:color w:val="000000"/>
          <w:spacing w:val="0"/>
          <w:w w:val="100"/>
          <w:position w:val="0"/>
          <w:sz w:val="24"/>
          <w:szCs w:val="24"/>
          <w:shd w:val="clear" w:color="auto" w:fill="FFFFFF"/>
        </w:rPr>
        <w:t>4.27</w:t>
      </w:r>
      <w:r>
        <w:rPr>
          <w:color w:val="000000"/>
          <w:spacing w:val="0"/>
          <w:w w:val="100"/>
          <w:position w:val="0"/>
          <w:sz w:val="24"/>
          <w:szCs w:val="24"/>
          <w:shd w:val="clear" w:color="auto" w:fill="FFFFFF"/>
        </w:rPr>
        <w:t>亿元系由本集团 所持有的星图金服</w:t>
      </w:r>
      <w:r>
        <w:rPr>
          <w:rFonts w:ascii="Arial" w:eastAsia="Arial" w:hAnsi="Arial" w:cs="Arial"/>
          <w:color w:val="000000"/>
          <w:spacing w:val="0"/>
          <w:w w:val="100"/>
          <w:position w:val="0"/>
          <w:sz w:val="24"/>
          <w:szCs w:val="24"/>
          <w:shd w:val="clear" w:color="auto" w:fill="FFFFFF"/>
        </w:rPr>
        <w:t>22,901,000</w:t>
      </w:r>
      <w:r>
        <w:rPr>
          <w:color w:val="000000"/>
          <w:spacing w:val="0"/>
          <w:w w:val="100"/>
          <w:position w:val="0"/>
          <w:sz w:val="24"/>
          <w:szCs w:val="24"/>
          <w:shd w:val="clear" w:color="auto" w:fill="FFFFFF"/>
        </w:rPr>
        <w:t>股普通股</w:t>
      </w:r>
      <w:r>
        <w:rPr>
          <w:rFonts w:ascii="Arial" w:eastAsia="Arial" w:hAnsi="Arial" w:cs="Arial"/>
          <w:color w:val="000000"/>
          <w:spacing w:val="0"/>
          <w:w w:val="100"/>
          <w:position w:val="0"/>
          <w:sz w:val="24"/>
          <w:szCs w:val="24"/>
          <w:shd w:val="clear" w:color="auto" w:fill="FFFFFF"/>
        </w:rPr>
        <w:t>(</w:t>
      </w:r>
      <w:r>
        <w:rPr>
          <w:color w:val="000000"/>
          <w:spacing w:val="0"/>
          <w:w w:val="100"/>
          <w:position w:val="0"/>
          <w:sz w:val="24"/>
          <w:szCs w:val="24"/>
          <w:shd w:val="clear" w:color="auto" w:fill="FFFFFF"/>
        </w:rPr>
        <w:t>附注四</w:t>
      </w:r>
      <w:r>
        <w:rPr>
          <w:rFonts w:ascii="Arial" w:eastAsia="Arial" w:hAnsi="Arial" w:cs="Arial"/>
          <w:color w:val="000000"/>
          <w:spacing w:val="0"/>
          <w:w w:val="100"/>
          <w:position w:val="0"/>
          <w:sz w:val="24"/>
          <w:szCs w:val="24"/>
          <w:shd w:val="clear" w:color="auto" w:fill="FFFFFF"/>
        </w:rPr>
        <w:t>(13))</w:t>
      </w:r>
      <w:r>
        <w:rPr>
          <w:color w:val="000000"/>
          <w:spacing w:val="0"/>
          <w:w w:val="100"/>
          <w:position w:val="0"/>
          <w:sz w:val="24"/>
          <w:szCs w:val="24"/>
          <w:shd w:val="clear" w:color="auto" w:fill="FFFFFF"/>
        </w:rPr>
        <w:t>作为质押；银行质押借 款约人民币</w:t>
      </w:r>
      <w:r>
        <w:rPr>
          <w:rFonts w:ascii="Arial" w:eastAsia="Arial" w:hAnsi="Arial" w:cs="Arial"/>
          <w:color w:val="000000"/>
          <w:spacing w:val="0"/>
          <w:w w:val="100"/>
          <w:position w:val="0"/>
          <w:sz w:val="24"/>
          <w:szCs w:val="24"/>
          <w:shd w:val="clear" w:color="auto" w:fill="FFFFFF"/>
        </w:rPr>
        <w:t>19.13</w:t>
      </w:r>
      <w:r>
        <w:rPr>
          <w:color w:val="000000"/>
          <w:spacing w:val="0"/>
          <w:w w:val="100"/>
          <w:position w:val="0"/>
          <w:sz w:val="24"/>
          <w:szCs w:val="24"/>
          <w:shd w:val="clear" w:color="auto" w:fill="FFFFFF"/>
        </w:rPr>
        <w:t>亿元由本集团所持有的万达商管</w:t>
      </w:r>
      <w:r>
        <w:rPr>
          <w:rFonts w:ascii="Arial" w:eastAsia="Arial" w:hAnsi="Arial" w:cs="Arial"/>
          <w:color w:val="000000"/>
          <w:spacing w:val="0"/>
          <w:w w:val="100"/>
          <w:position w:val="0"/>
          <w:sz w:val="24"/>
          <w:szCs w:val="24"/>
          <w:shd w:val="clear" w:color="auto" w:fill="FFFFFF"/>
        </w:rPr>
        <w:t>181,834,884</w:t>
      </w:r>
      <w:r>
        <w:rPr>
          <w:color w:val="000000"/>
          <w:spacing w:val="0"/>
          <w:w w:val="100"/>
          <w:position w:val="0"/>
          <w:sz w:val="24"/>
          <w:szCs w:val="24"/>
          <w:shd w:val="clear" w:color="auto" w:fill="FFFFFF"/>
        </w:rPr>
        <w:t>股普通股</w:t>
      </w:r>
      <w:r>
        <w:rPr>
          <w:rFonts w:ascii="Arial" w:eastAsia="Arial" w:hAnsi="Arial" w:cs="Arial"/>
          <w:color w:val="000000"/>
          <w:spacing w:val="0"/>
          <w:w w:val="100"/>
          <w:position w:val="0"/>
          <w:sz w:val="24"/>
          <w:szCs w:val="24"/>
          <w:shd w:val="clear" w:color="auto" w:fill="FFFFFF"/>
        </w:rPr>
        <w:t>(</w:t>
      </w:r>
      <w:r>
        <w:rPr>
          <w:color w:val="000000"/>
          <w:spacing w:val="0"/>
          <w:w w:val="100"/>
          <w:position w:val="0"/>
          <w:sz w:val="24"/>
          <w:szCs w:val="24"/>
          <w:shd w:val="clear" w:color="auto" w:fill="FFFFFF"/>
        </w:rPr>
        <w:t>附 注四⑵</w:t>
      </w:r>
      <w:r>
        <w:rPr>
          <w:rFonts w:ascii="Arial" w:eastAsia="Arial" w:hAnsi="Arial" w:cs="Arial"/>
          <w:color w:val="000000"/>
          <w:spacing w:val="0"/>
          <w:w w:val="100"/>
          <w:position w:val="0"/>
          <w:sz w:val="24"/>
          <w:szCs w:val="24"/>
          <w:shd w:val="clear" w:color="auto" w:fill="FFFFFF"/>
        </w:rPr>
        <w:t>)</w:t>
      </w:r>
      <w:r>
        <w:rPr>
          <w:color w:val="000000"/>
          <w:spacing w:val="0"/>
          <w:w w:val="100"/>
          <w:position w:val="0"/>
          <w:sz w:val="24"/>
          <w:szCs w:val="24"/>
          <w:shd w:val="clear" w:color="auto" w:fill="FFFFFF"/>
        </w:rPr>
        <w:t>作为质押</w:t>
      </w:r>
      <w:r>
        <w:rPr>
          <w:rFonts w:ascii="Arial" w:eastAsia="Arial" w:hAnsi="Arial" w:cs="Arial"/>
          <w:color w:val="000000"/>
          <w:spacing w:val="0"/>
          <w:w w:val="100"/>
          <w:position w:val="0"/>
          <w:sz w:val="24"/>
          <w:szCs w:val="24"/>
          <w:shd w:val="clear" w:color="auto" w:fill="FFFFFF"/>
        </w:rPr>
        <w:t>(2020</w:t>
      </w:r>
      <w:r>
        <w:rPr>
          <w:color w:val="000000"/>
          <w:spacing w:val="0"/>
          <w:w w:val="100"/>
          <w:position w:val="0"/>
          <w:sz w:val="24"/>
          <w:szCs w:val="24"/>
          <w:shd w:val="clear" w:color="auto" w:fill="FFFFFF"/>
        </w:rPr>
        <w:t>年</w:t>
      </w:r>
      <w:r>
        <w:rPr>
          <w:rFonts w:ascii="Arial" w:eastAsia="Arial" w:hAnsi="Arial" w:cs="Arial"/>
          <w:color w:val="000000"/>
          <w:spacing w:val="0"/>
          <w:w w:val="100"/>
          <w:position w:val="0"/>
          <w:sz w:val="24"/>
          <w:szCs w:val="24"/>
          <w:shd w:val="clear" w:color="auto" w:fill="FFFFFF"/>
        </w:rPr>
        <w:t>12</w:t>
      </w:r>
      <w:r>
        <w:rPr>
          <w:color w:val="000000"/>
          <w:spacing w:val="0"/>
          <w:w w:val="100"/>
          <w:position w:val="0"/>
          <w:sz w:val="24"/>
          <w:szCs w:val="24"/>
          <w:shd w:val="clear" w:color="auto" w:fill="FFFFFF"/>
        </w:rPr>
        <w:t>月</w:t>
      </w:r>
      <w:r>
        <w:rPr>
          <w:rFonts w:ascii="Arial" w:eastAsia="Arial" w:hAnsi="Arial" w:cs="Arial"/>
          <w:color w:val="000000"/>
          <w:spacing w:val="0"/>
          <w:w w:val="100"/>
          <w:position w:val="0"/>
          <w:sz w:val="24"/>
          <w:szCs w:val="24"/>
          <w:shd w:val="clear" w:color="auto" w:fill="FFFFFF"/>
        </w:rPr>
        <w:t>31</w:t>
      </w:r>
      <w:r>
        <w:rPr>
          <w:color w:val="000000"/>
          <w:spacing w:val="0"/>
          <w:w w:val="100"/>
          <w:position w:val="0"/>
          <w:sz w:val="24"/>
          <w:szCs w:val="24"/>
          <w:shd w:val="clear" w:color="auto" w:fill="FFFFFF"/>
        </w:rPr>
        <w:t>日：人民币银行质押借款约人民币</w:t>
      </w:r>
      <w:r>
        <w:rPr>
          <w:rFonts w:ascii="Arial" w:eastAsia="Arial" w:hAnsi="Arial" w:cs="Arial"/>
          <w:color w:val="000000"/>
          <w:spacing w:val="0"/>
          <w:w w:val="100"/>
          <w:position w:val="0"/>
          <w:sz w:val="24"/>
          <w:szCs w:val="24"/>
          <w:shd w:val="clear" w:color="auto" w:fill="FFFFFF"/>
        </w:rPr>
        <w:t xml:space="preserve">134.06 </w:t>
      </w:r>
      <w:r>
        <w:rPr>
          <w:color w:val="000000"/>
          <w:spacing w:val="0"/>
          <w:w w:val="100"/>
          <w:position w:val="0"/>
          <w:sz w:val="24"/>
          <w:szCs w:val="24"/>
          <w:shd w:val="clear" w:color="auto" w:fill="FFFFFF"/>
        </w:rPr>
        <w:t xml:space="preserve">亿元系由约人民币 </w:t>
      </w:r>
      <w:r>
        <w:rPr>
          <w:rFonts w:ascii="Arial" w:eastAsia="Arial" w:hAnsi="Arial" w:cs="Arial"/>
          <w:color w:val="000000"/>
          <w:spacing w:val="0"/>
          <w:w w:val="100"/>
          <w:position w:val="0"/>
          <w:sz w:val="24"/>
          <w:szCs w:val="24"/>
          <w:shd w:val="clear" w:color="auto" w:fill="FFFFFF"/>
        </w:rPr>
        <w:t xml:space="preserve">96.60 </w:t>
      </w:r>
      <w:r>
        <w:rPr>
          <w:color w:val="000000"/>
          <w:spacing w:val="0"/>
          <w:w w:val="100"/>
          <w:position w:val="0"/>
          <w:sz w:val="24"/>
          <w:szCs w:val="24"/>
          <w:shd w:val="clear" w:color="auto" w:fill="FFFFFF"/>
        </w:rPr>
        <w:t xml:space="preserve">亿元的银行定期存款和保证金账户存款 </w:t>
      </w:r>
      <w:r>
        <w:rPr>
          <w:rFonts w:ascii="Arial" w:eastAsia="Arial" w:hAnsi="Arial" w:cs="Arial"/>
          <w:color w:val="000000"/>
          <w:spacing w:val="0"/>
          <w:w w:val="100"/>
          <w:position w:val="0"/>
          <w:sz w:val="24"/>
          <w:szCs w:val="24"/>
          <w:shd w:val="clear" w:color="auto" w:fill="FFFFFF"/>
        </w:rPr>
        <w:t>(</w:t>
      </w:r>
      <w:r>
        <w:rPr>
          <w:color w:val="000000"/>
          <w:spacing w:val="0"/>
          <w:w w:val="100"/>
          <w:position w:val="0"/>
          <w:sz w:val="24"/>
          <w:szCs w:val="24"/>
          <w:shd w:val="clear" w:color="auto" w:fill="FFFFFF"/>
        </w:rPr>
        <w:t>附注四</w:t>
      </w:r>
    </w:p>
    <w:p>
      <w:pPr>
        <w:pStyle w:val="Style72"/>
        <w:keepNext w:val="0"/>
        <w:keepLines w:val="0"/>
        <w:widowControl w:val="0"/>
        <w:numPr>
          <w:ilvl w:val="0"/>
          <w:numId w:val="97"/>
        </w:numPr>
        <w:shd w:val="clear" w:color="auto" w:fill="auto"/>
        <w:tabs>
          <w:tab w:pos="1420" w:val="left"/>
        </w:tabs>
        <w:bidi w:val="0"/>
        <w:spacing w:before="0" w:after="260" w:line="311" w:lineRule="exact"/>
        <w:ind w:left="700" w:right="0" w:firstLine="20"/>
        <w:jc w:val="both"/>
      </w:pPr>
      <w:bookmarkStart w:id="931" w:name="bookmark931"/>
      <w:bookmarkEnd w:id="931"/>
      <w:r>
        <w:rPr>
          <w:rFonts w:ascii="Arial" w:eastAsia="Arial" w:hAnsi="Arial" w:cs="Arial"/>
          <w:color w:val="000000"/>
          <w:spacing w:val="0"/>
          <w:w w:val="100"/>
          <w:position w:val="0"/>
          <w:sz w:val="24"/>
          <w:szCs w:val="24"/>
        </w:rPr>
        <w:t>)</w:t>
      </w:r>
      <w:r>
        <w:rPr>
          <w:color w:val="000000"/>
          <w:spacing w:val="0"/>
          <w:w w:val="100"/>
          <w:position w:val="0"/>
          <w:sz w:val="24"/>
          <w:szCs w:val="24"/>
        </w:rPr>
        <w:t>、人民币</w:t>
      </w:r>
      <w:r>
        <w:rPr>
          <w:rFonts w:ascii="Arial" w:eastAsia="Arial" w:hAnsi="Arial" w:cs="Arial"/>
          <w:color w:val="000000"/>
          <w:spacing w:val="0"/>
          <w:w w:val="100"/>
          <w:position w:val="0"/>
          <w:sz w:val="24"/>
          <w:szCs w:val="24"/>
        </w:rPr>
        <w:t>1</w:t>
      </w:r>
      <w:r>
        <w:rPr>
          <w:color w:val="000000"/>
          <w:spacing w:val="0"/>
          <w:w w:val="100"/>
          <w:position w:val="0"/>
          <w:sz w:val="24"/>
          <w:szCs w:val="24"/>
        </w:rPr>
        <w:t>亿元的结构性存款</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(2))</w:t>
      </w:r>
      <w:r>
        <w:rPr>
          <w:color w:val="000000"/>
          <w:spacing w:val="0"/>
          <w:w w:val="100"/>
          <w:position w:val="0"/>
          <w:sz w:val="24"/>
          <w:szCs w:val="24"/>
        </w:rPr>
        <w:t xml:space="preserve">以及本集团持有的价值约人民币 </w:t>
      </w:r>
      <w:r>
        <w:rPr>
          <w:rFonts w:ascii="Arial" w:eastAsia="Arial" w:hAnsi="Arial" w:cs="Arial"/>
          <w:color w:val="000000"/>
          <w:spacing w:val="0"/>
          <w:w w:val="100"/>
          <w:position w:val="0"/>
          <w:sz w:val="24"/>
          <w:szCs w:val="24"/>
        </w:rPr>
        <w:t>4.38</w:t>
      </w:r>
      <w:r>
        <w:rPr>
          <w:color w:val="000000"/>
          <w:spacing w:val="0"/>
          <w:w w:val="100"/>
          <w:position w:val="0"/>
          <w:sz w:val="24"/>
          <w:szCs w:val="24"/>
        </w:rPr>
        <w:t>亿元存货</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(7))</w:t>
      </w:r>
      <w:r>
        <w:rPr>
          <w:color w:val="000000"/>
          <w:spacing w:val="0"/>
          <w:w w:val="100"/>
          <w:position w:val="0"/>
          <w:sz w:val="24"/>
          <w:szCs w:val="24"/>
        </w:rPr>
        <w:t>作为质押</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numPr>
          <w:ilvl w:val="0"/>
          <w:numId w:val="95"/>
        </w:numPr>
        <w:shd w:val="clear" w:color="auto" w:fill="auto"/>
        <w:tabs>
          <w:tab w:pos="717" w:val="left"/>
        </w:tabs>
        <w:bidi w:val="0"/>
        <w:spacing w:before="0" w:after="260" w:line="315" w:lineRule="exact"/>
        <w:ind w:left="700" w:right="0" w:hanging="700"/>
        <w:jc w:val="both"/>
      </w:pPr>
      <w:bookmarkStart w:id="932" w:name="bookmark932"/>
      <w:bookmarkEnd w:id="932"/>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日，保证借款约人民币</w:t>
      </w:r>
      <w:r>
        <w:rPr>
          <w:rFonts w:ascii="Arial" w:eastAsia="Arial" w:hAnsi="Arial" w:cs="Arial"/>
          <w:color w:val="000000"/>
          <w:spacing w:val="0"/>
          <w:w w:val="100"/>
          <w:position w:val="0"/>
          <w:sz w:val="24"/>
          <w:szCs w:val="24"/>
        </w:rPr>
        <w:t>5.2</w:t>
      </w:r>
      <w:r>
        <w:rPr>
          <w:color w:val="000000"/>
          <w:spacing w:val="0"/>
          <w:w w:val="100"/>
          <w:position w:val="0"/>
          <w:sz w:val="24"/>
          <w:szCs w:val="24"/>
        </w:rPr>
        <w:t>亿元系由甲公司提供保证，该 保证由本集团账面价值约人民币</w:t>
      </w:r>
      <w:r>
        <w:rPr>
          <w:rFonts w:ascii="Arial" w:eastAsia="Arial" w:hAnsi="Arial" w:cs="Arial"/>
          <w:color w:val="000000"/>
          <w:spacing w:val="0"/>
          <w:w w:val="100"/>
          <w:position w:val="0"/>
          <w:sz w:val="24"/>
          <w:szCs w:val="24"/>
        </w:rPr>
        <w:t>9,961</w:t>
      </w:r>
      <w:r>
        <w:rPr>
          <w:color w:val="000000"/>
          <w:spacing w:val="0"/>
          <w:w w:val="100"/>
          <w:position w:val="0"/>
          <w:sz w:val="24"/>
          <w:szCs w:val="24"/>
        </w:rPr>
        <w:t>万元的房地产开发产品</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(7))</w:t>
      </w:r>
      <w:r>
        <w:rPr>
          <w:color w:val="000000"/>
          <w:spacing w:val="0"/>
          <w:w w:val="100"/>
          <w:position w:val="0"/>
          <w:sz w:val="24"/>
          <w:szCs w:val="24"/>
        </w:rPr>
        <w:t>作 为抵押</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日：保证借款约人民币</w:t>
      </w:r>
      <w:r>
        <w:rPr>
          <w:rFonts w:ascii="Arial" w:eastAsia="Arial" w:hAnsi="Arial" w:cs="Arial"/>
          <w:color w:val="000000"/>
          <w:spacing w:val="0"/>
          <w:w w:val="100"/>
          <w:position w:val="0"/>
          <w:sz w:val="24"/>
          <w:szCs w:val="24"/>
        </w:rPr>
        <w:t>3.91</w:t>
      </w:r>
      <w:r>
        <w:rPr>
          <w:color w:val="000000"/>
          <w:spacing w:val="0"/>
          <w:w w:val="100"/>
          <w:position w:val="0"/>
          <w:sz w:val="24"/>
          <w:szCs w:val="24"/>
        </w:rPr>
        <w:t>亿元系由招商银行股份 有限公司南京分行和汇丰银行</w:t>
      </w:r>
      <w:r>
        <w:rPr>
          <w:rFonts w:ascii="Arial" w:eastAsia="Arial" w:hAnsi="Arial" w:cs="Arial"/>
          <w:color w:val="000000"/>
          <w:spacing w:val="0"/>
          <w:w w:val="100"/>
          <w:position w:val="0"/>
          <w:sz w:val="24"/>
          <w:szCs w:val="24"/>
        </w:rPr>
        <w:t>(</w:t>
      </w:r>
      <w:r>
        <w:rPr>
          <w:color w:val="000000"/>
          <w:spacing w:val="0"/>
          <w:w w:val="100"/>
          <w:position w:val="0"/>
          <w:sz w:val="24"/>
          <w:szCs w:val="24"/>
        </w:rPr>
        <w:t>中国</w:t>
      </w:r>
      <w:r>
        <w:rPr>
          <w:rFonts w:ascii="Arial" w:eastAsia="Arial" w:hAnsi="Arial" w:cs="Arial"/>
          <w:color w:val="000000"/>
          <w:spacing w:val="0"/>
          <w:w w:val="100"/>
          <w:position w:val="0"/>
          <w:sz w:val="24"/>
          <w:szCs w:val="24"/>
        </w:rPr>
        <w:t>)</w:t>
      </w:r>
      <w:r>
        <w:rPr>
          <w:color w:val="000000"/>
          <w:spacing w:val="0"/>
          <w:w w:val="100"/>
          <w:position w:val="0"/>
          <w:sz w:val="24"/>
          <w:szCs w:val="24"/>
        </w:rPr>
        <w:t>南京分行分别提供保证</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92"/>
        <w:keepNext w:val="0"/>
        <w:keepLines w:val="0"/>
        <w:widowControl w:val="0"/>
        <w:numPr>
          <w:ilvl w:val="0"/>
          <w:numId w:val="95"/>
        </w:numPr>
        <w:shd w:val="clear" w:color="auto" w:fill="auto"/>
        <w:tabs>
          <w:tab w:pos="717" w:val="left"/>
        </w:tabs>
        <w:bidi w:val="0"/>
        <w:spacing w:before="0" w:line="317" w:lineRule="exact"/>
        <w:ind w:left="700" w:right="0" w:hanging="700"/>
        <w:jc w:val="both"/>
        <w:sectPr>
          <w:footnotePr>
            <w:pos w:val="pageBottom"/>
            <w:numFmt w:val="decimal"/>
            <w:numStart w:val="1"/>
            <w:numRestart w:val="continuous"/>
            <w15:footnoteColumns w:val="1"/>
          </w:footnotePr>
          <w:pgSz w:w="11900" w:h="16840"/>
          <w:pgMar w:top="2410" w:right="1417" w:bottom="2410" w:left="1709" w:header="0" w:footer="3" w:gutter="0"/>
          <w:cols w:space="720"/>
          <w:noEndnote/>
          <w:rtlGutter w:val="0"/>
          <w:docGrid w:linePitch="360"/>
        </w:sectPr>
      </w:pPr>
      <w:bookmarkStart w:id="933" w:name="bookmark933"/>
      <w:bookmarkEnd w:id="933"/>
      <w:r>
        <w:rPr>
          <w:rFonts w:ascii="SimSun" w:eastAsia="SimSun" w:hAnsi="SimSun" w:cs="SimSun"/>
          <w:color w:val="000000"/>
          <w:spacing w:val="0"/>
          <w:w w:val="100"/>
          <w:position w:val="0"/>
          <w:sz w:val="24"/>
          <w:szCs w:val="24"/>
        </w:rPr>
        <w:t>于</w:t>
      </w: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日，短期借款的利率区间为</w:t>
      </w:r>
      <w:r>
        <w:rPr>
          <w:color w:val="000000"/>
          <w:spacing w:val="0"/>
          <w:w w:val="100"/>
          <w:position w:val="0"/>
          <w:sz w:val="24"/>
          <w:szCs w:val="24"/>
        </w:rPr>
        <w:t>1.23%</w:t>
      </w:r>
      <w:r>
        <w:rPr>
          <w:rFonts w:ascii="SimSun" w:eastAsia="SimSun" w:hAnsi="SimSun" w:cs="SimSun"/>
          <w:color w:val="000000"/>
          <w:spacing w:val="0"/>
          <w:w w:val="100"/>
          <w:position w:val="0"/>
          <w:sz w:val="24"/>
          <w:szCs w:val="24"/>
        </w:rPr>
        <w:t>至</w:t>
      </w:r>
      <w:r>
        <w:rPr>
          <w:color w:val="000000"/>
          <w:spacing w:val="0"/>
          <w:w w:val="100"/>
          <w:position w:val="0"/>
          <w:sz w:val="24"/>
          <w:szCs w:val="24"/>
        </w:rPr>
        <w:t>6%(2020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4"/>
          <w:szCs w:val="24"/>
        </w:rPr>
        <w:t>日：</w:t>
      </w:r>
      <w:r>
        <w:rPr>
          <w:color w:val="000000"/>
          <w:spacing w:val="0"/>
          <w:w w:val="100"/>
          <w:position w:val="0"/>
          <w:sz w:val="24"/>
          <w:szCs w:val="24"/>
        </w:rPr>
        <w:t>1.23%</w:t>
      </w:r>
      <w:r>
        <w:rPr>
          <w:rFonts w:ascii="SimSun" w:eastAsia="SimSun" w:hAnsi="SimSun" w:cs="SimSun"/>
          <w:color w:val="000000"/>
          <w:spacing w:val="0"/>
          <w:w w:val="100"/>
          <w:position w:val="0"/>
          <w:sz w:val="24"/>
          <w:szCs w:val="24"/>
        </w:rPr>
        <w:t xml:space="preserve">至 </w:t>
      </w:r>
      <w:r>
        <w:rPr>
          <w:color w:val="000000"/>
          <w:spacing w:val="0"/>
          <w:w w:val="100"/>
          <w:position w:val="0"/>
          <w:sz w:val="24"/>
          <w:szCs w:val="24"/>
        </w:rPr>
        <w:t>5%)</w:t>
      </w:r>
      <w:r>
        <w:rPr>
          <w:rFonts w:ascii="SimSun" w:eastAsia="SimSun" w:hAnsi="SimSun" w:cs="SimSun"/>
          <w:color w:val="000000"/>
          <w:spacing w:val="0"/>
          <w:w w:val="100"/>
          <w:position w:val="0"/>
          <w:sz w:val="24"/>
          <w:szCs w:val="24"/>
        </w:rPr>
        <w:t>。</w:t>
      </w:r>
    </w:p>
    <w:p>
      <w:pPr>
        <w:pStyle w:val="Style72"/>
        <w:keepNext w:val="0"/>
        <w:keepLines w:val="0"/>
        <w:widowControl w:val="0"/>
        <w:shd w:val="clear" w:color="auto" w:fill="auto"/>
        <w:tabs>
          <w:tab w:pos="710" w:val="left"/>
        </w:tabs>
        <w:bidi w:val="0"/>
        <w:spacing w:before="0" w:after="300" w:line="240" w:lineRule="auto"/>
        <w:ind w:left="0" w:right="0" w:firstLine="0"/>
        <w:jc w:val="both"/>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both"/>
      </w:pPr>
      <w:r>
        <w:rPr>
          <w:rFonts w:ascii="Arial" w:eastAsia="Arial" w:hAnsi="Arial" w:cs="Arial"/>
          <w:color w:val="000000"/>
          <w:spacing w:val="0"/>
          <w:w w:val="100"/>
          <w:position w:val="0"/>
          <w:sz w:val="24"/>
          <w:szCs w:val="24"/>
        </w:rPr>
        <w:t>（25）</w:t>
      </w:r>
      <w:r>
        <w:rPr>
          <w:b/>
          <w:bCs/>
          <w:color w:val="000000"/>
          <w:spacing w:val="0"/>
          <w:w w:val="100"/>
          <w:position w:val="0"/>
          <w:sz w:val="24"/>
          <w:szCs w:val="24"/>
        </w:rPr>
        <w:t>应付票据</w:t>
      </w:r>
    </w:p>
    <w:tbl>
      <w:tblPr>
        <w:tblOverlap w:val="never"/>
        <w:jc w:val="right"/>
        <w:tblLayout w:type="fixed"/>
      </w:tblPr>
      <w:tblGrid>
        <w:gridCol w:w="2400"/>
        <w:gridCol w:w="3226"/>
        <w:gridCol w:w="2443"/>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商业承兑汇票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11,915,993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7,749,668</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银行承兑汇票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4,951,511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4"/>
                <w:szCs w:val="24"/>
              </w:rPr>
            </w:pPr>
            <w:r>
              <w:rPr>
                <w:rFonts w:ascii="Arial" w:eastAsia="Arial" w:hAnsi="Arial" w:cs="Arial"/>
                <w:color w:val="000000"/>
                <w:spacing w:val="0"/>
                <w:w w:val="100"/>
                <w:position w:val="0"/>
                <w:sz w:val="24"/>
                <w:szCs w:val="24"/>
              </w:rPr>
              <w:t>13,271,556</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16,867,504</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4"/>
                <w:szCs w:val="24"/>
              </w:rPr>
            </w:pPr>
            <w:r>
              <w:rPr>
                <w:rFonts w:ascii="Arial" w:eastAsia="Arial" w:hAnsi="Arial" w:cs="Arial"/>
                <w:color w:val="000000"/>
                <w:spacing w:val="0"/>
                <w:w w:val="100"/>
                <w:position w:val="0"/>
                <w:sz w:val="24"/>
                <w:szCs w:val="24"/>
              </w:rPr>
              <w:t>21,021,224</w:t>
            </w:r>
          </w:p>
        </w:tc>
      </w:tr>
    </w:tbl>
    <w:p>
      <w:pPr>
        <w:widowControl w:val="0"/>
        <w:spacing w:after="239" w:line="1" w:lineRule="exact"/>
      </w:pPr>
    </w:p>
    <w:p>
      <w:pPr>
        <w:pStyle w:val="Style72"/>
        <w:keepNext w:val="0"/>
        <w:keepLines w:val="0"/>
        <w:widowControl w:val="0"/>
        <w:shd w:val="clear" w:color="auto" w:fill="auto"/>
        <w:bidi w:val="0"/>
        <w:spacing w:before="0" w:after="300" w:line="322"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日，本集团开立的银行承兑汇票以存于银行的汇票保证 金约人民币</w:t>
      </w:r>
      <w:r>
        <w:rPr>
          <w:rFonts w:ascii="Arial" w:eastAsia="Arial" w:hAnsi="Arial" w:cs="Arial"/>
          <w:color w:val="000000"/>
          <w:spacing w:val="0"/>
          <w:w w:val="100"/>
          <w:position w:val="0"/>
          <w:sz w:val="24"/>
          <w:szCs w:val="24"/>
        </w:rPr>
        <w:t>34.77</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日：共计约人民币</w:t>
      </w:r>
      <w:r>
        <w:rPr>
          <w:rFonts w:ascii="Arial" w:eastAsia="Arial" w:hAnsi="Arial" w:cs="Arial"/>
          <w:color w:val="000000"/>
          <w:spacing w:val="0"/>
          <w:w w:val="100"/>
          <w:position w:val="0"/>
          <w:sz w:val="24"/>
          <w:szCs w:val="24"/>
        </w:rPr>
        <w:t>43.65</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附注 四</w:t>
      </w:r>
      <w:r>
        <w:rPr>
          <w:rFonts w:ascii="Arial" w:eastAsia="Arial" w:hAnsi="Arial" w:cs="Arial"/>
          <w:color w:val="000000"/>
          <w:spacing w:val="0"/>
          <w:w w:val="100"/>
          <w:position w:val="0"/>
          <w:sz w:val="24"/>
          <w:szCs w:val="24"/>
        </w:rPr>
        <w:t>（1））</w:t>
      </w:r>
      <w:r>
        <w:rPr>
          <w:color w:val="000000"/>
          <w:spacing w:val="0"/>
          <w:w w:val="100"/>
          <w:position w:val="0"/>
          <w:sz w:val="24"/>
          <w:szCs w:val="24"/>
        </w:rPr>
        <w:t>作为质押保证。</w:t>
      </w:r>
    </w:p>
    <w:p>
      <w:pPr>
        <w:pStyle w:val="Style2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（26）</w:t>
      </w:r>
      <w:r>
        <w:rPr>
          <w:b/>
          <w:bCs/>
          <w:color w:val="000000"/>
          <w:spacing w:val="0"/>
          <w:w w:val="100"/>
          <w:position w:val="0"/>
          <w:sz w:val="24"/>
          <w:szCs w:val="24"/>
        </w:rPr>
        <w:t>应付账款</w:t>
      </w:r>
    </w:p>
    <w:tbl>
      <w:tblPr>
        <w:tblOverlap w:val="never"/>
        <w:jc w:val="center"/>
        <w:tblLayout w:type="fixed"/>
      </w:tblPr>
      <w:tblGrid>
        <w:gridCol w:w="2280"/>
        <w:gridCol w:w="3346"/>
        <w:gridCol w:w="2443"/>
      </w:tblGrid>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应付货款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20,075,826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4"/>
                <w:szCs w:val="24"/>
              </w:rPr>
            </w:pPr>
            <w:r>
              <w:rPr>
                <w:rFonts w:ascii="Arial" w:eastAsia="Arial" w:hAnsi="Arial" w:cs="Arial"/>
                <w:color w:val="000000"/>
                <w:spacing w:val="0"/>
                <w:w w:val="100"/>
                <w:position w:val="0"/>
                <w:sz w:val="24"/>
                <w:szCs w:val="24"/>
              </w:rPr>
              <w:t>31,051,572</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国内信用证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60,000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20,135,826</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4"/>
                <w:szCs w:val="24"/>
              </w:rPr>
            </w:pPr>
            <w:r>
              <w:rPr>
                <w:rFonts w:ascii="Arial" w:eastAsia="Arial" w:hAnsi="Arial" w:cs="Arial"/>
                <w:color w:val="000000"/>
                <w:spacing w:val="0"/>
                <w:w w:val="100"/>
                <w:position w:val="0"/>
                <w:sz w:val="24"/>
                <w:szCs w:val="24"/>
              </w:rPr>
              <w:t>31,051,572</w:t>
            </w:r>
          </w:p>
        </w:tc>
      </w:tr>
    </w:tbl>
    <w:p>
      <w:pPr>
        <w:widowControl w:val="0"/>
        <w:spacing w:after="239" w:line="1" w:lineRule="exact"/>
      </w:pPr>
    </w:p>
    <w:p>
      <w:pPr>
        <w:pStyle w:val="Style72"/>
        <w:keepNext w:val="0"/>
        <w:keepLines w:val="0"/>
        <w:widowControl w:val="0"/>
        <w:shd w:val="clear" w:color="auto" w:fill="auto"/>
        <w:tabs>
          <w:tab w:pos="710" w:val="left"/>
        </w:tabs>
        <w:bidi w:val="0"/>
        <w:spacing w:before="0" w:after="0" w:line="322" w:lineRule="exact"/>
        <w:ind w:left="0" w:right="0" w:firstLine="0"/>
        <w:jc w:val="both"/>
      </w:pPr>
      <w:r>
        <w:rPr>
          <w:color w:val="000000"/>
          <w:spacing w:val="0"/>
          <w:w w:val="100"/>
          <w:position w:val="0"/>
          <w:sz w:val="24"/>
          <w:szCs w:val="24"/>
        </w:rPr>
        <w:t>⑴</w:t>
        <w:tab/>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日，账龄超过一年的应付账款约人民币</w:t>
      </w:r>
      <w:r>
        <w:rPr>
          <w:rFonts w:ascii="Arial" w:eastAsia="Arial" w:hAnsi="Arial" w:cs="Arial"/>
          <w:color w:val="000000"/>
          <w:spacing w:val="0"/>
          <w:w w:val="100"/>
          <w:position w:val="0"/>
          <w:sz w:val="24"/>
          <w:szCs w:val="24"/>
        </w:rPr>
        <w:t>16.72</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p>
    <w:p>
      <w:pPr>
        <w:pStyle w:val="Style72"/>
        <w:keepNext w:val="0"/>
        <w:keepLines w:val="0"/>
        <w:widowControl w:val="0"/>
        <w:shd w:val="clear" w:color="auto" w:fill="auto"/>
        <w:bidi w:val="0"/>
        <w:spacing w:before="0" w:after="300" w:line="322" w:lineRule="exact"/>
        <w:ind w:left="700" w:right="0" w:firstLine="20"/>
        <w:jc w:val="both"/>
      </w:pP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6.77</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，主要为以前年度尚未支付的供应商货 款，供应商未及时与本集团进行结算。</w:t>
      </w:r>
    </w:p>
    <w:p>
      <w:pPr>
        <w:pStyle w:val="Style72"/>
        <w:keepNext w:val="0"/>
        <w:keepLines w:val="0"/>
        <w:widowControl w:val="0"/>
        <w:shd w:val="clear" w:color="auto" w:fill="auto"/>
        <w:bidi w:val="0"/>
        <w:spacing w:before="0" w:after="300" w:line="307" w:lineRule="exact"/>
        <w:ind w:left="700" w:right="0" w:firstLine="20"/>
        <w:jc w:val="both"/>
        <w:sectPr>
          <w:footnotePr>
            <w:pos w:val="pageBottom"/>
            <w:numFmt w:val="decimal"/>
            <w:numStart w:val="1"/>
            <w:numRestart w:val="continuous"/>
            <w15:footnoteColumns w:val="1"/>
          </w:footnotePr>
          <w:pgSz w:w="11900" w:h="16840"/>
          <w:pgMar w:top="2410" w:right="1407" w:bottom="2410" w:left="1709" w:header="0" w:footer="3" w:gutter="0"/>
          <w:cols w:space="720"/>
          <w:noEndnote/>
          <w:rtlGutter w:val="0"/>
          <w:docGrid w:linePitch="360"/>
        </w:sectPr>
      </w:pPr>
      <w:r>
        <w:rPr>
          <w:color w:val="000000"/>
          <w:spacing w:val="0"/>
          <w:w w:val="100"/>
          <w:position w:val="0"/>
          <w:sz w:val="24"/>
          <w:szCs w:val="24"/>
        </w:rPr>
        <w:t>本集团开立的国内信用证以存于银行的信用证保证金约人民币</w:t>
      </w:r>
      <w:r>
        <w:rPr>
          <w:rFonts w:ascii="Arial" w:eastAsia="Arial" w:hAnsi="Arial" w:cs="Arial"/>
          <w:color w:val="000000"/>
          <w:spacing w:val="0"/>
          <w:w w:val="100"/>
          <w:position w:val="0"/>
          <w:sz w:val="24"/>
          <w:szCs w:val="24"/>
        </w:rPr>
        <w:t>6,000</w:t>
      </w:r>
      <w:r>
        <w:rPr>
          <w:color w:val="000000"/>
          <w:spacing w:val="0"/>
          <w:w w:val="100"/>
          <w:position w:val="0"/>
          <w:sz w:val="24"/>
          <w:szCs w:val="24"/>
        </w:rPr>
        <w:t xml:space="preserve">万元 </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日：无</w:t>
      </w:r>
      <w:r>
        <w:rPr>
          <w:rFonts w:ascii="Arial" w:eastAsia="Arial" w:hAnsi="Arial" w:cs="Arial"/>
          <w:color w:val="000000"/>
          <w:spacing w:val="0"/>
          <w:w w:val="100"/>
          <w:position w:val="0"/>
          <w:sz w:val="24"/>
          <w:szCs w:val="24"/>
        </w:rPr>
        <w:t>）</w:t>
      </w:r>
      <w:r>
        <w:rPr>
          <w:color w:val="000000"/>
          <w:spacing w:val="0"/>
          <w:w w:val="100"/>
          <w:position w:val="0"/>
          <w:sz w:val="24"/>
          <w:szCs w:val="24"/>
        </w:rPr>
        <w:t>作为质押保证</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（1））</w:t>
      </w:r>
      <w:r>
        <w:rPr>
          <w:color w:val="000000"/>
          <w:spacing w:val="0"/>
          <w:w w:val="100"/>
          <w:position w:val="0"/>
          <w:sz w:val="24"/>
          <w:szCs w:val="24"/>
        </w:rPr>
        <w:t>。</w:t>
      </w:r>
    </w:p>
    <w:p>
      <w:pPr>
        <w:pStyle w:val="Style72"/>
        <w:keepNext w:val="0"/>
        <w:keepLines w:val="0"/>
        <w:widowControl w:val="0"/>
        <w:shd w:val="clear" w:color="auto" w:fill="auto"/>
        <w:tabs>
          <w:tab w:pos="708" w:val="left"/>
        </w:tabs>
        <w:bidi w:val="0"/>
        <w:spacing w:before="24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（27）</w:t>
      </w:r>
      <w:r>
        <w:rPr>
          <w:b/>
          <w:bCs/>
          <w:color w:val="000000"/>
          <w:spacing w:val="0"/>
          <w:w w:val="100"/>
          <w:position w:val="0"/>
          <w:sz w:val="24"/>
          <w:szCs w:val="24"/>
        </w:rPr>
        <w:t>预收款项</w:t>
      </w:r>
    </w:p>
    <w:p>
      <w:pPr>
        <w:pStyle w:val="Style92"/>
        <w:keepNext w:val="0"/>
        <w:keepLines w:val="0"/>
        <w:widowControl w:val="0"/>
        <w:shd w:val="clear" w:color="auto" w:fill="auto"/>
        <w:bidi w:val="0"/>
        <w:spacing w:before="0" w:after="300" w:line="240" w:lineRule="auto"/>
        <w:ind w:left="0" w:right="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92"/>
        <w:keepNext w:val="0"/>
        <w:keepLines w:val="0"/>
        <w:widowControl w:val="0"/>
        <w:shd w:val="clear" w:color="auto" w:fill="auto"/>
        <w:tabs>
          <w:tab w:pos="3240" w:val="left"/>
          <w:tab w:pos="5731" w:val="left"/>
        </w:tabs>
        <w:bidi w:val="0"/>
        <w:spacing w:before="0" w:after="300" w:line="240" w:lineRule="auto"/>
        <w:ind w:left="0" w:right="0" w:firstLine="720"/>
        <w:jc w:val="both"/>
      </w:pPr>
      <w:r>
        <w:rPr>
          <w:rFonts w:ascii="SimSun" w:eastAsia="SimSun" w:hAnsi="SimSun" w:cs="SimSun"/>
          <w:color w:val="000000"/>
          <w:spacing w:val="0"/>
          <w:w w:val="100"/>
          <w:position w:val="0"/>
          <w:sz w:val="24"/>
          <w:szCs w:val="24"/>
        </w:rPr>
        <w:t>预收房租</w:t>
        <w:tab/>
      </w:r>
      <w:r>
        <w:rPr>
          <w:color w:val="000000"/>
          <w:spacing w:val="0"/>
          <w:w w:val="100"/>
          <w:position w:val="0"/>
          <w:sz w:val="24"/>
          <w:szCs w:val="24"/>
          <w:u w:val="single"/>
        </w:rPr>
        <w:t>488,121</w:t>
      </w:r>
      <w:r>
        <w:rPr>
          <w:color w:val="000000"/>
          <w:spacing w:val="0"/>
          <w:w w:val="100"/>
          <w:position w:val="0"/>
          <w:sz w:val="24"/>
          <w:szCs w:val="24"/>
        </w:rPr>
        <w:tab/>
      </w:r>
      <w:r>
        <w:rPr>
          <w:color w:val="000000"/>
          <w:spacing w:val="0"/>
          <w:w w:val="100"/>
          <w:position w:val="0"/>
          <w:sz w:val="24"/>
          <w:szCs w:val="24"/>
          <w:u w:val="single"/>
        </w:rPr>
        <w:t xml:space="preserve">286,609 </w:t>
      </w:r>
      <w:r>
        <w:rPr>
          <w:rStyle w:val="CharStyle73"/>
          <w:rFonts w:ascii="Arial" w:eastAsia="Arial" w:hAnsi="Arial" w:cs="Arial"/>
        </w:rPr>
        <w:t>(28)</w:t>
      </w:r>
      <w:r>
        <w:rPr>
          <w:rStyle w:val="CharStyle73"/>
          <w:b/>
          <w:bCs/>
        </w:rPr>
        <w:t>合同负债</w:t>
      </w:r>
    </w:p>
    <w:p>
      <w:pPr>
        <w:pStyle w:val="Style92"/>
        <w:keepNext w:val="0"/>
        <w:keepLines w:val="0"/>
        <w:widowControl w:val="0"/>
        <w:shd w:val="clear" w:color="auto" w:fill="auto"/>
        <w:bidi w:val="0"/>
        <w:spacing w:before="0" w:after="300" w:line="240" w:lineRule="auto"/>
        <w:ind w:left="0" w:right="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92"/>
        <w:keepNext w:val="0"/>
        <w:keepLines w:val="0"/>
        <w:widowControl w:val="0"/>
        <w:shd w:val="clear" w:color="auto" w:fill="auto"/>
        <w:tabs>
          <w:tab w:pos="5030" w:val="left"/>
          <w:tab w:pos="7502" w:val="lef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预收货款</w:t>
        <w:tab/>
      </w:r>
      <w:r>
        <w:rPr>
          <w:color w:val="000000"/>
          <w:spacing w:val="0"/>
          <w:w w:val="100"/>
          <w:position w:val="0"/>
          <w:sz w:val="24"/>
          <w:szCs w:val="24"/>
        </w:rPr>
        <w:t>5,928,482</w:t>
        <w:tab/>
        <w:t>6,685,967</w:t>
      </w:r>
    </w:p>
    <w:p>
      <w:pPr>
        <w:pStyle w:val="Style92"/>
        <w:keepNext w:val="0"/>
        <w:keepLines w:val="0"/>
        <w:widowControl w:val="0"/>
        <w:shd w:val="clear" w:color="auto" w:fill="auto"/>
        <w:tabs>
          <w:tab w:pos="5030" w:val="left"/>
          <w:tab w:pos="7502" w:val="lef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储值卡</w:t>
        <w:tab/>
      </w:r>
      <w:r>
        <w:rPr>
          <w:color w:val="000000"/>
          <w:spacing w:val="0"/>
          <w:w w:val="100"/>
          <w:position w:val="0"/>
          <w:sz w:val="24"/>
          <w:szCs w:val="24"/>
        </w:rPr>
        <w:t>3,713,184</w:t>
        <w:tab/>
        <w:t>4,215,741</w:t>
      </w:r>
    </w:p>
    <w:p>
      <w:pPr>
        <w:pStyle w:val="Style92"/>
        <w:keepNext w:val="0"/>
        <w:keepLines w:val="0"/>
        <w:widowControl w:val="0"/>
        <w:shd w:val="clear" w:color="auto" w:fill="auto"/>
        <w:tabs>
          <w:tab w:pos="6138" w:val="right"/>
          <w:tab w:pos="8587" w:val="righ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延保收入</w:t>
        <w:tab/>
      </w:r>
      <w:r>
        <w:rPr>
          <w:color w:val="000000"/>
          <w:spacing w:val="0"/>
          <w:w w:val="100"/>
          <w:position w:val="0"/>
          <w:sz w:val="24"/>
          <w:szCs w:val="24"/>
        </w:rPr>
        <w:t>321,274</w:t>
        <w:tab/>
        <w:t>460,074</w:t>
      </w:r>
    </w:p>
    <w:p>
      <w:pPr>
        <w:pStyle w:val="Style92"/>
        <w:keepNext w:val="0"/>
        <w:keepLines w:val="0"/>
        <w:widowControl w:val="0"/>
        <w:shd w:val="clear" w:color="auto" w:fill="auto"/>
        <w:tabs>
          <w:tab w:pos="6138" w:val="right"/>
          <w:tab w:pos="8587" w:val="righ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未使用的奖励积分</w:t>
        <w:tab/>
      </w:r>
      <w:r>
        <w:rPr>
          <w:color w:val="000000"/>
          <w:spacing w:val="0"/>
          <w:w w:val="100"/>
          <w:position w:val="0"/>
          <w:sz w:val="24"/>
          <w:szCs w:val="24"/>
        </w:rPr>
        <w:t>85,888</w:t>
        <w:tab/>
        <w:t>143,357</w:t>
      </w:r>
    </w:p>
    <w:p>
      <w:pPr>
        <w:pStyle w:val="Style92"/>
        <w:keepNext w:val="0"/>
        <w:keepLines w:val="0"/>
        <w:widowControl w:val="0"/>
        <w:shd w:val="clear" w:color="auto" w:fill="auto"/>
        <w:tabs>
          <w:tab w:pos="6138" w:val="right"/>
          <w:tab w:pos="8587" w:val="righ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其他</w:t>
        <w:tab/>
      </w:r>
      <w:r>
        <w:rPr>
          <w:color w:val="000000"/>
          <w:spacing w:val="0"/>
          <w:w w:val="100"/>
          <w:position w:val="0"/>
          <w:sz w:val="24"/>
          <w:szCs w:val="24"/>
          <w:u w:val="single"/>
        </w:rPr>
        <w:t>9,428</w:t>
      </w:r>
      <w:r>
        <w:rPr>
          <w:color w:val="000000"/>
          <w:spacing w:val="0"/>
          <w:w w:val="100"/>
          <w:position w:val="0"/>
          <w:sz w:val="24"/>
          <w:szCs w:val="24"/>
        </w:rPr>
        <w:tab/>
      </w:r>
      <w:r>
        <w:rPr>
          <w:color w:val="000000"/>
          <w:spacing w:val="0"/>
          <w:w w:val="100"/>
          <w:position w:val="0"/>
          <w:sz w:val="24"/>
          <w:szCs w:val="24"/>
          <w:u w:val="single"/>
        </w:rPr>
        <w:t>12,995</w:t>
      </w:r>
    </w:p>
    <w:p>
      <w:pPr>
        <w:pStyle w:val="Style92"/>
        <w:keepNext w:val="0"/>
        <w:keepLines w:val="0"/>
        <w:widowControl w:val="0"/>
        <w:shd w:val="clear" w:color="auto" w:fill="auto"/>
        <w:tabs>
          <w:tab w:pos="2491" w:val="left"/>
        </w:tabs>
        <w:bidi w:val="0"/>
        <w:spacing w:before="0" w:after="300" w:line="240" w:lineRule="auto"/>
        <w:ind w:left="0" w:right="0" w:firstLine="0"/>
        <w:jc w:val="right"/>
      </w:pPr>
      <w:r>
        <w:rPr>
          <w:color w:val="000000"/>
          <w:spacing w:val="0"/>
          <w:w w:val="100"/>
          <w:position w:val="0"/>
          <w:sz w:val="24"/>
          <w:szCs w:val="24"/>
        </w:rPr>
        <w:t>10,058,256</w:t>
        <w:tab/>
        <w:t>11,518,134</w:t>
      </w:r>
    </w:p>
    <w:p>
      <w:pPr>
        <w:pStyle w:val="Style72"/>
        <w:keepNext w:val="0"/>
        <w:keepLines w:val="0"/>
        <w:widowControl w:val="0"/>
        <w:shd w:val="clear" w:color="auto" w:fill="auto"/>
        <w:tabs>
          <w:tab w:pos="708" w:val="left"/>
        </w:tabs>
        <w:bidi w:val="0"/>
        <w:spacing w:before="0" w:after="0" w:line="310" w:lineRule="exact"/>
        <w:ind w:left="0" w:right="0" w:firstLine="0"/>
        <w:jc w:val="both"/>
      </w:pPr>
      <w:r>
        <w:rPr>
          <w:color w:val="000000"/>
          <w:spacing w:val="0"/>
          <w:w w:val="100"/>
          <w:position w:val="0"/>
          <w:sz w:val="24"/>
          <w:szCs w:val="24"/>
        </w:rPr>
        <w:t>⑴</w:t>
        <w:tab/>
        <w:t>包括在</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日账面价值中的约人民币</w:t>
      </w:r>
      <w:r>
        <w:rPr>
          <w:rFonts w:ascii="Arial" w:eastAsia="Arial" w:hAnsi="Arial" w:cs="Arial"/>
          <w:color w:val="000000"/>
          <w:spacing w:val="0"/>
          <w:w w:val="100"/>
          <w:position w:val="0"/>
          <w:sz w:val="24"/>
          <w:szCs w:val="24"/>
        </w:rPr>
        <w:t>89.84</w:t>
      </w:r>
      <w:r>
        <w:rPr>
          <w:color w:val="000000"/>
          <w:spacing w:val="0"/>
          <w:w w:val="100"/>
          <w:position w:val="0"/>
          <w:sz w:val="24"/>
          <w:szCs w:val="24"/>
        </w:rPr>
        <w:t>亿元合同负债已于</w:t>
      </w:r>
    </w:p>
    <w:p>
      <w:pPr>
        <w:pStyle w:val="Style72"/>
        <w:keepNext w:val="0"/>
        <w:keepLines w:val="0"/>
        <w:widowControl w:val="0"/>
        <w:shd w:val="clear" w:color="auto" w:fill="auto"/>
        <w:bidi w:val="0"/>
        <w:spacing w:before="0" w:after="300" w:line="310" w:lineRule="exact"/>
        <w:ind w:right="0" w:firstLine="0"/>
        <w:jc w:val="both"/>
      </w:pPr>
      <w:r>
        <w:rPr>
          <w:rFonts w:ascii="Arial" w:eastAsia="Arial" w:hAnsi="Arial" w:cs="Arial"/>
          <w:color w:val="000000"/>
          <w:spacing w:val="0"/>
          <w:w w:val="100"/>
          <w:position w:val="0"/>
          <w:sz w:val="24"/>
          <w:szCs w:val="24"/>
        </w:rPr>
        <w:t>2021</w:t>
      </w:r>
      <w:r>
        <w:rPr>
          <w:color w:val="000000"/>
          <w:spacing w:val="0"/>
          <w:w w:val="100"/>
          <w:position w:val="0"/>
          <w:sz w:val="24"/>
          <w:szCs w:val="24"/>
        </w:rPr>
        <w:t>年度转化为营业收入，包括预收货款收入约人民币</w:t>
      </w:r>
      <w:r>
        <w:rPr>
          <w:rFonts w:ascii="Arial" w:eastAsia="Arial" w:hAnsi="Arial" w:cs="Arial"/>
          <w:color w:val="000000"/>
          <w:spacing w:val="0"/>
          <w:w w:val="100"/>
          <w:position w:val="0"/>
          <w:sz w:val="24"/>
          <w:szCs w:val="24"/>
        </w:rPr>
        <w:t>63.34</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 度：约人民币</w:t>
      </w:r>
      <w:r>
        <w:rPr>
          <w:rFonts w:ascii="Arial" w:eastAsia="Arial" w:hAnsi="Arial" w:cs="Arial"/>
          <w:color w:val="000000"/>
          <w:spacing w:val="0"/>
          <w:w w:val="100"/>
          <w:position w:val="0"/>
          <w:sz w:val="24"/>
          <w:szCs w:val="24"/>
        </w:rPr>
        <w:t>23.3</w:t>
      </w:r>
      <w:r>
        <w:rPr>
          <w:rFonts w:ascii="Arial" w:eastAsia="Arial" w:hAnsi="Arial" w:cs="Arial"/>
          <w:color w:val="000000"/>
          <w:spacing w:val="0"/>
          <w:w w:val="100"/>
          <w:position w:val="0"/>
          <w:sz w:val="24"/>
          <w:szCs w:val="24"/>
        </w:rPr>
        <w:t>1</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、储值卡收入约人民币</w:t>
      </w:r>
      <w:r>
        <w:rPr>
          <w:rFonts w:ascii="Arial" w:eastAsia="Arial" w:hAnsi="Arial" w:cs="Arial"/>
          <w:color w:val="000000"/>
          <w:spacing w:val="0"/>
          <w:w w:val="100"/>
          <w:position w:val="0"/>
          <w:sz w:val="24"/>
          <w:szCs w:val="24"/>
        </w:rPr>
        <w:t>20.47</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年度：约 人民币</w:t>
      </w:r>
      <w:r>
        <w:rPr>
          <w:rFonts w:ascii="Arial" w:eastAsia="Arial" w:hAnsi="Arial" w:cs="Arial"/>
          <w:color w:val="000000"/>
          <w:spacing w:val="0"/>
          <w:w w:val="100"/>
          <w:position w:val="0"/>
          <w:sz w:val="24"/>
          <w:szCs w:val="24"/>
        </w:rPr>
        <w:t>24.81</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、延保收入约人民币</w:t>
      </w:r>
      <w:r>
        <w:rPr>
          <w:rFonts w:ascii="Arial" w:eastAsia="Arial" w:hAnsi="Arial" w:cs="Arial"/>
          <w:color w:val="000000"/>
          <w:spacing w:val="0"/>
          <w:w w:val="100"/>
          <w:position w:val="0"/>
          <w:sz w:val="24"/>
          <w:szCs w:val="24"/>
        </w:rPr>
        <w:t>4.60</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年度：约人民币</w:t>
      </w:r>
      <w:r>
        <w:rPr>
          <w:rFonts w:ascii="Arial" w:eastAsia="Arial" w:hAnsi="Arial" w:cs="Arial"/>
          <w:color w:val="000000"/>
          <w:spacing w:val="0"/>
          <w:w w:val="100"/>
          <w:position w:val="0"/>
          <w:sz w:val="24"/>
          <w:szCs w:val="24"/>
        </w:rPr>
        <w:t xml:space="preserve">2.82 </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，积分收入约人民币</w:t>
      </w:r>
      <w:r>
        <w:rPr>
          <w:rFonts w:ascii="Arial" w:eastAsia="Arial" w:hAnsi="Arial" w:cs="Arial"/>
          <w:color w:val="000000"/>
          <w:spacing w:val="0"/>
          <w:w w:val="100"/>
          <w:position w:val="0"/>
          <w:sz w:val="24"/>
          <w:szCs w:val="24"/>
        </w:rPr>
        <w:t>1.43</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年度：约人民币</w:t>
      </w:r>
      <w:r>
        <w:rPr>
          <w:rFonts w:ascii="Arial" w:eastAsia="Arial" w:hAnsi="Arial" w:cs="Arial"/>
          <w:color w:val="000000"/>
          <w:spacing w:val="0"/>
          <w:w w:val="100"/>
          <w:position w:val="0"/>
          <w:sz w:val="24"/>
          <w:szCs w:val="24"/>
        </w:rPr>
        <w:t>2.89</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r>
        <w:br w:type="page"/>
      </w:r>
    </w:p>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260" w:line="240" w:lineRule="auto"/>
        <w:ind w:left="0" w:right="0" w:firstLine="72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tbl>
      <w:tblPr>
        <w:tblOverlap w:val="never"/>
        <w:jc w:val="center"/>
        <w:tblLayout w:type="fixed"/>
      </w:tblPr>
      <w:tblGrid>
        <w:gridCol w:w="734"/>
        <w:gridCol w:w="8026"/>
      </w:tblGrid>
      <w:tr>
        <w:trPr>
          <w:trHeight w:val="44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四</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bCs/>
                <w:color w:val="000000"/>
                <w:spacing w:val="0"/>
                <w:w w:val="100"/>
                <w:position w:val="0"/>
                <w:sz w:val="24"/>
                <w:szCs w:val="24"/>
              </w:rPr>
              <w:t>合并财务报表项目附注</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r>
      <w:tr>
        <w:trPr>
          <w:trHeight w:val="58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应付职工薪酬</w:t>
            </w:r>
          </w:p>
        </w:tc>
      </w:tr>
      <w:tr>
        <w:trPr>
          <w:trHeight w:val="58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tabs>
                <w:tab w:pos="5811" w:val="left"/>
              </w:tabs>
              <w:bidi w:val="0"/>
              <w:spacing w:before="0" w:after="0" w:line="240" w:lineRule="auto"/>
              <w:ind w:left="332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4531" w:val="left"/>
                <w:tab w:pos="7003" w:val="left"/>
              </w:tabs>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应付短期薪酬</w:t>
            </w:r>
            <w:r>
              <w:rPr>
                <w:rFonts w:ascii="Arial" w:eastAsia="Arial" w:hAnsi="Arial" w:cs="Arial"/>
                <w:color w:val="000000"/>
                <w:spacing w:val="0"/>
                <w:w w:val="100"/>
                <w:position w:val="0"/>
                <w:sz w:val="24"/>
                <w:szCs w:val="24"/>
              </w:rPr>
              <w:t>(a)</w:t>
              <w:tab/>
            </w:r>
            <w:r>
              <w:rPr>
                <w:rFonts w:ascii="Arial" w:eastAsia="Arial" w:hAnsi="Arial" w:cs="Arial"/>
                <w:color w:val="000000"/>
                <w:spacing w:val="0"/>
                <w:w w:val="100"/>
                <w:position w:val="0"/>
                <w:sz w:val="24"/>
                <w:szCs w:val="24"/>
              </w:rPr>
              <w:t>656,343</w:t>
              <w:tab/>
              <w:t>899,864</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tabs>
                <w:tab w:pos="4666" w:val="left"/>
                <w:tab w:pos="7138" w:val="left"/>
              </w:tabs>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应付设定提存计划</w:t>
            </w:r>
            <w:r>
              <w:rPr>
                <w:rFonts w:ascii="Arial" w:eastAsia="Arial" w:hAnsi="Arial" w:cs="Arial"/>
                <w:color w:val="000000"/>
                <w:spacing w:val="0"/>
                <w:w w:val="100"/>
                <w:position w:val="0"/>
                <w:sz w:val="24"/>
                <w:szCs w:val="24"/>
              </w:rPr>
              <w:t>（b）</w:t>
              <w:tab/>
            </w:r>
            <w:r>
              <w:rPr>
                <w:rFonts w:ascii="Arial" w:eastAsia="Arial" w:hAnsi="Arial" w:cs="Arial"/>
                <w:color w:val="000000"/>
                <w:spacing w:val="0"/>
                <w:w w:val="100"/>
                <w:position w:val="0"/>
                <w:sz w:val="24"/>
                <w:szCs w:val="24"/>
              </w:rPr>
              <w:t>40,282</w:t>
              <w:tab/>
              <w:t>35,596</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4550" w:val="left"/>
                <w:tab w:pos="7267" w:val="left"/>
              </w:tabs>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应付辞退福利</w:t>
            </w:r>
            <w:r>
              <w:rPr>
                <w:rFonts w:ascii="Arial" w:eastAsia="Arial" w:hAnsi="Arial" w:cs="Arial"/>
                <w:color w:val="000000"/>
                <w:spacing w:val="0"/>
                <w:w w:val="100"/>
                <w:position w:val="0"/>
                <w:sz w:val="24"/>
                <w:szCs w:val="24"/>
              </w:rPr>
              <w:t>(c)</w:t>
              <w:tab/>
            </w:r>
            <w:r>
              <w:rPr>
                <w:rFonts w:ascii="Arial" w:eastAsia="Arial" w:hAnsi="Arial" w:cs="Arial"/>
                <w:color w:val="000000"/>
                <w:spacing w:val="0"/>
                <w:w w:val="100"/>
                <w:position w:val="0"/>
                <w:sz w:val="24"/>
                <w:szCs w:val="24"/>
              </w:rPr>
              <w:t>175,283</w:t>
              <w:tab/>
              <w:t>6,588</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tabs>
                <w:tab w:pos="2462" w:val="left"/>
              </w:tabs>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871,908</w:t>
              <w:tab/>
              <w:t>942,048</w:t>
            </w:r>
          </w:p>
        </w:tc>
      </w:tr>
      <w:tr>
        <w:trPr>
          <w:trHeight w:val="59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(a)</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40"/>
                <w:szCs w:val="40"/>
              </w:rPr>
            </w:pPr>
            <w:r>
              <w:rPr>
                <w:rFonts w:ascii="SimSun" w:eastAsia="SimSun" w:hAnsi="SimSun" w:cs="SimSun"/>
                <w:color w:val="000000"/>
                <w:spacing w:val="0"/>
                <w:w w:val="100"/>
                <w:position w:val="0"/>
                <w:sz w:val="40"/>
                <w:szCs w:val="40"/>
                <w:vertAlign w:val="subscript"/>
              </w:rPr>
              <w:t>短期薪酬</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tabs>
                <w:tab w:pos="4241" w:val="left"/>
                <w:tab w:pos="5518" w:val="left"/>
                <w:tab w:pos="6554" w:val="left"/>
              </w:tabs>
              <w:bidi w:val="0"/>
              <w:spacing w:before="0" w:after="0" w:line="240" w:lineRule="auto"/>
              <w:ind w:left="222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tab/>
              <w:t>本年增加</w:t>
              <w:tab/>
              <w:t>本年减少</w:t>
              <w:tab/>
            </w: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024" w:val="left"/>
                <w:tab w:pos="4162" w:val="left"/>
                <w:tab w:pos="5280" w:val="left"/>
                <w:tab w:pos="7315"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工资、奖金、津贴和补贴</w:t>
              <w:tab/>
            </w:r>
            <w:r>
              <w:rPr>
                <w:rFonts w:ascii="Arial" w:eastAsia="Arial" w:hAnsi="Arial" w:cs="Arial"/>
                <w:color w:val="000000"/>
                <w:spacing w:val="0"/>
                <w:w w:val="100"/>
                <w:position w:val="0"/>
                <w:sz w:val="16"/>
                <w:szCs w:val="16"/>
              </w:rPr>
              <w:t>829,152</w:t>
              <w:tab/>
              <w:t>7,205,276</w:t>
              <w:tab/>
              <w:t>(7,444,813)</w:t>
              <w:tab/>
              <w:t>589,615</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tabs>
                <w:tab w:pos="3091" w:val="left"/>
                <w:tab w:pos="4306" w:val="left"/>
                <w:tab w:pos="5424" w:val="left"/>
                <w:tab w:pos="7411"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职工福利费</w:t>
              <w:tab/>
            </w:r>
            <w:r>
              <w:rPr>
                <w:rFonts w:ascii="Arial" w:eastAsia="Arial" w:hAnsi="Arial" w:cs="Arial"/>
                <w:color w:val="000000"/>
                <w:spacing w:val="0"/>
                <w:w w:val="100"/>
                <w:position w:val="0"/>
                <w:sz w:val="16"/>
                <w:szCs w:val="16"/>
              </w:rPr>
              <w:t>21,080</w:t>
              <w:tab/>
              <w:t>103,850</w:t>
              <w:tab/>
              <w:t>(114,062)</w:t>
              <w:tab/>
              <w:t>10,868</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110" w:val="left"/>
                <w:tab w:pos="4296" w:val="left"/>
                <w:tab w:pos="5414" w:val="left"/>
                <w:tab w:pos="7411"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社会保险费</w:t>
              <w:tab/>
            </w:r>
            <w:r>
              <w:rPr>
                <w:rFonts w:ascii="Arial" w:eastAsia="Arial" w:hAnsi="Arial" w:cs="Arial"/>
                <w:color w:val="000000"/>
                <w:spacing w:val="0"/>
                <w:w w:val="100"/>
                <w:position w:val="0"/>
                <w:sz w:val="16"/>
                <w:szCs w:val="16"/>
              </w:rPr>
              <w:t>12,875</w:t>
              <w:tab/>
              <w:t>245,801</w:t>
              <w:tab/>
              <w:t>(244,106)</w:t>
              <w:tab/>
              <w:t>14,570</w:t>
            </w:r>
          </w:p>
        </w:tc>
      </w:tr>
      <w:tr>
        <w:trPr>
          <w:trHeight w:val="298" w:hRule="exact"/>
        </w:trPr>
        <w:tc>
          <w:tcPr>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3125" w:val="left"/>
                <w:tab w:pos="4286" w:val="left"/>
                <w:tab w:pos="5414" w:val="left"/>
                <w:tab w:pos="7402"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其中：医疗保险费</w:t>
              <w:tab/>
            </w:r>
            <w:r>
              <w:rPr>
                <w:rFonts w:ascii="Arial" w:eastAsia="Arial" w:hAnsi="Arial" w:cs="Arial"/>
                <w:color w:val="000000"/>
                <w:spacing w:val="0"/>
                <w:w w:val="100"/>
                <w:position w:val="0"/>
                <w:sz w:val="16"/>
                <w:szCs w:val="16"/>
              </w:rPr>
              <w:t>11,180</w:t>
              <w:tab/>
              <w:t>213,442</w:t>
              <w:tab/>
              <w:t>(211,970)</w:t>
              <w:tab/>
              <w:t>12,652</w:t>
            </w:r>
          </w:p>
        </w:tc>
      </w:tr>
      <w:tr>
        <w:trPr>
          <w:trHeight w:val="250" w:hRule="exact"/>
        </w:trPr>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tabs>
                <w:tab w:pos="3312" w:val="left"/>
                <w:tab w:pos="4387" w:val="left"/>
                <w:tab w:pos="5491" w:val="left"/>
                <w:tab w:pos="7618" w:val="left"/>
              </w:tabs>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5"/>
                <w:szCs w:val="15"/>
              </w:rPr>
              <w:t>工伤保险费</w:t>
              <w:tab/>
            </w:r>
            <w:r>
              <w:rPr>
                <w:rFonts w:ascii="Arial" w:eastAsia="Arial" w:hAnsi="Arial" w:cs="Arial"/>
                <w:color w:val="000000"/>
                <w:spacing w:val="0"/>
                <w:w w:val="100"/>
                <w:position w:val="0"/>
                <w:sz w:val="16"/>
                <w:szCs w:val="16"/>
              </w:rPr>
              <w:t>684</w:t>
              <w:tab/>
              <w:t>13,051</w:t>
              <w:tab/>
              <w:t>(12,961)</w:t>
              <w:tab/>
              <w:t>774</w:t>
            </w:r>
          </w:p>
        </w:tc>
      </w:tr>
      <w:tr>
        <w:trPr>
          <w:trHeight w:val="221" w:hRule="exact"/>
        </w:trPr>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9"/>
              <w:keepNext w:val="0"/>
              <w:keepLines w:val="0"/>
              <w:widowControl w:val="0"/>
              <w:shd w:val="clear" w:color="auto" w:fill="auto"/>
              <w:tabs>
                <w:tab w:pos="3211" w:val="left"/>
                <w:tab w:pos="4387" w:val="left"/>
                <w:tab w:pos="5491" w:val="left"/>
                <w:tab w:pos="7493" w:val="left"/>
              </w:tabs>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5"/>
                <w:szCs w:val="15"/>
              </w:rPr>
              <w:t>生育保险费</w:t>
              <w:tab/>
            </w:r>
            <w:r>
              <w:rPr>
                <w:rFonts w:ascii="Arial" w:eastAsia="Arial" w:hAnsi="Arial" w:cs="Arial"/>
                <w:color w:val="000000"/>
                <w:spacing w:val="0"/>
                <w:w w:val="100"/>
                <w:position w:val="0"/>
                <w:sz w:val="16"/>
                <w:szCs w:val="16"/>
              </w:rPr>
              <w:t>1,011</w:t>
              <w:tab/>
              <w:t>19,308</w:t>
              <w:tab/>
              <w:t>(19,175)</w:t>
              <w:tab/>
              <w:t>1,144</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tabs>
                <w:tab w:pos="3211" w:val="left"/>
                <w:tab w:pos="4306" w:val="left"/>
                <w:tab w:pos="5424" w:val="left"/>
                <w:tab w:pos="7421"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住房公积金</w:t>
              <w:tab/>
            </w:r>
            <w:r>
              <w:rPr>
                <w:rFonts w:ascii="Arial" w:eastAsia="Arial" w:hAnsi="Arial" w:cs="Arial"/>
                <w:color w:val="000000"/>
                <w:spacing w:val="0"/>
                <w:w w:val="100"/>
                <w:position w:val="0"/>
                <w:sz w:val="16"/>
                <w:szCs w:val="16"/>
              </w:rPr>
              <w:t>5,223</w:t>
              <w:tab/>
              <w:t>277,156</w:t>
              <w:tab/>
              <w:t>(271,512)</w:t>
              <w:tab/>
              <w:t>10,867</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110" w:val="left"/>
                <w:tab w:pos="4387" w:val="left"/>
                <w:tab w:pos="5501" w:val="left"/>
                <w:tab w:pos="7402"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工会经费和职工教育经费</w:t>
              <w:tab/>
            </w:r>
            <w:r>
              <w:rPr>
                <w:rFonts w:ascii="Arial" w:eastAsia="Arial" w:hAnsi="Arial" w:cs="Arial"/>
                <w:color w:val="000000"/>
                <w:spacing w:val="0"/>
                <w:w w:val="100"/>
                <w:position w:val="0"/>
                <w:sz w:val="16"/>
                <w:szCs w:val="16"/>
              </w:rPr>
              <w:t>31,534</w:t>
              <w:tab/>
              <w:t>46,029</w:t>
              <w:tab/>
              <w:t>（47,140）</w:t>
              <w:tab/>
              <w:t>30,423</w:t>
            </w:r>
          </w:p>
        </w:tc>
      </w:tr>
      <w:tr>
        <w:trPr>
          <w:trHeight w:val="27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tabs>
                <w:tab w:pos="1147" w:val="left"/>
                <w:tab w:pos="2251" w:val="left"/>
                <w:tab w:pos="4286" w:val="left"/>
              </w:tabs>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899,864</w:t>
              <w:tab/>
              <w:t>7,878,112</w:t>
              <w:tab/>
              <w:t>(8,121,633)</w:t>
              <w:tab/>
              <w:t>656,343</w:t>
            </w:r>
          </w:p>
        </w:tc>
      </w:tr>
      <w:tr>
        <w:trPr>
          <w:trHeight w:val="71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(b)</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设定提存计划</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tabs>
                <w:tab w:pos="4241" w:val="left"/>
                <w:tab w:pos="5518" w:val="left"/>
                <w:tab w:pos="6554" w:val="left"/>
              </w:tabs>
              <w:bidi w:val="0"/>
              <w:spacing w:before="0" w:after="0" w:line="240" w:lineRule="auto"/>
              <w:ind w:left="222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tab/>
              <w:t>本年增加</w:t>
              <w:tab/>
              <w:t>本年减少</w:t>
              <w:tab/>
            </w: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115" w:val="left"/>
                <w:tab w:pos="4286" w:val="left"/>
                <w:tab w:pos="5453" w:val="left"/>
                <w:tab w:pos="7406"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基本养老保险</w:t>
              <w:tab/>
            </w:r>
            <w:r>
              <w:rPr>
                <w:rFonts w:ascii="Arial" w:eastAsia="Arial" w:hAnsi="Arial" w:cs="Arial"/>
                <w:color w:val="000000"/>
                <w:spacing w:val="0"/>
                <w:w w:val="100"/>
                <w:position w:val="0"/>
                <w:sz w:val="16"/>
                <w:szCs w:val="16"/>
              </w:rPr>
              <w:t>32,808</w:t>
              <w:tab/>
              <w:t>626,302</w:t>
              <w:tab/>
              <w:t>(621,982)</w:t>
              <w:tab/>
              <w:t>37,128</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178" w:val="left"/>
                <w:tab w:pos="4363" w:val="left"/>
                <w:tab w:pos="5534" w:val="left"/>
                <w:tab w:pos="7488"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失业保险费</w:t>
              <w:tab/>
            </w:r>
            <w:r>
              <w:rPr>
                <w:rFonts w:ascii="Arial" w:eastAsia="Arial" w:hAnsi="Arial" w:cs="Arial"/>
                <w:color w:val="000000"/>
                <w:spacing w:val="0"/>
                <w:w w:val="100"/>
                <w:position w:val="0"/>
                <w:sz w:val="16"/>
                <w:szCs w:val="16"/>
              </w:rPr>
              <w:t>2,788</w:t>
              <w:tab/>
              <w:t>53,229</w:t>
              <w:tab/>
              <w:t>(52,863)</w:t>
              <w:tab/>
              <w:t>3,154</w:t>
            </w:r>
          </w:p>
        </w:tc>
      </w:tr>
      <w:tr>
        <w:trPr>
          <w:trHeight w:val="24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tabs>
                <w:tab w:pos="1166" w:val="left"/>
                <w:tab w:pos="2333" w:val="left"/>
                <w:tab w:pos="4286" w:val="left"/>
              </w:tabs>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35,596</w:t>
              <w:tab/>
              <w:t>679,531</w:t>
              <w:tab/>
              <w:t>(674,845)</w:t>
              <w:tab/>
              <w:t>40,282</w:t>
            </w:r>
          </w:p>
        </w:tc>
      </w:tr>
      <w:tr>
        <w:trPr>
          <w:trHeight w:val="74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(c)</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应付辞退福利</w:t>
            </w:r>
          </w:p>
        </w:tc>
      </w:tr>
      <w:tr>
        <w:trPr>
          <w:trHeight w:val="58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tabs>
                <w:tab w:pos="5811" w:val="left"/>
              </w:tabs>
              <w:bidi w:val="0"/>
              <w:spacing w:before="0" w:after="0" w:line="240" w:lineRule="auto"/>
              <w:ind w:left="332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tab/>
            </w: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4550" w:val="left"/>
                <w:tab w:pos="7272" w:val="left"/>
              </w:tabs>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应付辞退福利</w:t>
              <w:tab/>
            </w:r>
            <w:r>
              <w:rPr>
                <w:rFonts w:ascii="Arial" w:eastAsia="Arial" w:hAnsi="Arial" w:cs="Arial"/>
                <w:color w:val="000000"/>
                <w:spacing w:val="0"/>
                <w:w w:val="100"/>
                <w:position w:val="0"/>
                <w:sz w:val="24"/>
                <w:szCs w:val="24"/>
              </w:rPr>
              <w:t>175,283</w:t>
              <w:tab/>
              <w:t>6,588</w:t>
            </w:r>
          </w:p>
        </w:tc>
      </w:tr>
      <w:tr>
        <w:trPr>
          <w:trHeight w:val="60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于</w:t>
            </w: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年度，本集团因解除劳动关系所提供的辞退福利约为人民币</w:t>
            </w:r>
            <w:r>
              <w:rPr>
                <w:rFonts w:ascii="Arial" w:eastAsia="Arial" w:hAnsi="Arial" w:cs="Arial"/>
                <w:color w:val="000000"/>
                <w:spacing w:val="0"/>
                <w:w w:val="100"/>
                <w:position w:val="0"/>
                <w:sz w:val="24"/>
                <w:szCs w:val="24"/>
              </w:rPr>
              <w:t>4.35</w:t>
            </w:r>
            <w:r>
              <w:rPr>
                <w:rFonts w:ascii="SimSun" w:eastAsia="SimSun" w:hAnsi="SimSun" w:cs="SimSun"/>
                <w:color w:val="000000"/>
                <w:spacing w:val="0"/>
                <w:w w:val="100"/>
                <w:position w:val="0"/>
                <w:sz w:val="24"/>
                <w:szCs w:val="24"/>
              </w:rPr>
              <w:t>亿</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元</w:t>
            </w: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年度：约为人民币</w:t>
            </w:r>
            <w:r>
              <w:rPr>
                <w:rFonts w:ascii="Arial" w:eastAsia="Arial" w:hAnsi="Arial" w:cs="Arial"/>
                <w:color w:val="000000"/>
                <w:spacing w:val="0"/>
                <w:w w:val="100"/>
                <w:position w:val="0"/>
                <w:sz w:val="24"/>
                <w:szCs w:val="24"/>
              </w:rPr>
              <w:t>3.65</w:t>
            </w:r>
            <w:r>
              <w:rPr>
                <w:rFonts w:ascii="SimSun" w:eastAsia="SimSun" w:hAnsi="SimSun" w:cs="SimSun"/>
                <w:color w:val="000000"/>
                <w:spacing w:val="0"/>
                <w:w w:val="100"/>
                <w:position w:val="0"/>
                <w:sz w:val="24"/>
                <w:szCs w:val="24"/>
              </w:rPr>
              <w:t>亿元</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w:t>
            </w:r>
          </w:p>
        </w:tc>
      </w:tr>
    </w:tbl>
    <w:p>
      <w:pPr>
        <w:spacing w:lineRule="exact" w:line="1"/>
        <w:rPr>
          <w:sz w:val="2"/>
          <w:szCs w:val="2"/>
        </w:rPr>
      </w:pPr>
      <w:r>
        <w:br w:type="page"/>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b/>
          <w:bCs/>
          <w:color w:val="000000"/>
          <w:spacing w:val="0"/>
          <w:w w:val="100"/>
          <w:position w:val="0"/>
          <w:sz w:val="24"/>
          <w:szCs w:val="24"/>
        </w:rPr>
        <w:t>财务报表附注</w:t>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w:t>
      </w:r>
    </w:p>
    <w:p>
      <w:pPr>
        <w:pStyle w:val="Style26"/>
        <w:keepNext w:val="0"/>
        <w:keepLines w:val="0"/>
        <w:widowControl w:val="0"/>
        <w:shd w:val="clear" w:color="auto" w:fill="auto"/>
        <w:bidi w:val="0"/>
        <w:spacing w:before="0" w:after="60" w:line="240" w:lineRule="auto"/>
        <w:ind w:left="710" w:right="0" w:firstLine="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rFonts w:ascii="Arial" w:eastAsia="Arial" w:hAnsi="Arial" w:cs="Arial"/>
          <w:color w:val="000000"/>
          <w:spacing w:val="0"/>
          <w:w w:val="100"/>
          <w:position w:val="0"/>
          <w:sz w:val="18"/>
          <w:szCs w:val="18"/>
        </w:rPr>
        <w:t>）</w:t>
      </w:r>
    </w:p>
    <w:tbl>
      <w:tblPr>
        <w:tblOverlap w:val="never"/>
        <w:jc w:val="center"/>
        <w:tblLayout w:type="fixed"/>
      </w:tblPr>
      <w:tblGrid>
        <w:gridCol w:w="3946"/>
        <w:gridCol w:w="2410"/>
        <w:gridCol w:w="2342"/>
      </w:tblGrid>
      <w:tr>
        <w:trPr>
          <w:trHeight w:val="446" w:hRule="exact"/>
        </w:trPr>
        <w:tc>
          <w:tcPr>
            <w:tcBorders/>
            <w:shd w:val="clear" w:color="auto" w:fill="FFFFFF"/>
            <w:vAlign w:val="top"/>
          </w:tcPr>
          <w:p>
            <w:pPr>
              <w:pStyle w:val="Style29"/>
              <w:keepNext w:val="0"/>
              <w:keepLines w:val="0"/>
              <w:widowControl w:val="0"/>
              <w:shd w:val="clear" w:color="auto" w:fill="auto"/>
              <w:tabs>
                <w:tab w:pos="706" w:val="left"/>
              </w:tabs>
              <w:bidi w:val="0"/>
              <w:spacing w:before="0" w:after="0" w:line="240" w:lineRule="auto"/>
              <w:ind w:left="0" w:right="0" w:firstLine="0"/>
              <w:jc w:val="left"/>
              <w:rPr>
                <w:sz w:val="28"/>
                <w:szCs w:val="28"/>
              </w:rPr>
            </w:pPr>
            <w:r>
              <w:rPr>
                <w:rFonts w:ascii="SimSun" w:eastAsia="SimSun" w:hAnsi="SimSun" w:cs="SimSun"/>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（30）</w:t>
            </w:r>
            <w:r>
              <w:rPr>
                <w:rFonts w:ascii="SimSun" w:eastAsia="SimSun" w:hAnsi="SimSun" w:cs="SimSun"/>
                <w:b/>
                <w:bCs/>
                <w:color w:val="000000"/>
                <w:spacing w:val="0"/>
                <w:w w:val="100"/>
                <w:position w:val="0"/>
                <w:sz w:val="24"/>
                <w:szCs w:val="24"/>
              </w:rPr>
              <w:t>应交税费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应交企业所得税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1,041,326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611,162</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未交增值税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24"/>
                <w:szCs w:val="24"/>
              </w:rPr>
            </w:pPr>
            <w:r>
              <w:rPr>
                <w:rFonts w:ascii="Arial" w:eastAsia="Arial" w:hAnsi="Arial" w:cs="Arial"/>
                <w:color w:val="000000"/>
                <w:spacing w:val="0"/>
                <w:w w:val="100"/>
                <w:position w:val="0"/>
                <w:sz w:val="24"/>
                <w:szCs w:val="24"/>
              </w:rPr>
              <w:t>139,236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161,633</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应交房产税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24"/>
                <w:szCs w:val="24"/>
              </w:rPr>
            </w:pPr>
            <w:r>
              <w:rPr>
                <w:rFonts w:ascii="Arial" w:eastAsia="Arial" w:hAnsi="Arial" w:cs="Arial"/>
                <w:color w:val="000000"/>
                <w:spacing w:val="0"/>
                <w:w w:val="100"/>
                <w:position w:val="0"/>
                <w:sz w:val="24"/>
                <w:szCs w:val="24"/>
              </w:rPr>
              <w:t>54,228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24"/>
                <w:szCs w:val="24"/>
              </w:rPr>
            </w:pPr>
            <w:r>
              <w:rPr>
                <w:rFonts w:ascii="Arial" w:eastAsia="Arial" w:hAnsi="Arial" w:cs="Arial"/>
                <w:color w:val="000000"/>
                <w:spacing w:val="0"/>
                <w:w w:val="100"/>
                <w:position w:val="0"/>
                <w:sz w:val="24"/>
                <w:szCs w:val="24"/>
              </w:rPr>
              <w:t>43,614</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应交个人所得税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24"/>
                <w:szCs w:val="24"/>
              </w:rPr>
            </w:pPr>
            <w:r>
              <w:rPr>
                <w:rFonts w:ascii="Arial" w:eastAsia="Arial" w:hAnsi="Arial" w:cs="Arial"/>
                <w:color w:val="000000"/>
                <w:spacing w:val="0"/>
                <w:w w:val="100"/>
                <w:position w:val="0"/>
                <w:sz w:val="24"/>
                <w:szCs w:val="24"/>
              </w:rPr>
              <w:t>20,508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24"/>
                <w:szCs w:val="24"/>
              </w:rPr>
            </w:pPr>
            <w:r>
              <w:rPr>
                <w:rFonts w:ascii="Arial" w:eastAsia="Arial" w:hAnsi="Arial" w:cs="Arial"/>
                <w:color w:val="000000"/>
                <w:spacing w:val="0"/>
                <w:w w:val="100"/>
                <w:position w:val="0"/>
                <w:sz w:val="24"/>
                <w:szCs w:val="24"/>
              </w:rPr>
              <w:t>18,576</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应交土地增值税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24"/>
                <w:szCs w:val="24"/>
              </w:rPr>
            </w:pPr>
            <w:r>
              <w:rPr>
                <w:rFonts w:ascii="Arial" w:eastAsia="Arial" w:hAnsi="Arial" w:cs="Arial"/>
                <w:color w:val="000000"/>
                <w:spacing w:val="0"/>
                <w:w w:val="100"/>
                <w:position w:val="0"/>
                <w:sz w:val="24"/>
                <w:szCs w:val="24"/>
              </w:rPr>
              <w:t>15,872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应交城市维护建设税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24"/>
                <w:szCs w:val="24"/>
              </w:rPr>
            </w:pPr>
            <w:r>
              <w:rPr>
                <w:rFonts w:ascii="Arial" w:eastAsia="Arial" w:hAnsi="Arial" w:cs="Arial"/>
                <w:color w:val="000000"/>
                <w:spacing w:val="0"/>
                <w:w w:val="100"/>
                <w:position w:val="0"/>
                <w:sz w:val="24"/>
                <w:szCs w:val="24"/>
              </w:rPr>
              <w:t>12,957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24"/>
                <w:szCs w:val="24"/>
              </w:rPr>
            </w:pPr>
            <w:r>
              <w:rPr>
                <w:rFonts w:ascii="Arial" w:eastAsia="Arial" w:hAnsi="Arial" w:cs="Arial"/>
                <w:color w:val="000000"/>
                <w:spacing w:val="0"/>
                <w:w w:val="100"/>
                <w:position w:val="0"/>
                <w:sz w:val="24"/>
                <w:szCs w:val="24"/>
              </w:rPr>
              <w:t>19,453</w:t>
            </w: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应交教育费附加</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6,313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24"/>
                <w:szCs w:val="24"/>
              </w:rPr>
            </w:pPr>
            <w:r>
              <w:rPr>
                <w:rFonts w:ascii="Arial" w:eastAsia="Arial" w:hAnsi="Arial" w:cs="Arial"/>
                <w:color w:val="000000"/>
                <w:spacing w:val="0"/>
                <w:w w:val="100"/>
                <w:position w:val="0"/>
                <w:sz w:val="24"/>
                <w:szCs w:val="24"/>
              </w:rPr>
              <w:t>11,145</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24"/>
                <w:szCs w:val="24"/>
              </w:rPr>
            </w:pPr>
            <w:r>
              <w:rPr>
                <w:rFonts w:ascii="Arial" w:eastAsia="Arial" w:hAnsi="Arial" w:cs="Arial"/>
                <w:color w:val="000000"/>
                <w:spacing w:val="0"/>
                <w:w w:val="100"/>
                <w:position w:val="0"/>
                <w:sz w:val="24"/>
                <w:szCs w:val="24"/>
              </w:rPr>
              <w:t>28,452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24"/>
                <w:szCs w:val="24"/>
              </w:rPr>
            </w:pPr>
            <w:r>
              <w:rPr>
                <w:rFonts w:ascii="Arial" w:eastAsia="Arial" w:hAnsi="Arial" w:cs="Arial"/>
                <w:color w:val="000000"/>
                <w:spacing w:val="0"/>
                <w:w w:val="100"/>
                <w:position w:val="0"/>
                <w:sz w:val="24"/>
                <w:szCs w:val="24"/>
              </w:rPr>
              <w:t>35,166</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1,318,892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900,749</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（31）</w:t>
            </w:r>
            <w:r>
              <w:rPr>
                <w:rFonts w:ascii="SimSun" w:eastAsia="SimSun" w:hAnsi="SimSun" w:cs="SimSun"/>
                <w:b/>
                <w:bCs/>
                <w:color w:val="000000"/>
                <w:spacing w:val="0"/>
                <w:w w:val="100"/>
                <w:position w:val="0"/>
                <w:sz w:val="24"/>
                <w:szCs w:val="24"/>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应返还股权投资款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3,457,861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应付工程款项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2,837,619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24"/>
                <w:szCs w:val="24"/>
              </w:rPr>
            </w:pPr>
            <w:r>
              <w:rPr>
                <w:rFonts w:ascii="Arial" w:eastAsia="Arial" w:hAnsi="Arial" w:cs="Arial"/>
                <w:color w:val="000000"/>
                <w:spacing w:val="0"/>
                <w:w w:val="100"/>
                <w:position w:val="0"/>
                <w:sz w:val="24"/>
                <w:szCs w:val="24"/>
              </w:rPr>
              <w:t>3,284,470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应付保证金及押金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2,696,434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24"/>
                <w:szCs w:val="24"/>
              </w:rPr>
            </w:pPr>
            <w:r>
              <w:rPr>
                <w:rFonts w:ascii="Arial" w:eastAsia="Arial" w:hAnsi="Arial" w:cs="Arial"/>
                <w:color w:val="000000"/>
                <w:spacing w:val="0"/>
                <w:w w:val="100"/>
                <w:position w:val="0"/>
                <w:sz w:val="24"/>
                <w:szCs w:val="24"/>
              </w:rPr>
              <w:t>2,632,760</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应付投资款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2,687,067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24"/>
                <w:szCs w:val="24"/>
              </w:rPr>
            </w:pPr>
            <w:r>
              <w:rPr>
                <w:rFonts w:ascii="Arial" w:eastAsia="Arial" w:hAnsi="Arial" w:cs="Arial"/>
                <w:color w:val="000000"/>
                <w:spacing w:val="0"/>
                <w:w w:val="100"/>
                <w:position w:val="0"/>
                <w:sz w:val="24"/>
                <w:szCs w:val="24"/>
              </w:rPr>
              <w:t>2,752,967</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应付广告、市场推广费及信息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24"/>
                <w:szCs w:val="24"/>
              </w:rPr>
            </w:pPr>
            <w:r>
              <w:rPr>
                <w:rFonts w:ascii="SimSun" w:eastAsia="SimSun" w:hAnsi="SimSun" w:cs="SimSun"/>
                <w:color w:val="000000"/>
                <w:spacing w:val="0"/>
                <w:w w:val="100"/>
                <w:position w:val="0"/>
                <w:sz w:val="24"/>
                <w:szCs w:val="24"/>
              </w:rPr>
              <w:t>技术服务费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1,348,255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24"/>
                <w:szCs w:val="24"/>
              </w:rPr>
            </w:pPr>
            <w:r>
              <w:rPr>
                <w:rFonts w:ascii="Arial" w:eastAsia="Arial" w:hAnsi="Arial" w:cs="Arial"/>
                <w:color w:val="000000"/>
                <w:spacing w:val="0"/>
                <w:w w:val="100"/>
                <w:position w:val="0"/>
                <w:sz w:val="24"/>
                <w:szCs w:val="24"/>
              </w:rPr>
              <w:t>1,666,410</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应付房租及水电费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24"/>
                <w:szCs w:val="24"/>
              </w:rPr>
            </w:pPr>
            <w:r>
              <w:rPr>
                <w:rFonts w:ascii="Arial" w:eastAsia="Arial" w:hAnsi="Arial" w:cs="Arial"/>
                <w:color w:val="000000"/>
                <w:spacing w:val="0"/>
                <w:w w:val="100"/>
                <w:position w:val="0"/>
                <w:sz w:val="24"/>
                <w:szCs w:val="24"/>
              </w:rPr>
              <w:t>789,990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884,089</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应付行政办公费用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24"/>
                <w:szCs w:val="24"/>
              </w:rPr>
            </w:pPr>
            <w:r>
              <w:rPr>
                <w:rFonts w:ascii="Arial" w:eastAsia="Arial" w:hAnsi="Arial" w:cs="Arial"/>
                <w:color w:val="000000"/>
                <w:spacing w:val="0"/>
                <w:w w:val="100"/>
                <w:position w:val="0"/>
                <w:sz w:val="24"/>
                <w:szCs w:val="24"/>
              </w:rPr>
              <w:t>587,837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452,750</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转租预收的房租</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水电费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24"/>
                <w:szCs w:val="24"/>
              </w:rPr>
            </w:pPr>
            <w:r>
              <w:rPr>
                <w:rFonts w:ascii="Arial" w:eastAsia="Arial" w:hAnsi="Arial" w:cs="Arial"/>
                <w:color w:val="000000"/>
                <w:spacing w:val="0"/>
                <w:w w:val="100"/>
                <w:position w:val="0"/>
                <w:sz w:val="24"/>
                <w:szCs w:val="24"/>
              </w:rPr>
              <w:t>259,295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195,128</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应付信息服务费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24"/>
                <w:szCs w:val="24"/>
              </w:rPr>
            </w:pPr>
            <w:r>
              <w:rPr>
                <w:rFonts w:ascii="Arial" w:eastAsia="Arial" w:hAnsi="Arial" w:cs="Arial"/>
                <w:color w:val="000000"/>
                <w:spacing w:val="0"/>
                <w:w w:val="100"/>
                <w:position w:val="0"/>
                <w:sz w:val="24"/>
                <w:szCs w:val="24"/>
              </w:rPr>
              <w:t>201,197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219,192</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应付股利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24"/>
                <w:szCs w:val="24"/>
              </w:rPr>
            </w:pPr>
            <w:r>
              <w:rPr>
                <w:rFonts w:ascii="Arial" w:eastAsia="Arial" w:hAnsi="Arial" w:cs="Arial"/>
                <w:color w:val="000000"/>
                <w:spacing w:val="0"/>
                <w:w w:val="100"/>
                <w:position w:val="0"/>
                <w:sz w:val="24"/>
                <w:szCs w:val="24"/>
              </w:rPr>
              <w:t>88,200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应付劳务外包费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rPr>
                <w:sz w:val="24"/>
                <w:szCs w:val="24"/>
              </w:rPr>
            </w:pPr>
            <w:r>
              <w:rPr>
                <w:rFonts w:ascii="Arial" w:eastAsia="Arial" w:hAnsi="Arial" w:cs="Arial"/>
                <w:color w:val="000000"/>
                <w:spacing w:val="0"/>
                <w:w w:val="100"/>
                <w:position w:val="0"/>
                <w:sz w:val="24"/>
                <w:szCs w:val="24"/>
              </w:rPr>
              <w:t>97,304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212,510</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应付关联方资金拆借款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24"/>
                <w:szCs w:val="24"/>
              </w:rPr>
            </w:pPr>
            <w:r>
              <w:rPr>
                <w:rFonts w:ascii="Arial" w:eastAsia="Arial" w:hAnsi="Arial" w:cs="Arial"/>
                <w:color w:val="000000"/>
                <w:spacing w:val="0"/>
                <w:w w:val="100"/>
                <w:position w:val="0"/>
                <w:sz w:val="24"/>
                <w:szCs w:val="24"/>
              </w:rPr>
              <w:t>2,009,333</w:t>
            </w:r>
          </w:p>
        </w:tc>
      </w:tr>
      <w:tr>
        <w:trPr>
          <w:trHeight w:val="3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应付员工持股计划</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146,214</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1,403,532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24"/>
                <w:szCs w:val="24"/>
              </w:rPr>
            </w:pPr>
            <w:r>
              <w:rPr>
                <w:rFonts w:ascii="Arial" w:eastAsia="Arial" w:hAnsi="Arial" w:cs="Arial"/>
                <w:color w:val="000000"/>
                <w:spacing w:val="0"/>
                <w:w w:val="100"/>
                <w:position w:val="0"/>
                <w:sz w:val="24"/>
                <w:szCs w:val="24"/>
              </w:rPr>
              <w:t>1,344,227</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16,454,591</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15,800,050</w:t>
            </w:r>
          </w:p>
        </w:tc>
      </w:tr>
    </w:tbl>
    <w:p>
      <w:pPr>
        <w:pStyle w:val="Style26"/>
        <w:keepNext w:val="0"/>
        <w:keepLines w:val="0"/>
        <w:widowControl w:val="0"/>
        <w:shd w:val="clear" w:color="auto" w:fill="auto"/>
        <w:bidi w:val="0"/>
        <w:spacing w:before="0" w:after="0" w:line="312" w:lineRule="exact"/>
        <w:ind w:left="715" w:right="0" w:firstLine="0"/>
        <w:jc w:val="left"/>
        <w:rPr>
          <w:sz w:val="24"/>
          <w:szCs w:val="24"/>
        </w:rPr>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日，账龄超过一年的其他应付款约人民币</w:t>
      </w:r>
      <w:r>
        <w:rPr>
          <w:rFonts w:ascii="Arial" w:eastAsia="Arial" w:hAnsi="Arial" w:cs="Arial"/>
          <w:color w:val="000000"/>
          <w:spacing w:val="0"/>
          <w:w w:val="100"/>
          <w:position w:val="0"/>
          <w:sz w:val="24"/>
          <w:szCs w:val="24"/>
        </w:rPr>
        <w:t>70.26</w:t>
      </w:r>
      <w:r>
        <w:rPr>
          <w:color w:val="000000"/>
          <w:spacing w:val="0"/>
          <w:w w:val="100"/>
          <w:position w:val="0"/>
          <w:sz w:val="24"/>
          <w:szCs w:val="24"/>
        </w:rPr>
        <w:t>亿元</w:t>
      </w:r>
      <w:r>
        <w:rPr>
          <w:rFonts w:ascii="Arial" w:eastAsia="Arial" w:hAnsi="Arial" w:cs="Arial"/>
          <w:color w:val="000000"/>
          <w:spacing w:val="0"/>
          <w:w w:val="100"/>
          <w:position w:val="0"/>
          <w:sz w:val="24"/>
          <w:szCs w:val="24"/>
        </w:rPr>
        <w:t xml:space="preserve">（2020 </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53.18</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，主要为收取的各类保证金和押金。</w:t>
      </w:r>
      <w:r>
        <w:br w:type="page"/>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b/>
          <w:bCs/>
          <w:color w:val="000000"/>
          <w:spacing w:val="0"/>
          <w:w w:val="100"/>
          <w:position w:val="0"/>
          <w:sz w:val="24"/>
          <w:szCs w:val="24"/>
        </w:rPr>
        <w:t>财务报表附注</w:t>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w:t>
      </w:r>
    </w:p>
    <w:p>
      <w:pPr>
        <w:pStyle w:val="Style26"/>
        <w:keepNext w:val="0"/>
        <w:keepLines w:val="0"/>
        <w:widowControl w:val="0"/>
        <w:shd w:val="clear" w:color="auto" w:fill="auto"/>
        <w:bidi w:val="0"/>
        <w:spacing w:before="0" w:after="60" w:line="240" w:lineRule="auto"/>
        <w:ind w:left="710" w:right="0" w:firstLine="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rFonts w:ascii="Arial" w:eastAsia="Arial" w:hAnsi="Arial" w:cs="Arial"/>
          <w:color w:val="000000"/>
          <w:spacing w:val="0"/>
          <w:w w:val="100"/>
          <w:position w:val="0"/>
          <w:sz w:val="18"/>
          <w:szCs w:val="18"/>
        </w:rPr>
        <w:t>)</w:t>
      </w:r>
    </w:p>
    <w:tbl>
      <w:tblPr>
        <w:tblOverlap w:val="never"/>
        <w:jc w:val="center"/>
        <w:tblLayout w:type="fixed"/>
      </w:tblPr>
      <w:tblGrid>
        <w:gridCol w:w="3763"/>
        <w:gridCol w:w="2587"/>
        <w:gridCol w:w="2347"/>
      </w:tblGrid>
      <w:tr>
        <w:trPr>
          <w:trHeight w:val="446" w:hRule="exact"/>
        </w:trPr>
        <w:tc>
          <w:tcPr>
            <w:tcBorders/>
            <w:shd w:val="clear" w:color="auto" w:fill="FFFFFF"/>
            <w:vAlign w:val="top"/>
          </w:tcPr>
          <w:p>
            <w:pPr>
              <w:pStyle w:val="Style29"/>
              <w:keepNext w:val="0"/>
              <w:keepLines w:val="0"/>
              <w:widowControl w:val="0"/>
              <w:shd w:val="clear" w:color="auto" w:fill="auto"/>
              <w:tabs>
                <w:tab w:pos="658" w:val="left"/>
              </w:tabs>
              <w:bidi w:val="0"/>
              <w:spacing w:before="0" w:after="0" w:line="240" w:lineRule="auto"/>
              <w:ind w:left="0" w:right="0" w:firstLine="0"/>
              <w:jc w:val="left"/>
              <w:rPr>
                <w:sz w:val="28"/>
                <w:szCs w:val="28"/>
              </w:rPr>
            </w:pPr>
            <w:r>
              <w:rPr>
                <w:rFonts w:ascii="SimSun" w:eastAsia="SimSun" w:hAnsi="SimSun" w:cs="SimSun"/>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(32) </w:t>
            </w:r>
            <w:r>
              <w:rPr>
                <w:rFonts w:ascii="SimSun" w:eastAsia="SimSun" w:hAnsi="SimSun" w:cs="SimSun"/>
                <w:b/>
                <w:bCs/>
                <w:color w:val="000000"/>
                <w:spacing w:val="0"/>
                <w:w w:val="100"/>
                <w:position w:val="0"/>
                <w:sz w:val="24"/>
                <w:szCs w:val="24"/>
              </w:rPr>
              <w:t>一年内到期的非流动负债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4"/>
                <w:szCs w:val="24"/>
              </w:rPr>
            </w:pPr>
            <w:r>
              <w:rPr>
                <w:rFonts w:ascii="SimSun" w:eastAsia="SimSun" w:hAnsi="SimSun" w:cs="SimSun"/>
                <w:color w:val="000000"/>
                <w:spacing w:val="0"/>
                <w:w w:val="100"/>
                <w:position w:val="0"/>
                <w:sz w:val="24"/>
                <w:szCs w:val="24"/>
              </w:rPr>
              <w:t>一年内到期的长期借款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rPr>
                <w:sz w:val="24"/>
                <w:szCs w:val="24"/>
              </w:rPr>
            </w:pPr>
            <w:r>
              <w:rPr>
                <w:rFonts w:ascii="Arial" w:eastAsia="Arial" w:hAnsi="Arial" w:cs="Arial"/>
                <w:color w:val="000000"/>
                <w:spacing w:val="0"/>
                <w:w w:val="100"/>
                <w:position w:val="0"/>
                <w:sz w:val="24"/>
                <w:szCs w:val="24"/>
              </w:rPr>
              <w:t>6,350,576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8,959,263</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24"/>
                <w:szCs w:val="24"/>
              </w:rPr>
            </w:pPr>
            <w:r>
              <w:rPr>
                <w:rFonts w:ascii="SimSun" w:eastAsia="SimSun" w:hAnsi="SimSun" w:cs="SimSun"/>
                <w:color w:val="000000"/>
                <w:spacing w:val="0"/>
                <w:w w:val="100"/>
                <w:position w:val="0"/>
                <w:sz w:val="24"/>
                <w:szCs w:val="24"/>
              </w:rPr>
              <w:t>一年内到期的租赁负债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rFonts w:ascii="Arial" w:eastAsia="Arial" w:hAnsi="Arial" w:cs="Arial"/>
                <w:color w:val="000000"/>
                <w:spacing w:val="0"/>
                <w:w w:val="100"/>
                <w:position w:val="0"/>
                <w:sz w:val="24"/>
                <w:szCs w:val="24"/>
              </w:rPr>
              <w:t>(36))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5,608,314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24"/>
                <w:szCs w:val="24"/>
              </w:rPr>
            </w:pPr>
            <w:r>
              <w:rPr>
                <w:rFonts w:ascii="SimSun" w:eastAsia="SimSun" w:hAnsi="SimSun" w:cs="SimSun"/>
                <w:color w:val="000000"/>
                <w:spacing w:val="0"/>
                <w:w w:val="100"/>
                <w:position w:val="0"/>
                <w:sz w:val="24"/>
                <w:szCs w:val="24"/>
              </w:rPr>
              <w:t>一年内到期的长期应付款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rFonts w:ascii="Arial" w:eastAsia="Arial" w:hAnsi="Arial" w:cs="Arial"/>
                <w:color w:val="000000"/>
                <w:spacing w:val="0"/>
                <w:w w:val="100"/>
                <w:position w:val="0"/>
                <w:sz w:val="24"/>
                <w:szCs w:val="24"/>
              </w:rPr>
              <w:t>(37))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rPr>
                <w:sz w:val="24"/>
                <w:szCs w:val="24"/>
              </w:rPr>
            </w:pPr>
            <w:r>
              <w:rPr>
                <w:rFonts w:ascii="Arial" w:eastAsia="Arial" w:hAnsi="Arial" w:cs="Arial"/>
                <w:color w:val="000000"/>
                <w:spacing w:val="0"/>
                <w:w w:val="100"/>
                <w:position w:val="0"/>
                <w:sz w:val="24"/>
                <w:szCs w:val="24"/>
              </w:rPr>
              <w:t>1,200,000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1,143,994</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24"/>
                <w:szCs w:val="24"/>
              </w:rPr>
            </w:pPr>
            <w:r>
              <w:rPr>
                <w:rFonts w:ascii="SimSun" w:eastAsia="SimSun" w:hAnsi="SimSun" w:cs="SimSun"/>
                <w:color w:val="000000"/>
                <w:spacing w:val="0"/>
                <w:w w:val="100"/>
                <w:position w:val="0"/>
                <w:sz w:val="24"/>
                <w:szCs w:val="24"/>
              </w:rPr>
              <w:t>一年内到期的应付债券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rFonts w:ascii="Arial" w:eastAsia="Arial" w:hAnsi="Arial" w:cs="Arial"/>
                <w:color w:val="000000"/>
                <w:spacing w:val="0"/>
                <w:w w:val="100"/>
                <w:position w:val="0"/>
                <w:sz w:val="24"/>
                <w:szCs w:val="24"/>
              </w:rPr>
              <w:t>(35))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24"/>
                <w:szCs w:val="24"/>
              </w:rPr>
            </w:pPr>
            <w:r>
              <w:rPr>
                <w:rFonts w:ascii="Arial" w:eastAsia="Arial" w:hAnsi="Arial" w:cs="Arial"/>
                <w:color w:val="000000"/>
                <w:spacing w:val="0"/>
                <w:w w:val="100"/>
                <w:position w:val="0"/>
                <w:sz w:val="24"/>
                <w:szCs w:val="24"/>
              </w:rPr>
              <w:t>20,432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7,571,031</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24"/>
                <w:szCs w:val="24"/>
              </w:rPr>
            </w:pPr>
            <w:r>
              <w:rPr>
                <w:rFonts w:ascii="Arial" w:eastAsia="Arial" w:hAnsi="Arial" w:cs="Arial"/>
                <w:color w:val="000000"/>
                <w:spacing w:val="0"/>
                <w:w w:val="100"/>
                <w:position w:val="0"/>
                <w:sz w:val="24"/>
                <w:szCs w:val="24"/>
              </w:rPr>
              <w:t>28,562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24"/>
                <w:szCs w:val="24"/>
              </w:rPr>
            </w:pPr>
            <w:r>
              <w:rPr>
                <w:rFonts w:ascii="Arial" w:eastAsia="Arial" w:hAnsi="Arial" w:cs="Arial"/>
                <w:color w:val="000000"/>
                <w:spacing w:val="0"/>
                <w:w w:val="100"/>
                <w:position w:val="0"/>
                <w:sz w:val="24"/>
                <w:szCs w:val="24"/>
              </w:rPr>
              <w:t>10,312</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13,207,884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17,684,600</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(33)</w:t>
            </w:r>
            <w:r>
              <w:rPr>
                <w:rFonts w:ascii="SimSun" w:eastAsia="SimSun" w:hAnsi="SimSun" w:cs="SimSun"/>
                <w:b/>
                <w:bCs/>
                <w:color w:val="000000"/>
                <w:spacing w:val="0"/>
                <w:w w:val="100"/>
                <w:position w:val="0"/>
                <w:sz w:val="24"/>
                <w:szCs w:val="24"/>
              </w:rPr>
              <w:t>其他流动负债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7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待转销项税额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326,762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356,185</w:t>
            </w: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4"/>
                <w:szCs w:val="24"/>
              </w:rPr>
            </w:pPr>
            <w:r>
              <w:rPr>
                <w:rFonts w:ascii="SimSun" w:eastAsia="SimSun" w:hAnsi="SimSun" w:cs="SimSun"/>
                <w:color w:val="000000"/>
                <w:spacing w:val="0"/>
                <w:w w:val="100"/>
                <w:position w:val="0"/>
                <w:sz w:val="24"/>
                <w:szCs w:val="24"/>
              </w:rPr>
              <w:t>闭店违约金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169,321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24"/>
                <w:szCs w:val="24"/>
              </w:rPr>
            </w:pPr>
            <w:r>
              <w:rPr>
                <w:rFonts w:ascii="Arial" w:eastAsia="Arial" w:hAnsi="Arial" w:cs="Arial"/>
                <w:color w:val="000000"/>
                <w:spacing w:val="0"/>
                <w:w w:val="100"/>
                <w:position w:val="0"/>
                <w:sz w:val="24"/>
                <w:szCs w:val="24"/>
              </w:rPr>
              <w:t>98,105</w:t>
            </w: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4"/>
                <w:szCs w:val="24"/>
              </w:rPr>
            </w:pPr>
            <w:r>
              <w:rPr>
                <w:rFonts w:ascii="SimSun" w:eastAsia="SimSun" w:hAnsi="SimSun" w:cs="SimSun"/>
                <w:color w:val="000000"/>
                <w:spacing w:val="0"/>
                <w:w w:val="100"/>
                <w:position w:val="0"/>
                <w:sz w:val="24"/>
                <w:szCs w:val="24"/>
              </w:rPr>
              <w:t>未决诉讼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24"/>
                <w:szCs w:val="24"/>
              </w:rPr>
            </w:pPr>
            <w:r>
              <w:rPr>
                <w:rFonts w:ascii="Arial" w:eastAsia="Arial" w:hAnsi="Arial" w:cs="Arial"/>
                <w:color w:val="000000"/>
                <w:spacing w:val="0"/>
                <w:w w:val="100"/>
                <w:position w:val="0"/>
                <w:sz w:val="24"/>
                <w:szCs w:val="24"/>
              </w:rPr>
              <w:t>89,677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24"/>
                <w:szCs w:val="24"/>
              </w:rPr>
            </w:pPr>
            <w:r>
              <w:rPr>
                <w:rFonts w:ascii="Arial" w:eastAsia="Arial" w:hAnsi="Arial" w:cs="Arial"/>
                <w:color w:val="000000"/>
                <w:spacing w:val="0"/>
                <w:w w:val="100"/>
                <w:position w:val="0"/>
                <w:sz w:val="24"/>
                <w:szCs w:val="24"/>
              </w:rPr>
              <w:t>26,146</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4"/>
                <w:szCs w:val="24"/>
              </w:rPr>
            </w:pPr>
            <w:r>
              <w:rPr>
                <w:rFonts w:ascii="SimSun" w:eastAsia="SimSun" w:hAnsi="SimSun" w:cs="SimSun"/>
                <w:color w:val="000000"/>
                <w:spacing w:val="0"/>
                <w:w w:val="100"/>
                <w:position w:val="0"/>
                <w:sz w:val="24"/>
                <w:szCs w:val="24"/>
              </w:rPr>
              <w:t>预提水电费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24"/>
                <w:szCs w:val="24"/>
              </w:rPr>
            </w:pPr>
            <w:r>
              <w:rPr>
                <w:rFonts w:ascii="Arial" w:eastAsia="Arial" w:hAnsi="Arial" w:cs="Arial"/>
                <w:color w:val="000000"/>
                <w:spacing w:val="0"/>
                <w:w w:val="100"/>
                <w:position w:val="0"/>
                <w:sz w:val="24"/>
                <w:szCs w:val="24"/>
              </w:rPr>
              <w:t>79,061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24"/>
                <w:szCs w:val="24"/>
              </w:rPr>
            </w:pPr>
            <w:r>
              <w:rPr>
                <w:rFonts w:ascii="Arial" w:eastAsia="Arial" w:hAnsi="Arial" w:cs="Arial"/>
                <w:color w:val="000000"/>
                <w:spacing w:val="0"/>
                <w:w w:val="100"/>
                <w:position w:val="0"/>
                <w:sz w:val="24"/>
                <w:szCs w:val="24"/>
              </w:rPr>
              <w:t>88,753</w:t>
            </w:r>
          </w:p>
        </w:tc>
      </w:tr>
      <w:tr>
        <w:trPr>
          <w:trHeight w:val="3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24"/>
                <w:szCs w:val="24"/>
              </w:rPr>
            </w:pPr>
            <w:r>
              <w:rPr>
                <w:rFonts w:ascii="SimSun" w:eastAsia="SimSun" w:hAnsi="SimSun" w:cs="SimSun"/>
                <w:color w:val="000000"/>
                <w:spacing w:val="0"/>
                <w:w w:val="100"/>
                <w:position w:val="0"/>
                <w:sz w:val="24"/>
                <w:szCs w:val="24"/>
              </w:rPr>
              <w:t>财务担保准备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24"/>
                <w:szCs w:val="24"/>
              </w:rPr>
            </w:pPr>
            <w:r>
              <w:rPr>
                <w:rFonts w:ascii="Arial" w:eastAsia="Arial" w:hAnsi="Arial" w:cs="Arial"/>
                <w:color w:val="000000"/>
                <w:spacing w:val="0"/>
                <w:w w:val="100"/>
                <w:position w:val="0"/>
                <w:sz w:val="24"/>
                <w:szCs w:val="24"/>
              </w:rPr>
              <w:t>64,262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4"/>
                <w:szCs w:val="24"/>
              </w:rPr>
            </w:pPr>
            <w:r>
              <w:rPr>
                <w:rFonts w:ascii="SimSun" w:eastAsia="SimSun" w:hAnsi="SimSun" w:cs="SimSun"/>
                <w:color w:val="000000"/>
                <w:spacing w:val="0"/>
                <w:w w:val="100"/>
                <w:position w:val="0"/>
                <w:sz w:val="24"/>
                <w:szCs w:val="24"/>
              </w:rPr>
              <w:t>应付退货款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24"/>
                <w:szCs w:val="24"/>
              </w:rPr>
            </w:pPr>
            <w:r>
              <w:rPr>
                <w:rFonts w:ascii="Arial" w:eastAsia="Arial" w:hAnsi="Arial" w:cs="Arial"/>
                <w:color w:val="000000"/>
                <w:spacing w:val="0"/>
                <w:w w:val="100"/>
                <w:position w:val="0"/>
                <w:sz w:val="24"/>
                <w:szCs w:val="24"/>
              </w:rPr>
              <w:t>32,015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24"/>
                <w:szCs w:val="24"/>
              </w:rPr>
            </w:pPr>
            <w:r>
              <w:rPr>
                <w:rFonts w:ascii="Arial" w:eastAsia="Arial" w:hAnsi="Arial" w:cs="Arial"/>
                <w:color w:val="000000"/>
                <w:spacing w:val="0"/>
                <w:w w:val="100"/>
                <w:position w:val="0"/>
                <w:sz w:val="24"/>
                <w:szCs w:val="24"/>
              </w:rPr>
              <w:t>65,021</w:t>
            </w: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4"/>
                <w:szCs w:val="24"/>
              </w:rPr>
            </w:pPr>
            <w:r>
              <w:rPr>
                <w:rFonts w:ascii="SimSun" w:eastAsia="SimSun" w:hAnsi="SimSun" w:cs="SimSun"/>
                <w:color w:val="000000"/>
                <w:spacing w:val="0"/>
                <w:w w:val="100"/>
                <w:position w:val="0"/>
                <w:sz w:val="24"/>
                <w:szCs w:val="24"/>
              </w:rPr>
              <w:t>预提房屋租金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both"/>
              <w:rPr>
                <w:sz w:val="24"/>
                <w:szCs w:val="24"/>
              </w:rPr>
            </w:pPr>
            <w:r>
              <w:rPr>
                <w:rFonts w:ascii="Arial" w:eastAsia="Arial" w:hAnsi="Arial" w:cs="Arial"/>
                <w:color w:val="000000"/>
                <w:spacing w:val="0"/>
                <w:w w:val="100"/>
                <w:position w:val="0"/>
                <w:sz w:val="24"/>
                <w:szCs w:val="24"/>
              </w:rPr>
              <w:t>14,820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1,016,536</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163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304</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776,081</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1,651,050</w:t>
            </w:r>
          </w:p>
        </w:tc>
      </w:tr>
    </w:tbl>
    <w:p>
      <w:pPr>
        <w:widowControl w:val="0"/>
        <w:spacing w:after="239" w:line="1" w:lineRule="exact"/>
      </w:pPr>
    </w:p>
    <w:p>
      <w:pPr>
        <w:pStyle w:val="Style72"/>
        <w:keepNext w:val="0"/>
        <w:keepLines w:val="0"/>
        <w:widowControl w:val="0"/>
        <w:shd w:val="clear" w:color="auto" w:fill="auto"/>
        <w:bidi w:val="0"/>
        <w:spacing w:before="0" w:after="0" w:line="312" w:lineRule="exact"/>
        <w:ind w:left="680"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日，本集团为联营企业星图金服提供财务担保的金额约 为人民币</w:t>
      </w:r>
      <w:r>
        <w:rPr>
          <w:rFonts w:ascii="Arial" w:eastAsia="Arial" w:hAnsi="Arial" w:cs="Arial"/>
          <w:color w:val="000000"/>
          <w:spacing w:val="0"/>
          <w:w w:val="100"/>
          <w:position w:val="0"/>
          <w:sz w:val="24"/>
          <w:szCs w:val="24"/>
        </w:rPr>
        <w:t>14.91</w:t>
      </w:r>
      <w:r>
        <w:rPr>
          <w:color w:val="000000"/>
          <w:spacing w:val="0"/>
          <w:w w:val="100"/>
          <w:position w:val="0"/>
          <w:sz w:val="24"/>
          <w:szCs w:val="24"/>
        </w:rPr>
        <w:t>亿元</w:t>
      </w:r>
      <w:r>
        <w:rPr>
          <w:color w:val="000000"/>
          <w:spacing w:val="0"/>
          <w:w w:val="100"/>
          <w:position w:val="0"/>
          <w:sz w:val="28"/>
          <w:szCs w:val="28"/>
        </w:rPr>
        <w:t>(</w:t>
      </w:r>
      <w:r>
        <w:rPr>
          <w:color w:val="000000"/>
          <w:spacing w:val="0"/>
          <w:w w:val="100"/>
          <w:position w:val="0"/>
          <w:sz w:val="24"/>
          <w:szCs w:val="24"/>
        </w:rPr>
        <w:t>附注八</w:t>
      </w:r>
      <w:r>
        <w:rPr>
          <w:rFonts w:ascii="Arial" w:eastAsia="Arial" w:hAnsi="Arial" w:cs="Arial"/>
          <w:color w:val="000000"/>
          <w:spacing w:val="0"/>
          <w:w w:val="100"/>
          <w:position w:val="0"/>
          <w:sz w:val="24"/>
          <w:szCs w:val="24"/>
        </w:rPr>
        <w:t>(6))</w:t>
      </w:r>
      <w:r>
        <w:rPr>
          <w:color w:val="000000"/>
          <w:spacing w:val="0"/>
          <w:w w:val="100"/>
          <w:position w:val="0"/>
          <w:sz w:val="24"/>
          <w:szCs w:val="24"/>
        </w:rPr>
        <w:t>，将在</w:t>
      </w:r>
      <w:r>
        <w:rPr>
          <w:rFonts w:ascii="Arial" w:eastAsia="Arial" w:hAnsi="Arial" w:cs="Arial"/>
          <w:color w:val="000000"/>
          <w:spacing w:val="0"/>
          <w:w w:val="100"/>
          <w:position w:val="0"/>
          <w:sz w:val="24"/>
          <w:szCs w:val="24"/>
        </w:rPr>
        <w:t>1</w:t>
      </w:r>
      <w:r>
        <w:rPr>
          <w:color w:val="000000"/>
          <w:spacing w:val="0"/>
          <w:w w:val="100"/>
          <w:position w:val="0"/>
          <w:sz w:val="24"/>
          <w:szCs w:val="24"/>
        </w:rPr>
        <w:t>年内到期，上述金额代表联营企业 违约将给本集团造成的最大损失。本集团预期该项财务担保合同的信用风险 自初始确认后已显著增加但尚未发生信用减值损失，按照整个存续期的预期 信用损失计量损失准备，相关金额约为人民币</w:t>
      </w:r>
      <w:r>
        <w:rPr>
          <w:rFonts w:ascii="Arial" w:eastAsia="Arial" w:hAnsi="Arial" w:cs="Arial"/>
          <w:color w:val="000000"/>
          <w:spacing w:val="0"/>
          <w:w w:val="100"/>
          <w:position w:val="0"/>
          <w:sz w:val="24"/>
          <w:szCs w:val="24"/>
        </w:rPr>
        <w:t>6,426</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(23))</w:t>
      </w:r>
      <w:r>
        <w:rPr>
          <w:color w:val="000000"/>
          <w:spacing w:val="0"/>
          <w:w w:val="100"/>
          <w:position w:val="0"/>
          <w:sz w:val="24"/>
          <w:szCs w:val="24"/>
        </w:rPr>
        <w:t>，计入 当期损益约人民币</w:t>
      </w:r>
      <w:r>
        <w:rPr>
          <w:rFonts w:ascii="Arial" w:eastAsia="Arial" w:hAnsi="Arial" w:cs="Arial"/>
          <w:color w:val="000000"/>
          <w:spacing w:val="0"/>
          <w:w w:val="100"/>
          <w:position w:val="0"/>
          <w:sz w:val="24"/>
          <w:szCs w:val="24"/>
        </w:rPr>
        <w:t>6,426</w:t>
      </w:r>
      <w:r>
        <w:rPr>
          <w:color w:val="000000"/>
          <w:spacing w:val="0"/>
          <w:w w:val="100"/>
          <w:position w:val="0"/>
          <w:sz w:val="24"/>
          <w:szCs w:val="24"/>
        </w:rPr>
        <w:t>万元，为第二阶段的信用减值损失</w:t>
      </w:r>
      <w:r>
        <w:rPr>
          <w:color w:val="000000"/>
          <w:spacing w:val="0"/>
          <w:w w:val="100"/>
          <w:position w:val="0"/>
          <w:sz w:val="28"/>
          <w:szCs w:val="28"/>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(54))</w:t>
      </w:r>
      <w:r>
        <w:rPr>
          <w:color w:val="000000"/>
          <w:spacing w:val="0"/>
          <w:w w:val="100"/>
          <w:position w:val="0"/>
          <w:sz w:val="24"/>
          <w:szCs w:val="24"/>
        </w:rPr>
        <w:t>。</w:t>
      </w:r>
      <w:r>
        <w:br w:type="page"/>
      </w:r>
    </w:p>
    <w:p>
      <w:pPr>
        <w:pStyle w:val="Style72"/>
        <w:keepNext w:val="0"/>
        <w:keepLines w:val="0"/>
        <w:widowControl w:val="0"/>
        <w:shd w:val="clear" w:color="auto" w:fill="auto"/>
        <w:bidi w:val="0"/>
        <w:spacing w:before="0" w:after="320" w:line="240" w:lineRule="auto"/>
        <w:ind w:left="0" w:right="0" w:firstLine="0"/>
        <w:jc w:val="left"/>
        <w:rPr>
          <w:sz w:val="28"/>
          <w:szCs w:val="28"/>
        </w:rPr>
      </w:pPr>
      <w:r>
        <w:rPr>
          <w:b/>
          <w:bCs/>
          <w:color w:val="000000"/>
          <w:spacing w:val="0"/>
          <w:w w:val="100"/>
          <w:position w:val="0"/>
          <w:sz w:val="24"/>
          <w:szCs w:val="24"/>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2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(34)</w:t>
      </w:r>
      <w:r>
        <w:rPr>
          <w:b/>
          <w:bCs/>
          <w:color w:val="000000"/>
          <w:spacing w:val="0"/>
          <w:w w:val="100"/>
          <w:position w:val="0"/>
          <w:sz w:val="24"/>
          <w:szCs w:val="24"/>
        </w:rPr>
        <w:t>长期借款</w:t>
      </w:r>
    </w:p>
    <w:tbl>
      <w:tblPr>
        <w:tblOverlap w:val="never"/>
        <w:jc w:val="center"/>
        <w:tblLayout w:type="fixed"/>
      </w:tblPr>
      <w:tblGrid>
        <w:gridCol w:w="3235"/>
        <w:gridCol w:w="2477"/>
        <w:gridCol w:w="2405"/>
      </w:tblGrid>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质押借款</w:t>
            </w:r>
            <w:r>
              <w:rPr>
                <w:rFonts w:ascii="Arial" w:eastAsia="Arial" w:hAnsi="Arial" w:cs="Arial"/>
                <w:color w:val="000000"/>
                <w:spacing w:val="0"/>
                <w:w w:val="100"/>
                <w:position w:val="0"/>
                <w:sz w:val="24"/>
                <w:szCs w:val="24"/>
              </w:rPr>
              <w:t>(a)</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5,282,140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4,114,000</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抵押借款</w:t>
            </w:r>
            <w:r>
              <w:rPr>
                <w:rFonts w:ascii="Arial" w:eastAsia="Arial" w:hAnsi="Arial" w:cs="Arial"/>
                <w:color w:val="000000"/>
                <w:spacing w:val="0"/>
                <w:w w:val="100"/>
                <w:position w:val="0"/>
                <w:sz w:val="24"/>
                <w:szCs w:val="24"/>
              </w:rPr>
              <w:t>(b)</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1,057,500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1,704,200</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信用借款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3,099,328</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应付长期借款利息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10,936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41,735</w:t>
            </w:r>
          </w:p>
        </w:tc>
      </w:tr>
      <w:tr>
        <w:trPr>
          <w:trHeight w:val="44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6,350,576</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8,959,263</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减：一年内到期的长期借款</w:t>
            </w:r>
            <w:r>
              <w:rPr>
                <w:rFonts w:ascii="Arial" w:eastAsia="Arial" w:hAnsi="Arial" w:cs="Arial"/>
                <w:color w:val="000000"/>
                <w:spacing w:val="0"/>
                <w:w w:val="100"/>
                <w:position w:val="0"/>
                <w:sz w:val="24"/>
                <w:szCs w:val="24"/>
              </w:rPr>
              <w:t>(c)</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1080" w:right="0" w:firstLine="0"/>
              <w:jc w:val="left"/>
              <w:rPr>
                <w:sz w:val="24"/>
                <w:szCs w:val="24"/>
              </w:rPr>
            </w:pPr>
            <w:r>
              <w:rPr>
                <w:rFonts w:ascii="Arial" w:eastAsia="Arial" w:hAnsi="Arial" w:cs="Arial"/>
                <w:color w:val="000000"/>
                <w:spacing w:val="0"/>
                <w:w w:val="100"/>
                <w:position w:val="0"/>
                <w:sz w:val="24"/>
                <w:szCs w:val="24"/>
              </w:rPr>
              <w:t>(6,350,576)</w:t>
            </w:r>
          </w:p>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24"/>
                <w:szCs w:val="24"/>
              </w:rPr>
            </w:pPr>
            <w:r>
              <w:rPr>
                <w:rFonts w:ascii="Arial" w:eastAsia="Arial" w:hAnsi="Arial" w:cs="Arial"/>
                <w:color w:val="000000"/>
                <w:spacing w:val="0"/>
                <w:w w:val="100"/>
                <w:position w:val="0"/>
                <w:sz w:val="24"/>
                <w:szCs w:val="24"/>
              </w:rPr>
              <w:t>(8,959,263)</w:t>
            </w:r>
          </w:p>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bl>
    <w:p>
      <w:pPr>
        <w:sectPr>
          <w:footnotePr>
            <w:pos w:val="pageBottom"/>
            <w:numFmt w:val="decimal"/>
            <w:numStart w:val="1"/>
            <w:numRestart w:val="continuous"/>
            <w15:footnoteColumns w:val="1"/>
          </w:footnotePr>
          <w:pgSz w:w="11900" w:h="16840"/>
          <w:pgMar w:top="1559" w:right="1420" w:bottom="2234" w:left="1696" w:header="0" w:footer="3" w:gutter="0"/>
          <w:cols w:space="720"/>
          <w:noEndnote/>
          <w:rtlGutter w:val="0"/>
          <w:docGrid w:linePitch="360"/>
        </w:sectPr>
      </w:pPr>
    </w:p>
    <w:p>
      <w:pPr>
        <w:pStyle w:val="Style72"/>
        <w:keepNext w:val="0"/>
        <w:keepLines w:val="0"/>
        <w:widowControl w:val="0"/>
        <w:shd w:val="clear" w:color="auto" w:fill="auto"/>
        <w:tabs>
          <w:tab w:pos="708" w:val="left"/>
        </w:tabs>
        <w:bidi w:val="0"/>
        <w:spacing w:before="0" w:after="26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ind w:left="0" w:right="0" w:firstLine="0"/>
        <w:jc w:val="left"/>
        <w:rPr>
          <w:sz w:val="28"/>
          <w:szCs w:val="28"/>
        </w:rPr>
      </w:pPr>
      <w:r>
        <w:rPr>
          <w:color w:val="000000"/>
          <w:spacing w:val="0"/>
          <w:w w:val="100"/>
          <w:position w:val="0"/>
          <w:sz w:val="24"/>
          <w:szCs w:val="24"/>
        </w:rPr>
        <w:t>（34）</w:t>
      </w:r>
      <w:r>
        <w:rPr>
          <w:rFonts w:ascii="SimSun" w:eastAsia="SimSun" w:hAnsi="SimSun" w:cs="SimSun"/>
          <w:b/>
          <w:bCs/>
          <w:color w:val="000000"/>
          <w:spacing w:val="0"/>
          <w:w w:val="100"/>
          <w:position w:val="0"/>
          <w:sz w:val="24"/>
          <w:szCs w:val="24"/>
        </w:rPr>
        <w:t>长期借款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708" w:val="left"/>
        </w:tabs>
        <w:bidi w:val="0"/>
        <w:spacing w:before="0" w:after="260" w:line="313" w:lineRule="exact"/>
        <w:ind w:right="0" w:hanging="720"/>
        <w:jc w:val="both"/>
      </w:pPr>
      <w:bookmarkStart w:id="934" w:name="bookmark934"/>
      <w:r>
        <w:rPr>
          <w:rFonts w:ascii="Arial" w:eastAsia="Arial" w:hAnsi="Arial" w:cs="Arial"/>
          <w:color w:val="000000"/>
          <w:spacing w:val="0"/>
          <w:w w:val="100"/>
          <w:position w:val="0"/>
          <w:sz w:val="24"/>
          <w:szCs w:val="24"/>
        </w:rPr>
        <w:t>（</w:t>
      </w:r>
      <w:bookmarkEnd w:id="934"/>
      <w:r>
        <w:rPr>
          <w:rFonts w:ascii="Arial" w:eastAsia="Arial" w:hAnsi="Arial" w:cs="Arial"/>
          <w:color w:val="000000"/>
          <w:spacing w:val="0"/>
          <w:w w:val="100"/>
          <w:position w:val="0"/>
          <w:sz w:val="24"/>
          <w:szCs w:val="24"/>
        </w:rPr>
        <w:t>a）</w:t>
        <w:tab/>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日，本集团所持有的中国联通</w:t>
      </w:r>
      <w:r>
        <w:rPr>
          <w:rFonts w:ascii="Arial" w:eastAsia="Arial" w:hAnsi="Arial" w:cs="Arial"/>
          <w:color w:val="000000"/>
          <w:spacing w:val="0"/>
          <w:w w:val="100"/>
          <w:position w:val="0"/>
          <w:sz w:val="24"/>
          <w:szCs w:val="24"/>
        </w:rPr>
        <w:t>585,651,537</w:t>
      </w:r>
      <w:r>
        <w:rPr>
          <w:color w:val="000000"/>
          <w:spacing w:val="0"/>
          <w:w w:val="100"/>
          <w:position w:val="0"/>
          <w:sz w:val="24"/>
          <w:szCs w:val="24"/>
        </w:rPr>
        <w:t>股流通股</w:t>
      </w:r>
      <w:r>
        <w:rPr>
          <w:rFonts w:ascii="Arial" w:eastAsia="Arial" w:hAnsi="Arial" w:cs="Arial"/>
          <w:color w:val="000000"/>
          <w:spacing w:val="0"/>
          <w:w w:val="100"/>
          <w:position w:val="0"/>
          <w:sz w:val="24"/>
          <w:szCs w:val="24"/>
        </w:rPr>
        <w:t>（</w:t>
      </w:r>
      <w:r>
        <w:rPr>
          <w:color w:val="000000"/>
          <w:spacing w:val="0"/>
          <w:w w:val="100"/>
          <w:position w:val="0"/>
          <w:sz w:val="24"/>
          <w:szCs w:val="24"/>
        </w:rPr>
        <w:t>附 注四</w:t>
      </w:r>
      <w:r>
        <w:rPr>
          <w:rFonts w:ascii="Arial" w:eastAsia="Arial" w:hAnsi="Arial" w:cs="Arial"/>
          <w:color w:val="000000"/>
          <w:spacing w:val="0"/>
          <w:w w:val="100"/>
          <w:position w:val="0"/>
          <w:sz w:val="24"/>
          <w:szCs w:val="24"/>
        </w:rPr>
        <w:t>（11））</w:t>
      </w:r>
      <w:r>
        <w:rPr>
          <w:color w:val="000000"/>
          <w:spacing w:val="0"/>
          <w:w w:val="100"/>
          <w:position w:val="0"/>
          <w:sz w:val="24"/>
          <w:szCs w:val="24"/>
        </w:rPr>
        <w:t>及其他货币资金约人民币</w:t>
      </w:r>
      <w:r>
        <w:rPr>
          <w:rFonts w:ascii="Arial" w:eastAsia="Arial" w:hAnsi="Arial" w:cs="Arial"/>
          <w:color w:val="000000"/>
          <w:spacing w:val="0"/>
          <w:w w:val="100"/>
          <w:position w:val="0"/>
          <w:sz w:val="24"/>
          <w:szCs w:val="24"/>
        </w:rPr>
        <w:t>1.46</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附注四⑴</w:t>
      </w:r>
      <w:r>
        <w:rPr>
          <w:rFonts w:ascii="Arial" w:eastAsia="Arial" w:hAnsi="Arial" w:cs="Arial"/>
          <w:color w:val="000000"/>
          <w:spacing w:val="0"/>
          <w:w w:val="100"/>
          <w:position w:val="0"/>
          <w:sz w:val="24"/>
          <w:szCs w:val="24"/>
        </w:rPr>
        <w:t>）</w:t>
      </w:r>
      <w:r>
        <w:rPr>
          <w:color w:val="000000"/>
          <w:spacing w:val="0"/>
          <w:w w:val="100"/>
          <w:position w:val="0"/>
          <w:sz w:val="24"/>
          <w:szCs w:val="24"/>
        </w:rPr>
        <w:t>质押用于取得一年内 到期的长期借款人民币</w:t>
      </w:r>
      <w:r>
        <w:rPr>
          <w:rFonts w:ascii="Arial" w:eastAsia="Arial" w:hAnsi="Arial" w:cs="Arial"/>
          <w:color w:val="000000"/>
          <w:spacing w:val="0"/>
          <w:w w:val="100"/>
          <w:position w:val="0"/>
          <w:sz w:val="24"/>
          <w:szCs w:val="24"/>
        </w:rPr>
        <w:t>27.9</w:t>
      </w:r>
      <w:r>
        <w:rPr>
          <w:rFonts w:ascii="Arial" w:eastAsia="Arial" w:hAnsi="Arial" w:cs="Arial"/>
          <w:color w:val="000000"/>
          <w:spacing w:val="0"/>
          <w:w w:val="100"/>
          <w:position w:val="0"/>
          <w:sz w:val="24"/>
          <w:szCs w:val="24"/>
        </w:rPr>
        <w:t>2</w:t>
      </w:r>
      <w:r>
        <w:rPr>
          <w:color w:val="000000"/>
          <w:spacing w:val="0"/>
          <w:w w:val="100"/>
          <w:position w:val="0"/>
          <w:sz w:val="24"/>
          <w:szCs w:val="24"/>
        </w:rPr>
        <w:t>亿元；本集团所持有的全国</w:t>
      </w:r>
      <w:r>
        <w:rPr>
          <w:rFonts w:ascii="Arial" w:eastAsia="Arial" w:hAnsi="Arial" w:cs="Arial"/>
          <w:color w:val="000000"/>
          <w:spacing w:val="0"/>
          <w:w w:val="100"/>
          <w:position w:val="0"/>
          <w:sz w:val="24"/>
          <w:szCs w:val="24"/>
        </w:rPr>
        <w:t>37</w:t>
      </w:r>
      <w:r>
        <w:rPr>
          <w:color w:val="000000"/>
          <w:spacing w:val="0"/>
          <w:w w:val="100"/>
          <w:position w:val="0"/>
          <w:sz w:val="24"/>
          <w:szCs w:val="24"/>
        </w:rPr>
        <w:t>家百货门店项目 公司</w:t>
      </w:r>
      <w:r>
        <w:rPr>
          <w:rFonts w:ascii="Arial" w:eastAsia="Arial" w:hAnsi="Arial" w:cs="Arial"/>
          <w:color w:val="000000"/>
          <w:spacing w:val="0"/>
          <w:w w:val="100"/>
          <w:position w:val="0"/>
          <w:sz w:val="24"/>
          <w:szCs w:val="24"/>
        </w:rPr>
        <w:t>100%</w:t>
      </w:r>
      <w:r>
        <w:rPr>
          <w:color w:val="000000"/>
          <w:spacing w:val="0"/>
          <w:w w:val="100"/>
          <w:position w:val="0"/>
          <w:sz w:val="24"/>
          <w:szCs w:val="24"/>
        </w:rPr>
        <w:t>股权质押用于取得一年内到期的长期借款人民币</w:t>
      </w:r>
      <w:r>
        <w:rPr>
          <w:rFonts w:ascii="Arial" w:eastAsia="Arial" w:hAnsi="Arial" w:cs="Arial"/>
          <w:color w:val="000000"/>
          <w:spacing w:val="0"/>
          <w:w w:val="100"/>
          <w:position w:val="0"/>
          <w:sz w:val="24"/>
          <w:szCs w:val="24"/>
        </w:rPr>
        <w:t>12.15</w:t>
      </w:r>
      <w:r>
        <w:rPr>
          <w:color w:val="000000"/>
          <w:spacing w:val="0"/>
          <w:w w:val="100"/>
          <w:position w:val="0"/>
          <w:sz w:val="24"/>
          <w:szCs w:val="24"/>
        </w:rPr>
        <w:t>亿元；本集 团所持有的家乐福中国</w:t>
      </w:r>
      <w:r>
        <w:rPr>
          <w:rFonts w:ascii="Arial" w:eastAsia="Arial" w:hAnsi="Arial" w:cs="Arial"/>
          <w:color w:val="000000"/>
          <w:spacing w:val="0"/>
          <w:w w:val="100"/>
          <w:position w:val="0"/>
          <w:sz w:val="24"/>
          <w:szCs w:val="24"/>
        </w:rPr>
        <w:t>80%</w:t>
      </w:r>
      <w:r>
        <w:rPr>
          <w:color w:val="000000"/>
          <w:spacing w:val="0"/>
          <w:w w:val="100"/>
          <w:position w:val="0"/>
          <w:sz w:val="24"/>
          <w:szCs w:val="24"/>
        </w:rPr>
        <w:t>的股权质押用于取得一年内到期的长期借款约人 民币</w:t>
      </w:r>
      <w:r>
        <w:rPr>
          <w:rFonts w:ascii="Arial" w:eastAsia="Arial" w:hAnsi="Arial" w:cs="Arial"/>
          <w:color w:val="000000"/>
          <w:spacing w:val="0"/>
          <w:w w:val="100"/>
          <w:position w:val="0"/>
          <w:sz w:val="24"/>
          <w:szCs w:val="24"/>
        </w:rPr>
        <w:t>12.75</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日：持有的中国联通</w:t>
      </w:r>
      <w:r>
        <w:rPr>
          <w:rFonts w:ascii="Arial" w:eastAsia="Arial" w:hAnsi="Arial" w:cs="Arial"/>
          <w:color w:val="000000"/>
          <w:spacing w:val="0"/>
          <w:w w:val="100"/>
          <w:position w:val="0"/>
          <w:sz w:val="24"/>
          <w:szCs w:val="24"/>
        </w:rPr>
        <w:t>585,651,537</w:t>
      </w:r>
      <w:r>
        <w:rPr>
          <w:color w:val="000000"/>
          <w:spacing w:val="0"/>
          <w:w w:val="100"/>
          <w:position w:val="0"/>
          <w:sz w:val="24"/>
          <w:szCs w:val="24"/>
        </w:rPr>
        <w:t>股限售 流通股</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（11））</w:t>
      </w:r>
      <w:r>
        <w:rPr>
          <w:color w:val="000000"/>
          <w:spacing w:val="0"/>
          <w:w w:val="100"/>
          <w:position w:val="0"/>
          <w:sz w:val="24"/>
          <w:szCs w:val="24"/>
        </w:rPr>
        <w:t>及其他货币资金约人民币</w:t>
      </w:r>
      <w:r>
        <w:rPr>
          <w:rFonts w:ascii="Arial" w:eastAsia="Arial" w:hAnsi="Arial" w:cs="Arial"/>
          <w:color w:val="000000"/>
          <w:spacing w:val="0"/>
          <w:w w:val="100"/>
          <w:position w:val="0"/>
          <w:sz w:val="24"/>
          <w:szCs w:val="24"/>
        </w:rPr>
        <w:t>7,818</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附注四⑴</w:t>
      </w:r>
      <w:r>
        <w:rPr>
          <w:rFonts w:ascii="Arial" w:eastAsia="Arial" w:hAnsi="Arial" w:cs="Arial"/>
          <w:color w:val="000000"/>
          <w:spacing w:val="0"/>
          <w:w w:val="100"/>
          <w:position w:val="0"/>
          <w:sz w:val="24"/>
          <w:szCs w:val="24"/>
        </w:rPr>
        <w:t>）</w:t>
      </w:r>
      <w:r>
        <w:rPr>
          <w:color w:val="000000"/>
          <w:spacing w:val="0"/>
          <w:w w:val="100"/>
          <w:position w:val="0"/>
          <w:sz w:val="24"/>
          <w:szCs w:val="24"/>
        </w:rPr>
        <w:t>质押用于 取得一年内到期的长期借款人民币</w:t>
      </w:r>
      <w:r>
        <w:rPr>
          <w:rFonts w:ascii="Arial" w:eastAsia="Arial" w:hAnsi="Arial" w:cs="Arial"/>
          <w:color w:val="000000"/>
          <w:spacing w:val="0"/>
          <w:w w:val="100"/>
          <w:position w:val="0"/>
          <w:sz w:val="24"/>
          <w:szCs w:val="24"/>
        </w:rPr>
        <w:t>27.94</w:t>
      </w:r>
      <w:r>
        <w:rPr>
          <w:color w:val="000000"/>
          <w:spacing w:val="0"/>
          <w:w w:val="100"/>
          <w:position w:val="0"/>
          <w:sz w:val="24"/>
          <w:szCs w:val="24"/>
        </w:rPr>
        <w:t>亿元；本集团所持有的全国</w:t>
      </w:r>
      <w:r>
        <w:rPr>
          <w:rFonts w:ascii="Arial" w:eastAsia="Arial" w:hAnsi="Arial" w:cs="Arial"/>
          <w:color w:val="000000"/>
          <w:spacing w:val="0"/>
          <w:w w:val="100"/>
          <w:position w:val="0"/>
          <w:sz w:val="24"/>
          <w:szCs w:val="24"/>
        </w:rPr>
        <w:t>37</w:t>
      </w:r>
      <w:r>
        <w:rPr>
          <w:color w:val="000000"/>
          <w:spacing w:val="0"/>
          <w:w w:val="100"/>
          <w:position w:val="0"/>
          <w:sz w:val="24"/>
          <w:szCs w:val="24"/>
        </w:rPr>
        <w:t>家百 货门店项目公司</w:t>
      </w:r>
      <w:r>
        <w:rPr>
          <w:rFonts w:ascii="Arial" w:eastAsia="Arial" w:hAnsi="Arial" w:cs="Arial"/>
          <w:color w:val="000000"/>
          <w:spacing w:val="0"/>
          <w:w w:val="100"/>
          <w:position w:val="0"/>
          <w:sz w:val="24"/>
          <w:szCs w:val="24"/>
        </w:rPr>
        <w:t>100%</w:t>
      </w:r>
      <w:r>
        <w:rPr>
          <w:color w:val="000000"/>
          <w:spacing w:val="0"/>
          <w:w w:val="100"/>
          <w:position w:val="0"/>
          <w:sz w:val="24"/>
          <w:szCs w:val="24"/>
        </w:rPr>
        <w:t>股权质押用于取得一年内到期的长期借款人民币</w:t>
      </w:r>
      <w:r>
        <w:rPr>
          <w:rFonts w:ascii="Arial" w:eastAsia="Arial" w:hAnsi="Arial" w:cs="Arial"/>
          <w:color w:val="000000"/>
          <w:spacing w:val="0"/>
          <w:w w:val="100"/>
          <w:position w:val="0"/>
          <w:sz w:val="24"/>
          <w:szCs w:val="24"/>
        </w:rPr>
        <w:t xml:space="preserve">13.20 </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tabs>
          <w:tab w:pos="708" w:val="left"/>
        </w:tabs>
        <w:bidi w:val="0"/>
        <w:spacing w:before="0" w:after="260" w:line="312" w:lineRule="exact"/>
        <w:ind w:right="0" w:hanging="720"/>
        <w:jc w:val="both"/>
      </w:pPr>
      <w:bookmarkStart w:id="935" w:name="bookmark935"/>
      <w:r>
        <w:rPr>
          <w:rFonts w:ascii="Arial" w:eastAsia="Arial" w:hAnsi="Arial" w:cs="Arial"/>
          <w:color w:val="000000"/>
          <w:spacing w:val="0"/>
          <w:w w:val="100"/>
          <w:position w:val="0"/>
          <w:sz w:val="24"/>
          <w:szCs w:val="24"/>
        </w:rPr>
        <w:t>（</w:t>
      </w:r>
      <w:bookmarkEnd w:id="935"/>
      <w:r>
        <w:rPr>
          <w:rFonts w:ascii="Arial" w:eastAsia="Arial" w:hAnsi="Arial" w:cs="Arial"/>
          <w:color w:val="000000"/>
          <w:spacing w:val="0"/>
          <w:w w:val="100"/>
          <w:position w:val="0"/>
          <w:sz w:val="24"/>
          <w:szCs w:val="24"/>
        </w:rPr>
        <w:t>b）</w:t>
        <w:tab/>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日，本集团账面价值约为人民币约</w:t>
      </w:r>
      <w:r>
        <w:rPr>
          <w:rFonts w:ascii="Arial" w:eastAsia="Arial" w:hAnsi="Arial" w:cs="Arial"/>
          <w:color w:val="000000"/>
          <w:spacing w:val="0"/>
          <w:w w:val="100"/>
          <w:position w:val="0"/>
          <w:sz w:val="24"/>
          <w:szCs w:val="24"/>
        </w:rPr>
        <w:t>7.79</w:t>
      </w:r>
      <w:r>
        <w:rPr>
          <w:color w:val="000000"/>
          <w:spacing w:val="0"/>
          <w:w w:val="100"/>
          <w:position w:val="0"/>
          <w:sz w:val="24"/>
          <w:szCs w:val="24"/>
        </w:rPr>
        <w:t>亿元的固定资产</w:t>
      </w:r>
      <w:r>
        <w:rPr>
          <w:rFonts w:ascii="Arial" w:eastAsia="Arial" w:hAnsi="Arial" w:cs="Arial"/>
          <w:color w:val="000000"/>
          <w:spacing w:val="0"/>
          <w:w w:val="100"/>
          <w:position w:val="0"/>
          <w:sz w:val="24"/>
          <w:szCs w:val="24"/>
        </w:rPr>
        <w:t>（</w:t>
      </w:r>
      <w:r>
        <w:rPr>
          <w:color w:val="000000"/>
          <w:spacing w:val="0"/>
          <w:w w:val="100"/>
          <w:position w:val="0"/>
          <w:sz w:val="24"/>
          <w:szCs w:val="24"/>
        </w:rPr>
        <w:t>附 注四</w:t>
      </w:r>
      <w:r>
        <w:rPr>
          <w:rFonts w:ascii="Arial" w:eastAsia="Arial" w:hAnsi="Arial" w:cs="Arial"/>
          <w:color w:val="000000"/>
          <w:spacing w:val="0"/>
          <w:w w:val="100"/>
          <w:position w:val="0"/>
          <w:sz w:val="24"/>
          <w:szCs w:val="24"/>
        </w:rPr>
        <w:t>（15））</w:t>
      </w:r>
      <w:r>
        <w:rPr>
          <w:color w:val="000000"/>
          <w:spacing w:val="0"/>
          <w:w w:val="100"/>
          <w:position w:val="0"/>
          <w:sz w:val="24"/>
          <w:szCs w:val="24"/>
        </w:rPr>
        <w:t>与账面价值约为人民币</w:t>
      </w:r>
      <w:r>
        <w:rPr>
          <w:rFonts w:ascii="Arial" w:eastAsia="Arial" w:hAnsi="Arial" w:cs="Arial"/>
          <w:color w:val="000000"/>
          <w:spacing w:val="0"/>
          <w:w w:val="100"/>
          <w:position w:val="0"/>
          <w:sz w:val="24"/>
          <w:szCs w:val="24"/>
        </w:rPr>
        <w:t>4.15</w:t>
      </w:r>
      <w:r>
        <w:rPr>
          <w:color w:val="000000"/>
          <w:spacing w:val="0"/>
          <w:w w:val="100"/>
          <w:position w:val="0"/>
          <w:sz w:val="24"/>
          <w:szCs w:val="24"/>
        </w:rPr>
        <w:t>亿元的土地使用权</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（18））</w:t>
      </w:r>
      <w:r>
        <w:rPr>
          <w:color w:val="000000"/>
          <w:spacing w:val="0"/>
          <w:w w:val="100"/>
          <w:position w:val="0"/>
          <w:sz w:val="24"/>
          <w:szCs w:val="24"/>
        </w:rPr>
        <w:t>抵押用 于取得一年内到期的长期借款约人民币</w:t>
      </w:r>
      <w:r>
        <w:rPr>
          <w:rFonts w:ascii="Arial" w:eastAsia="Arial" w:hAnsi="Arial" w:cs="Arial"/>
          <w:color w:val="000000"/>
          <w:spacing w:val="0"/>
          <w:w w:val="100"/>
          <w:position w:val="0"/>
          <w:sz w:val="24"/>
          <w:szCs w:val="24"/>
        </w:rPr>
        <w:t>10.58</w:t>
      </w:r>
      <w:r>
        <w:rPr>
          <w:color w:val="000000"/>
          <w:spacing w:val="0"/>
          <w:w w:val="100"/>
          <w:position w:val="0"/>
          <w:sz w:val="24"/>
          <w:szCs w:val="24"/>
        </w:rPr>
        <w:t>亿元，并由约人民币</w:t>
      </w:r>
      <w:r>
        <w:rPr>
          <w:rFonts w:ascii="Arial" w:eastAsia="Arial" w:hAnsi="Arial" w:cs="Arial"/>
          <w:color w:val="000000"/>
          <w:spacing w:val="0"/>
          <w:w w:val="100"/>
          <w:position w:val="0"/>
          <w:sz w:val="24"/>
          <w:szCs w:val="24"/>
        </w:rPr>
        <w:t>660</w:t>
      </w:r>
      <w:r>
        <w:rPr>
          <w:color w:val="000000"/>
          <w:spacing w:val="0"/>
          <w:w w:val="100"/>
          <w:position w:val="0"/>
          <w:sz w:val="24"/>
          <w:szCs w:val="24"/>
        </w:rPr>
        <w:t>万元 的长期抵押借款还款专户的其他货币资金及人民币</w:t>
      </w:r>
      <w:r>
        <w:rPr>
          <w:rFonts w:ascii="Arial" w:eastAsia="Arial" w:hAnsi="Arial" w:cs="Arial"/>
          <w:color w:val="000000"/>
          <w:spacing w:val="0"/>
          <w:w w:val="100"/>
          <w:position w:val="0"/>
          <w:sz w:val="24"/>
          <w:szCs w:val="24"/>
        </w:rPr>
        <w:t>3</w:t>
      </w:r>
      <w:r>
        <w:rPr>
          <w:color w:val="000000"/>
          <w:spacing w:val="0"/>
          <w:w w:val="100"/>
          <w:position w:val="0"/>
          <w:sz w:val="24"/>
          <w:szCs w:val="24"/>
        </w:rPr>
        <w:t>亿元的保证金</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附注四 </w:t>
      </w:r>
      <w:r>
        <w:rPr>
          <w:rFonts w:ascii="Arial" w:eastAsia="Arial" w:hAnsi="Arial" w:cs="Arial"/>
          <w:color w:val="000000"/>
          <w:spacing w:val="0"/>
          <w:w w:val="100"/>
          <w:position w:val="0"/>
          <w:sz w:val="24"/>
          <w:szCs w:val="24"/>
        </w:rPr>
        <w:t>（1））</w:t>
      </w:r>
      <w:r>
        <w:rPr>
          <w:color w:val="000000"/>
          <w:spacing w:val="0"/>
          <w:w w:val="100"/>
          <w:position w:val="0"/>
          <w:sz w:val="24"/>
          <w:szCs w:val="24"/>
        </w:rPr>
        <w:t>作质押</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日：本集团账面价值约为人民币</w:t>
      </w:r>
      <w:r>
        <w:rPr>
          <w:rFonts w:ascii="Arial" w:eastAsia="Arial" w:hAnsi="Arial" w:cs="Arial"/>
          <w:color w:val="000000"/>
          <w:spacing w:val="0"/>
          <w:w w:val="100"/>
          <w:position w:val="0"/>
          <w:sz w:val="24"/>
          <w:szCs w:val="24"/>
        </w:rPr>
        <w:t>8.08</w:t>
      </w:r>
      <w:r>
        <w:rPr>
          <w:color w:val="000000"/>
          <w:spacing w:val="0"/>
          <w:w w:val="100"/>
          <w:position w:val="0"/>
          <w:sz w:val="24"/>
          <w:szCs w:val="24"/>
        </w:rPr>
        <w:t>亿元的固 定资产</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（15））</w:t>
      </w:r>
      <w:r>
        <w:rPr>
          <w:color w:val="000000"/>
          <w:spacing w:val="0"/>
          <w:w w:val="100"/>
          <w:position w:val="0"/>
          <w:sz w:val="24"/>
          <w:szCs w:val="24"/>
        </w:rPr>
        <w:t>与账面价值约为人民币</w:t>
      </w:r>
      <w:r>
        <w:rPr>
          <w:rFonts w:ascii="Arial" w:eastAsia="Arial" w:hAnsi="Arial" w:cs="Arial"/>
          <w:color w:val="000000"/>
          <w:spacing w:val="0"/>
          <w:w w:val="100"/>
          <w:position w:val="0"/>
          <w:sz w:val="24"/>
          <w:szCs w:val="24"/>
        </w:rPr>
        <w:t>4.25</w:t>
      </w:r>
      <w:r>
        <w:rPr>
          <w:color w:val="000000"/>
          <w:spacing w:val="0"/>
          <w:w w:val="100"/>
          <w:position w:val="0"/>
          <w:sz w:val="24"/>
          <w:szCs w:val="24"/>
        </w:rPr>
        <w:t>亿元的无形资产</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 xml:space="preserve">（18）） </w:t>
      </w:r>
      <w:r>
        <w:rPr>
          <w:color w:val="000000"/>
          <w:spacing w:val="0"/>
          <w:w w:val="100"/>
          <w:position w:val="0"/>
          <w:sz w:val="24"/>
          <w:szCs w:val="24"/>
        </w:rPr>
        <w:t>抵押用于取得一年内到期的长期借款约为人民币</w:t>
      </w:r>
      <w:r>
        <w:rPr>
          <w:rFonts w:ascii="Arial" w:eastAsia="Arial" w:hAnsi="Arial" w:cs="Arial"/>
          <w:color w:val="000000"/>
          <w:spacing w:val="0"/>
          <w:w w:val="100"/>
          <w:position w:val="0"/>
          <w:sz w:val="24"/>
          <w:szCs w:val="24"/>
        </w:rPr>
        <w:t>17.04</w:t>
      </w:r>
      <w:r>
        <w:rPr>
          <w:color w:val="000000"/>
          <w:spacing w:val="0"/>
          <w:w w:val="100"/>
          <w:position w:val="0"/>
          <w:sz w:val="24"/>
          <w:szCs w:val="24"/>
        </w:rPr>
        <w:t xml:space="preserve">亿元，并由约人民币 </w:t>
      </w:r>
      <w:r>
        <w:rPr>
          <w:rFonts w:ascii="Arial" w:eastAsia="Arial" w:hAnsi="Arial" w:cs="Arial"/>
          <w:color w:val="000000"/>
          <w:spacing w:val="0"/>
          <w:w w:val="100"/>
          <w:position w:val="0"/>
          <w:sz w:val="24"/>
          <w:szCs w:val="24"/>
        </w:rPr>
        <w:t>1,932</w:t>
      </w:r>
      <w:r>
        <w:rPr>
          <w:color w:val="000000"/>
          <w:spacing w:val="0"/>
          <w:w w:val="100"/>
          <w:position w:val="0"/>
          <w:sz w:val="24"/>
          <w:szCs w:val="24"/>
        </w:rPr>
        <w:t>万元的长期抵押借款还款专户的银行存款</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（1））</w:t>
      </w:r>
      <w:r>
        <w:rPr>
          <w:color w:val="000000"/>
          <w:spacing w:val="0"/>
          <w:w w:val="100"/>
          <w:position w:val="0"/>
          <w:sz w:val="24"/>
          <w:szCs w:val="24"/>
        </w:rPr>
        <w:t>作质押</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tabs>
          <w:tab w:pos="708" w:val="left"/>
        </w:tabs>
        <w:bidi w:val="0"/>
        <w:spacing w:before="0" w:after="260" w:line="301" w:lineRule="exact"/>
        <w:ind w:right="0" w:hanging="720"/>
        <w:jc w:val="both"/>
      </w:pPr>
      <w:bookmarkStart w:id="936" w:name="bookmark936"/>
      <w:r>
        <w:rPr>
          <w:rFonts w:ascii="Arial" w:eastAsia="Arial" w:hAnsi="Arial" w:cs="Arial"/>
          <w:color w:val="000000"/>
          <w:spacing w:val="0"/>
          <w:w w:val="100"/>
          <w:position w:val="0"/>
          <w:sz w:val="24"/>
          <w:szCs w:val="24"/>
        </w:rPr>
        <w:t>（</w:t>
      </w:r>
      <w:bookmarkEnd w:id="936"/>
      <w:r>
        <w:rPr>
          <w:rFonts w:ascii="Arial" w:eastAsia="Arial" w:hAnsi="Arial" w:cs="Arial"/>
          <w:color w:val="000000"/>
          <w:spacing w:val="0"/>
          <w:w w:val="100"/>
          <w:position w:val="0"/>
          <w:sz w:val="24"/>
          <w:szCs w:val="24"/>
        </w:rPr>
        <w:t>c）</w:t>
        <w:tab/>
      </w:r>
      <w:r>
        <w:rPr>
          <w:color w:val="000000"/>
          <w:spacing w:val="0"/>
          <w:w w:val="100"/>
          <w:position w:val="0"/>
          <w:sz w:val="24"/>
          <w:szCs w:val="24"/>
        </w:rPr>
        <w:t>如财务报表附注二</w:t>
      </w:r>
      <w:r>
        <w:rPr>
          <w:rFonts w:ascii="Arial" w:eastAsia="Arial" w:hAnsi="Arial" w:cs="Arial"/>
          <w:color w:val="000000"/>
          <w:spacing w:val="0"/>
          <w:w w:val="100"/>
          <w:position w:val="0"/>
          <w:sz w:val="24"/>
          <w:szCs w:val="24"/>
        </w:rPr>
        <w:t>（1）</w:t>
      </w:r>
      <w:r>
        <w:rPr>
          <w:color w:val="000000"/>
          <w:spacing w:val="0"/>
          <w:w w:val="100"/>
          <w:position w:val="0"/>
          <w:sz w:val="24"/>
          <w:szCs w:val="24"/>
        </w:rPr>
        <w:t>所述，于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年度，本集团未满足部分借款合同中约定 的财务指标要求及未就某项业务安排按借款合同事先取得相关贷款银行同 意，该等事项构成本集团未能履行相关借款协议的某些约定条款，并触发其 他若干银行借款合同中的违约条款</w:t>
      </w:r>
      <w:r>
        <w:rPr>
          <w:rFonts w:ascii="Arial" w:eastAsia="Arial" w:hAnsi="Arial" w:cs="Arial"/>
          <w:color w:val="000000"/>
          <w:spacing w:val="0"/>
          <w:w w:val="100"/>
          <w:position w:val="0"/>
          <w:sz w:val="24"/>
          <w:szCs w:val="24"/>
        </w:rPr>
        <w:t>（</w:t>
      </w:r>
      <w:r>
        <w:rPr>
          <w:color w:val="000000"/>
          <w:spacing w:val="0"/>
          <w:w w:val="100"/>
          <w:position w:val="0"/>
          <w:sz w:val="24"/>
          <w:szCs w:val="24"/>
        </w:rPr>
        <w:t>以下合称</w:t>
      </w:r>
      <w:r>
        <w:rPr>
          <w:rFonts w:ascii="Arial" w:eastAsia="Arial" w:hAnsi="Arial" w:cs="Arial"/>
          <w:color w:val="000000"/>
          <w:spacing w:val="0"/>
          <w:w w:val="100"/>
          <w:position w:val="0"/>
          <w:sz w:val="24"/>
          <w:szCs w:val="24"/>
        </w:rPr>
        <w:t>“</w:t>
      </w:r>
      <w:r>
        <w:rPr>
          <w:color w:val="000000"/>
          <w:spacing w:val="0"/>
          <w:w w:val="100"/>
          <w:position w:val="0"/>
          <w:sz w:val="24"/>
          <w:szCs w:val="24"/>
        </w:rPr>
        <w:t>违约事项</w:t>
      </w:r>
      <w:r>
        <w:rPr>
          <w:rFonts w:ascii="Arial" w:eastAsia="Arial" w:hAnsi="Arial" w:cs="Arial"/>
          <w:color w:val="000000"/>
          <w:spacing w:val="0"/>
          <w:w w:val="100"/>
          <w:position w:val="0"/>
          <w:sz w:val="24"/>
          <w:szCs w:val="24"/>
        </w:rPr>
        <w:t>”）</w:t>
      </w:r>
      <w:r>
        <w:rPr>
          <w:color w:val="000000"/>
          <w:spacing w:val="0"/>
          <w:w w:val="100"/>
          <w:position w:val="0"/>
          <w:sz w:val="24"/>
          <w:szCs w:val="24"/>
        </w:rPr>
        <w:t>。该违约事项导致相 关银行及其他金融机构有权要求本集团提前偿还相关借款全部本金及利息。 该等借款本金及利息于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日之余额共计人民币</w:t>
      </w:r>
      <w:r>
        <w:rPr>
          <w:rFonts w:ascii="Arial" w:eastAsia="Arial" w:hAnsi="Arial" w:cs="Arial"/>
          <w:color w:val="000000"/>
          <w:spacing w:val="0"/>
          <w:w w:val="100"/>
          <w:position w:val="0"/>
          <w:sz w:val="24"/>
          <w:szCs w:val="24"/>
        </w:rPr>
        <w:t>191.05</w:t>
      </w:r>
      <w:r>
        <w:rPr>
          <w:color w:val="000000"/>
          <w:spacing w:val="0"/>
          <w:w w:val="100"/>
          <w:position w:val="0"/>
          <w:sz w:val="24"/>
          <w:szCs w:val="24"/>
        </w:rPr>
        <w:t>亿元，其中 包括短期借款本息计人民币</w:t>
      </w:r>
      <w:r>
        <w:rPr>
          <w:rFonts w:ascii="Arial" w:eastAsia="Arial" w:hAnsi="Arial" w:cs="Arial"/>
          <w:color w:val="000000"/>
          <w:spacing w:val="0"/>
          <w:w w:val="100"/>
          <w:position w:val="0"/>
          <w:sz w:val="24"/>
          <w:szCs w:val="24"/>
        </w:rPr>
        <w:t>127.54</w:t>
      </w:r>
      <w:r>
        <w:rPr>
          <w:color w:val="000000"/>
          <w:spacing w:val="0"/>
          <w:w w:val="100"/>
          <w:position w:val="0"/>
          <w:sz w:val="24"/>
          <w:szCs w:val="24"/>
        </w:rPr>
        <w:t>亿元、一年内到期的长期借款本息计人民 币</w:t>
      </w:r>
      <w:r>
        <w:rPr>
          <w:rFonts w:ascii="Arial" w:eastAsia="Arial" w:hAnsi="Arial" w:cs="Arial"/>
          <w:color w:val="000000"/>
          <w:spacing w:val="0"/>
          <w:w w:val="100"/>
          <w:position w:val="0"/>
          <w:sz w:val="24"/>
          <w:szCs w:val="24"/>
        </w:rPr>
        <w:t>55.4</w:t>
      </w:r>
      <w:r>
        <w:rPr>
          <w:rFonts w:ascii="Arial" w:eastAsia="Arial" w:hAnsi="Arial" w:cs="Arial"/>
          <w:color w:val="000000"/>
          <w:spacing w:val="0"/>
          <w:w w:val="100"/>
          <w:position w:val="0"/>
          <w:sz w:val="24"/>
          <w:szCs w:val="24"/>
        </w:rPr>
        <w:t>1</w:t>
      </w:r>
      <w:r>
        <w:rPr>
          <w:color w:val="000000"/>
          <w:spacing w:val="0"/>
          <w:w w:val="100"/>
          <w:position w:val="0"/>
          <w:sz w:val="24"/>
          <w:szCs w:val="24"/>
        </w:rPr>
        <w:t>亿元和原合同约定到期日为</w:t>
      </w:r>
      <w:r>
        <w:rPr>
          <w:rFonts w:ascii="Arial" w:eastAsia="Arial" w:hAnsi="Arial" w:cs="Arial"/>
          <w:color w:val="000000"/>
          <w:spacing w:val="0"/>
          <w:w w:val="100"/>
          <w:position w:val="0"/>
          <w:sz w:val="24"/>
          <w:szCs w:val="24"/>
        </w:rPr>
        <w:t>2022</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日之后的长期借款本金计 人民币</w:t>
      </w:r>
      <w:r>
        <w:rPr>
          <w:rFonts w:ascii="Arial" w:eastAsia="Arial" w:hAnsi="Arial" w:cs="Arial"/>
          <w:color w:val="000000"/>
          <w:spacing w:val="0"/>
          <w:w w:val="100"/>
          <w:position w:val="0"/>
          <w:sz w:val="24"/>
          <w:szCs w:val="24"/>
        </w:rPr>
        <w:t>8.10</w:t>
      </w:r>
      <w:r>
        <w:rPr>
          <w:color w:val="000000"/>
          <w:spacing w:val="0"/>
          <w:w w:val="100"/>
          <w:position w:val="0"/>
          <w:sz w:val="24"/>
          <w:szCs w:val="24"/>
        </w:rPr>
        <w:t>亿元。该长期借款人民币</w:t>
      </w:r>
      <w:r>
        <w:rPr>
          <w:rFonts w:ascii="Arial" w:eastAsia="Arial" w:hAnsi="Arial" w:cs="Arial"/>
          <w:color w:val="000000"/>
          <w:spacing w:val="0"/>
          <w:w w:val="100"/>
          <w:position w:val="0"/>
          <w:sz w:val="24"/>
          <w:szCs w:val="24"/>
        </w:rPr>
        <w:t>8.10</w:t>
      </w:r>
      <w:r>
        <w:rPr>
          <w:color w:val="000000"/>
          <w:spacing w:val="0"/>
          <w:w w:val="100"/>
          <w:position w:val="0"/>
          <w:sz w:val="24"/>
          <w:szCs w:val="24"/>
        </w:rPr>
        <w:t>亿元已在本年度财务报表中列示为一 年内到期的非流动负债</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（32））</w:t>
      </w:r>
      <w:r>
        <w:rPr>
          <w:color w:val="000000"/>
          <w:spacing w:val="0"/>
          <w:w w:val="100"/>
          <w:position w:val="0"/>
          <w:sz w:val="24"/>
          <w:szCs w:val="24"/>
        </w:rPr>
        <w:t>。</w:t>
      </w:r>
    </w:p>
    <w:p>
      <w:pPr>
        <w:pStyle w:val="Style92"/>
        <w:keepNext w:val="0"/>
        <w:keepLines w:val="0"/>
        <w:widowControl w:val="0"/>
        <w:shd w:val="clear" w:color="auto" w:fill="auto"/>
        <w:tabs>
          <w:tab w:pos="708" w:val="left"/>
        </w:tabs>
        <w:bidi w:val="0"/>
        <w:spacing w:before="0" w:line="312" w:lineRule="exact"/>
        <w:ind w:left="720" w:right="0" w:hanging="720"/>
        <w:jc w:val="both"/>
      </w:pPr>
      <w:bookmarkStart w:id="937" w:name="bookmark937"/>
      <w:r>
        <w:rPr>
          <w:color w:val="000000"/>
          <w:spacing w:val="0"/>
          <w:w w:val="100"/>
          <w:position w:val="0"/>
          <w:sz w:val="24"/>
          <w:szCs w:val="24"/>
        </w:rPr>
        <w:t>（</w:t>
      </w:r>
      <w:bookmarkEnd w:id="937"/>
      <w:r>
        <w:rPr>
          <w:color w:val="000000"/>
          <w:spacing w:val="0"/>
          <w:w w:val="100"/>
          <w:position w:val="0"/>
          <w:sz w:val="24"/>
          <w:szCs w:val="24"/>
        </w:rPr>
        <w:t>d）</w:t>
        <w:tab/>
      </w:r>
      <w:r>
        <w:rPr>
          <w:rFonts w:ascii="SimSun" w:eastAsia="SimSun" w:hAnsi="SimSun" w:cs="SimSun"/>
          <w:color w:val="000000"/>
          <w:spacing w:val="0"/>
          <w:w w:val="100"/>
          <w:position w:val="0"/>
          <w:sz w:val="24"/>
          <w:szCs w:val="24"/>
        </w:rPr>
        <w:t>于</w:t>
      </w: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日，长期借款的利率区间为</w:t>
      </w:r>
      <w:r>
        <w:rPr>
          <w:color w:val="000000"/>
          <w:spacing w:val="0"/>
          <w:w w:val="100"/>
          <w:position w:val="0"/>
          <w:sz w:val="24"/>
          <w:szCs w:val="24"/>
        </w:rPr>
        <w:t>1.91%</w:t>
      </w:r>
      <w:r>
        <w:rPr>
          <w:rFonts w:ascii="SimSun" w:eastAsia="SimSun" w:hAnsi="SimSun" w:cs="SimSun"/>
          <w:color w:val="000000"/>
          <w:spacing w:val="0"/>
          <w:w w:val="100"/>
          <w:position w:val="0"/>
          <w:sz w:val="24"/>
          <w:szCs w:val="24"/>
        </w:rPr>
        <w:t>至</w:t>
      </w:r>
      <w:r>
        <w:rPr>
          <w:color w:val="000000"/>
          <w:spacing w:val="0"/>
          <w:w w:val="100"/>
          <w:position w:val="0"/>
          <w:sz w:val="24"/>
          <w:szCs w:val="24"/>
        </w:rPr>
        <w:t>5.75%（2020</w:t>
      </w:r>
      <w:r>
        <w:rPr>
          <w:rFonts w:ascii="SimSun" w:eastAsia="SimSun" w:hAnsi="SimSun" w:cs="SimSun"/>
          <w:color w:val="000000"/>
          <w:spacing w:val="0"/>
          <w:w w:val="100"/>
          <w:position w:val="0"/>
          <w:sz w:val="24"/>
          <w:szCs w:val="24"/>
        </w:rPr>
        <w:t>年</w:t>
      </w:r>
      <w:r>
        <w:rPr>
          <w:color w:val="000000"/>
          <w:spacing w:val="0"/>
          <w:w w:val="100"/>
          <w:position w:val="0"/>
          <w:sz w:val="24"/>
          <w:szCs w:val="24"/>
        </w:rPr>
        <w:t xml:space="preserve">12 </w:t>
      </w:r>
      <w:r>
        <w:rPr>
          <w:rFonts w:ascii="SimSun" w:eastAsia="SimSun" w:hAnsi="SimSun" w:cs="SimSun"/>
          <w:color w:val="000000"/>
          <w:spacing w:val="0"/>
          <w:w w:val="100"/>
          <w:position w:val="0"/>
          <w:sz w:val="24"/>
          <w:szCs w:val="24"/>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4"/>
          <w:szCs w:val="24"/>
        </w:rPr>
        <w:t>日：</w:t>
      </w:r>
      <w:r>
        <w:rPr>
          <w:color w:val="000000"/>
          <w:spacing w:val="0"/>
          <w:w w:val="100"/>
          <w:position w:val="0"/>
          <w:sz w:val="24"/>
          <w:szCs w:val="24"/>
        </w:rPr>
        <w:t>1.69%</w:t>
      </w:r>
      <w:r>
        <w:rPr>
          <w:rFonts w:ascii="SimSun" w:eastAsia="SimSun" w:hAnsi="SimSun" w:cs="SimSun"/>
          <w:color w:val="000000"/>
          <w:spacing w:val="0"/>
          <w:w w:val="100"/>
          <w:position w:val="0"/>
          <w:sz w:val="24"/>
          <w:szCs w:val="24"/>
        </w:rPr>
        <w:t xml:space="preserve">至 </w:t>
      </w:r>
      <w:r>
        <w:rPr>
          <w:color w:val="000000"/>
          <w:spacing w:val="0"/>
          <w:w w:val="100"/>
          <w:position w:val="0"/>
          <w:sz w:val="24"/>
          <w:szCs w:val="24"/>
        </w:rPr>
        <w:t>5.75%）</w:t>
      </w:r>
      <w:r>
        <w:rPr>
          <w:rFonts w:ascii="SimSun" w:eastAsia="SimSun" w:hAnsi="SimSun" w:cs="SimSun"/>
          <w:color w:val="000000"/>
          <w:spacing w:val="0"/>
          <w:w w:val="100"/>
          <w:position w:val="0"/>
          <w:sz w:val="24"/>
          <w:szCs w:val="24"/>
        </w:rPr>
        <w:t>。</w:t>
      </w:r>
      <w:r>
        <w:br w:type="page"/>
      </w:r>
    </w:p>
    <w:p>
      <w:pPr>
        <w:pStyle w:val="Style72"/>
        <w:keepNext w:val="0"/>
        <w:keepLines w:val="0"/>
        <w:widowControl w:val="0"/>
        <w:shd w:val="clear" w:color="auto" w:fill="auto"/>
        <w:tabs>
          <w:tab w:pos="706" w:val="left"/>
        </w:tabs>
        <w:bidi w:val="0"/>
        <w:spacing w:before="0" w:after="32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2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（35）</w:t>
      </w:r>
      <w:r>
        <w:rPr>
          <w:b/>
          <w:bCs/>
          <w:color w:val="000000"/>
          <w:spacing w:val="0"/>
          <w:w w:val="100"/>
          <w:position w:val="0"/>
          <w:sz w:val="24"/>
          <w:szCs w:val="24"/>
        </w:rPr>
        <w:t>应付债券</w:t>
      </w:r>
    </w:p>
    <w:tbl>
      <w:tblPr>
        <w:tblOverlap w:val="never"/>
        <w:jc w:val="center"/>
        <w:tblLayout w:type="fixed"/>
      </w:tblPr>
      <w:tblGrid>
        <w:gridCol w:w="1651"/>
        <w:gridCol w:w="1037"/>
        <w:gridCol w:w="878"/>
        <w:gridCol w:w="1018"/>
        <w:gridCol w:w="739"/>
        <w:gridCol w:w="989"/>
        <w:gridCol w:w="936"/>
        <w:gridCol w:w="1018"/>
      </w:tblGrid>
      <w:tr>
        <w:trPr>
          <w:trHeight w:val="55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6"/>
                <w:szCs w:val="16"/>
              </w:rPr>
              <w:t xml:space="preserve">2020 </w:t>
            </w:r>
            <w:r>
              <w:rPr>
                <w:rFonts w:ascii="SimSun" w:eastAsia="SimSun" w:hAnsi="SimSun" w:cs="SimSun"/>
                <w:color w:val="000000"/>
                <w:spacing w:val="0"/>
                <w:w w:val="100"/>
                <w:position w:val="0"/>
                <w:sz w:val="15"/>
                <w:szCs w:val="15"/>
              </w:rPr>
              <w:t>年</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本年发行</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应付债券</w:t>
            </w:r>
          </w:p>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利息</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溢折价</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摊销</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rPr>
              <w:t>本年偿还</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转入投资</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收益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6"/>
                <w:szCs w:val="16"/>
              </w:rPr>
              <w:t xml:space="preserve">2021 </w:t>
            </w:r>
            <w:r>
              <w:rPr>
                <w:rFonts w:ascii="SimSun" w:eastAsia="SimSun" w:hAnsi="SimSun" w:cs="SimSun"/>
                <w:color w:val="000000"/>
                <w:spacing w:val="0"/>
                <w:w w:val="100"/>
                <w:position w:val="0"/>
                <w:sz w:val="15"/>
                <w:szCs w:val="15"/>
              </w:rPr>
              <w:t>年</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公司债券</w:t>
            </w:r>
            <w:r>
              <w:rPr>
                <w:rFonts w:ascii="Arial" w:eastAsia="Arial" w:hAnsi="Arial" w:cs="Arial"/>
                <w:color w:val="000000"/>
                <w:spacing w:val="0"/>
                <w:w w:val="100"/>
                <w:position w:val="0"/>
                <w:sz w:val="16"/>
                <w:szCs w:val="16"/>
              </w:rPr>
              <w:t>-18</w:t>
            </w:r>
            <w:r>
              <w:rPr>
                <w:rFonts w:ascii="SimSun" w:eastAsia="SimSun" w:hAnsi="SimSun" w:cs="SimSun"/>
                <w:color w:val="000000"/>
                <w:spacing w:val="0"/>
                <w:w w:val="100"/>
                <w:position w:val="0"/>
                <w:sz w:val="15"/>
                <w:szCs w:val="15"/>
              </w:rPr>
              <w:t>苏宁</w:t>
            </w:r>
            <w:r>
              <w:rPr>
                <w:rFonts w:ascii="Arial" w:eastAsia="Arial" w:hAnsi="Arial" w:cs="Arial"/>
                <w:color w:val="000000"/>
                <w:spacing w:val="0"/>
                <w:w w:val="100"/>
                <w:position w:val="0"/>
                <w:sz w:val="16"/>
                <w:szCs w:val="16"/>
              </w:rPr>
              <w:t>（a）</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7,349,669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( 7,009,482)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(309,587)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33,425</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公司债券</w:t>
            </w:r>
            <w:r>
              <w:rPr>
                <w:rFonts w:ascii="Arial" w:eastAsia="Arial" w:hAnsi="Arial" w:cs="Arial"/>
                <w:color w:val="000000"/>
                <w:spacing w:val="0"/>
                <w:w w:val="100"/>
                <w:position w:val="0"/>
                <w:sz w:val="16"/>
                <w:szCs w:val="16"/>
              </w:rPr>
              <w:t>-20</w:t>
            </w:r>
            <w:r>
              <w:rPr>
                <w:rFonts w:ascii="SimSun" w:eastAsia="SimSun" w:hAnsi="SimSun" w:cs="SimSun"/>
                <w:color w:val="000000"/>
                <w:spacing w:val="0"/>
                <w:w w:val="100"/>
                <w:position w:val="0"/>
                <w:sz w:val="15"/>
                <w:szCs w:val="15"/>
              </w:rPr>
              <w:t>苏宁</w:t>
            </w:r>
            <w:r>
              <w:rPr>
                <w:rFonts w:ascii="Arial" w:eastAsia="Arial" w:hAnsi="Arial" w:cs="Arial"/>
                <w:color w:val="000000"/>
                <w:spacing w:val="0"/>
                <w:w w:val="100"/>
                <w:position w:val="0"/>
                <w:sz w:val="16"/>
                <w:szCs w:val="16"/>
              </w:rPr>
              <w:t>（b）</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499,777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499,875</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应付债券利息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221,362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(200,930)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20,432</w:t>
            </w:r>
          </w:p>
        </w:tc>
      </w:tr>
      <w:tr>
        <w:trPr>
          <w:trHeight w:val="37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8,070,808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(200,930)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2,923</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(7,009,482)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(309,587)</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553,732</w:t>
            </w: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其中：一年内到期的债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券及利息</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(7,571,031)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(20,432)</w:t>
            </w:r>
          </w:p>
        </w:tc>
      </w:tr>
      <w:tr>
        <w:trPr>
          <w:trHeight w:val="269"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499,777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533,300</w:t>
            </w:r>
          </w:p>
        </w:tc>
      </w:tr>
    </w:tbl>
    <w:p>
      <w:pPr>
        <w:widowControl w:val="0"/>
        <w:spacing w:after="259" w:line="1" w:lineRule="exact"/>
      </w:pPr>
    </w:p>
    <w:p>
      <w:pPr>
        <w:pStyle w:val="Style72"/>
        <w:keepNext w:val="0"/>
        <w:keepLines w:val="0"/>
        <w:widowControl w:val="0"/>
        <w:shd w:val="clear" w:color="auto" w:fill="auto"/>
        <w:bidi w:val="0"/>
        <w:spacing w:before="0" w:after="260" w:line="240" w:lineRule="auto"/>
        <w:ind w:left="0" w:right="0" w:firstLine="700"/>
        <w:jc w:val="left"/>
      </w:pPr>
      <w:r>
        <w:rPr>
          <w:color w:val="000000"/>
          <w:spacing w:val="0"/>
          <w:w w:val="100"/>
          <w:position w:val="0"/>
          <w:sz w:val="24"/>
          <w:szCs w:val="24"/>
        </w:rPr>
        <w:t>债券有关信息如下:</w:t>
      </w:r>
    </w:p>
    <w:tbl>
      <w:tblPr>
        <w:tblOverlap w:val="never"/>
        <w:jc w:val="right"/>
        <w:tblLayout w:type="fixed"/>
      </w:tblPr>
      <w:tblGrid>
        <w:gridCol w:w="1882"/>
        <w:gridCol w:w="1190"/>
        <w:gridCol w:w="1531"/>
        <w:gridCol w:w="2510"/>
        <w:gridCol w:w="1042"/>
      </w:tblGrid>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面值</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发行日期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00" w:firstLine="0"/>
              <w:jc w:val="right"/>
              <w:rPr>
                <w:sz w:val="15"/>
                <w:szCs w:val="15"/>
              </w:rPr>
            </w:pPr>
            <w:r>
              <w:rPr>
                <w:rFonts w:ascii="SimSun" w:eastAsia="SimSun" w:hAnsi="SimSun" w:cs="SimSun"/>
                <w:color w:val="000000"/>
                <w:spacing w:val="0"/>
                <w:w w:val="100"/>
                <w:position w:val="0"/>
                <w:sz w:val="15"/>
                <w:szCs w:val="15"/>
              </w:rPr>
              <w:t>债券期限</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发行金额</w:t>
            </w:r>
          </w:p>
        </w:tc>
      </w:tr>
      <w:tr>
        <w:trPr>
          <w:trHeight w:val="74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公司债券</w:t>
            </w:r>
            <w:r>
              <w:rPr>
                <w:rFonts w:ascii="Arial" w:eastAsia="Arial" w:hAnsi="Arial" w:cs="Arial"/>
                <w:color w:val="000000"/>
                <w:spacing w:val="0"/>
                <w:w w:val="100"/>
                <w:position w:val="0"/>
                <w:sz w:val="16"/>
                <w:szCs w:val="16"/>
              </w:rPr>
              <w:t>-18</w:t>
            </w:r>
            <w:r>
              <w:rPr>
                <w:rFonts w:ascii="SimSun" w:eastAsia="SimSun" w:hAnsi="SimSun" w:cs="SimSun"/>
                <w:color w:val="000000"/>
                <w:spacing w:val="0"/>
                <w:w w:val="100"/>
                <w:position w:val="0"/>
                <w:sz w:val="15"/>
                <w:szCs w:val="15"/>
              </w:rPr>
              <w:t>苏宁</w:t>
            </w:r>
            <w:r>
              <w:rPr>
                <w:rFonts w:ascii="Arial" w:eastAsia="Arial" w:hAnsi="Arial" w:cs="Arial"/>
                <w:color w:val="000000"/>
                <w:spacing w:val="0"/>
                <w:w w:val="100"/>
                <w:position w:val="0"/>
                <w:sz w:val="16"/>
                <w:szCs w:val="16"/>
              </w:rPr>
              <w:t>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6"/>
                <w:szCs w:val="16"/>
              </w:rPr>
              <w:t>2018</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06</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15</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21" w:lineRule="exact"/>
              <w:ind w:left="0" w:right="300" w:firstLine="0"/>
              <w:jc w:val="right"/>
              <w:rPr>
                <w:sz w:val="19"/>
                <w:szCs w:val="19"/>
              </w:rPr>
            </w:pPr>
            <w:r>
              <w:rPr>
                <w:rFonts w:ascii="Arial" w:eastAsia="Arial" w:hAnsi="Arial" w:cs="Arial"/>
                <w:color w:val="000000"/>
                <w:spacing w:val="0"/>
                <w:w w:val="100"/>
                <w:position w:val="0"/>
                <w:sz w:val="16"/>
                <w:szCs w:val="16"/>
              </w:rPr>
              <w:t>5</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附第</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年末发行人上调票 面利率选择权及投资者回售选 择权</w:t>
            </w:r>
            <w:r>
              <w:rPr>
                <w:rFonts w:ascii="SimSun" w:eastAsia="SimSun" w:hAnsi="SimSun" w:cs="SimSun"/>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1,000,000</w:t>
            </w:r>
          </w:p>
        </w:tc>
      </w:tr>
      <w:tr>
        <w:trPr>
          <w:trHeight w:val="63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公司债券</w:t>
            </w:r>
            <w:r>
              <w:rPr>
                <w:rFonts w:ascii="Arial" w:eastAsia="Arial" w:hAnsi="Arial" w:cs="Arial"/>
                <w:color w:val="000000"/>
                <w:spacing w:val="0"/>
                <w:w w:val="100"/>
                <w:position w:val="0"/>
                <w:sz w:val="16"/>
                <w:szCs w:val="16"/>
              </w:rPr>
              <w:t>-18</w:t>
            </w:r>
            <w:r>
              <w:rPr>
                <w:rFonts w:ascii="SimSun" w:eastAsia="SimSun" w:hAnsi="SimSun" w:cs="SimSun"/>
                <w:color w:val="000000"/>
                <w:spacing w:val="0"/>
                <w:w w:val="100"/>
                <w:position w:val="0"/>
                <w:sz w:val="15"/>
                <w:szCs w:val="15"/>
              </w:rPr>
              <w:t>苏宁</w:t>
            </w:r>
            <w:r>
              <w:rPr>
                <w:rFonts w:ascii="Arial" w:eastAsia="Arial" w:hAnsi="Arial" w:cs="Arial"/>
                <w:color w:val="000000"/>
                <w:spacing w:val="0"/>
                <w:w w:val="100"/>
                <w:position w:val="0"/>
                <w:sz w:val="16"/>
                <w:szCs w:val="16"/>
              </w:rPr>
              <w:t>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2018</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11</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16</w:t>
            </w:r>
            <w:r>
              <w:rPr>
                <w:rFonts w:ascii="SimSun" w:eastAsia="SimSun" w:hAnsi="SimSun" w:cs="SimSun"/>
                <w:color w:val="000000"/>
                <w:spacing w:val="0"/>
                <w:w w:val="100"/>
                <w:position w:val="0"/>
                <w:sz w:val="15"/>
                <w:szCs w:val="15"/>
              </w:rPr>
              <w:t>日</w:t>
            </w:r>
          </w:p>
        </w:tc>
        <w:tc>
          <w:tcPr>
            <w:tcBorders/>
            <w:shd w:val="clear" w:color="auto" w:fill="FFFFFF"/>
            <w:vAlign w:val="top"/>
          </w:tcPr>
          <w:p>
            <w:pPr>
              <w:pStyle w:val="Style29"/>
              <w:keepNext w:val="0"/>
              <w:keepLines w:val="0"/>
              <w:widowControl w:val="0"/>
              <w:shd w:val="clear" w:color="auto" w:fill="auto"/>
              <w:bidi w:val="0"/>
              <w:spacing w:before="0" w:after="0" w:line="211" w:lineRule="exact"/>
              <w:ind w:left="0" w:right="300" w:firstLine="0"/>
              <w:jc w:val="right"/>
              <w:rPr>
                <w:sz w:val="16"/>
                <w:szCs w:val="16"/>
              </w:rPr>
            </w:pPr>
            <w:r>
              <w:rPr>
                <w:rFonts w:ascii="Arial" w:eastAsia="Arial" w:hAnsi="Arial" w:cs="Arial"/>
                <w:color w:val="000000"/>
                <w:spacing w:val="0"/>
                <w:w w:val="100"/>
                <w:position w:val="0"/>
                <w:sz w:val="16"/>
                <w:szCs w:val="16"/>
              </w:rPr>
              <w:t>5</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附第</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年末发行人上调票 面利率选择权及投资者回售选 择权</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1,000,000</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公司债券</w:t>
            </w:r>
            <w:r>
              <w:rPr>
                <w:rFonts w:ascii="Arial" w:eastAsia="Arial" w:hAnsi="Arial" w:cs="Arial"/>
                <w:color w:val="000000"/>
                <w:spacing w:val="0"/>
                <w:w w:val="100"/>
                <w:position w:val="0"/>
                <w:sz w:val="16"/>
                <w:szCs w:val="16"/>
              </w:rPr>
              <w:t>-20</w:t>
            </w:r>
            <w:r>
              <w:rPr>
                <w:rFonts w:ascii="SimSun" w:eastAsia="SimSun" w:hAnsi="SimSun" w:cs="SimSun"/>
                <w:color w:val="000000"/>
                <w:spacing w:val="0"/>
                <w:w w:val="100"/>
                <w:position w:val="0"/>
                <w:sz w:val="15"/>
                <w:szCs w:val="15"/>
              </w:rPr>
              <w:t>苏宁</w:t>
            </w:r>
            <w:r>
              <w:rPr>
                <w:rFonts w:ascii="Arial" w:eastAsia="Arial" w:hAnsi="Arial" w:cs="Arial"/>
                <w:color w:val="000000"/>
                <w:spacing w:val="0"/>
                <w:w w:val="100"/>
                <w:position w:val="0"/>
                <w:sz w:val="16"/>
                <w:szCs w:val="16"/>
              </w:rPr>
              <w:t>01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03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13</w:t>
            </w:r>
            <w:r>
              <w:rPr>
                <w:rFonts w:ascii="SimSun" w:eastAsia="SimSun" w:hAnsi="SimSun" w:cs="SimSun"/>
                <w:color w:val="000000"/>
                <w:spacing w:val="0"/>
                <w:w w:val="100"/>
                <w:position w:val="0"/>
                <w:sz w:val="15"/>
                <w:szCs w:val="15"/>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00" w:firstLine="0"/>
              <w:jc w:val="right"/>
              <w:rPr>
                <w:sz w:val="15"/>
                <w:szCs w:val="15"/>
              </w:rPr>
            </w:pP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500,000</w:t>
            </w:r>
          </w:p>
        </w:tc>
      </w:tr>
    </w:tbl>
    <w:p>
      <w:pPr>
        <w:sectPr>
          <w:footnotePr>
            <w:pos w:val="pageBottom"/>
            <w:numFmt w:val="decimal"/>
            <w:numStart w:val="1"/>
            <w:numRestart w:val="continuous"/>
            <w15:footnoteColumns w:val="1"/>
          </w:footnotePr>
          <w:pgSz w:w="11900" w:h="16840"/>
          <w:pgMar w:top="2338" w:right="1268" w:bottom="3312" w:left="1665" w:header="0" w:footer="3" w:gutter="0"/>
          <w:cols w:space="720"/>
          <w:noEndnote/>
          <w:rtlGutter w:val="0"/>
          <w:docGrid w:linePitch="360"/>
        </w:sectPr>
      </w:pPr>
    </w:p>
    <w:p>
      <w:pPr>
        <w:pStyle w:val="Style72"/>
        <w:keepNext w:val="0"/>
        <w:keepLines w:val="0"/>
        <w:widowControl w:val="0"/>
        <w:shd w:val="clear" w:color="auto" w:fill="auto"/>
        <w:tabs>
          <w:tab w:pos="704"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after="240" w:line="276" w:lineRule="auto"/>
        <w:ind w:left="0" w:right="0" w:firstLine="0"/>
        <w:jc w:val="left"/>
        <w:rPr>
          <w:sz w:val="28"/>
          <w:szCs w:val="28"/>
        </w:rPr>
      </w:pPr>
      <w:r>
        <w:rPr>
          <w:color w:val="000000"/>
          <w:spacing w:val="0"/>
          <w:w w:val="100"/>
          <w:position w:val="0"/>
          <w:sz w:val="24"/>
          <w:szCs w:val="24"/>
        </w:rPr>
        <w:t>(35)</w:t>
      </w:r>
      <w:r>
        <w:rPr>
          <w:rFonts w:ascii="SimSun" w:eastAsia="SimSun" w:hAnsi="SimSun" w:cs="SimSun"/>
          <w:b/>
          <w:bCs/>
          <w:color w:val="000000"/>
          <w:spacing w:val="0"/>
          <w:w w:val="100"/>
          <w:position w:val="0"/>
          <w:sz w:val="24"/>
          <w:szCs w:val="24"/>
        </w:rPr>
        <w:t>应付债券</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numPr>
          <w:ilvl w:val="0"/>
          <w:numId w:val="99"/>
        </w:numPr>
        <w:shd w:val="clear" w:color="auto" w:fill="auto"/>
        <w:tabs>
          <w:tab w:pos="704" w:val="left"/>
        </w:tabs>
        <w:bidi w:val="0"/>
        <w:spacing w:before="0" w:after="240" w:line="317" w:lineRule="exact"/>
        <w:ind w:right="0" w:hanging="720"/>
        <w:jc w:val="both"/>
      </w:pPr>
      <w:bookmarkStart w:id="938" w:name="bookmark938"/>
      <w:bookmarkEnd w:id="938"/>
      <w:r>
        <w:rPr>
          <w:color w:val="000000"/>
          <w:spacing w:val="0"/>
          <w:w w:val="100"/>
          <w:position w:val="0"/>
          <w:sz w:val="24"/>
          <w:szCs w:val="24"/>
        </w:rPr>
        <w:t>经中国证券监督管理委员会证监许可</w:t>
      </w:r>
      <w:r>
        <w:rPr>
          <w:rFonts w:ascii="Arial" w:eastAsia="Arial" w:hAnsi="Arial" w:cs="Arial"/>
          <w:color w:val="000000"/>
          <w:spacing w:val="0"/>
          <w:w w:val="100"/>
          <w:position w:val="0"/>
          <w:sz w:val="24"/>
          <w:szCs w:val="24"/>
        </w:rPr>
        <w:t>[2017]2128</w:t>
      </w:r>
      <w:r>
        <w:rPr>
          <w:color w:val="000000"/>
          <w:spacing w:val="0"/>
          <w:w w:val="100"/>
          <w:position w:val="0"/>
          <w:sz w:val="24"/>
          <w:szCs w:val="24"/>
        </w:rPr>
        <w:t>号文核准，本公司获准向社 会公开发行面值不超过</w:t>
      </w:r>
      <w:r>
        <w:rPr>
          <w:rFonts w:ascii="Arial" w:eastAsia="Arial" w:hAnsi="Arial" w:cs="Arial"/>
          <w:color w:val="000000"/>
          <w:spacing w:val="0"/>
          <w:w w:val="100"/>
          <w:position w:val="0"/>
          <w:sz w:val="24"/>
          <w:szCs w:val="24"/>
        </w:rPr>
        <w:t>100</w:t>
      </w:r>
      <w:r>
        <w:rPr>
          <w:color w:val="000000"/>
          <w:spacing w:val="0"/>
          <w:w w:val="100"/>
          <w:position w:val="0"/>
          <w:sz w:val="24"/>
          <w:szCs w:val="24"/>
        </w:rPr>
        <w:t>亿元的公司债券，该公司债券采取分期发行的方 式。</w:t>
      </w:r>
    </w:p>
    <w:p>
      <w:pPr>
        <w:pStyle w:val="Style72"/>
        <w:keepNext w:val="0"/>
        <w:keepLines w:val="0"/>
        <w:widowControl w:val="0"/>
        <w:shd w:val="clear" w:color="auto" w:fill="auto"/>
        <w:bidi w:val="0"/>
        <w:spacing w:before="0" w:after="240" w:line="322" w:lineRule="exact"/>
        <w:ind w:right="0" w:firstLine="20"/>
        <w:jc w:val="both"/>
      </w:pPr>
      <w:r>
        <w:rPr>
          <w:rFonts w:ascii="Arial" w:eastAsia="Arial" w:hAnsi="Arial" w:cs="Arial"/>
          <w:color w:val="000000"/>
          <w:spacing w:val="0"/>
          <w:w w:val="100"/>
          <w:position w:val="0"/>
          <w:sz w:val="24"/>
          <w:szCs w:val="24"/>
        </w:rPr>
        <w:t>2018</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15</w:t>
      </w:r>
      <w:r>
        <w:rPr>
          <w:color w:val="000000"/>
          <w:spacing w:val="0"/>
          <w:w w:val="100"/>
          <w:position w:val="0"/>
          <w:sz w:val="24"/>
          <w:szCs w:val="24"/>
        </w:rPr>
        <w:t>日发行</w:t>
      </w:r>
      <w:r>
        <w:rPr>
          <w:rFonts w:ascii="Arial" w:eastAsia="Arial" w:hAnsi="Arial" w:cs="Arial"/>
          <w:color w:val="000000"/>
          <w:spacing w:val="0"/>
          <w:w w:val="100"/>
          <w:position w:val="0"/>
          <w:sz w:val="24"/>
          <w:szCs w:val="24"/>
        </w:rPr>
        <w:t>18</w:t>
      </w:r>
      <w:r>
        <w:rPr>
          <w:color w:val="000000"/>
          <w:spacing w:val="0"/>
          <w:w w:val="100"/>
          <w:position w:val="0"/>
          <w:sz w:val="24"/>
          <w:szCs w:val="24"/>
        </w:rPr>
        <w:t>年公司债券</w:t>
      </w:r>
      <w:r>
        <w:rPr>
          <w:rFonts w:ascii="Arial" w:eastAsia="Arial" w:hAnsi="Arial" w:cs="Arial"/>
          <w:color w:val="000000"/>
          <w:spacing w:val="0"/>
          <w:w w:val="100"/>
          <w:position w:val="0"/>
          <w:sz w:val="24"/>
          <w:szCs w:val="24"/>
        </w:rPr>
        <w:t>(</w:t>
      </w:r>
      <w:r>
        <w:rPr>
          <w:color w:val="000000"/>
          <w:spacing w:val="0"/>
          <w:w w:val="100"/>
          <w:position w:val="0"/>
          <w:sz w:val="24"/>
          <w:szCs w:val="24"/>
        </w:rPr>
        <w:t>第三期</w:t>
      </w:r>
      <w:r>
        <w:rPr>
          <w:rFonts w:ascii="Arial" w:eastAsia="Arial" w:hAnsi="Arial" w:cs="Arial"/>
          <w:color w:val="000000"/>
          <w:spacing w:val="0"/>
          <w:w w:val="100"/>
          <w:position w:val="0"/>
          <w:sz w:val="24"/>
          <w:szCs w:val="24"/>
        </w:rPr>
        <w:t>(18</w:t>
      </w:r>
      <w:r>
        <w:rPr>
          <w:color w:val="000000"/>
          <w:spacing w:val="0"/>
          <w:w w:val="100"/>
          <w:position w:val="0"/>
          <w:sz w:val="24"/>
          <w:szCs w:val="24"/>
        </w:rPr>
        <w:t>苏宁</w:t>
      </w:r>
      <w:r>
        <w:rPr>
          <w:rFonts w:ascii="Arial" w:eastAsia="Arial" w:hAnsi="Arial" w:cs="Arial"/>
          <w:color w:val="000000"/>
          <w:spacing w:val="0"/>
          <w:w w:val="100"/>
          <w:position w:val="0"/>
          <w:sz w:val="24"/>
          <w:szCs w:val="24"/>
        </w:rPr>
        <w:t>03))</w:t>
      </w:r>
      <w:r>
        <w:rPr>
          <w:color w:val="000000"/>
          <w:spacing w:val="0"/>
          <w:w w:val="100"/>
          <w:position w:val="0"/>
          <w:sz w:val="24"/>
          <w:szCs w:val="24"/>
        </w:rPr>
        <w:t>，此债券采用单利 按年计息，固定年利率为</w:t>
      </w:r>
      <w:r>
        <w:rPr>
          <w:rFonts w:ascii="Arial" w:eastAsia="Arial" w:hAnsi="Arial" w:cs="Arial"/>
          <w:color w:val="000000"/>
          <w:spacing w:val="0"/>
          <w:w w:val="100"/>
          <w:position w:val="0"/>
          <w:sz w:val="24"/>
          <w:szCs w:val="24"/>
        </w:rPr>
        <w:t>5.75%</w:t>
      </w:r>
      <w:r>
        <w:rPr>
          <w:color w:val="000000"/>
          <w:spacing w:val="0"/>
          <w:w w:val="100"/>
          <w:position w:val="0"/>
          <w:sz w:val="24"/>
          <w:szCs w:val="24"/>
        </w:rPr>
        <w:t>，每年付息一次，到期一次还本，最后一期 利息随本金兑付一起支付。</w:t>
      </w:r>
    </w:p>
    <w:p>
      <w:pPr>
        <w:pStyle w:val="Style72"/>
        <w:keepNext w:val="0"/>
        <w:keepLines w:val="0"/>
        <w:widowControl w:val="0"/>
        <w:shd w:val="clear" w:color="auto" w:fill="auto"/>
        <w:bidi w:val="0"/>
        <w:spacing w:before="0" w:after="240" w:line="322" w:lineRule="exact"/>
        <w:ind w:right="0" w:firstLine="20"/>
        <w:jc w:val="both"/>
      </w:pPr>
      <w:r>
        <w:rPr>
          <w:rFonts w:ascii="Arial" w:eastAsia="Arial" w:hAnsi="Arial" w:cs="Arial"/>
          <w:color w:val="000000"/>
          <w:spacing w:val="0"/>
          <w:w w:val="100"/>
          <w:position w:val="0"/>
          <w:sz w:val="24"/>
          <w:szCs w:val="24"/>
        </w:rPr>
        <w:t>2018</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16</w:t>
      </w:r>
      <w:r>
        <w:rPr>
          <w:color w:val="000000"/>
          <w:spacing w:val="0"/>
          <w:w w:val="100"/>
          <w:position w:val="0"/>
          <w:sz w:val="24"/>
          <w:szCs w:val="24"/>
        </w:rPr>
        <w:t>日发行</w:t>
      </w:r>
      <w:r>
        <w:rPr>
          <w:rFonts w:ascii="Arial" w:eastAsia="Arial" w:hAnsi="Arial" w:cs="Arial"/>
          <w:color w:val="000000"/>
          <w:spacing w:val="0"/>
          <w:w w:val="100"/>
          <w:position w:val="0"/>
          <w:sz w:val="24"/>
          <w:szCs w:val="24"/>
        </w:rPr>
        <w:t>18</w:t>
      </w:r>
      <w:r>
        <w:rPr>
          <w:color w:val="000000"/>
          <w:spacing w:val="0"/>
          <w:w w:val="100"/>
          <w:position w:val="0"/>
          <w:sz w:val="24"/>
          <w:szCs w:val="24"/>
        </w:rPr>
        <w:t>年公司债券</w:t>
      </w:r>
      <w:r>
        <w:rPr>
          <w:rFonts w:ascii="Arial" w:eastAsia="Arial" w:hAnsi="Arial" w:cs="Arial"/>
          <w:color w:val="000000"/>
          <w:spacing w:val="0"/>
          <w:w w:val="100"/>
          <w:position w:val="0"/>
          <w:sz w:val="24"/>
          <w:szCs w:val="24"/>
        </w:rPr>
        <w:t>(</w:t>
      </w:r>
      <w:r>
        <w:rPr>
          <w:color w:val="000000"/>
          <w:spacing w:val="0"/>
          <w:w w:val="100"/>
          <w:position w:val="0"/>
          <w:sz w:val="24"/>
          <w:szCs w:val="24"/>
        </w:rPr>
        <w:t>第六期</w:t>
      </w:r>
      <w:r>
        <w:rPr>
          <w:rFonts w:ascii="Arial" w:eastAsia="Arial" w:hAnsi="Arial" w:cs="Arial"/>
          <w:color w:val="000000"/>
          <w:spacing w:val="0"/>
          <w:w w:val="100"/>
          <w:position w:val="0"/>
          <w:sz w:val="24"/>
          <w:szCs w:val="24"/>
        </w:rPr>
        <w:t>(18</w:t>
      </w:r>
      <w:r>
        <w:rPr>
          <w:color w:val="000000"/>
          <w:spacing w:val="0"/>
          <w:w w:val="100"/>
          <w:position w:val="0"/>
          <w:sz w:val="24"/>
          <w:szCs w:val="24"/>
        </w:rPr>
        <w:t>苏宁</w:t>
      </w:r>
      <w:r>
        <w:rPr>
          <w:rFonts w:ascii="Arial" w:eastAsia="Arial" w:hAnsi="Arial" w:cs="Arial"/>
          <w:color w:val="000000"/>
          <w:spacing w:val="0"/>
          <w:w w:val="100"/>
          <w:position w:val="0"/>
          <w:sz w:val="24"/>
          <w:szCs w:val="24"/>
        </w:rPr>
        <w:t>07))</w:t>
      </w:r>
      <w:r>
        <w:rPr>
          <w:color w:val="000000"/>
          <w:spacing w:val="0"/>
          <w:w w:val="100"/>
          <w:position w:val="0"/>
          <w:sz w:val="24"/>
          <w:szCs w:val="24"/>
        </w:rPr>
        <w:t>，此债券采用单 利按年计息，固定年利率为</w:t>
      </w:r>
      <w:r>
        <w:rPr>
          <w:rFonts w:ascii="Arial" w:eastAsia="Arial" w:hAnsi="Arial" w:cs="Arial"/>
          <w:color w:val="000000"/>
          <w:spacing w:val="0"/>
          <w:w w:val="100"/>
          <w:position w:val="0"/>
          <w:sz w:val="24"/>
          <w:szCs w:val="24"/>
        </w:rPr>
        <w:t>4.9%</w:t>
      </w:r>
      <w:r>
        <w:rPr>
          <w:color w:val="000000"/>
          <w:spacing w:val="0"/>
          <w:w w:val="100"/>
          <w:position w:val="0"/>
          <w:sz w:val="24"/>
          <w:szCs w:val="24"/>
        </w:rPr>
        <w:t>，每年付息一次，到期一次还本，最后一期 利息随本金兑付一起支付。</w:t>
      </w:r>
    </w:p>
    <w:p>
      <w:pPr>
        <w:pStyle w:val="Style72"/>
        <w:keepNext w:val="0"/>
        <w:keepLines w:val="0"/>
        <w:widowControl w:val="0"/>
        <w:numPr>
          <w:ilvl w:val="0"/>
          <w:numId w:val="99"/>
        </w:numPr>
        <w:shd w:val="clear" w:color="auto" w:fill="auto"/>
        <w:tabs>
          <w:tab w:pos="704" w:val="left"/>
        </w:tabs>
        <w:bidi w:val="0"/>
        <w:spacing w:before="0" w:after="300" w:line="315" w:lineRule="exact"/>
        <w:ind w:right="0" w:hanging="720"/>
        <w:jc w:val="both"/>
      </w:pPr>
      <w:bookmarkStart w:id="939" w:name="bookmark939"/>
      <w:bookmarkEnd w:id="939"/>
      <w:r>
        <w:rPr>
          <w:color w:val="000000"/>
          <w:spacing w:val="0"/>
          <w:w w:val="100"/>
          <w:position w:val="0"/>
          <w:sz w:val="24"/>
          <w:szCs w:val="24"/>
        </w:rPr>
        <w:t>经中国银行间市场交易商协会中市协</w:t>
      </w:r>
      <w:r>
        <w:rPr>
          <w:rFonts w:ascii="Arial" w:eastAsia="Arial" w:hAnsi="Arial" w:cs="Arial"/>
          <w:color w:val="000000"/>
          <w:spacing w:val="0"/>
          <w:w w:val="100"/>
          <w:position w:val="0"/>
          <w:sz w:val="24"/>
          <w:szCs w:val="24"/>
        </w:rPr>
        <w:t>[2019]MTN606</w:t>
      </w:r>
      <w:r>
        <w:rPr>
          <w:color w:val="000000"/>
          <w:spacing w:val="0"/>
          <w:w w:val="100"/>
          <w:position w:val="0"/>
          <w:sz w:val="24"/>
          <w:szCs w:val="24"/>
        </w:rPr>
        <w:t>号文核准，本公司获准于 中国银行间市场交易商协会注册中期票据，注册规模</w:t>
      </w:r>
      <w:r>
        <w:rPr>
          <w:rFonts w:ascii="Arial" w:eastAsia="Arial" w:hAnsi="Arial" w:cs="Arial"/>
          <w:color w:val="000000"/>
          <w:spacing w:val="0"/>
          <w:w w:val="100"/>
          <w:position w:val="0"/>
          <w:sz w:val="24"/>
          <w:szCs w:val="24"/>
        </w:rPr>
        <w:t>30</w:t>
      </w:r>
      <w:r>
        <w:rPr>
          <w:color w:val="000000"/>
          <w:spacing w:val="0"/>
          <w:w w:val="100"/>
          <w:position w:val="0"/>
          <w:sz w:val="24"/>
          <w:szCs w:val="24"/>
        </w:rPr>
        <w:t>亿元，该中期票据采 取集中簿记建档的发行方式。</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13</w:t>
      </w:r>
      <w:r>
        <w:rPr>
          <w:color w:val="000000"/>
          <w:spacing w:val="0"/>
          <w:w w:val="100"/>
          <w:position w:val="0"/>
          <w:sz w:val="24"/>
          <w:szCs w:val="24"/>
        </w:rPr>
        <w:t>日发行面值为人民币</w:t>
      </w:r>
      <w:r>
        <w:rPr>
          <w:rFonts w:ascii="Arial" w:eastAsia="Arial" w:hAnsi="Arial" w:cs="Arial"/>
          <w:color w:val="000000"/>
          <w:spacing w:val="0"/>
          <w:w w:val="100"/>
          <w:position w:val="0"/>
          <w:sz w:val="24"/>
          <w:szCs w:val="24"/>
        </w:rPr>
        <w:t>5</w:t>
      </w:r>
      <w:r>
        <w:rPr>
          <w:color w:val="000000"/>
          <w:spacing w:val="0"/>
          <w:w w:val="100"/>
          <w:position w:val="0"/>
          <w:sz w:val="24"/>
          <w:szCs w:val="24"/>
        </w:rPr>
        <w:t xml:space="preserve">亿元的 </w:t>
      </w:r>
      <w:r>
        <w:rPr>
          <w:rFonts w:ascii="Arial" w:eastAsia="Arial" w:hAnsi="Arial" w:cs="Arial"/>
          <w:color w:val="000000"/>
          <w:spacing w:val="0"/>
          <w:w w:val="100"/>
          <w:position w:val="0"/>
          <w:sz w:val="24"/>
          <w:szCs w:val="24"/>
        </w:rPr>
        <w:t>2020</w:t>
      </w:r>
      <w:r>
        <w:rPr>
          <w:color w:val="000000"/>
          <w:spacing w:val="0"/>
          <w:w w:val="100"/>
          <w:position w:val="0"/>
          <w:sz w:val="24"/>
          <w:szCs w:val="24"/>
        </w:rPr>
        <w:t>年度第一期中期票据</w:t>
      </w:r>
      <w:r>
        <w:rPr>
          <w:rFonts w:ascii="Arial" w:eastAsia="Arial" w:hAnsi="Arial" w:cs="Arial"/>
          <w:color w:val="000000"/>
          <w:spacing w:val="0"/>
          <w:w w:val="100"/>
          <w:position w:val="0"/>
          <w:sz w:val="24"/>
          <w:szCs w:val="24"/>
        </w:rPr>
        <w:t>(20</w:t>
      </w:r>
      <w:r>
        <w:rPr>
          <w:color w:val="000000"/>
          <w:spacing w:val="0"/>
          <w:w w:val="100"/>
          <w:position w:val="0"/>
          <w:sz w:val="24"/>
          <w:szCs w:val="24"/>
        </w:rPr>
        <w:t>苏宁易购</w:t>
      </w:r>
      <w:r>
        <w:rPr>
          <w:rFonts w:ascii="Arial" w:eastAsia="Arial" w:hAnsi="Arial" w:cs="Arial"/>
          <w:color w:val="000000"/>
          <w:spacing w:val="0"/>
          <w:w w:val="100"/>
          <w:position w:val="0"/>
          <w:sz w:val="24"/>
          <w:szCs w:val="24"/>
        </w:rPr>
        <w:t>MTN001)</w:t>
      </w:r>
      <w:r>
        <w:rPr>
          <w:color w:val="000000"/>
          <w:spacing w:val="0"/>
          <w:w w:val="100"/>
          <w:position w:val="0"/>
          <w:sz w:val="24"/>
          <w:szCs w:val="24"/>
        </w:rPr>
        <w:t>，</w:t>
      </w:r>
      <w:r>
        <w:rPr>
          <w:color w:val="000000"/>
          <w:spacing w:val="0"/>
          <w:w w:val="100"/>
          <w:position w:val="0"/>
          <w:sz w:val="24"/>
          <w:szCs w:val="24"/>
        </w:rPr>
        <w:t>此中期票据采用单利按年 计息，固定年利率</w:t>
      </w:r>
      <w:r>
        <w:rPr>
          <w:rFonts w:ascii="Arial" w:eastAsia="Arial" w:hAnsi="Arial" w:cs="Arial"/>
          <w:color w:val="000000"/>
          <w:spacing w:val="0"/>
          <w:w w:val="100"/>
          <w:position w:val="0"/>
          <w:sz w:val="24"/>
          <w:szCs w:val="24"/>
        </w:rPr>
        <w:t>5%</w:t>
      </w:r>
      <w:r>
        <w:rPr>
          <w:color w:val="000000"/>
          <w:spacing w:val="0"/>
          <w:w w:val="100"/>
          <w:position w:val="0"/>
          <w:sz w:val="24"/>
          <w:szCs w:val="24"/>
        </w:rPr>
        <w:t>，每年付息一次，到期一次还本，最后一期利息随本金 兑付一起支付。</w:t>
      </w:r>
    </w:p>
    <w:p>
      <w:pPr>
        <w:pStyle w:val="Style72"/>
        <w:keepNext w:val="0"/>
        <w:keepLines w:val="0"/>
        <w:widowControl w:val="0"/>
        <w:shd w:val="clear" w:color="auto" w:fill="auto"/>
        <w:bidi w:val="0"/>
        <w:spacing w:before="0" w:after="300" w:line="240" w:lineRule="auto"/>
        <w:ind w:left="0" w:right="0" w:firstLine="0"/>
        <w:jc w:val="both"/>
      </w:pPr>
      <w:r>
        <w:rPr>
          <w:rFonts w:ascii="Arial" w:eastAsia="Arial" w:hAnsi="Arial" w:cs="Arial"/>
          <w:color w:val="000000"/>
          <w:spacing w:val="0"/>
          <w:w w:val="100"/>
          <w:position w:val="0"/>
          <w:sz w:val="24"/>
          <w:szCs w:val="24"/>
        </w:rPr>
        <w:t>(36)</w:t>
      </w:r>
      <w:r>
        <w:rPr>
          <w:b/>
          <w:bCs/>
          <w:color w:val="000000"/>
          <w:spacing w:val="0"/>
          <w:w w:val="100"/>
          <w:position w:val="0"/>
          <w:sz w:val="24"/>
          <w:szCs w:val="24"/>
        </w:rPr>
        <w:t>租赁负债</w:t>
      </w:r>
    </w:p>
    <w:p>
      <w:pPr>
        <w:pStyle w:val="Style92"/>
        <w:keepNext w:val="0"/>
        <w:keepLines w:val="0"/>
        <w:widowControl w:val="0"/>
        <w:shd w:val="clear" w:color="auto" w:fill="auto"/>
        <w:bidi w:val="0"/>
        <w:spacing w:before="0" w:after="240" w:line="276" w:lineRule="auto"/>
        <w:ind w:left="0" w:right="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1"/>
        <w:keepNext w:val="0"/>
        <w:keepLines w:val="0"/>
        <w:widowControl w:val="0"/>
        <w:shd w:val="clear" w:color="auto" w:fill="auto"/>
        <w:tabs>
          <w:tab w:pos="4954" w:val="left"/>
          <w:tab w:pos="8314" w:val="left"/>
        </w:tabs>
        <w:bidi w:val="0"/>
        <w:spacing w:before="0" w:after="0" w:line="317" w:lineRule="exact"/>
        <w:ind w:left="0" w:right="0" w:firstLine="720"/>
        <w:jc w:val="both"/>
      </w:pPr>
      <w:r>
        <w:fldChar w:fldCharType="begin"/>
        <w:instrText xml:space="preserve"> TOC \o "1-5" \h \z </w:instrText>
        <w:fldChar w:fldCharType="separate"/>
      </w:r>
      <w:r>
        <w:rPr>
          <w:color w:val="000000"/>
          <w:spacing w:val="0"/>
          <w:w w:val="100"/>
          <w:position w:val="0"/>
          <w:sz w:val="24"/>
          <w:szCs w:val="24"/>
        </w:rPr>
        <w:t>租赁负债</w:t>
        <w:tab/>
      </w:r>
      <w:r>
        <w:rPr>
          <w:rFonts w:ascii="Arial" w:eastAsia="Arial" w:hAnsi="Arial" w:cs="Arial"/>
          <w:color w:val="000000"/>
          <w:spacing w:val="0"/>
          <w:w w:val="100"/>
          <w:position w:val="0"/>
          <w:sz w:val="24"/>
          <w:szCs w:val="24"/>
        </w:rPr>
        <w:t>29,983,943</w:t>
        <w:tab/>
        <w:t>—</w:t>
      </w:r>
    </w:p>
    <w:p>
      <w:pPr>
        <w:pStyle w:val="Style21"/>
        <w:keepNext w:val="0"/>
        <w:keepLines w:val="0"/>
        <w:widowControl w:val="0"/>
        <w:shd w:val="clear" w:color="auto" w:fill="auto"/>
        <w:bidi w:val="0"/>
        <w:spacing w:before="0" w:after="0" w:line="317" w:lineRule="exact"/>
        <w:ind w:left="0" w:right="0" w:firstLine="720"/>
        <w:jc w:val="both"/>
      </w:pPr>
      <w:r>
        <w:rPr>
          <w:color w:val="000000"/>
          <w:spacing w:val="0"/>
          <w:w w:val="100"/>
          <w:position w:val="0"/>
          <w:sz w:val="24"/>
          <w:szCs w:val="24"/>
        </w:rPr>
        <w:t>减：一年内到期的非流动负</w:t>
      </w:r>
    </w:p>
    <w:p>
      <w:pPr>
        <w:pStyle w:val="Style21"/>
        <w:keepNext w:val="0"/>
        <w:keepLines w:val="0"/>
        <w:widowControl w:val="0"/>
        <w:shd w:val="clear" w:color="auto" w:fill="auto"/>
        <w:tabs>
          <w:tab w:pos="3849" w:val="left"/>
          <w:tab w:pos="6594" w:val="left"/>
        </w:tabs>
        <w:bidi w:val="0"/>
        <w:spacing w:before="0" w:after="0" w:line="317" w:lineRule="exact"/>
        <w:ind w:left="1060" w:right="0" w:firstLine="0"/>
        <w:jc w:val="both"/>
      </w:pPr>
      <w:r>
        <w:rPr>
          <w:color w:val="000000"/>
          <w:spacing w:val="0"/>
          <w:w w:val="100"/>
          <w:position w:val="0"/>
          <w:sz w:val="24"/>
          <w:szCs w:val="24"/>
        </w:rPr>
        <w:t>债</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(32))</w:t>
        <w:tab/>
      </w:r>
      <w:r>
        <w:rPr>
          <w:rFonts w:ascii="Arial" w:eastAsia="Arial" w:hAnsi="Arial" w:cs="Arial"/>
          <w:color w:val="000000"/>
          <w:spacing w:val="0"/>
          <w:w w:val="100"/>
          <w:position w:val="0"/>
          <w:sz w:val="24"/>
          <w:szCs w:val="24"/>
          <w:u w:val="single"/>
        </w:rPr>
        <w:t>(5,608,314)</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w:t>
      </w:r>
    </w:p>
    <w:p>
      <w:pPr>
        <w:pStyle w:val="Style21"/>
        <w:keepNext w:val="0"/>
        <w:keepLines w:val="0"/>
        <w:widowControl w:val="0"/>
        <w:shd w:val="clear" w:color="auto" w:fill="auto"/>
        <w:tabs>
          <w:tab w:pos="3370" w:val="left"/>
        </w:tabs>
        <w:bidi w:val="0"/>
        <w:spacing w:before="0" w:after="240" w:line="276" w:lineRule="auto"/>
        <w:ind w:left="0" w:right="140" w:firstLine="0"/>
        <w:jc w:val="right"/>
      </w:pPr>
      <w:r>
        <w:rPr>
          <w:rFonts w:ascii="Arial" w:eastAsia="Arial" w:hAnsi="Arial" w:cs="Arial"/>
          <w:color w:val="000000"/>
          <w:spacing w:val="0"/>
          <w:w w:val="100"/>
          <w:position w:val="0"/>
          <w:sz w:val="24"/>
          <w:szCs w:val="24"/>
          <w:u w:val="single"/>
        </w:rPr>
        <w:t>24,375,629</w:t>
        <w:tab/>
        <w:t>—</w:t>
      </w:r>
      <w:r>
        <w:fldChar w:fldCharType="end"/>
      </w:r>
    </w:p>
    <w:p>
      <w:pPr>
        <w:pStyle w:val="Style72"/>
        <w:keepNext w:val="0"/>
        <w:keepLines w:val="0"/>
        <w:widowControl w:val="0"/>
        <w:shd w:val="clear" w:color="auto" w:fill="auto"/>
        <w:tabs>
          <w:tab w:pos="704" w:val="left"/>
        </w:tabs>
        <w:bidi w:val="0"/>
        <w:spacing w:before="0" w:after="0" w:line="317" w:lineRule="exact"/>
        <w:ind w:left="0" w:right="0" w:firstLine="0"/>
        <w:jc w:val="both"/>
      </w:pPr>
      <w:r>
        <w:rPr>
          <w:rFonts w:ascii="Arial" w:eastAsia="Arial" w:hAnsi="Arial" w:cs="Arial"/>
          <w:color w:val="000000"/>
          <w:spacing w:val="0"/>
          <w:w w:val="100"/>
          <w:position w:val="0"/>
          <w:sz w:val="24"/>
          <w:szCs w:val="24"/>
        </w:rPr>
        <w:t>(a)</w:t>
        <w:tab/>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日，本集团未纳入租赁负债，但将导致未来潜在现金流</w:t>
      </w:r>
    </w:p>
    <w:p>
      <w:pPr>
        <w:pStyle w:val="Style72"/>
        <w:keepNext w:val="0"/>
        <w:keepLines w:val="0"/>
        <w:widowControl w:val="0"/>
        <w:shd w:val="clear" w:color="auto" w:fill="auto"/>
        <w:bidi w:val="0"/>
        <w:spacing w:before="0" w:after="240" w:line="317" w:lineRule="exact"/>
        <w:ind w:left="0" w:right="0" w:firstLine="720"/>
        <w:jc w:val="both"/>
      </w:pPr>
      <w:r>
        <w:rPr>
          <w:color w:val="000000"/>
          <w:spacing w:val="0"/>
          <w:w w:val="100"/>
          <w:position w:val="0"/>
          <w:sz w:val="24"/>
          <w:szCs w:val="24"/>
        </w:rPr>
        <w:t>出的事项包括：</w:t>
      </w:r>
    </w:p>
    <w:p>
      <w:pPr>
        <w:pStyle w:val="Style72"/>
        <w:keepNext w:val="0"/>
        <w:keepLines w:val="0"/>
        <w:widowControl w:val="0"/>
        <w:shd w:val="clear" w:color="auto" w:fill="auto"/>
        <w:tabs>
          <w:tab w:pos="704" w:val="left"/>
        </w:tabs>
        <w:bidi w:val="0"/>
        <w:spacing w:before="0" w:after="0" w:line="317" w:lineRule="exact"/>
        <w:ind w:left="0" w:right="0" w:firstLine="0"/>
        <w:jc w:val="both"/>
      </w:pPr>
      <w:r>
        <w:rPr>
          <w:color w:val="000000"/>
          <w:spacing w:val="0"/>
          <w:w w:val="100"/>
          <w:position w:val="0"/>
          <w:sz w:val="24"/>
          <w:szCs w:val="24"/>
        </w:rPr>
        <w:t>⑴</w:t>
        <w:tab/>
        <w:t>本集团将按销售额的一定比例确定的可变租金在发生时直接计入当期损益，</w:t>
      </w:r>
    </w:p>
    <w:p>
      <w:pPr>
        <w:pStyle w:val="Style92"/>
        <w:keepNext w:val="0"/>
        <w:keepLines w:val="0"/>
        <w:widowControl w:val="0"/>
        <w:shd w:val="clear" w:color="auto" w:fill="auto"/>
        <w:bidi w:val="0"/>
        <w:spacing w:before="0" w:after="300" w:line="317" w:lineRule="exact"/>
        <w:ind w:left="0" w:right="0" w:firstLine="720"/>
        <w:jc w:val="both"/>
      </w:pPr>
      <w:r>
        <w:rPr>
          <w:rFonts w:ascii="SimSun" w:eastAsia="SimSun" w:hAnsi="SimSun" w:cs="SimSun"/>
          <w:color w:val="000000"/>
          <w:spacing w:val="0"/>
          <w:w w:val="100"/>
          <w:position w:val="0"/>
          <w:sz w:val="24"/>
          <w:szCs w:val="24"/>
        </w:rPr>
        <w:t>金额约人民币</w:t>
      </w:r>
      <w:r>
        <w:rPr>
          <w:color w:val="000000"/>
          <w:spacing w:val="0"/>
          <w:w w:val="100"/>
          <w:position w:val="0"/>
          <w:sz w:val="24"/>
          <w:szCs w:val="24"/>
        </w:rPr>
        <w:t>8,314</w:t>
      </w:r>
      <w:r>
        <w:rPr>
          <w:rFonts w:ascii="SimSun" w:eastAsia="SimSun" w:hAnsi="SimSun" w:cs="SimSun"/>
          <w:color w:val="000000"/>
          <w:spacing w:val="0"/>
          <w:w w:val="100"/>
          <w:position w:val="0"/>
          <w:sz w:val="24"/>
          <w:szCs w:val="24"/>
        </w:rPr>
        <w:t>万元</w:t>
      </w:r>
      <w:r>
        <w:rPr>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color w:val="000000"/>
          <w:spacing w:val="0"/>
          <w:w w:val="100"/>
          <w:position w:val="0"/>
          <w:sz w:val="24"/>
          <w:szCs w:val="24"/>
        </w:rPr>
        <w:t>(52)</w:t>
      </w:r>
      <w:r>
        <w:rPr>
          <w:color w:val="000000"/>
          <w:spacing w:val="0"/>
          <w:w w:val="100"/>
          <w:position w:val="0"/>
          <w:sz w:val="24"/>
          <w:szCs w:val="24"/>
        </w:rPr>
        <w:t>(i))</w:t>
      </w:r>
      <w:r>
        <w:rPr>
          <w:rFonts w:ascii="SimSun" w:eastAsia="SimSun" w:hAnsi="SimSun" w:cs="SimSun"/>
          <w:color w:val="000000"/>
          <w:spacing w:val="0"/>
          <w:w w:val="100"/>
          <w:position w:val="0"/>
          <w:sz w:val="24"/>
          <w:szCs w:val="24"/>
        </w:rPr>
        <w:t>。</w:t>
      </w:r>
    </w:p>
    <w:p>
      <w:pPr>
        <w:pStyle w:val="Style72"/>
        <w:keepNext w:val="0"/>
        <w:keepLines w:val="0"/>
        <w:widowControl w:val="0"/>
        <w:shd w:val="clear" w:color="auto" w:fill="auto"/>
        <w:bidi w:val="0"/>
        <w:spacing w:before="0" w:after="240" w:line="307" w:lineRule="exact"/>
        <w:ind w:right="0" w:hanging="720"/>
        <w:jc w:val="both"/>
      </w:pPr>
      <w:r>
        <w:rPr>
          <w:rFonts w:ascii="Arial" w:eastAsia="Arial" w:hAnsi="Arial" w:cs="Arial"/>
          <w:color w:val="000000"/>
          <w:spacing w:val="0"/>
          <w:w w:val="100"/>
          <w:position w:val="0"/>
          <w:sz w:val="24"/>
          <w:szCs w:val="24"/>
        </w:rPr>
        <w:t xml:space="preserve">(ii) </w:t>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日，本集团已签订但尚未开始执行的租赁合同相关的租 赁付款额为</w:t>
      </w:r>
      <w:r>
        <w:rPr>
          <w:rFonts w:ascii="Arial" w:eastAsia="Arial" w:hAnsi="Arial" w:cs="Arial"/>
          <w:color w:val="000000"/>
          <w:spacing w:val="0"/>
          <w:w w:val="100"/>
          <w:position w:val="0"/>
          <w:sz w:val="24"/>
          <w:szCs w:val="24"/>
        </w:rPr>
        <w:t>8,384</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附注十三</w:t>
      </w:r>
      <w:r>
        <w:rPr>
          <w:rFonts w:ascii="Arial" w:eastAsia="Arial" w:hAnsi="Arial" w:cs="Arial"/>
          <w:color w:val="000000"/>
          <w:spacing w:val="0"/>
          <w:w w:val="100"/>
          <w:position w:val="0"/>
          <w:sz w:val="24"/>
          <w:szCs w:val="24"/>
        </w:rPr>
        <w:t>(</w:t>
      </w:r>
      <w:r>
        <w:rPr>
          <w:rFonts w:ascii="Arial" w:eastAsia="Arial" w:hAnsi="Arial" w:cs="Arial"/>
          <w:color w:val="000000"/>
          <w:spacing w:val="0"/>
          <w:w w:val="100"/>
          <w:position w:val="0"/>
          <w:sz w:val="24"/>
          <w:szCs w:val="24"/>
        </w:rPr>
        <w:t>3)(ii))</w:t>
      </w:r>
      <w:r>
        <w:rPr>
          <w:color w:val="000000"/>
          <w:spacing w:val="0"/>
          <w:w w:val="100"/>
          <w:position w:val="0"/>
          <w:sz w:val="24"/>
          <w:szCs w:val="24"/>
        </w:rPr>
        <w:t>。</w:t>
      </w:r>
    </w:p>
    <w:p>
      <w:pPr>
        <w:pStyle w:val="Style72"/>
        <w:keepNext w:val="0"/>
        <w:keepLines w:val="0"/>
        <w:widowControl w:val="0"/>
        <w:shd w:val="clear" w:color="auto" w:fill="auto"/>
        <w:tabs>
          <w:tab w:pos="709" w:val="left"/>
        </w:tabs>
        <w:bidi w:val="0"/>
        <w:spacing w:before="0" w:after="300" w:line="240" w:lineRule="auto"/>
        <w:ind w:left="0" w:right="0" w:firstLine="0"/>
        <w:jc w:val="both"/>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numPr>
          <w:ilvl w:val="0"/>
          <w:numId w:val="101"/>
        </w:numPr>
        <w:shd w:val="clear" w:color="auto" w:fill="auto"/>
        <w:tabs>
          <w:tab w:pos="709" w:val="left"/>
        </w:tabs>
        <w:bidi w:val="0"/>
        <w:spacing w:before="0" w:after="240" w:line="276" w:lineRule="auto"/>
        <w:ind w:left="0" w:right="0" w:firstLine="0"/>
        <w:jc w:val="both"/>
        <w:rPr>
          <w:sz w:val="28"/>
          <w:szCs w:val="28"/>
        </w:rPr>
      </w:pPr>
      <w:bookmarkStart w:id="940" w:name="bookmark940"/>
      <w:bookmarkEnd w:id="940"/>
      <w:r>
        <w:rPr>
          <w:rFonts w:ascii="SimSun" w:eastAsia="SimSun" w:hAnsi="SimSun" w:cs="SimSun"/>
          <w:b/>
          <w:bCs/>
          <w:color w:val="000000"/>
          <w:spacing w:val="0"/>
          <w:w w:val="100"/>
          <w:position w:val="0"/>
          <w:sz w:val="24"/>
          <w:szCs w:val="24"/>
        </w:rPr>
        <w:t>租赁负债</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300" w:line="314" w:lineRule="exact"/>
        <w:ind w:right="0" w:hanging="720"/>
        <w:jc w:val="left"/>
      </w:pPr>
      <w:r>
        <w:rPr>
          <w:rFonts w:ascii="Arial" w:eastAsia="Arial" w:hAnsi="Arial" w:cs="Arial"/>
          <w:color w:val="000000"/>
          <w:spacing w:val="0"/>
          <w:w w:val="100"/>
          <w:position w:val="0"/>
          <w:sz w:val="24"/>
          <w:szCs w:val="24"/>
        </w:rPr>
        <w:t xml:space="preserve">(iii) </w:t>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日，本集团按新租赁准则进行简化处理的短期租赁未来 最低应支付租金为人民币</w:t>
      </w:r>
      <w:r>
        <w:rPr>
          <w:rFonts w:ascii="Arial" w:eastAsia="Arial" w:hAnsi="Arial" w:cs="Arial"/>
          <w:color w:val="000000"/>
          <w:spacing w:val="0"/>
          <w:w w:val="100"/>
          <w:position w:val="0"/>
          <w:sz w:val="24"/>
          <w:szCs w:val="24"/>
        </w:rPr>
        <w:t>3.34</w:t>
      </w:r>
      <w:r>
        <w:rPr>
          <w:color w:val="000000"/>
          <w:spacing w:val="0"/>
          <w:w w:val="100"/>
          <w:position w:val="0"/>
          <w:sz w:val="24"/>
          <w:szCs w:val="24"/>
        </w:rPr>
        <w:t>亿元，均为一年内支付。低价值资产租赁合同 的未来最低应支付租金为人民币为人民币</w:t>
      </w:r>
      <w:r>
        <w:rPr>
          <w:rFonts w:ascii="Arial" w:eastAsia="Arial" w:hAnsi="Arial" w:cs="Arial"/>
          <w:color w:val="000000"/>
          <w:spacing w:val="0"/>
          <w:w w:val="100"/>
          <w:position w:val="0"/>
          <w:sz w:val="24"/>
          <w:szCs w:val="24"/>
        </w:rPr>
        <w:t>1,946</w:t>
      </w:r>
      <w:r>
        <w:rPr>
          <w:color w:val="000000"/>
          <w:spacing w:val="0"/>
          <w:w w:val="100"/>
          <w:position w:val="0"/>
          <w:sz w:val="24"/>
          <w:szCs w:val="24"/>
        </w:rPr>
        <w:t>万元。</w:t>
      </w:r>
    </w:p>
    <w:p>
      <w:pPr>
        <w:pStyle w:val="Style26"/>
        <w:keepNext w:val="0"/>
        <w:keepLines w:val="0"/>
        <w:widowControl w:val="0"/>
        <w:numPr>
          <w:ilvl w:val="0"/>
          <w:numId w:val="103"/>
        </w:numPr>
        <w:shd w:val="clear" w:color="auto" w:fill="auto"/>
        <w:tabs>
          <w:tab w:pos="720" w:val="left"/>
        </w:tabs>
        <w:bidi w:val="0"/>
        <w:spacing w:before="0" w:after="0" w:line="240" w:lineRule="auto"/>
        <w:ind w:left="0" w:right="0" w:firstLine="0"/>
        <w:jc w:val="left"/>
        <w:rPr>
          <w:sz w:val="24"/>
          <w:szCs w:val="24"/>
        </w:rPr>
      </w:pPr>
      <w:r>
        <w:rPr>
          <w:b/>
          <w:bCs/>
          <w:color w:val="000000"/>
          <w:spacing w:val="0"/>
          <w:w w:val="100"/>
          <w:position w:val="0"/>
          <w:sz w:val="24"/>
          <w:szCs w:val="24"/>
        </w:rPr>
        <w:t>长期应付款</w:t>
      </w:r>
    </w:p>
    <w:tbl>
      <w:tblPr>
        <w:tblOverlap w:val="never"/>
        <w:jc w:val="center"/>
        <w:tblLayout w:type="fixed"/>
      </w:tblPr>
      <w:tblGrid>
        <w:gridCol w:w="3298"/>
        <w:gridCol w:w="2333"/>
        <w:gridCol w:w="2405"/>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应付家乐福中国股权款</w:t>
            </w:r>
            <w:r>
              <w:rPr>
                <w:rFonts w:ascii="Arial" w:eastAsia="Arial" w:hAnsi="Arial" w:cs="Arial"/>
                <w:color w:val="000000"/>
                <w:spacing w:val="0"/>
                <w:w w:val="100"/>
                <w:position w:val="0"/>
                <w:sz w:val="24"/>
                <w:szCs w:val="24"/>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1,200,000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1,143,994</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应付履约保证金及押金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908,708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986,801</w:t>
            </w:r>
          </w:p>
        </w:tc>
      </w:tr>
      <w:tr>
        <w:trPr>
          <w:trHeight w:val="8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减：一年内到期的长期应付款</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2,108,708</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2,130,795</w:t>
            </w: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rFonts w:ascii="Arial" w:eastAsia="Arial" w:hAnsi="Arial" w:cs="Arial"/>
                <w:color w:val="000000"/>
                <w:spacing w:val="0"/>
                <w:w w:val="100"/>
                <w:position w:val="0"/>
                <w:sz w:val="24"/>
                <w:szCs w:val="24"/>
              </w:rPr>
              <w:t>(32))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24"/>
                <w:szCs w:val="24"/>
              </w:rPr>
            </w:pPr>
            <w:r>
              <w:rPr>
                <w:rFonts w:ascii="Arial" w:eastAsia="Arial" w:hAnsi="Arial" w:cs="Arial"/>
                <w:color w:val="000000"/>
                <w:spacing w:val="0"/>
                <w:w w:val="100"/>
                <w:position w:val="0"/>
                <w:sz w:val="24"/>
                <w:szCs w:val="24"/>
              </w:rPr>
              <w:t>(1,200,000)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(1,143,994)</w:t>
            </w:r>
          </w:p>
        </w:tc>
      </w:tr>
      <w:tr>
        <w:trPr>
          <w:trHeight w:val="293"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908,708</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986,801</w:t>
            </w:r>
          </w:p>
        </w:tc>
      </w:tr>
    </w:tbl>
    <w:p>
      <w:pPr>
        <w:widowControl w:val="0"/>
        <w:spacing w:after="239" w:line="1" w:lineRule="exact"/>
      </w:pPr>
    </w:p>
    <w:p>
      <w:pPr>
        <w:pStyle w:val="Style92"/>
        <w:keepNext w:val="0"/>
        <w:keepLines w:val="0"/>
        <w:widowControl w:val="0"/>
        <w:shd w:val="clear" w:color="auto" w:fill="auto"/>
        <w:tabs>
          <w:tab w:pos="709" w:val="left"/>
        </w:tabs>
        <w:bidi w:val="0"/>
        <w:spacing w:before="0" w:after="0" w:line="313" w:lineRule="exact"/>
        <w:ind w:left="0" w:right="0" w:firstLine="0"/>
        <w:jc w:val="both"/>
      </w:pPr>
      <w:r>
        <w:rPr>
          <w:rFonts w:ascii="SimSun" w:eastAsia="SimSun" w:hAnsi="SimSun" w:cs="SimSun"/>
          <w:color w:val="000000"/>
          <w:spacing w:val="0"/>
          <w:w w:val="100"/>
          <w:position w:val="0"/>
          <w:sz w:val="24"/>
          <w:szCs w:val="24"/>
        </w:rPr>
        <w:t>⑴</w:t>
        <w:tab/>
        <w:t>于</w:t>
      </w:r>
      <w:r>
        <w:rPr>
          <w:color w:val="000000"/>
          <w:spacing w:val="0"/>
          <w:w w:val="100"/>
          <w:position w:val="0"/>
          <w:sz w:val="24"/>
          <w:szCs w:val="24"/>
        </w:rPr>
        <w:t>2019</w:t>
      </w:r>
      <w:r>
        <w:rPr>
          <w:rFonts w:ascii="SimSun" w:eastAsia="SimSun" w:hAnsi="SimSun" w:cs="SimSun"/>
          <w:color w:val="000000"/>
          <w:spacing w:val="0"/>
          <w:w w:val="100"/>
          <w:position w:val="0"/>
          <w:sz w:val="24"/>
          <w:szCs w:val="24"/>
        </w:rPr>
        <w:t>年</w:t>
      </w:r>
      <w:r>
        <w:rPr>
          <w:color w:val="000000"/>
          <w:spacing w:val="0"/>
          <w:w w:val="100"/>
          <w:position w:val="0"/>
          <w:sz w:val="24"/>
          <w:szCs w:val="24"/>
        </w:rPr>
        <w:t>6</w:t>
      </w:r>
      <w:r>
        <w:rPr>
          <w:rFonts w:ascii="SimSun" w:eastAsia="SimSun" w:hAnsi="SimSun" w:cs="SimSun"/>
          <w:color w:val="000000"/>
          <w:spacing w:val="0"/>
          <w:w w:val="100"/>
          <w:position w:val="0"/>
          <w:sz w:val="24"/>
          <w:szCs w:val="24"/>
        </w:rPr>
        <w:t>月</w:t>
      </w:r>
      <w:r>
        <w:rPr>
          <w:color w:val="000000"/>
          <w:spacing w:val="0"/>
          <w:w w:val="100"/>
          <w:position w:val="0"/>
          <w:sz w:val="24"/>
          <w:szCs w:val="24"/>
        </w:rPr>
        <w:t>22</w:t>
      </w:r>
      <w:r>
        <w:rPr>
          <w:rFonts w:ascii="SimSun" w:eastAsia="SimSun" w:hAnsi="SimSun" w:cs="SimSun"/>
          <w:color w:val="000000"/>
          <w:spacing w:val="0"/>
          <w:w w:val="100"/>
          <w:position w:val="0"/>
          <w:sz w:val="24"/>
          <w:szCs w:val="24"/>
        </w:rPr>
        <w:t>日，本集团之附属子公司</w:t>
      </w:r>
      <w:r>
        <w:rPr>
          <w:color w:val="000000"/>
          <w:spacing w:val="0"/>
          <w:w w:val="100"/>
          <w:position w:val="0"/>
          <w:sz w:val="24"/>
          <w:szCs w:val="24"/>
        </w:rPr>
        <w:t>Suning International Group Co.,</w:t>
      </w:r>
    </w:p>
    <w:p>
      <w:pPr>
        <w:pStyle w:val="Style72"/>
        <w:keepNext w:val="0"/>
        <w:keepLines w:val="0"/>
        <w:widowControl w:val="0"/>
        <w:shd w:val="clear" w:color="auto" w:fill="auto"/>
        <w:bidi w:val="0"/>
        <w:spacing w:before="0" w:after="240" w:line="313" w:lineRule="exact"/>
        <w:ind w:right="0" w:firstLine="20"/>
        <w:jc w:val="both"/>
      </w:pPr>
      <w:r>
        <w:rPr>
          <w:rFonts w:ascii="Arial" w:eastAsia="Arial" w:hAnsi="Arial" w:cs="Arial"/>
          <w:color w:val="000000"/>
          <w:spacing w:val="0"/>
          <w:w w:val="100"/>
          <w:position w:val="0"/>
          <w:sz w:val="24"/>
          <w:szCs w:val="24"/>
        </w:rPr>
        <w:t xml:space="preserve">Limited </w:t>
      </w:r>
      <w:r>
        <w:rPr>
          <w:color w:val="000000"/>
          <w:spacing w:val="0"/>
          <w:w w:val="100"/>
          <w:position w:val="0"/>
          <w:sz w:val="24"/>
          <w:szCs w:val="24"/>
        </w:rPr>
        <w:t xml:space="preserve">与 </w:t>
      </w:r>
      <w:r>
        <w:rPr>
          <w:rFonts w:ascii="Arial" w:eastAsia="Arial" w:hAnsi="Arial" w:cs="Arial"/>
          <w:color w:val="000000"/>
          <w:spacing w:val="0"/>
          <w:w w:val="100"/>
          <w:position w:val="0"/>
          <w:sz w:val="24"/>
          <w:szCs w:val="24"/>
        </w:rPr>
        <w:t>Carrefour Nederand B.V. (“Carrefour Nederand")</w:t>
      </w:r>
      <w:r>
        <w:rPr>
          <w:color w:val="000000"/>
          <w:spacing w:val="0"/>
          <w:w w:val="100"/>
          <w:position w:val="0"/>
          <w:sz w:val="24"/>
          <w:szCs w:val="24"/>
        </w:rPr>
        <w:t>签订股权购买协 议以人民币</w:t>
      </w:r>
      <w:r>
        <w:rPr>
          <w:rFonts w:ascii="Arial" w:eastAsia="Arial" w:hAnsi="Arial" w:cs="Arial"/>
          <w:color w:val="000000"/>
          <w:spacing w:val="0"/>
          <w:w w:val="100"/>
          <w:position w:val="0"/>
          <w:sz w:val="24"/>
          <w:szCs w:val="24"/>
        </w:rPr>
        <w:t>48</w:t>
      </w:r>
      <w:r>
        <w:rPr>
          <w:color w:val="000000"/>
          <w:spacing w:val="0"/>
          <w:w w:val="100"/>
          <w:position w:val="0"/>
          <w:sz w:val="24"/>
          <w:szCs w:val="24"/>
        </w:rPr>
        <w:t>亿元的对价购买</w:t>
      </w:r>
      <w:r>
        <w:rPr>
          <w:rFonts w:ascii="Arial" w:eastAsia="Arial" w:hAnsi="Arial" w:cs="Arial"/>
          <w:color w:val="000000"/>
          <w:spacing w:val="0"/>
          <w:w w:val="100"/>
          <w:position w:val="0"/>
          <w:sz w:val="24"/>
          <w:szCs w:val="24"/>
        </w:rPr>
        <w:t>Carrefour Nederand B.V.</w:t>
      </w:r>
      <w:r>
        <w:rPr>
          <w:color w:val="000000"/>
          <w:spacing w:val="0"/>
          <w:w w:val="100"/>
          <w:position w:val="0"/>
          <w:sz w:val="24"/>
          <w:szCs w:val="24"/>
        </w:rPr>
        <w:t xml:space="preserve">持有的家乐福中国 </w:t>
      </w:r>
      <w:r>
        <w:rPr>
          <w:rFonts w:ascii="Arial" w:eastAsia="Arial" w:hAnsi="Arial" w:cs="Arial"/>
          <w:color w:val="000000"/>
          <w:spacing w:val="0"/>
          <w:w w:val="100"/>
          <w:position w:val="0"/>
          <w:sz w:val="24"/>
          <w:szCs w:val="24"/>
        </w:rPr>
        <w:t>80%</w:t>
      </w:r>
      <w:r>
        <w:rPr>
          <w:color w:val="000000"/>
          <w:spacing w:val="0"/>
          <w:w w:val="100"/>
          <w:position w:val="0"/>
          <w:sz w:val="24"/>
          <w:szCs w:val="24"/>
        </w:rPr>
        <w:t>的股权。根据协议约定，若</w:t>
      </w:r>
      <w:r>
        <w:rPr>
          <w:rFonts w:ascii="Arial" w:eastAsia="Arial" w:hAnsi="Arial" w:cs="Arial"/>
          <w:color w:val="000000"/>
          <w:spacing w:val="0"/>
          <w:w w:val="100"/>
          <w:position w:val="0"/>
          <w:sz w:val="24"/>
          <w:szCs w:val="24"/>
        </w:rPr>
        <w:t>Carrefour Nederand</w:t>
      </w:r>
      <w:r>
        <w:rPr>
          <w:color w:val="000000"/>
          <w:spacing w:val="0"/>
          <w:w w:val="100"/>
          <w:position w:val="0"/>
          <w:sz w:val="24"/>
          <w:szCs w:val="24"/>
        </w:rPr>
        <w:t>选择于收购日后两年末 的九十天内将所持有的剩余</w:t>
      </w:r>
      <w:r>
        <w:rPr>
          <w:rFonts w:ascii="Arial" w:eastAsia="Arial" w:hAnsi="Arial" w:cs="Arial"/>
          <w:color w:val="000000"/>
          <w:spacing w:val="0"/>
          <w:w w:val="100"/>
          <w:position w:val="0"/>
          <w:sz w:val="24"/>
          <w:szCs w:val="24"/>
        </w:rPr>
        <w:t>20%</w:t>
      </w:r>
      <w:r>
        <w:rPr>
          <w:color w:val="000000"/>
          <w:spacing w:val="0"/>
          <w:w w:val="100"/>
          <w:position w:val="0"/>
          <w:sz w:val="24"/>
          <w:szCs w:val="24"/>
        </w:rPr>
        <w:t>家乐福中国股权按照协议约定的固定价格转 让给本集团，本集团需无条件购买</w:t>
      </w:r>
      <w:r>
        <w:rPr>
          <w:rFonts w:ascii="Arial" w:eastAsia="Arial" w:hAnsi="Arial" w:cs="Arial"/>
          <w:color w:val="000000"/>
          <w:spacing w:val="0"/>
          <w:w w:val="100"/>
          <w:position w:val="0"/>
          <w:sz w:val="24"/>
          <w:szCs w:val="24"/>
        </w:rPr>
        <w:t>(“</w:t>
      </w:r>
      <w:r>
        <w:rPr>
          <w:color w:val="000000"/>
          <w:spacing w:val="0"/>
          <w:w w:val="100"/>
          <w:position w:val="0"/>
          <w:sz w:val="24"/>
          <w:szCs w:val="24"/>
        </w:rPr>
        <w:t>卖出期权</w:t>
      </w:r>
      <w:r>
        <w:rPr>
          <w:rFonts w:ascii="Arial" w:eastAsia="Arial" w:hAnsi="Arial" w:cs="Arial"/>
          <w:color w:val="000000"/>
          <w:spacing w:val="0"/>
          <w:w w:val="100"/>
          <w:position w:val="0"/>
          <w:sz w:val="24"/>
          <w:szCs w:val="24"/>
        </w:rPr>
        <w:t>”)</w:t>
      </w:r>
      <w:r>
        <w:rPr>
          <w:color w:val="000000"/>
          <w:spacing w:val="0"/>
          <w:w w:val="100"/>
          <w:position w:val="0"/>
          <w:sz w:val="24"/>
          <w:szCs w:val="24"/>
        </w:rPr>
        <w:t>，在</w:t>
      </w:r>
      <w:r>
        <w:rPr>
          <w:rFonts w:ascii="Arial" w:eastAsia="Arial" w:hAnsi="Arial" w:cs="Arial"/>
          <w:color w:val="000000"/>
          <w:spacing w:val="0"/>
          <w:w w:val="100"/>
          <w:position w:val="0"/>
          <w:sz w:val="24"/>
          <w:szCs w:val="24"/>
        </w:rPr>
        <w:t>Carrefour Nederand</w:t>
      </w:r>
      <w:r>
        <w:rPr>
          <w:color w:val="000000"/>
          <w:spacing w:val="0"/>
          <w:w w:val="100"/>
          <w:position w:val="0"/>
          <w:sz w:val="24"/>
          <w:szCs w:val="24"/>
        </w:rPr>
        <w:t>卖出 期权到期后九十天内，本集团若选择按照协议约定的固定价格收购家乐福中 国剩余</w:t>
      </w:r>
      <w:r>
        <w:rPr>
          <w:rFonts w:ascii="Arial" w:eastAsia="Arial" w:hAnsi="Arial" w:cs="Arial"/>
          <w:color w:val="000000"/>
          <w:spacing w:val="0"/>
          <w:w w:val="100"/>
          <w:position w:val="0"/>
          <w:sz w:val="24"/>
          <w:szCs w:val="24"/>
        </w:rPr>
        <w:t>20%</w:t>
      </w:r>
      <w:r>
        <w:rPr>
          <w:color w:val="000000"/>
          <w:spacing w:val="0"/>
          <w:w w:val="100"/>
          <w:position w:val="0"/>
          <w:sz w:val="24"/>
          <w:szCs w:val="24"/>
        </w:rPr>
        <w:t>股权，</w:t>
      </w:r>
      <w:r>
        <w:rPr>
          <w:rFonts w:ascii="Arial" w:eastAsia="Arial" w:hAnsi="Arial" w:cs="Arial"/>
          <w:color w:val="000000"/>
          <w:spacing w:val="0"/>
          <w:w w:val="100"/>
          <w:position w:val="0"/>
          <w:sz w:val="24"/>
          <w:szCs w:val="24"/>
        </w:rPr>
        <w:t>Carrefour Nederand</w:t>
      </w:r>
      <w:r>
        <w:rPr>
          <w:color w:val="000000"/>
          <w:spacing w:val="0"/>
          <w:w w:val="100"/>
          <w:position w:val="0"/>
          <w:sz w:val="24"/>
          <w:szCs w:val="24"/>
        </w:rPr>
        <w:t>需要无条件出售</w:t>
      </w:r>
      <w:r>
        <w:rPr>
          <w:rFonts w:ascii="Arial" w:eastAsia="Arial" w:hAnsi="Arial" w:cs="Arial"/>
          <w:color w:val="000000"/>
          <w:spacing w:val="0"/>
          <w:w w:val="100"/>
          <w:position w:val="0"/>
          <w:sz w:val="24"/>
          <w:szCs w:val="24"/>
        </w:rPr>
        <w:t>(“</w:t>
      </w:r>
      <w:r>
        <w:rPr>
          <w:color w:val="000000"/>
          <w:spacing w:val="0"/>
          <w:w w:val="100"/>
          <w:position w:val="0"/>
          <w:sz w:val="24"/>
          <w:szCs w:val="24"/>
        </w:rPr>
        <w:t>买入期权</w:t>
      </w:r>
      <w:r>
        <w:rPr>
          <w:rFonts w:ascii="Arial" w:eastAsia="Arial" w:hAnsi="Arial" w:cs="Arial"/>
          <w:color w:val="000000"/>
          <w:spacing w:val="0"/>
          <w:w w:val="100"/>
          <w:position w:val="0"/>
          <w:sz w:val="24"/>
          <w:szCs w:val="24"/>
        </w:rPr>
        <w:t>”)</w:t>
      </w:r>
      <w:r>
        <w:rPr>
          <w:color w:val="000000"/>
          <w:spacing w:val="0"/>
          <w:w w:val="100"/>
          <w:position w:val="0"/>
          <w:sz w:val="24"/>
          <w:szCs w:val="24"/>
        </w:rPr>
        <w:t>。于</w:t>
      </w:r>
      <w:r>
        <w:rPr>
          <w:rFonts w:ascii="Arial" w:eastAsia="Arial" w:hAnsi="Arial" w:cs="Arial"/>
          <w:color w:val="000000"/>
          <w:spacing w:val="0"/>
          <w:w w:val="100"/>
          <w:position w:val="0"/>
          <w:sz w:val="24"/>
          <w:szCs w:val="24"/>
        </w:rPr>
        <w:t xml:space="preserve">2019 </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日，本集团完成对家乐福</w:t>
      </w:r>
      <w:r>
        <w:rPr>
          <w:rFonts w:ascii="Arial" w:eastAsia="Arial" w:hAnsi="Arial" w:cs="Arial"/>
          <w:color w:val="000000"/>
          <w:spacing w:val="0"/>
          <w:w w:val="100"/>
          <w:position w:val="0"/>
          <w:sz w:val="24"/>
          <w:szCs w:val="24"/>
        </w:rPr>
        <w:t>80%</w:t>
      </w:r>
      <w:r>
        <w:rPr>
          <w:color w:val="000000"/>
          <w:spacing w:val="0"/>
          <w:w w:val="100"/>
          <w:position w:val="0"/>
          <w:sz w:val="24"/>
          <w:szCs w:val="24"/>
        </w:rPr>
        <w:t>股权的收购，于收购日本集团将卖 出期权按照协议约定未来固定转让价格折现后金额计入长期应付款及资本公 积，并对该长期应付款采用本集团相同期限借款利率作为折现率以实际利率 法后续计量。</w:t>
      </w:r>
    </w:p>
    <w:p>
      <w:pPr>
        <w:pStyle w:val="Style72"/>
        <w:keepNext w:val="0"/>
        <w:keepLines w:val="0"/>
        <w:widowControl w:val="0"/>
        <w:shd w:val="clear" w:color="auto" w:fill="auto"/>
        <w:bidi w:val="0"/>
        <w:spacing w:before="0" w:after="240" w:line="317" w:lineRule="exact"/>
        <w:ind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w:t>
      </w:r>
      <w:r>
        <w:rPr>
          <w:rFonts w:ascii="Arial" w:eastAsia="Arial" w:hAnsi="Arial" w:cs="Arial"/>
          <w:color w:val="000000"/>
          <w:spacing w:val="0"/>
          <w:w w:val="100"/>
          <w:position w:val="0"/>
          <w:sz w:val="24"/>
          <w:szCs w:val="24"/>
        </w:rPr>
        <w:t>Carrefour Nederand B.V,</w:t>
      </w:r>
      <w:r>
        <w:rPr>
          <w:color w:val="000000"/>
          <w:spacing w:val="0"/>
          <w:w w:val="100"/>
          <w:position w:val="0"/>
          <w:sz w:val="24"/>
          <w:szCs w:val="24"/>
        </w:rPr>
        <w:t>向本集团发出售股权通知， 要求本集团于不迟于售股权通知交付后的</w:t>
      </w:r>
      <w:r>
        <w:rPr>
          <w:rFonts w:ascii="Arial" w:eastAsia="Arial" w:hAnsi="Arial" w:cs="Arial"/>
          <w:color w:val="000000"/>
          <w:spacing w:val="0"/>
          <w:w w:val="100"/>
          <w:position w:val="0"/>
          <w:sz w:val="24"/>
          <w:szCs w:val="24"/>
        </w:rPr>
        <w:t>90</w:t>
      </w:r>
      <w:r>
        <w:rPr>
          <w:color w:val="000000"/>
          <w:spacing w:val="0"/>
          <w:w w:val="100"/>
          <w:position w:val="0"/>
          <w:sz w:val="24"/>
          <w:szCs w:val="24"/>
        </w:rPr>
        <w:t>个工作日内按照人民币</w:t>
      </w:r>
      <w:r>
        <w:rPr>
          <w:rFonts w:ascii="Arial" w:eastAsia="Arial" w:hAnsi="Arial" w:cs="Arial"/>
          <w:color w:val="000000"/>
          <w:spacing w:val="0"/>
          <w:w w:val="100"/>
          <w:position w:val="0"/>
          <w:sz w:val="24"/>
          <w:szCs w:val="24"/>
        </w:rPr>
        <w:t>12</w:t>
      </w:r>
      <w:r>
        <w:rPr>
          <w:color w:val="000000"/>
          <w:spacing w:val="0"/>
          <w:w w:val="100"/>
          <w:position w:val="0"/>
          <w:sz w:val="24"/>
          <w:szCs w:val="24"/>
        </w:rPr>
        <w:t>亿元 的价格收购其所持有的剩余</w:t>
      </w:r>
      <w:r>
        <w:rPr>
          <w:rFonts w:ascii="Arial" w:eastAsia="Arial" w:hAnsi="Arial" w:cs="Arial"/>
          <w:color w:val="000000"/>
          <w:spacing w:val="0"/>
          <w:w w:val="100"/>
          <w:position w:val="0"/>
          <w:sz w:val="24"/>
          <w:szCs w:val="24"/>
        </w:rPr>
        <w:t>20%</w:t>
      </w:r>
      <w:r>
        <w:rPr>
          <w:color w:val="000000"/>
          <w:spacing w:val="0"/>
          <w:w w:val="100"/>
          <w:position w:val="0"/>
          <w:sz w:val="24"/>
          <w:szCs w:val="24"/>
        </w:rPr>
        <w:t>家乐福中国股权。</w:t>
      </w:r>
    </w:p>
    <w:p>
      <w:pPr>
        <w:pStyle w:val="Style72"/>
        <w:keepNext w:val="0"/>
        <w:keepLines w:val="0"/>
        <w:widowControl w:val="0"/>
        <w:shd w:val="clear" w:color="auto" w:fill="auto"/>
        <w:bidi w:val="0"/>
        <w:spacing w:before="0" w:after="240" w:line="314" w:lineRule="exact"/>
        <w:ind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2022</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日，本集团已经与</w:t>
      </w:r>
      <w:r>
        <w:rPr>
          <w:rFonts w:ascii="Arial" w:eastAsia="Arial" w:hAnsi="Arial" w:cs="Arial"/>
          <w:color w:val="000000"/>
          <w:spacing w:val="0"/>
          <w:w w:val="100"/>
          <w:position w:val="0"/>
          <w:sz w:val="24"/>
          <w:szCs w:val="24"/>
        </w:rPr>
        <w:t>Carrefour Nederand B.V,</w:t>
      </w:r>
      <w:r>
        <w:rPr>
          <w:color w:val="000000"/>
          <w:spacing w:val="0"/>
          <w:w w:val="100"/>
          <w:position w:val="0"/>
          <w:sz w:val="24"/>
          <w:szCs w:val="24"/>
        </w:rPr>
        <w:t>就上述应付家 乐福中国股权款计人民币</w:t>
      </w:r>
      <w:r>
        <w:rPr>
          <w:rFonts w:ascii="Arial" w:eastAsia="Arial" w:hAnsi="Arial" w:cs="Arial"/>
          <w:color w:val="000000"/>
          <w:spacing w:val="0"/>
          <w:w w:val="100"/>
          <w:position w:val="0"/>
          <w:sz w:val="24"/>
          <w:szCs w:val="24"/>
        </w:rPr>
        <w:t>12</w:t>
      </w:r>
      <w:r>
        <w:rPr>
          <w:color w:val="000000"/>
          <w:spacing w:val="0"/>
          <w:w w:val="100"/>
          <w:position w:val="0"/>
          <w:sz w:val="24"/>
          <w:szCs w:val="24"/>
        </w:rPr>
        <w:t>亿元签署补充付款协议，按照补充付款协议约定， 本集团将于</w:t>
      </w:r>
      <w:r>
        <w:rPr>
          <w:rFonts w:ascii="Arial" w:eastAsia="Arial" w:hAnsi="Arial" w:cs="Arial"/>
          <w:color w:val="000000"/>
          <w:spacing w:val="0"/>
          <w:w w:val="100"/>
          <w:position w:val="0"/>
          <w:sz w:val="24"/>
          <w:szCs w:val="24"/>
        </w:rPr>
        <w:t>2022</w:t>
      </w:r>
      <w:r>
        <w:rPr>
          <w:color w:val="000000"/>
          <w:spacing w:val="0"/>
          <w:w w:val="100"/>
          <w:position w:val="0"/>
          <w:sz w:val="24"/>
          <w:szCs w:val="24"/>
        </w:rPr>
        <w:t>年度完成对于该家乐福中国股权款的支付。</w:t>
      </w:r>
      <w:r>
        <w:br w:type="page"/>
      </w:r>
    </w:p>
    <w:p>
      <w:pPr>
        <w:pStyle w:val="Style72"/>
        <w:keepNext w:val="0"/>
        <w:keepLines w:val="0"/>
        <w:widowControl w:val="0"/>
        <w:shd w:val="clear" w:color="auto" w:fill="auto"/>
        <w:tabs>
          <w:tab w:pos="706" w:val="left"/>
        </w:tabs>
        <w:bidi w:val="0"/>
        <w:spacing w:before="0" w:after="26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26"/>
        <w:keepNext w:val="0"/>
        <w:keepLines w:val="0"/>
        <w:widowControl w:val="0"/>
        <w:shd w:val="clear" w:color="auto" w:fill="auto"/>
        <w:bidi w:val="0"/>
        <w:spacing w:before="0" w:after="0" w:line="240" w:lineRule="auto"/>
        <w:ind w:left="5" w:right="0" w:firstLine="0"/>
        <w:jc w:val="left"/>
        <w:rPr>
          <w:sz w:val="24"/>
          <w:szCs w:val="24"/>
        </w:rPr>
      </w:pPr>
      <w:r>
        <w:rPr>
          <w:rFonts w:ascii="Arial" w:eastAsia="Arial" w:hAnsi="Arial" w:cs="Arial"/>
          <w:color w:val="000000"/>
          <w:spacing w:val="0"/>
          <w:w w:val="100"/>
          <w:position w:val="0"/>
          <w:sz w:val="24"/>
          <w:szCs w:val="24"/>
        </w:rPr>
        <w:t>(38)</w:t>
      </w:r>
      <w:r>
        <w:rPr>
          <w:b/>
          <w:bCs/>
          <w:color w:val="000000"/>
          <w:spacing w:val="0"/>
          <w:w w:val="100"/>
          <w:position w:val="0"/>
          <w:sz w:val="24"/>
          <w:szCs w:val="24"/>
        </w:rPr>
        <w:t>递延收益</w:t>
      </w:r>
    </w:p>
    <w:tbl>
      <w:tblPr>
        <w:tblOverlap w:val="never"/>
        <w:jc w:val="center"/>
        <w:tblLayout w:type="fixed"/>
      </w:tblPr>
      <w:tblGrid>
        <w:gridCol w:w="2165"/>
        <w:gridCol w:w="1128"/>
        <w:gridCol w:w="936"/>
        <w:gridCol w:w="1214"/>
        <w:gridCol w:w="984"/>
        <w:gridCol w:w="1128"/>
        <w:gridCol w:w="1243"/>
      </w:tblGrid>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6"/>
                <w:szCs w:val="16"/>
              </w:rPr>
              <w:t xml:space="preserve">2020 </w:t>
            </w:r>
            <w:r>
              <w:rPr>
                <w:rFonts w:ascii="SimSun" w:eastAsia="SimSun" w:hAnsi="SimSun" w:cs="SimSun"/>
                <w:color w:val="000000"/>
                <w:spacing w:val="0"/>
                <w:w w:val="100"/>
                <w:position w:val="0"/>
                <w:sz w:val="15"/>
                <w:szCs w:val="15"/>
              </w:rPr>
              <w:t>年</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本年增加</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处置子公司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本年减少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6"/>
                <w:szCs w:val="16"/>
              </w:rPr>
              <w:t xml:space="preserve">2021 </w:t>
            </w:r>
            <w:r>
              <w:rPr>
                <w:rFonts w:ascii="SimSun" w:eastAsia="SimSun" w:hAnsi="SimSun" w:cs="SimSun"/>
                <w:color w:val="000000"/>
                <w:spacing w:val="0"/>
                <w:w w:val="100"/>
                <w:position w:val="0"/>
                <w:sz w:val="15"/>
                <w:szCs w:val="15"/>
              </w:rPr>
              <w:t>年</w:t>
            </w:r>
          </w:p>
          <w:p>
            <w:pPr>
              <w:pStyle w:val="Style29"/>
              <w:keepNext w:val="0"/>
              <w:keepLines w:val="0"/>
              <w:widowControl w:val="0"/>
              <w:shd w:val="clear" w:color="auto" w:fill="auto"/>
              <w:bidi w:val="0"/>
              <w:spacing w:before="0" w:after="0" w:line="240" w:lineRule="auto"/>
              <w:ind w:left="0" w:right="260" w:firstLine="0"/>
              <w:jc w:val="right"/>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形成原因</w:t>
            </w:r>
          </w:p>
        </w:tc>
      </w:tr>
      <w:tr>
        <w:trPr>
          <w:trHeight w:val="422" w:hRule="exact"/>
        </w:trPr>
        <w:tc>
          <w:tcPr>
            <w:tcBorders/>
            <w:shd w:val="clear" w:color="auto" w:fill="FFFFFF"/>
            <w:vAlign w:val="center"/>
          </w:tcPr>
          <w:p>
            <w:pPr>
              <w:pStyle w:val="Style29"/>
              <w:keepNext w:val="0"/>
              <w:keepLines w:val="0"/>
              <w:widowControl w:val="0"/>
              <w:shd w:val="clear" w:color="auto" w:fill="auto"/>
              <w:tabs>
                <w:tab w:pos="1104"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5"/>
                <w:szCs w:val="15"/>
              </w:rPr>
              <w:t>政府补助</w:t>
            </w:r>
            <w:r>
              <w:rPr>
                <w:rFonts w:ascii="Arial" w:eastAsia="Arial" w:hAnsi="Arial" w:cs="Arial"/>
                <w:color w:val="000000"/>
                <w:spacing w:val="0"/>
                <w:w w:val="100"/>
                <w:position w:val="0"/>
                <w:sz w:val="16"/>
                <w:szCs w:val="16"/>
              </w:rPr>
              <w:t>(i)</w:t>
              <w:tab/>
            </w:r>
            <w:r>
              <w:rPr>
                <w:rFonts w:ascii="Arial" w:eastAsia="Arial" w:hAnsi="Arial" w:cs="Arial"/>
                <w:color w:val="000000"/>
                <w:spacing w:val="0"/>
                <w:w w:val="100"/>
                <w:position w:val="0"/>
                <w:sz w:val="16"/>
                <w:szCs w:val="16"/>
              </w:rPr>
              <w:t>_</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u w:val="single"/>
              </w:rPr>
              <w:t>858,156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152,740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(312,719)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(63,682)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634,495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项目建设补贴款</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6"/>
                <w:szCs w:val="16"/>
              </w:rPr>
              <w:t xml:space="preserve">2020 </w:t>
            </w:r>
            <w:r>
              <w:rPr>
                <w:rFonts w:ascii="SimSun" w:eastAsia="SimSun" w:hAnsi="SimSun" w:cs="SimSun"/>
                <w:color w:val="000000"/>
                <w:spacing w:val="0"/>
                <w:w w:val="100"/>
                <w:position w:val="0"/>
                <w:sz w:val="15"/>
                <w:szCs w:val="15"/>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本年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计入其他收益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处置子公司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6"/>
                <w:szCs w:val="16"/>
              </w:rPr>
              <w:t xml:space="preserve">2021 </w:t>
            </w:r>
            <w:r>
              <w:rPr>
                <w:rFonts w:ascii="SimSun" w:eastAsia="SimSun" w:hAnsi="SimSun" w:cs="SimSun"/>
                <w:color w:val="000000"/>
                <w:spacing w:val="0"/>
                <w:w w:val="100"/>
                <w:position w:val="0"/>
                <w:sz w:val="15"/>
                <w:szCs w:val="15"/>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5"/>
                <w:szCs w:val="15"/>
              </w:rPr>
              <w:t>与资产相关</w:t>
            </w:r>
            <w:r>
              <w:rPr>
                <w:rFonts w:ascii="Arial" w:eastAsia="Arial" w:hAnsi="Arial" w:cs="Arial"/>
                <w:color w:val="000000"/>
                <w:spacing w:val="0"/>
                <w:w w:val="100"/>
                <w:position w:val="0"/>
                <w:sz w:val="16"/>
                <w:szCs w:val="16"/>
              </w:rPr>
              <w:t>/</w:t>
            </w:r>
          </w:p>
        </w:tc>
      </w:tr>
      <w:tr>
        <w:trPr>
          <w:trHeight w:val="293" w:hRule="exact"/>
        </w:trPr>
        <w:tc>
          <w:tcPr>
            <w:tcBorders/>
            <w:shd w:val="clear" w:color="auto" w:fill="FFFFFF"/>
            <w:vAlign w:val="top"/>
          </w:tcPr>
          <w:p>
            <w:pPr>
              <w:pStyle w:val="Style29"/>
              <w:keepNext w:val="0"/>
              <w:keepLines w:val="0"/>
              <w:widowControl w:val="0"/>
              <w:shd w:val="clear" w:color="auto" w:fill="auto"/>
              <w:tabs>
                <w:tab w:pos="710" w:val="left"/>
              </w:tabs>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(i)</w:t>
              <w:tab/>
            </w:r>
            <w:r>
              <w:rPr>
                <w:rFonts w:ascii="SimSun" w:eastAsia="SimSun" w:hAnsi="SimSun" w:cs="SimSun"/>
                <w:color w:val="000000"/>
                <w:spacing w:val="0"/>
                <w:w w:val="100"/>
                <w:position w:val="0"/>
                <w:sz w:val="15"/>
                <w:szCs w:val="15"/>
              </w:rPr>
              <w:t>政府补助项目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附注四</w:t>
            </w:r>
            <w:r>
              <w:rPr>
                <w:rFonts w:ascii="Arial" w:eastAsia="Arial" w:hAnsi="Arial" w:cs="Arial"/>
                <w:color w:val="000000"/>
                <w:spacing w:val="0"/>
                <w:w w:val="100"/>
                <w:position w:val="0"/>
                <w:sz w:val="16"/>
                <w:szCs w:val="16"/>
              </w:rPr>
              <w:t>(55))</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与收益相关</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苏宁华东物流中心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项目</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南京空港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9"/>
                <w:szCs w:val="19"/>
              </w:rPr>
            </w:pPr>
            <w:r>
              <w:rPr>
                <w:rFonts w:ascii="SimSun" w:eastAsia="SimSun" w:hAnsi="SimSun" w:cs="SimSun"/>
                <w:color w:val="000000"/>
                <w:spacing w:val="0"/>
                <w:w w:val="100"/>
                <w:position w:val="0"/>
                <w:sz w:val="15"/>
                <w:szCs w:val="15"/>
              </w:rPr>
              <w:t>一期</w:t>
            </w:r>
            <w:r>
              <w:rPr>
                <w:rFonts w:ascii="SimSun" w:eastAsia="SimSun" w:hAnsi="SimSun" w:cs="SimSun"/>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118,190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25,680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(3,456)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140,414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19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襄阳物流基地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38,832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(831)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38,001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1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江西电商产业园项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5"/>
                <w:szCs w:val="15"/>
              </w:rPr>
            </w:pPr>
            <w:r>
              <w:rPr>
                <w:rFonts w:ascii="SimSun" w:eastAsia="SimSun" w:hAnsi="SimSun" w:cs="SimSun"/>
                <w:color w:val="000000"/>
                <w:spacing w:val="0"/>
                <w:w w:val="100"/>
                <w:position w:val="0"/>
                <w:sz w:val="15"/>
                <w:szCs w:val="15"/>
              </w:rPr>
              <w:t>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31,860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(484)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31,376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北京物流基地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31,495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(862)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30,633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合肥物流基地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29,286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(816)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28,470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1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苏宁孝感电商产业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5"/>
                <w:szCs w:val="15"/>
              </w:rPr>
            </w:pPr>
            <w:r>
              <w:rPr>
                <w:rFonts w:ascii="SimSun" w:eastAsia="SimSun" w:hAnsi="SimSun" w:cs="SimSun"/>
                <w:color w:val="000000"/>
                <w:spacing w:val="0"/>
                <w:w w:val="100"/>
                <w:position w:val="0"/>
                <w:sz w:val="15"/>
                <w:szCs w:val="15"/>
              </w:rPr>
              <w:t>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19,766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9,000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(639)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28,127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大连二期项目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27,200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(297)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26,903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江苏苏宁物流基地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25,000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(4,000)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21,000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包头苏宁电器广场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21,151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(550)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20,601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沈阳协和广场项目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21,107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(887)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20,220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1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重庆保税港区扶持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5"/>
                <w:szCs w:val="15"/>
              </w:rPr>
            </w:pPr>
            <w:r>
              <w:rPr>
                <w:rFonts w:ascii="SimSun" w:eastAsia="SimSun" w:hAnsi="SimSun" w:cs="SimSun"/>
                <w:color w:val="000000"/>
                <w:spacing w:val="0"/>
                <w:w w:val="100"/>
                <w:position w:val="0"/>
                <w:sz w:val="15"/>
                <w:szCs w:val="15"/>
              </w:rPr>
              <w:t>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20,000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绍兴物流基地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18,321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(403)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17,918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临水景观基地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18,053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(409)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17,644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0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跨境电商产业园项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5"/>
                <w:szCs w:val="15"/>
              </w:rPr>
            </w:pPr>
            <w:r>
              <w:rPr>
                <w:rFonts w:ascii="SimSun" w:eastAsia="SimSun" w:hAnsi="SimSun" w:cs="SimSun"/>
                <w:color w:val="000000"/>
                <w:spacing w:val="0"/>
                <w:w w:val="100"/>
                <w:position w:val="0"/>
                <w:sz w:val="15"/>
                <w:szCs w:val="15"/>
              </w:rPr>
              <w:t>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16,381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16,381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0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柳州产业扶持专项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5"/>
                <w:szCs w:val="15"/>
              </w:rPr>
            </w:pPr>
            <w:r>
              <w:rPr>
                <w:rFonts w:ascii="SimSun" w:eastAsia="SimSun" w:hAnsi="SimSun" w:cs="SimSun"/>
                <w:color w:val="000000"/>
                <w:spacing w:val="0"/>
                <w:w w:val="100"/>
                <w:position w:val="0"/>
                <w:sz w:val="15"/>
                <w:szCs w:val="15"/>
              </w:rPr>
              <w:t>资金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15,995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(358)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15,637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0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大连区域采购结算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5"/>
                <w:szCs w:val="15"/>
              </w:rPr>
            </w:pPr>
            <w:r>
              <w:rPr>
                <w:rFonts w:ascii="SimSun" w:eastAsia="SimSun" w:hAnsi="SimSun" w:cs="SimSun"/>
                <w:color w:val="000000"/>
                <w:spacing w:val="0"/>
                <w:w w:val="100"/>
                <w:position w:val="0"/>
                <w:sz w:val="15"/>
                <w:szCs w:val="15"/>
              </w:rPr>
              <w:t>中心项目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13,607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(229)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13,378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成都小件物流基地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2,240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(246)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11,994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1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平湖物流基地基建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5"/>
                <w:szCs w:val="15"/>
              </w:rPr>
            </w:pPr>
            <w:r>
              <w:rPr>
                <w:rFonts w:ascii="SimSun" w:eastAsia="SimSun" w:hAnsi="SimSun" w:cs="SimSun"/>
                <w:color w:val="000000"/>
                <w:spacing w:val="0"/>
                <w:w w:val="100"/>
                <w:position w:val="0"/>
                <w:sz w:val="15"/>
                <w:szCs w:val="15"/>
              </w:rPr>
              <w:t>补助</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11,743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11,743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1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常州苏宁易达物流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5"/>
                <w:szCs w:val="15"/>
              </w:rPr>
            </w:pPr>
            <w:r>
              <w:rPr>
                <w:rFonts w:ascii="SimSun" w:eastAsia="SimSun" w:hAnsi="SimSun" w:cs="SimSun"/>
                <w:color w:val="000000"/>
                <w:spacing w:val="0"/>
                <w:w w:val="100"/>
                <w:position w:val="0"/>
                <w:sz w:val="15"/>
                <w:szCs w:val="15"/>
              </w:rPr>
              <w:t>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8,959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(202)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8,757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19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物流二期产业发展</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7,946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(163)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7,783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1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金湖苏宁易购广场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5"/>
                <w:szCs w:val="15"/>
              </w:rPr>
            </w:pPr>
            <w:r>
              <w:rPr>
                <w:rFonts w:ascii="SimSun" w:eastAsia="SimSun" w:hAnsi="SimSun" w:cs="SimSun"/>
                <w:color w:val="000000"/>
                <w:spacing w:val="0"/>
                <w:w w:val="100"/>
                <w:position w:val="0"/>
                <w:sz w:val="15"/>
                <w:szCs w:val="15"/>
              </w:rPr>
              <w:t>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7,809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(272)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7,537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SimSun" w:eastAsia="SimSun" w:hAnsi="SimSun" w:cs="SimSun"/>
                <w:color w:val="000000"/>
                <w:spacing w:val="0"/>
                <w:w w:val="100"/>
                <w:position w:val="0"/>
                <w:sz w:val="15"/>
                <w:szCs w:val="15"/>
              </w:rPr>
              <w:t>沈阳苏家屯苏宁易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5"/>
                <w:szCs w:val="15"/>
              </w:rPr>
            </w:pPr>
            <w:r>
              <w:rPr>
                <w:rFonts w:ascii="SimSun" w:eastAsia="SimSun" w:hAnsi="SimSun" w:cs="SimSun"/>
                <w:color w:val="000000"/>
                <w:spacing w:val="0"/>
                <w:w w:val="100"/>
                <w:position w:val="0"/>
                <w:sz w:val="15"/>
                <w:szCs w:val="15"/>
              </w:rPr>
              <w:t>购广场项目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7,188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(197)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6,991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449,206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4,881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(48,381)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(312,719)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92,987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与资产相关</w:t>
            </w:r>
          </w:p>
        </w:tc>
      </w:tr>
      <w:tr>
        <w:trPr>
          <w:trHeight w:val="302"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合计</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858,156</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152,740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(63,682)</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(312,719)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634,495</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2"/>
        <w:keepNext w:val="0"/>
        <w:keepLines w:val="0"/>
        <w:widowControl w:val="0"/>
        <w:shd w:val="clear" w:color="auto" w:fill="auto"/>
        <w:tabs>
          <w:tab w:pos="706"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after="300" w:line="240" w:lineRule="auto"/>
        <w:ind w:left="0" w:right="0" w:firstLine="0"/>
        <w:jc w:val="left"/>
        <w:rPr>
          <w:sz w:val="28"/>
          <w:szCs w:val="28"/>
        </w:rPr>
      </w:pPr>
      <w:r>
        <w:rPr>
          <w:color w:val="000000"/>
          <w:spacing w:val="0"/>
          <w:w w:val="100"/>
          <w:position w:val="0"/>
          <w:sz w:val="24"/>
          <w:szCs w:val="24"/>
        </w:rPr>
        <w:t>（38）</w:t>
      </w:r>
      <w:r>
        <w:rPr>
          <w:rFonts w:ascii="SimSun" w:eastAsia="SimSun" w:hAnsi="SimSun" w:cs="SimSun"/>
          <w:b/>
          <w:bCs/>
          <w:color w:val="000000"/>
          <w:spacing w:val="0"/>
          <w:w w:val="100"/>
          <w:position w:val="0"/>
          <w:sz w:val="24"/>
          <w:szCs w:val="24"/>
        </w:rPr>
        <w:t>递延收益</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220" w:line="240" w:lineRule="auto"/>
        <w:ind w:left="0" w:right="0" w:firstLine="700"/>
        <w:jc w:val="left"/>
      </w:pPr>
      <w:r>
        <w:rPr>
          <w:color w:val="000000"/>
          <w:spacing w:val="0"/>
          <w:w w:val="100"/>
          <w:position w:val="0"/>
          <w:sz w:val="24"/>
          <w:szCs w:val="24"/>
        </w:rPr>
        <w:t>本集团当年计入损益的政府补助的明细如下:</w:t>
      </w:r>
    </w:p>
    <w:tbl>
      <w:tblPr>
        <w:tblOverlap w:val="never"/>
        <w:jc w:val="right"/>
        <w:tblLayout w:type="fixed"/>
      </w:tblPr>
      <w:tblGrid>
        <w:gridCol w:w="3038"/>
        <w:gridCol w:w="1205"/>
        <w:gridCol w:w="1800"/>
        <w:gridCol w:w="1901"/>
      </w:tblGrid>
      <w:tr>
        <w:trPr>
          <w:trHeight w:val="58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政府补助项目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种类</w:t>
            </w:r>
          </w:p>
        </w:tc>
        <w:tc>
          <w:tcPr>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right"/>
              <w:rPr>
                <w:sz w:val="18"/>
                <w:szCs w:val="18"/>
              </w:rPr>
            </w:pPr>
            <w:r>
              <w:rPr>
                <w:rFonts w:ascii="SimSun" w:eastAsia="SimSun" w:hAnsi="SimSun" w:cs="SimSun"/>
                <w:color w:val="000000"/>
                <w:spacing w:val="0"/>
                <w:w w:val="100"/>
                <w:position w:val="0"/>
                <w:sz w:val="18"/>
                <w:szCs w:val="18"/>
              </w:rPr>
              <w:t>本年计入损益或冲 减相关成本的金额</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rPr>
                <w:sz w:val="18"/>
                <w:szCs w:val="18"/>
              </w:rPr>
            </w:pPr>
            <w:r>
              <w:rPr>
                <w:rFonts w:ascii="SimSun" w:eastAsia="SimSun" w:hAnsi="SimSun" w:cs="SimSun"/>
                <w:color w:val="000000"/>
                <w:spacing w:val="0"/>
                <w:w w:val="100"/>
                <w:position w:val="0"/>
                <w:sz w:val="18"/>
                <w:szCs w:val="18"/>
              </w:rPr>
              <w:t>本年计入损益或冲减相</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关成本的列报项目</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长春物流基地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29,465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智能机器人项目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5,249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大数据智能分析系统项目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4,826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江苏苏宁物流基地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4,000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苏宁华东物流中心项目</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南京空港一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18"/>
                <w:szCs w:val="18"/>
              </w:rPr>
              <w:t>期</w:t>
            </w:r>
            <w:r>
              <w:rPr>
                <w:rFonts w:ascii="SimSun" w:eastAsia="SimSun" w:hAnsi="SimSun" w:cs="SimSun"/>
                <w:color w:val="000000"/>
                <w:spacing w:val="0"/>
                <w:w w:val="100"/>
                <w:position w:val="0"/>
                <w:sz w:val="22"/>
                <w:szCs w:val="2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3,456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济宁兖州物流基地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1,111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1,084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897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沈阳协和广场项目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887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862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淮海电商智慧创业园项目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844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襄阳物流基地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831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合肥物流基地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816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鄂州物流基地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724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工业和信息产业转型升级项目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687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苏宁孝感电商产业园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639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包头苏宁电器广场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550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江西电商产业园项目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484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供应链体系建设政府补助物流快递</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444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临水景观基地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409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绍兴物流基地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403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柳州产业扶持专项资金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358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哈尔滨物流基地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311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r>
        <w:trPr>
          <w:trHeight w:val="25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政府补助</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4,345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SimSun" w:eastAsia="SimSun" w:hAnsi="SimSun" w:cs="SimSun"/>
                <w:color w:val="000000"/>
                <w:spacing w:val="0"/>
                <w:w w:val="100"/>
                <w:position w:val="0"/>
                <w:sz w:val="18"/>
                <w:szCs w:val="18"/>
              </w:rPr>
              <w:t>其他收益</w:t>
            </w:r>
          </w:p>
        </w:tc>
      </w:tr>
    </w:tbl>
    <w:p>
      <w:pPr>
        <w:pStyle w:val="Style26"/>
        <w:keepNext w:val="0"/>
        <w:keepLines w:val="0"/>
        <w:widowControl w:val="0"/>
        <w:shd w:val="clear" w:color="auto" w:fill="auto"/>
        <w:bidi w:val="0"/>
        <w:spacing w:before="0" w:after="0" w:line="240" w:lineRule="auto"/>
        <w:ind w:left="5362" w:right="0" w:firstLine="0"/>
        <w:jc w:val="left"/>
        <w:rPr>
          <w:sz w:val="18"/>
          <w:szCs w:val="18"/>
        </w:rPr>
      </w:pPr>
      <w:r>
        <w:rPr>
          <w:rFonts w:ascii="Arial" w:eastAsia="Arial" w:hAnsi="Arial" w:cs="Arial"/>
          <w:color w:val="000000"/>
          <w:spacing w:val="0"/>
          <w:w w:val="100"/>
          <w:position w:val="0"/>
          <w:sz w:val="18"/>
          <w:szCs w:val="18"/>
        </w:rPr>
        <w:t>63,682</w:t>
      </w:r>
      <w:r>
        <w:br w:type="page"/>
      </w:r>
    </w:p>
    <w:p>
      <w:pPr>
        <w:pStyle w:val="Style72"/>
        <w:keepNext w:val="0"/>
        <w:keepLines w:val="0"/>
        <w:widowControl w:val="0"/>
        <w:shd w:val="clear" w:color="auto" w:fill="auto"/>
        <w:tabs>
          <w:tab w:pos="706" w:val="left"/>
        </w:tabs>
        <w:bidi w:val="0"/>
        <w:spacing w:before="0" w:after="28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(39)</w:t>
      </w:r>
      <w:r>
        <w:rPr>
          <w:b/>
          <w:bCs/>
          <w:color w:val="000000"/>
          <w:spacing w:val="0"/>
          <w:w w:val="100"/>
          <w:position w:val="0"/>
          <w:sz w:val="24"/>
          <w:szCs w:val="24"/>
        </w:rPr>
        <w:t>其他非流动负债</w:t>
      </w:r>
    </w:p>
    <w:tbl>
      <w:tblPr>
        <w:tblOverlap w:val="never"/>
        <w:jc w:val="center"/>
        <w:tblLayout w:type="fixed"/>
      </w:tblPr>
      <w:tblGrid>
        <w:gridCol w:w="3941"/>
        <w:gridCol w:w="2410"/>
        <w:gridCol w:w="2434"/>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递延延保业务收入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24"/>
                <w:szCs w:val="24"/>
              </w:rPr>
            </w:pPr>
            <w:r>
              <w:rPr>
                <w:rFonts w:ascii="Arial" w:eastAsia="Arial" w:hAnsi="Arial" w:cs="Arial"/>
                <w:color w:val="000000"/>
                <w:spacing w:val="0"/>
                <w:w w:val="100"/>
                <w:position w:val="0"/>
                <w:sz w:val="24"/>
                <w:szCs w:val="24"/>
              </w:rPr>
              <w:t>772,343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877,787</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流动性支持义务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24"/>
                <w:szCs w:val="24"/>
              </w:rPr>
            </w:pPr>
            <w:r>
              <w:rPr>
                <w:rFonts w:ascii="Arial" w:eastAsia="Arial" w:hAnsi="Arial" w:cs="Arial"/>
                <w:color w:val="000000"/>
                <w:spacing w:val="0"/>
                <w:w w:val="100"/>
                <w:position w:val="0"/>
                <w:sz w:val="24"/>
                <w:szCs w:val="24"/>
              </w:rPr>
              <w:t>134,238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67,210</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远期外汇合同的公允价值亏损</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36,552</w:t>
            </w:r>
          </w:p>
        </w:tc>
      </w:tr>
      <w:tr>
        <w:trPr>
          <w:trHeight w:val="31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预收长期购房款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424,134</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递延加盟商收入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5,168</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24"/>
                <w:szCs w:val="24"/>
              </w:rPr>
            </w:pPr>
            <w:r>
              <w:rPr>
                <w:rFonts w:ascii="Arial" w:eastAsia="Arial" w:hAnsi="Arial" w:cs="Arial"/>
                <w:color w:val="000000"/>
                <w:spacing w:val="0"/>
                <w:w w:val="100"/>
                <w:position w:val="0"/>
                <w:sz w:val="24"/>
                <w:szCs w:val="24"/>
              </w:rPr>
              <w:t>906,581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1,410,851</w:t>
            </w:r>
          </w:p>
        </w:tc>
      </w:tr>
      <w:tr>
        <w:trPr>
          <w:trHeight w:val="1330" w:hRule="exact"/>
        </w:trPr>
        <w:tc>
          <w:tcPr>
            <w:tcBorders/>
            <w:shd w:val="clear" w:color="auto" w:fill="FFFFFF"/>
            <w:vAlign w:val="top"/>
          </w:tcPr>
          <w:p>
            <w:pPr>
              <w:pStyle w:val="Style29"/>
              <w:keepNext w:val="0"/>
              <w:keepLines w:val="0"/>
              <w:widowControl w:val="0"/>
              <w:shd w:val="clear" w:color="auto" w:fill="auto"/>
              <w:tabs>
                <w:tab w:pos="710" w:val="left"/>
              </w:tabs>
              <w:bidi w:val="0"/>
              <w:spacing w:before="260" w:after="0" w:line="240" w:lineRule="auto"/>
              <w:ind w:left="0" w:right="0" w:firstLine="0"/>
              <w:jc w:val="left"/>
              <w:rPr>
                <w:sz w:val="24"/>
                <w:szCs w:val="24"/>
              </w:rPr>
            </w:pPr>
            <w:r>
              <w:rPr>
                <w:rFonts w:ascii="Arial" w:eastAsia="Arial" w:hAnsi="Arial" w:cs="Arial"/>
                <w:color w:val="000000"/>
                <w:spacing w:val="0"/>
                <w:w w:val="100"/>
                <w:position w:val="0"/>
                <w:sz w:val="24"/>
                <w:szCs w:val="24"/>
              </w:rPr>
              <w:t>(40)</w:t>
              <w:tab/>
            </w:r>
            <w:r>
              <w:rPr>
                <w:rFonts w:ascii="SimSun" w:eastAsia="SimSun" w:hAnsi="SimSun" w:cs="SimSun"/>
                <w:b/>
                <w:bCs/>
                <w:color w:val="000000"/>
                <w:spacing w:val="0"/>
                <w:w w:val="100"/>
                <w:position w:val="0"/>
                <w:sz w:val="24"/>
                <w:szCs w:val="24"/>
              </w:rPr>
              <w:t>股本</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8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人民币普通股</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9,310,040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9,310,040</w:t>
            </w:r>
          </w:p>
        </w:tc>
      </w:tr>
    </w:tbl>
    <w:p>
      <w:pPr>
        <w:pStyle w:val="Style2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(41)</w:t>
      </w:r>
      <w:r>
        <w:rPr>
          <w:b/>
          <w:bCs/>
          <w:color w:val="000000"/>
          <w:spacing w:val="0"/>
          <w:w w:val="100"/>
          <w:position w:val="0"/>
          <w:sz w:val="24"/>
          <w:szCs w:val="24"/>
        </w:rPr>
        <w:t>资本公积</w:t>
      </w:r>
    </w:p>
    <w:p>
      <w:pPr>
        <w:widowControl w:val="0"/>
        <w:spacing w:after="279" w:line="1" w:lineRule="exact"/>
      </w:pPr>
    </w:p>
    <w:tbl>
      <w:tblPr>
        <w:tblOverlap w:val="never"/>
        <w:jc w:val="right"/>
        <w:tblLayout w:type="fixed"/>
      </w:tblPr>
      <w:tblGrid>
        <w:gridCol w:w="2069"/>
        <w:gridCol w:w="1594"/>
        <w:gridCol w:w="1546"/>
        <w:gridCol w:w="1531"/>
        <w:gridCol w:w="1330"/>
      </w:tblGrid>
      <w:tr>
        <w:trPr>
          <w:trHeight w:val="61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本年增加</w:t>
            </w:r>
            <w:r>
              <w:rPr>
                <w:rFonts w:ascii="Arial" w:eastAsia="Arial" w:hAnsi="Arial" w:cs="Arial"/>
                <w:color w:val="000000"/>
                <w:spacing w:val="0"/>
                <w:w w:val="100"/>
                <w:position w:val="0"/>
                <w:sz w:val="18"/>
                <w:szCs w:val="18"/>
              </w:rPr>
              <w:t>(i)</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本年减少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股本溢价</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附注四</w:t>
            </w:r>
            <w:r>
              <w:rPr>
                <w:rFonts w:ascii="Arial" w:eastAsia="Arial" w:hAnsi="Arial" w:cs="Arial"/>
                <w:color w:val="000000"/>
                <w:spacing w:val="0"/>
                <w:w w:val="100"/>
                <w:position w:val="0"/>
                <w:sz w:val="18"/>
                <w:szCs w:val="18"/>
              </w:rPr>
              <w:t>(42))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32,575,487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4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(150,055)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32,425,432</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其他资本公积</w:t>
            </w: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8"/>
                <w:szCs w:val="18"/>
              </w:rPr>
              <w:t>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652,757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25,259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4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678,016</w:t>
            </w:r>
          </w:p>
        </w:tc>
      </w:tr>
      <w:tr>
        <w:trPr>
          <w:trHeight w:val="25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33,228,244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25,259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(150,055)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33,103,448</w:t>
            </w:r>
          </w:p>
        </w:tc>
      </w:tr>
      <w:tr>
        <w:trPr>
          <w:trHeight w:val="52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本年增加</w:t>
            </w:r>
            <w:r>
              <w:rPr>
                <w:rFonts w:ascii="Arial" w:eastAsia="Arial" w:hAnsi="Arial" w:cs="Arial"/>
                <w:color w:val="000000"/>
                <w:spacing w:val="0"/>
                <w:w w:val="100"/>
                <w:position w:val="0"/>
                <w:sz w:val="18"/>
                <w:szCs w:val="18"/>
              </w:rPr>
              <w:t>(i)</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本年减少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股本溢价</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36,687,934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(4,112,447)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32,575,487</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其他资本公积</w:t>
            </w: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8"/>
                <w:szCs w:val="18"/>
              </w:rPr>
              <w:t>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561,070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91,687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652,757</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37,249,004</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91,687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(4,112,447)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33,228,244</w:t>
            </w:r>
          </w:p>
        </w:tc>
      </w:tr>
    </w:tbl>
    <w:p>
      <w:pPr>
        <w:sectPr>
          <w:footnotePr>
            <w:pos w:val="pageBottom"/>
            <w:numFmt w:val="decimal"/>
            <w:numStart w:val="1"/>
            <w:numRestart w:val="continuous"/>
            <w15:footnoteColumns w:val="1"/>
          </w:footnotePr>
          <w:pgSz w:w="11900" w:h="16840"/>
          <w:pgMar w:top="2338" w:right="1353" w:bottom="2357" w:left="1652" w:header="0" w:footer="3" w:gutter="0"/>
          <w:cols w:space="720"/>
          <w:noEndnote/>
          <w:rtlGutter w:val="0"/>
          <w:docGrid w:linePitch="360"/>
        </w:sectPr>
      </w:pPr>
    </w:p>
    <w:p>
      <w:pPr>
        <w:pStyle w:val="Style72"/>
        <w:keepNext w:val="0"/>
        <w:keepLines w:val="0"/>
        <w:widowControl w:val="0"/>
        <w:shd w:val="clear" w:color="auto" w:fill="auto"/>
        <w:tabs>
          <w:tab w:pos="667"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after="240" w:line="276" w:lineRule="auto"/>
        <w:ind w:left="0" w:right="0" w:firstLine="0"/>
        <w:jc w:val="left"/>
        <w:rPr>
          <w:sz w:val="28"/>
          <w:szCs w:val="28"/>
        </w:rPr>
      </w:pPr>
      <w:r>
        <w:rPr>
          <w:color w:val="000000"/>
          <w:spacing w:val="0"/>
          <w:w w:val="100"/>
          <w:position w:val="0"/>
          <w:sz w:val="24"/>
          <w:szCs w:val="24"/>
        </w:rPr>
        <w:t>（41）</w:t>
      </w:r>
      <w:r>
        <w:rPr>
          <w:rFonts w:ascii="SimSun" w:eastAsia="SimSun" w:hAnsi="SimSun" w:cs="SimSun"/>
          <w:b/>
          <w:bCs/>
          <w:color w:val="000000"/>
          <w:spacing w:val="0"/>
          <w:w w:val="100"/>
          <w:position w:val="0"/>
          <w:sz w:val="24"/>
          <w:szCs w:val="24"/>
        </w:rPr>
        <w:t>资本公积</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67" w:val="left"/>
        </w:tabs>
        <w:bidi w:val="0"/>
        <w:spacing w:before="0" w:after="240" w:line="314" w:lineRule="exact"/>
        <w:ind w:left="0" w:right="0" w:firstLine="0"/>
        <w:jc w:val="left"/>
      </w:pPr>
      <w:r>
        <w:rPr>
          <w:color w:val="000000"/>
          <w:spacing w:val="0"/>
          <w:w w:val="100"/>
          <w:position w:val="0"/>
          <w:sz w:val="24"/>
          <w:szCs w:val="24"/>
        </w:rPr>
        <w:t>⑴</w:t>
        <w:tab/>
        <w:t>员工持股计划</w:t>
      </w:r>
    </w:p>
    <w:p>
      <w:pPr>
        <w:pStyle w:val="Style72"/>
        <w:keepNext w:val="0"/>
        <w:keepLines w:val="0"/>
        <w:widowControl w:val="0"/>
        <w:shd w:val="clear" w:color="auto" w:fill="auto"/>
        <w:bidi w:val="0"/>
        <w:spacing w:before="0" w:after="240" w:line="318"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2018</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日，本公司</w:t>
      </w:r>
      <w:r>
        <w:rPr>
          <w:rFonts w:ascii="Arial" w:eastAsia="Arial" w:hAnsi="Arial" w:cs="Arial"/>
          <w:color w:val="000000"/>
          <w:spacing w:val="0"/>
          <w:w w:val="100"/>
          <w:position w:val="0"/>
          <w:sz w:val="24"/>
          <w:szCs w:val="24"/>
        </w:rPr>
        <w:t>2018</w:t>
      </w:r>
      <w:r>
        <w:rPr>
          <w:color w:val="000000"/>
          <w:spacing w:val="0"/>
          <w:w w:val="100"/>
          <w:position w:val="0"/>
          <w:sz w:val="24"/>
          <w:szCs w:val="24"/>
        </w:rPr>
        <w:t>年第三次临时股东大会决议通过《关于 回购公司股份以实施股权激励计划的议案》审议通过使用自有资金以集中竞 价交易方式回购总金额不超过人民币</w:t>
      </w:r>
      <w:r>
        <w:rPr>
          <w:rFonts w:ascii="Arial" w:eastAsia="Arial" w:hAnsi="Arial" w:cs="Arial"/>
          <w:color w:val="000000"/>
          <w:spacing w:val="0"/>
          <w:w w:val="100"/>
          <w:position w:val="0"/>
          <w:sz w:val="24"/>
          <w:szCs w:val="24"/>
        </w:rPr>
        <w:t>10</w:t>
      </w:r>
      <w:r>
        <w:rPr>
          <w:color w:val="000000"/>
          <w:spacing w:val="0"/>
          <w:w w:val="100"/>
          <w:position w:val="0"/>
          <w:sz w:val="24"/>
          <w:szCs w:val="24"/>
        </w:rPr>
        <w:t>亿元的公司股份，用于实施股权激励 计划。于</w:t>
      </w:r>
      <w:r>
        <w:rPr>
          <w:rFonts w:ascii="Arial" w:eastAsia="Arial" w:hAnsi="Arial" w:cs="Arial"/>
          <w:color w:val="000000"/>
          <w:spacing w:val="0"/>
          <w:w w:val="100"/>
          <w:position w:val="0"/>
          <w:sz w:val="24"/>
          <w:szCs w:val="24"/>
        </w:rPr>
        <w:t>2018</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日，已回购的人民币</w:t>
      </w:r>
      <w:r>
        <w:rPr>
          <w:rFonts w:ascii="Arial" w:eastAsia="Arial" w:hAnsi="Arial" w:cs="Arial"/>
          <w:color w:val="000000"/>
          <w:spacing w:val="0"/>
          <w:w w:val="100"/>
          <w:position w:val="0"/>
          <w:sz w:val="24"/>
          <w:szCs w:val="24"/>
        </w:rPr>
        <w:t>10</w:t>
      </w:r>
      <w:r>
        <w:rPr>
          <w:color w:val="000000"/>
          <w:spacing w:val="0"/>
          <w:w w:val="100"/>
          <w:position w:val="0"/>
          <w:sz w:val="24"/>
          <w:szCs w:val="24"/>
        </w:rPr>
        <w:t>亿元公司股份计入库存股 核算。</w:t>
      </w:r>
    </w:p>
    <w:p>
      <w:pPr>
        <w:pStyle w:val="Style72"/>
        <w:keepNext w:val="0"/>
        <w:keepLines w:val="0"/>
        <w:widowControl w:val="0"/>
        <w:shd w:val="clear" w:color="auto" w:fill="auto"/>
        <w:bidi w:val="0"/>
        <w:spacing w:before="0" w:after="240" w:line="314" w:lineRule="exact"/>
        <w:ind w:right="0" w:firstLine="0"/>
        <w:jc w:val="both"/>
      </w:pPr>
      <w:r>
        <w:rPr>
          <w:color w:val="000000"/>
          <w:spacing w:val="0"/>
          <w:w w:val="100"/>
          <w:position w:val="0"/>
          <w:sz w:val="24"/>
          <w:szCs w:val="24"/>
        </w:rPr>
        <w:t>经</w:t>
      </w:r>
      <w:r>
        <w:rPr>
          <w:rFonts w:ascii="Arial" w:eastAsia="Arial" w:hAnsi="Arial" w:cs="Arial"/>
          <w:color w:val="000000"/>
          <w:spacing w:val="0"/>
          <w:w w:val="100"/>
          <w:position w:val="0"/>
          <w:sz w:val="24"/>
          <w:szCs w:val="24"/>
        </w:rPr>
        <w:t>2018</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日召开的第四次临时股东大会审议通过了《苏宁易购集团 股份有限公司第三期员工持股计划</w:t>
      </w:r>
      <w:r>
        <w:rPr>
          <w:rFonts w:ascii="Arial" w:eastAsia="Arial" w:hAnsi="Arial" w:cs="Arial"/>
          <w:color w:val="000000"/>
          <w:spacing w:val="0"/>
          <w:w w:val="100"/>
          <w:position w:val="0"/>
          <w:sz w:val="24"/>
          <w:szCs w:val="24"/>
        </w:rPr>
        <w:t>（</w:t>
      </w:r>
      <w:r>
        <w:rPr>
          <w:color w:val="000000"/>
          <w:spacing w:val="0"/>
          <w:w w:val="100"/>
          <w:position w:val="0"/>
          <w:sz w:val="24"/>
          <w:szCs w:val="24"/>
        </w:rPr>
        <w:t>草案</w:t>
      </w:r>
      <w:r>
        <w:rPr>
          <w:rFonts w:ascii="Arial" w:eastAsia="Arial" w:hAnsi="Arial" w:cs="Arial"/>
          <w:color w:val="000000"/>
          <w:spacing w:val="0"/>
          <w:w w:val="100"/>
          <w:position w:val="0"/>
          <w:sz w:val="24"/>
          <w:szCs w:val="24"/>
        </w:rPr>
        <w:t>）</w:t>
      </w:r>
      <w:r>
        <w:rPr>
          <w:color w:val="000000"/>
          <w:spacing w:val="0"/>
          <w:w w:val="100"/>
          <w:position w:val="0"/>
          <w:sz w:val="24"/>
          <w:szCs w:val="24"/>
        </w:rPr>
        <w:t>》及《苏宁易购集团股份有限公司第 三期员工持股计划</w:t>
      </w:r>
      <w:r>
        <w:rPr>
          <w:rFonts w:ascii="Arial" w:eastAsia="Arial" w:hAnsi="Arial" w:cs="Arial"/>
          <w:color w:val="000000"/>
          <w:spacing w:val="0"/>
          <w:w w:val="100"/>
          <w:position w:val="0"/>
          <w:sz w:val="24"/>
          <w:szCs w:val="24"/>
        </w:rPr>
        <w:t>（</w:t>
      </w:r>
      <w:r>
        <w:rPr>
          <w:color w:val="000000"/>
          <w:spacing w:val="0"/>
          <w:w w:val="100"/>
          <w:position w:val="0"/>
          <w:sz w:val="24"/>
          <w:szCs w:val="24"/>
        </w:rPr>
        <w:t>草案</w:t>
      </w:r>
      <w:r>
        <w:rPr>
          <w:rFonts w:ascii="Arial" w:eastAsia="Arial" w:hAnsi="Arial" w:cs="Arial"/>
          <w:color w:val="000000"/>
          <w:spacing w:val="0"/>
          <w:w w:val="100"/>
          <w:position w:val="0"/>
          <w:sz w:val="24"/>
          <w:szCs w:val="24"/>
        </w:rPr>
        <w:t>）</w:t>
      </w:r>
      <w:r>
        <w:rPr>
          <w:color w:val="000000"/>
          <w:spacing w:val="0"/>
          <w:w w:val="100"/>
          <w:position w:val="0"/>
          <w:sz w:val="24"/>
          <w:szCs w:val="24"/>
        </w:rPr>
        <w:t>摘要》</w:t>
      </w:r>
      <w:r>
        <w:rPr>
          <w:color w:val="000000"/>
          <w:spacing w:val="0"/>
          <w:w w:val="100"/>
          <w:position w:val="0"/>
          <w:sz w:val="28"/>
          <w:szCs w:val="28"/>
        </w:rPr>
        <w:t>（</w:t>
      </w:r>
      <w:r>
        <w:rPr>
          <w:rFonts w:ascii="Arial" w:eastAsia="Arial" w:hAnsi="Arial" w:cs="Arial"/>
          <w:color w:val="000000"/>
          <w:spacing w:val="0"/>
          <w:w w:val="100"/>
          <w:position w:val="0"/>
          <w:sz w:val="24"/>
          <w:szCs w:val="24"/>
        </w:rPr>
        <w:t>“</w:t>
      </w:r>
      <w:r>
        <w:rPr>
          <w:color w:val="000000"/>
          <w:spacing w:val="0"/>
          <w:w w:val="100"/>
          <w:position w:val="0"/>
          <w:sz w:val="24"/>
          <w:szCs w:val="24"/>
        </w:rPr>
        <w:t>员工持股计划</w:t>
      </w:r>
      <w:r>
        <w:rPr>
          <w:rFonts w:ascii="Arial" w:eastAsia="Arial" w:hAnsi="Arial" w:cs="Arial"/>
          <w:color w:val="000000"/>
          <w:spacing w:val="0"/>
          <w:w w:val="100"/>
          <w:position w:val="0"/>
          <w:sz w:val="24"/>
          <w:szCs w:val="24"/>
        </w:rPr>
        <w:t>”）</w:t>
      </w:r>
      <w:r>
        <w:rPr>
          <w:color w:val="000000"/>
          <w:spacing w:val="0"/>
          <w:w w:val="100"/>
          <w:position w:val="0"/>
          <w:sz w:val="24"/>
          <w:szCs w:val="24"/>
        </w:rPr>
        <w:t>，本公司以人民币</w:t>
      </w:r>
      <w:r>
        <w:rPr>
          <w:rFonts w:ascii="Arial" w:eastAsia="Arial" w:hAnsi="Arial" w:cs="Arial"/>
          <w:color w:val="000000"/>
          <w:spacing w:val="0"/>
          <w:w w:val="100"/>
          <w:position w:val="0"/>
          <w:sz w:val="24"/>
          <w:szCs w:val="24"/>
        </w:rPr>
        <w:t>6.84</w:t>
      </w:r>
      <w:r>
        <w:rPr>
          <w:color w:val="000000"/>
          <w:spacing w:val="0"/>
          <w:w w:val="100"/>
          <w:position w:val="0"/>
          <w:sz w:val="24"/>
          <w:szCs w:val="24"/>
        </w:rPr>
        <w:t>元</w:t>
      </w:r>
      <w:r>
        <w:rPr>
          <w:rFonts w:ascii="Arial" w:eastAsia="Arial" w:hAnsi="Arial" w:cs="Arial"/>
          <w:color w:val="000000"/>
          <w:spacing w:val="0"/>
          <w:w w:val="100"/>
          <w:position w:val="0"/>
          <w:sz w:val="24"/>
          <w:szCs w:val="24"/>
        </w:rPr>
        <w:t xml:space="preserve">/ </w:t>
      </w:r>
      <w:r>
        <w:rPr>
          <w:color w:val="000000"/>
          <w:spacing w:val="0"/>
          <w:w w:val="100"/>
          <w:position w:val="0"/>
          <w:sz w:val="24"/>
          <w:szCs w:val="24"/>
        </w:rPr>
        <w:t>股的价格授予员工持股计划</w:t>
      </w:r>
      <w:r>
        <w:rPr>
          <w:rFonts w:ascii="Arial" w:eastAsia="Arial" w:hAnsi="Arial" w:cs="Arial"/>
          <w:color w:val="000000"/>
          <w:spacing w:val="0"/>
          <w:w w:val="100"/>
          <w:position w:val="0"/>
          <w:sz w:val="24"/>
          <w:szCs w:val="24"/>
        </w:rPr>
        <w:t>73,070,874</w:t>
      </w:r>
      <w:r>
        <w:rPr>
          <w:color w:val="000000"/>
          <w:spacing w:val="0"/>
          <w:w w:val="100"/>
          <w:position w:val="0"/>
          <w:sz w:val="24"/>
          <w:szCs w:val="24"/>
        </w:rPr>
        <w:t>股股票（'标的股票</w:t>
      </w:r>
      <w:r>
        <w:rPr>
          <w:rFonts w:ascii="Arial" w:eastAsia="Arial" w:hAnsi="Arial" w:cs="Arial"/>
          <w:color w:val="000000"/>
          <w:spacing w:val="0"/>
          <w:w w:val="100"/>
          <w:position w:val="0"/>
          <w:sz w:val="24"/>
          <w:szCs w:val="24"/>
        </w:rPr>
        <w:t>”）</w:t>
      </w:r>
      <w:r>
        <w:rPr>
          <w:color w:val="000000"/>
          <w:spacing w:val="0"/>
          <w:w w:val="100"/>
          <w:position w:val="0"/>
          <w:sz w:val="24"/>
          <w:szCs w:val="24"/>
        </w:rPr>
        <w:t>。本公司以授予日 公司股票收盘价格确认授予日标的股票的公允价值。本员工持股计划所获标 的股票的锁定期为</w:t>
      </w:r>
      <w:r>
        <w:rPr>
          <w:rFonts w:ascii="Arial" w:eastAsia="Arial" w:hAnsi="Arial" w:cs="Arial"/>
          <w:color w:val="000000"/>
          <w:spacing w:val="0"/>
          <w:w w:val="100"/>
          <w:position w:val="0"/>
          <w:sz w:val="24"/>
          <w:szCs w:val="24"/>
        </w:rPr>
        <w:t>12</w:t>
      </w:r>
      <w:r>
        <w:rPr>
          <w:color w:val="000000"/>
          <w:spacing w:val="0"/>
          <w:w w:val="100"/>
          <w:position w:val="0"/>
          <w:sz w:val="24"/>
          <w:szCs w:val="24"/>
        </w:rPr>
        <w:t>个月，自本公司公告最后一笔标的股票过户至本员工持 股计划名下之日起算。</w:t>
      </w:r>
    </w:p>
    <w:p>
      <w:pPr>
        <w:pStyle w:val="Style72"/>
        <w:keepNext w:val="0"/>
        <w:keepLines w:val="0"/>
        <w:widowControl w:val="0"/>
        <w:shd w:val="clear" w:color="auto" w:fill="auto"/>
        <w:bidi w:val="0"/>
        <w:spacing w:before="0" w:after="240" w:line="310" w:lineRule="exact"/>
        <w:ind w:right="0" w:firstLine="0"/>
        <w:jc w:val="both"/>
      </w:pPr>
      <w:r>
        <w:rPr>
          <w:color w:val="000000"/>
          <w:spacing w:val="0"/>
          <w:w w:val="100"/>
          <w:position w:val="0"/>
          <w:sz w:val="24"/>
          <w:szCs w:val="24"/>
        </w:rPr>
        <w:t>若本员工持股计划项下的业绩考核指标达成，即本集团</w:t>
      </w:r>
      <w:r>
        <w:rPr>
          <w:rFonts w:ascii="Arial" w:eastAsia="Arial" w:hAnsi="Arial" w:cs="Arial"/>
          <w:color w:val="000000"/>
          <w:spacing w:val="0"/>
          <w:w w:val="100"/>
          <w:position w:val="0"/>
          <w:sz w:val="24"/>
          <w:szCs w:val="24"/>
        </w:rPr>
        <w:t>2018</w:t>
      </w:r>
      <w:r>
        <w:rPr>
          <w:color w:val="000000"/>
          <w:spacing w:val="0"/>
          <w:w w:val="100"/>
          <w:position w:val="0"/>
          <w:sz w:val="24"/>
          <w:szCs w:val="24"/>
        </w:rPr>
        <w:t xml:space="preserve">年度营业收入较 </w:t>
      </w:r>
      <w:r>
        <w:rPr>
          <w:rFonts w:ascii="Arial" w:eastAsia="Arial" w:hAnsi="Arial" w:cs="Arial"/>
          <w:color w:val="000000"/>
          <w:spacing w:val="0"/>
          <w:w w:val="100"/>
          <w:position w:val="0"/>
          <w:sz w:val="24"/>
          <w:szCs w:val="24"/>
        </w:rPr>
        <w:t>2017</w:t>
      </w:r>
      <w:r>
        <w:rPr>
          <w:color w:val="000000"/>
          <w:spacing w:val="0"/>
          <w:w w:val="100"/>
          <w:position w:val="0"/>
          <w:sz w:val="24"/>
          <w:szCs w:val="24"/>
        </w:rPr>
        <w:t>年度营业收入的增长幅度不低于</w:t>
      </w:r>
      <w:r>
        <w:rPr>
          <w:rFonts w:ascii="Arial" w:eastAsia="Arial" w:hAnsi="Arial" w:cs="Arial"/>
          <w:color w:val="000000"/>
          <w:spacing w:val="0"/>
          <w:w w:val="100"/>
          <w:position w:val="0"/>
          <w:sz w:val="24"/>
          <w:szCs w:val="24"/>
        </w:rPr>
        <w:t>30%</w:t>
      </w:r>
      <w:r>
        <w:rPr>
          <w:color w:val="000000"/>
          <w:spacing w:val="0"/>
          <w:w w:val="100"/>
          <w:position w:val="0"/>
          <w:sz w:val="24"/>
          <w:szCs w:val="24"/>
        </w:rPr>
        <w:t>，锁定期满后</w:t>
      </w:r>
      <w:r>
        <w:rPr>
          <w:rFonts w:ascii="Arial" w:eastAsia="Arial" w:hAnsi="Arial" w:cs="Arial"/>
          <w:color w:val="000000"/>
          <w:spacing w:val="0"/>
          <w:w w:val="100"/>
          <w:position w:val="0"/>
          <w:sz w:val="24"/>
          <w:szCs w:val="24"/>
        </w:rPr>
        <w:t>12</w:t>
      </w:r>
      <w:r>
        <w:rPr>
          <w:color w:val="000000"/>
          <w:spacing w:val="0"/>
          <w:w w:val="100"/>
          <w:position w:val="0"/>
          <w:sz w:val="24"/>
          <w:szCs w:val="24"/>
        </w:rPr>
        <w:t>个月内本员工持 股计划可出售的标的股票数量不超过其持股总数的</w:t>
      </w:r>
      <w:r>
        <w:rPr>
          <w:rFonts w:ascii="Arial" w:eastAsia="Arial" w:hAnsi="Arial" w:cs="Arial"/>
          <w:color w:val="000000"/>
          <w:spacing w:val="0"/>
          <w:w w:val="100"/>
          <w:position w:val="0"/>
          <w:sz w:val="24"/>
          <w:szCs w:val="24"/>
        </w:rPr>
        <w:t>40%</w:t>
      </w:r>
      <w:r>
        <w:rPr>
          <w:color w:val="000000"/>
          <w:spacing w:val="0"/>
          <w:w w:val="100"/>
          <w:position w:val="0"/>
          <w:sz w:val="24"/>
          <w:szCs w:val="24"/>
        </w:rPr>
        <w:t>，锁定期满后</w:t>
      </w:r>
      <w:r>
        <w:rPr>
          <w:rFonts w:ascii="Arial" w:eastAsia="Arial" w:hAnsi="Arial" w:cs="Arial"/>
          <w:color w:val="000000"/>
          <w:spacing w:val="0"/>
          <w:w w:val="100"/>
          <w:position w:val="0"/>
          <w:sz w:val="24"/>
          <w:szCs w:val="24"/>
        </w:rPr>
        <w:t>24</w:t>
      </w:r>
      <w:r>
        <w:rPr>
          <w:color w:val="000000"/>
          <w:spacing w:val="0"/>
          <w:w w:val="100"/>
          <w:position w:val="0"/>
          <w:sz w:val="24"/>
          <w:szCs w:val="24"/>
        </w:rPr>
        <w:t xml:space="preserve">个月 内本员工持股计划可累计出售的标的股票数量不超过其初始持股总数的 </w:t>
      </w:r>
      <w:r>
        <w:rPr>
          <w:rFonts w:ascii="Arial" w:eastAsia="Arial" w:hAnsi="Arial" w:cs="Arial"/>
          <w:color w:val="000000"/>
          <w:spacing w:val="0"/>
          <w:w w:val="100"/>
          <w:position w:val="0"/>
          <w:sz w:val="24"/>
          <w:szCs w:val="24"/>
        </w:rPr>
        <w:t>70%</w:t>
      </w:r>
      <w:r>
        <w:rPr>
          <w:color w:val="000000"/>
          <w:spacing w:val="0"/>
          <w:w w:val="100"/>
          <w:position w:val="0"/>
          <w:sz w:val="24"/>
          <w:szCs w:val="24"/>
        </w:rPr>
        <w:t>，锁定期满后</w:t>
      </w:r>
      <w:r>
        <w:rPr>
          <w:rFonts w:ascii="Arial" w:eastAsia="Arial" w:hAnsi="Arial" w:cs="Arial"/>
          <w:color w:val="000000"/>
          <w:spacing w:val="0"/>
          <w:w w:val="100"/>
          <w:position w:val="0"/>
          <w:sz w:val="24"/>
          <w:szCs w:val="24"/>
        </w:rPr>
        <w:t>36</w:t>
      </w:r>
      <w:r>
        <w:rPr>
          <w:color w:val="000000"/>
          <w:spacing w:val="0"/>
          <w:w w:val="100"/>
          <w:position w:val="0"/>
          <w:sz w:val="24"/>
          <w:szCs w:val="24"/>
        </w:rPr>
        <w:t xml:space="preserve">个月内可累计出售本员工持股计划初始持股总数的 </w:t>
      </w:r>
      <w:r>
        <w:rPr>
          <w:rFonts w:ascii="Arial" w:eastAsia="Arial" w:hAnsi="Arial" w:cs="Arial"/>
          <w:color w:val="000000"/>
          <w:spacing w:val="0"/>
          <w:w w:val="100"/>
          <w:position w:val="0"/>
          <w:sz w:val="24"/>
          <w:szCs w:val="24"/>
        </w:rPr>
        <w:t>100%</w:t>
      </w:r>
      <w:r>
        <w:rPr>
          <w:color w:val="000000"/>
          <w:spacing w:val="0"/>
          <w:w w:val="100"/>
          <w:position w:val="0"/>
          <w:sz w:val="24"/>
          <w:szCs w:val="24"/>
        </w:rPr>
        <w:t>。</w:t>
      </w:r>
    </w:p>
    <w:p>
      <w:pPr>
        <w:pStyle w:val="Style72"/>
        <w:keepNext w:val="0"/>
        <w:keepLines w:val="0"/>
        <w:widowControl w:val="0"/>
        <w:shd w:val="clear" w:color="auto" w:fill="auto"/>
        <w:bidi w:val="0"/>
        <w:spacing w:before="0" w:after="240" w:line="312" w:lineRule="exact"/>
        <w:ind w:right="0" w:firstLine="0"/>
        <w:jc w:val="both"/>
      </w:pPr>
      <w:r>
        <w:rPr>
          <w:color w:val="000000"/>
          <w:spacing w:val="0"/>
          <w:w w:val="100"/>
          <w:position w:val="0"/>
          <w:sz w:val="24"/>
          <w:szCs w:val="24"/>
        </w:rPr>
        <w:t>若本员工持股计划项下的公司业绩考核指标未达成，本员工持股计划在锁定 期届满后出售其持有的全部标的股票所获得的资金归属于本公司，本公司应 以该资金额为限返还持有人原始出资及利息。</w:t>
      </w:r>
    </w:p>
    <w:p>
      <w:pPr>
        <w:pStyle w:val="Style72"/>
        <w:keepNext w:val="0"/>
        <w:keepLines w:val="0"/>
        <w:widowControl w:val="0"/>
        <w:shd w:val="clear" w:color="auto" w:fill="auto"/>
        <w:bidi w:val="0"/>
        <w:spacing w:before="0" w:after="240" w:line="314" w:lineRule="exact"/>
        <w:ind w:right="0" w:firstLine="0"/>
        <w:jc w:val="both"/>
        <w:sectPr>
          <w:footnotePr>
            <w:pos w:val="pageBottom"/>
            <w:numFmt w:val="decimal"/>
            <w:numStart w:val="1"/>
            <w:numRestart w:val="continuous"/>
            <w15:footnoteColumns w:val="1"/>
          </w:footnotePr>
          <w:pgSz w:w="11900" w:h="16840"/>
          <w:pgMar w:top="2338" w:right="1407" w:bottom="2338" w:left="1709" w:header="0" w:footer="3" w:gutter="0"/>
          <w:cols w:space="720"/>
          <w:noEndnote/>
          <w:rtlGutter w:val="0"/>
          <w:docGrid w:linePitch="360"/>
        </w:sectPr>
      </w:pPr>
      <w:r>
        <w:rPr>
          <w:color w:val="000000"/>
          <w:spacing w:val="0"/>
          <w:w w:val="100"/>
          <w:position w:val="0"/>
          <w:sz w:val="24"/>
          <w:szCs w:val="24"/>
        </w:rPr>
        <w:t>根据</w:t>
      </w:r>
      <w:r>
        <w:rPr>
          <w:rFonts w:ascii="Arial" w:eastAsia="Arial" w:hAnsi="Arial" w:cs="Arial"/>
          <w:color w:val="000000"/>
          <w:spacing w:val="0"/>
          <w:w w:val="100"/>
          <w:position w:val="0"/>
          <w:sz w:val="24"/>
          <w:szCs w:val="24"/>
        </w:rPr>
        <w:t>2018</w:t>
      </w:r>
      <w:r>
        <w:rPr>
          <w:color w:val="000000"/>
          <w:spacing w:val="0"/>
          <w:w w:val="100"/>
          <w:position w:val="0"/>
          <w:sz w:val="24"/>
          <w:szCs w:val="24"/>
        </w:rPr>
        <w:t>年苏宁易购集团有限公司年报显示，</w:t>
      </w:r>
      <w:r>
        <w:rPr>
          <w:rFonts w:ascii="Arial" w:eastAsia="Arial" w:hAnsi="Arial" w:cs="Arial"/>
          <w:color w:val="000000"/>
          <w:spacing w:val="0"/>
          <w:w w:val="100"/>
          <w:position w:val="0"/>
          <w:sz w:val="24"/>
          <w:szCs w:val="24"/>
        </w:rPr>
        <w:t>2018</w:t>
      </w:r>
      <w:r>
        <w:rPr>
          <w:color w:val="000000"/>
          <w:spacing w:val="0"/>
          <w:w w:val="100"/>
          <w:position w:val="0"/>
          <w:sz w:val="24"/>
          <w:szCs w:val="24"/>
        </w:rPr>
        <w:t xml:space="preserve">年公司实现营业收入较 </w:t>
      </w:r>
      <w:r>
        <w:rPr>
          <w:rFonts w:ascii="Arial" w:eastAsia="Arial" w:hAnsi="Arial" w:cs="Arial"/>
          <w:color w:val="000000"/>
          <w:spacing w:val="0"/>
          <w:w w:val="100"/>
          <w:position w:val="0"/>
          <w:sz w:val="24"/>
          <w:szCs w:val="24"/>
        </w:rPr>
        <w:t>2017</w:t>
      </w:r>
      <w:r>
        <w:rPr>
          <w:color w:val="000000"/>
          <w:spacing w:val="0"/>
          <w:w w:val="100"/>
          <w:position w:val="0"/>
          <w:sz w:val="24"/>
          <w:szCs w:val="24"/>
        </w:rPr>
        <w:t>年增加约</w:t>
      </w:r>
      <w:r>
        <w:rPr>
          <w:rFonts w:ascii="Arial" w:eastAsia="Arial" w:hAnsi="Arial" w:cs="Arial"/>
          <w:color w:val="000000"/>
          <w:spacing w:val="0"/>
          <w:w w:val="100"/>
          <w:position w:val="0"/>
          <w:sz w:val="24"/>
          <w:szCs w:val="24"/>
        </w:rPr>
        <w:t>30.35%</w:t>
      </w:r>
      <w:r>
        <w:rPr>
          <w:color w:val="000000"/>
          <w:spacing w:val="0"/>
          <w:w w:val="100"/>
          <w:position w:val="0"/>
          <w:sz w:val="24"/>
          <w:szCs w:val="24"/>
        </w:rPr>
        <w:t>，已达成员工持股计划设定的考核指标。分别于</w:t>
      </w:r>
      <w:r>
        <w:rPr>
          <w:rFonts w:ascii="Arial" w:eastAsia="Arial" w:hAnsi="Arial" w:cs="Arial"/>
          <w:color w:val="000000"/>
          <w:spacing w:val="0"/>
          <w:w w:val="100"/>
          <w:position w:val="0"/>
          <w:sz w:val="24"/>
          <w:szCs w:val="24"/>
        </w:rPr>
        <w:t xml:space="preserve">2019 </w:t>
      </w:r>
      <w:r>
        <w:rPr>
          <w:color w:val="000000"/>
          <w:spacing w:val="0"/>
          <w:w w:val="100"/>
          <w:position w:val="0"/>
          <w:sz w:val="24"/>
          <w:szCs w:val="24"/>
        </w:rPr>
        <w:t>年度、</w:t>
      </w:r>
      <w:r>
        <w:rPr>
          <w:rFonts w:ascii="Arial" w:eastAsia="Arial" w:hAnsi="Arial" w:cs="Arial"/>
          <w:color w:val="000000"/>
          <w:spacing w:val="0"/>
          <w:w w:val="100"/>
          <w:position w:val="0"/>
          <w:sz w:val="24"/>
          <w:szCs w:val="24"/>
        </w:rPr>
        <w:t>2020</w:t>
      </w:r>
      <w:r>
        <w:rPr>
          <w:color w:val="000000"/>
          <w:spacing w:val="0"/>
          <w:w w:val="100"/>
          <w:position w:val="0"/>
          <w:sz w:val="24"/>
          <w:szCs w:val="24"/>
        </w:rPr>
        <w:t>年度及</w:t>
      </w:r>
      <w:r>
        <w:rPr>
          <w:rFonts w:ascii="Arial" w:eastAsia="Arial" w:hAnsi="Arial" w:cs="Arial"/>
          <w:color w:val="000000"/>
          <w:spacing w:val="0"/>
          <w:w w:val="100"/>
          <w:position w:val="0"/>
          <w:sz w:val="24"/>
          <w:szCs w:val="24"/>
        </w:rPr>
        <w:t>2021</w:t>
      </w:r>
      <w:r>
        <w:rPr>
          <w:color w:val="000000"/>
          <w:spacing w:val="0"/>
          <w:w w:val="100"/>
          <w:position w:val="0"/>
          <w:sz w:val="24"/>
          <w:szCs w:val="24"/>
        </w:rPr>
        <w:t xml:space="preserve">年度，员工持股计划可出售的标的股票分别解锁 </w:t>
      </w:r>
      <w:r>
        <w:rPr>
          <w:rFonts w:ascii="Arial" w:eastAsia="Arial" w:hAnsi="Arial" w:cs="Arial"/>
          <w:color w:val="000000"/>
          <w:spacing w:val="0"/>
          <w:w w:val="100"/>
          <w:position w:val="0"/>
          <w:sz w:val="24"/>
          <w:szCs w:val="24"/>
        </w:rPr>
        <w:t>40%</w:t>
      </w:r>
      <w:r>
        <w:rPr>
          <w:color w:val="000000"/>
          <w:spacing w:val="0"/>
          <w:w w:val="100"/>
          <w:position w:val="0"/>
          <w:sz w:val="24"/>
          <w:szCs w:val="24"/>
        </w:rPr>
        <w:t>、</w:t>
      </w:r>
      <w:r>
        <w:rPr>
          <w:rFonts w:ascii="Arial" w:eastAsia="Arial" w:hAnsi="Arial" w:cs="Arial"/>
          <w:color w:val="000000"/>
          <w:spacing w:val="0"/>
          <w:w w:val="100"/>
          <w:position w:val="0"/>
          <w:sz w:val="24"/>
          <w:szCs w:val="24"/>
        </w:rPr>
        <w:t>30%</w:t>
      </w:r>
      <w:r>
        <w:rPr>
          <w:color w:val="000000"/>
          <w:spacing w:val="0"/>
          <w:w w:val="100"/>
          <w:position w:val="0"/>
          <w:sz w:val="24"/>
          <w:szCs w:val="24"/>
        </w:rPr>
        <w:t>和</w:t>
      </w:r>
      <w:r>
        <w:rPr>
          <w:rFonts w:ascii="Arial" w:eastAsia="Arial" w:hAnsi="Arial" w:cs="Arial"/>
          <w:color w:val="000000"/>
          <w:spacing w:val="0"/>
          <w:w w:val="100"/>
          <w:position w:val="0"/>
          <w:sz w:val="24"/>
          <w:szCs w:val="24"/>
        </w:rPr>
        <w:t>30%</w:t>
      </w:r>
      <w:r>
        <w:rPr>
          <w:color w:val="000000"/>
          <w:spacing w:val="0"/>
          <w:w w:val="100"/>
          <w:position w:val="0"/>
          <w:sz w:val="24"/>
          <w:szCs w:val="24"/>
        </w:rPr>
        <w:t>。截至</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日止，员工持股计划可出售的标 的股票已经全部解锁。</w:t>
      </w:r>
    </w:p>
    <w:p>
      <w:pPr>
        <w:pStyle w:val="Style72"/>
        <w:keepNext w:val="0"/>
        <w:keepLines w:val="0"/>
        <w:widowControl w:val="0"/>
        <w:shd w:val="clear" w:color="auto" w:fill="auto"/>
        <w:tabs>
          <w:tab w:pos="700" w:val="left"/>
        </w:tabs>
        <w:bidi w:val="0"/>
        <w:spacing w:before="0" w:after="300" w:line="240" w:lineRule="auto"/>
        <w:ind w:left="0" w:right="0" w:firstLine="0"/>
        <w:jc w:val="both"/>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numPr>
          <w:ilvl w:val="0"/>
          <w:numId w:val="105"/>
        </w:numPr>
        <w:shd w:val="clear" w:color="auto" w:fill="auto"/>
        <w:tabs>
          <w:tab w:pos="700" w:val="left"/>
        </w:tabs>
        <w:bidi w:val="0"/>
        <w:spacing w:before="0" w:line="266" w:lineRule="auto"/>
        <w:ind w:left="0" w:right="0" w:firstLine="0"/>
        <w:jc w:val="both"/>
        <w:rPr>
          <w:sz w:val="28"/>
          <w:szCs w:val="28"/>
        </w:rPr>
      </w:pPr>
      <w:bookmarkStart w:id="941" w:name="bookmark941"/>
      <w:bookmarkEnd w:id="941"/>
      <w:r>
        <w:rPr>
          <w:rFonts w:ascii="SimSun" w:eastAsia="SimSun" w:hAnsi="SimSun" w:cs="SimSun"/>
          <w:b/>
          <w:bCs/>
          <w:color w:val="000000"/>
          <w:spacing w:val="0"/>
          <w:w w:val="100"/>
          <w:position w:val="0"/>
          <w:sz w:val="24"/>
          <w:szCs w:val="24"/>
        </w:rPr>
        <w:t>资本公积</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700" w:val="left"/>
        </w:tabs>
        <w:bidi w:val="0"/>
        <w:spacing w:before="0" w:after="260" w:line="307" w:lineRule="exact"/>
        <w:ind w:left="0" w:right="0" w:firstLine="0"/>
        <w:jc w:val="both"/>
        <w:rPr>
          <w:sz w:val="28"/>
          <w:szCs w:val="28"/>
        </w:rPr>
      </w:pPr>
      <w:r>
        <w:rPr>
          <w:color w:val="000000"/>
          <w:spacing w:val="0"/>
          <w:w w:val="100"/>
          <w:position w:val="0"/>
          <w:sz w:val="24"/>
          <w:szCs w:val="24"/>
        </w:rPr>
        <w:t>⑴</w:t>
        <w:tab/>
        <w:t>员工持股计划</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60" w:line="307" w:lineRule="exact"/>
        <w:ind w:left="0" w:right="0" w:firstLine="720"/>
        <w:jc w:val="both"/>
      </w:pPr>
      <w:r>
        <w:rPr>
          <w:color w:val="000000"/>
          <w:spacing w:val="0"/>
          <w:w w:val="100"/>
          <w:position w:val="0"/>
          <w:sz w:val="24"/>
          <w:szCs w:val="24"/>
        </w:rPr>
        <w:t>股份支付交易对财务状况和经营成果的影响：</w:t>
      </w:r>
    </w:p>
    <w:p>
      <w:pPr>
        <w:pStyle w:val="Style92"/>
        <w:keepNext w:val="0"/>
        <w:keepLines w:val="0"/>
        <w:widowControl w:val="0"/>
        <w:shd w:val="clear" w:color="auto" w:fill="auto"/>
        <w:bidi w:val="0"/>
        <w:spacing w:before="0" w:line="266" w:lineRule="auto"/>
        <w:ind w:left="0" w:right="0" w:firstLine="720"/>
        <w:jc w:val="both"/>
      </w:pPr>
      <w:r>
        <w:rPr>
          <w:color w:val="000000"/>
          <w:spacing w:val="0"/>
          <w:w w:val="100"/>
          <w:position w:val="0"/>
          <w:sz w:val="24"/>
          <w:szCs w:val="24"/>
        </w:rPr>
        <w:t>2021</w:t>
      </w:r>
      <w:r>
        <w:rPr>
          <w:rFonts w:ascii="SimSun" w:eastAsia="SimSun" w:hAnsi="SimSun" w:cs="SimSun"/>
          <w:color w:val="000000"/>
          <w:spacing w:val="0"/>
          <w:w w:val="100"/>
          <w:position w:val="0"/>
          <w:sz w:val="24"/>
          <w:szCs w:val="24"/>
        </w:rPr>
        <w:t>年度</w:t>
      </w:r>
    </w:p>
    <w:p>
      <w:pPr>
        <w:pStyle w:val="Style72"/>
        <w:keepNext w:val="0"/>
        <w:keepLines w:val="0"/>
        <w:widowControl w:val="0"/>
        <w:shd w:val="clear" w:color="auto" w:fill="auto"/>
        <w:tabs>
          <w:tab w:pos="7563" w:val="left"/>
        </w:tabs>
        <w:bidi w:val="0"/>
        <w:spacing w:before="0" w:after="0" w:line="307" w:lineRule="exact"/>
        <w:ind w:left="0" w:right="0" w:firstLine="720"/>
        <w:jc w:val="both"/>
      </w:pPr>
      <w:r>
        <w:rPr>
          <w:color w:val="000000"/>
          <w:spacing w:val="0"/>
          <w:w w:val="100"/>
          <w:position w:val="0"/>
          <w:sz w:val="24"/>
          <w:szCs w:val="24"/>
        </w:rPr>
        <w:t>当期因权益结算的股份支付而计提的费用总额</w:t>
        <w:tab/>
      </w:r>
      <w:r>
        <w:rPr>
          <w:rFonts w:ascii="Arial" w:eastAsia="Arial" w:hAnsi="Arial" w:cs="Arial"/>
          <w:color w:val="000000"/>
          <w:spacing w:val="0"/>
          <w:w w:val="100"/>
          <w:position w:val="0"/>
          <w:sz w:val="24"/>
          <w:szCs w:val="24"/>
        </w:rPr>
        <w:t>0.25</w:t>
      </w:r>
      <w:r>
        <w:rPr>
          <w:color w:val="000000"/>
          <w:spacing w:val="0"/>
          <w:w w:val="100"/>
          <w:position w:val="0"/>
          <w:sz w:val="24"/>
          <w:szCs w:val="24"/>
        </w:rPr>
        <w:t>亿元</w:t>
      </w:r>
    </w:p>
    <w:p>
      <w:pPr>
        <w:pStyle w:val="Style72"/>
        <w:keepNext w:val="0"/>
        <w:keepLines w:val="0"/>
        <w:widowControl w:val="0"/>
        <w:shd w:val="clear" w:color="auto" w:fill="auto"/>
        <w:tabs>
          <w:tab w:pos="7563" w:val="left"/>
        </w:tabs>
        <w:bidi w:val="0"/>
        <w:spacing w:before="0" w:after="300" w:line="307" w:lineRule="exact"/>
        <w:ind w:left="0" w:right="0" w:firstLine="720"/>
        <w:jc w:val="both"/>
      </w:pPr>
      <w:r>
        <w:rPr>
          <w:color w:val="000000"/>
          <w:spacing w:val="0"/>
          <w:w w:val="100"/>
          <w:position w:val="0"/>
          <w:sz w:val="24"/>
          <w:szCs w:val="24"/>
        </w:rPr>
        <w:t>资本公积中以权益结算的股份支付的金额</w:t>
        <w:tab/>
      </w:r>
      <w:r>
        <w:rPr>
          <w:rFonts w:ascii="Arial" w:eastAsia="Arial" w:hAnsi="Arial" w:cs="Arial"/>
          <w:color w:val="000000"/>
          <w:spacing w:val="0"/>
          <w:w w:val="100"/>
          <w:position w:val="0"/>
          <w:sz w:val="24"/>
          <w:szCs w:val="24"/>
        </w:rPr>
        <w:t>0.25</w:t>
      </w:r>
      <w:r>
        <w:rPr>
          <w:color w:val="000000"/>
          <w:spacing w:val="0"/>
          <w:w w:val="100"/>
          <w:position w:val="0"/>
          <w:sz w:val="24"/>
          <w:szCs w:val="24"/>
        </w:rPr>
        <w:t>亿元</w:t>
      </w:r>
    </w:p>
    <w:p>
      <w:pPr>
        <w:pStyle w:val="Style92"/>
        <w:keepNext w:val="0"/>
        <w:keepLines w:val="0"/>
        <w:widowControl w:val="0"/>
        <w:numPr>
          <w:ilvl w:val="0"/>
          <w:numId w:val="105"/>
        </w:numPr>
        <w:shd w:val="clear" w:color="auto" w:fill="auto"/>
        <w:tabs>
          <w:tab w:pos="700" w:val="left"/>
        </w:tabs>
        <w:bidi w:val="0"/>
        <w:spacing w:before="0" w:after="300" w:line="266" w:lineRule="auto"/>
        <w:ind w:left="0" w:right="0" w:firstLine="0"/>
        <w:jc w:val="left"/>
      </w:pPr>
      <w:bookmarkStart w:id="942" w:name="bookmark942"/>
      <w:bookmarkEnd w:id="942"/>
      <w:r>
        <w:rPr>
          <w:rFonts w:ascii="SimSun" w:eastAsia="SimSun" w:hAnsi="SimSun" w:cs="SimSun"/>
          <w:b/>
          <w:bCs/>
          <w:color w:val="000000"/>
          <w:spacing w:val="0"/>
          <w:w w:val="100"/>
          <w:position w:val="0"/>
          <w:sz w:val="24"/>
          <w:szCs w:val="24"/>
        </w:rPr>
        <w:t>库存股</w:t>
      </w:r>
    </w:p>
    <w:p>
      <w:pPr>
        <w:pStyle w:val="Style92"/>
        <w:keepNext w:val="0"/>
        <w:keepLines w:val="0"/>
        <w:widowControl w:val="0"/>
        <w:shd w:val="clear" w:color="auto" w:fill="auto"/>
        <w:tabs>
          <w:tab w:pos="4570" w:val="left"/>
        </w:tabs>
        <w:bidi w:val="0"/>
        <w:spacing w:before="0" w:after="0" w:line="266" w:lineRule="auto"/>
        <w:ind w:left="0" w:right="0" w:firstLine="0"/>
        <w:jc w:val="center"/>
      </w:pPr>
      <w:r>
        <w:rPr>
          <w:color w:val="000000"/>
          <w:spacing w:val="0"/>
          <w:w w:val="100"/>
          <w:position w:val="0"/>
          <w:sz w:val="24"/>
          <w:szCs w:val="24"/>
        </w:rPr>
        <w:t xml:space="preserve">2020 </w:t>
      </w:r>
      <w:r>
        <w:rPr>
          <w:rFonts w:ascii="SimSun" w:eastAsia="SimSun" w:hAnsi="SimSun" w:cs="SimSun"/>
          <w:color w:val="000000"/>
          <w:spacing w:val="0"/>
          <w:w w:val="100"/>
          <w:position w:val="0"/>
          <w:sz w:val="24"/>
          <w:szCs w:val="24"/>
        </w:rPr>
        <w:t>年</w:t>
        <w:tab/>
      </w:r>
      <w:r>
        <w:rPr>
          <w:color w:val="000000"/>
          <w:spacing w:val="0"/>
          <w:w w:val="100"/>
          <w:position w:val="0"/>
          <w:sz w:val="24"/>
          <w:szCs w:val="24"/>
        </w:rPr>
        <w:t xml:space="preserve">2021 </w:t>
      </w:r>
      <w:r>
        <w:rPr>
          <w:rFonts w:ascii="SimSun" w:eastAsia="SimSun" w:hAnsi="SimSun" w:cs="SimSun"/>
          <w:color w:val="000000"/>
          <w:spacing w:val="0"/>
          <w:w w:val="100"/>
          <w:position w:val="0"/>
          <w:sz w:val="24"/>
          <w:szCs w:val="24"/>
        </w:rPr>
        <w:t>年</w:t>
      </w:r>
    </w:p>
    <w:p>
      <w:pPr>
        <w:pStyle w:val="Style72"/>
        <w:keepNext w:val="0"/>
        <w:keepLines w:val="0"/>
        <w:widowControl w:val="0"/>
        <w:shd w:val="clear" w:color="auto" w:fill="auto"/>
        <w:tabs>
          <w:tab w:pos="1694" w:val="left"/>
          <w:tab w:pos="2974" w:val="left"/>
          <w:tab w:pos="4570" w:val="left"/>
        </w:tabs>
        <w:bidi w:val="0"/>
        <w:spacing w:before="0" w:after="260" w:line="266" w:lineRule="auto"/>
        <w:ind w:left="0" w:right="0" w:firstLine="0"/>
        <w:jc w:val="right"/>
      </w:pP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tab/>
        <w:t>本年增加</w:t>
        <w:tab/>
        <w:t>本年减少</w:t>
      </w:r>
      <w:r>
        <w:rPr>
          <w:rFonts w:ascii="Arial" w:eastAsia="Arial" w:hAnsi="Arial" w:cs="Arial"/>
          <w:color w:val="000000"/>
          <w:spacing w:val="0"/>
          <w:w w:val="100"/>
          <w:position w:val="0"/>
          <w:sz w:val="24"/>
          <w:szCs w:val="24"/>
        </w:rPr>
        <w:t>(i)</w:t>
        <w:tab/>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r>
    </w:p>
    <w:p>
      <w:pPr>
        <w:pStyle w:val="Style92"/>
        <w:keepNext w:val="0"/>
        <w:keepLines w:val="0"/>
        <w:widowControl w:val="0"/>
        <w:shd w:val="clear" w:color="auto" w:fill="auto"/>
        <w:tabs>
          <w:tab w:pos="2974" w:val="left"/>
          <w:tab w:leader="underscore" w:pos="5462" w:val="left"/>
          <w:tab w:pos="7563" w:val="left"/>
        </w:tabs>
        <w:bidi w:val="0"/>
        <w:spacing w:before="0" w:line="307" w:lineRule="exact"/>
        <w:ind w:left="0" w:right="0" w:firstLine="720"/>
        <w:jc w:val="both"/>
      </w:pPr>
      <w:r>
        <w:rPr>
          <w:rFonts w:ascii="SimSun" w:eastAsia="SimSun" w:hAnsi="SimSun" w:cs="SimSun"/>
          <w:color w:val="000000"/>
          <w:spacing w:val="0"/>
          <w:w w:val="100"/>
          <w:position w:val="0"/>
          <w:sz w:val="24"/>
          <w:szCs w:val="24"/>
        </w:rPr>
        <w:t>库存股</w:t>
        <w:tab/>
      </w:r>
      <w:r>
        <w:rPr>
          <w:color w:val="000000"/>
          <w:spacing w:val="0"/>
          <w:w w:val="100"/>
          <w:position w:val="0"/>
          <w:sz w:val="24"/>
          <w:szCs w:val="24"/>
          <w:u w:val="single"/>
        </w:rPr>
        <w:t>2,305,900</w:t>
      </w:r>
      <w:r>
        <w:rPr>
          <w:color w:val="000000"/>
          <w:spacing w:val="0"/>
          <w:w w:val="100"/>
          <w:position w:val="0"/>
          <w:sz w:val="24"/>
          <w:szCs w:val="24"/>
        </w:rPr>
        <w:tab/>
      </w:r>
      <w:r>
        <w:rPr>
          <w:rFonts w:ascii="SimSun" w:eastAsia="SimSun" w:hAnsi="SimSun" w:cs="SimSun"/>
          <w:color w:val="000000"/>
          <w:spacing w:val="0"/>
          <w:w w:val="100"/>
          <w:position w:val="0"/>
          <w:sz w:val="24"/>
          <w:szCs w:val="24"/>
        </w:rPr>
        <w:t xml:space="preserve">二 </w:t>
      </w:r>
      <w:r>
        <w:rPr>
          <w:color w:val="000000"/>
          <w:spacing w:val="0"/>
          <w:w w:val="100"/>
          <w:position w:val="0"/>
          <w:sz w:val="24"/>
          <w:szCs w:val="24"/>
          <w:u w:val="single"/>
        </w:rPr>
        <w:t>(296,332)</w:t>
        <w:tab/>
        <w:t>2,009,568</w:t>
      </w:r>
    </w:p>
    <w:p>
      <w:pPr>
        <w:pStyle w:val="Style72"/>
        <w:keepNext w:val="0"/>
        <w:keepLines w:val="0"/>
        <w:widowControl w:val="0"/>
        <w:shd w:val="clear" w:color="auto" w:fill="auto"/>
        <w:tabs>
          <w:tab w:pos="700" w:val="left"/>
        </w:tabs>
        <w:bidi w:val="0"/>
        <w:spacing w:before="0" w:after="0" w:line="307" w:lineRule="exact"/>
        <w:ind w:left="0" w:right="0" w:firstLine="0"/>
        <w:jc w:val="left"/>
      </w:pPr>
      <w:r>
        <w:rPr>
          <w:color w:val="000000"/>
          <w:spacing w:val="0"/>
          <w:w w:val="100"/>
          <w:position w:val="0"/>
          <w:sz w:val="24"/>
          <w:szCs w:val="24"/>
        </w:rPr>
        <w:t>⑴</w:t>
        <w:tab/>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年度，员工持股计划可出售的标的股票不超过其持股总数的</w:t>
      </w:r>
      <w:r>
        <w:rPr>
          <w:rFonts w:ascii="Arial" w:eastAsia="Arial" w:hAnsi="Arial" w:cs="Arial"/>
          <w:color w:val="000000"/>
          <w:spacing w:val="0"/>
          <w:w w:val="100"/>
          <w:position w:val="0"/>
          <w:sz w:val="24"/>
          <w:szCs w:val="24"/>
        </w:rPr>
        <w:t>30%</w:t>
      </w:r>
      <w:r>
        <w:rPr>
          <w:color w:val="000000"/>
          <w:spacing w:val="0"/>
          <w:w w:val="100"/>
          <w:position w:val="0"/>
          <w:sz w:val="24"/>
          <w:szCs w:val="24"/>
        </w:rPr>
        <w:t>的</w:t>
      </w:r>
    </w:p>
    <w:p>
      <w:pPr>
        <w:pStyle w:val="Style72"/>
        <w:keepNext w:val="0"/>
        <w:keepLines w:val="0"/>
        <w:widowControl w:val="0"/>
        <w:shd w:val="clear" w:color="auto" w:fill="auto"/>
        <w:bidi w:val="0"/>
        <w:spacing w:before="0" w:after="260" w:line="307" w:lineRule="exact"/>
        <w:ind w:right="0" w:firstLine="0"/>
        <w:jc w:val="both"/>
        <w:sectPr>
          <w:footnotePr>
            <w:pos w:val="pageBottom"/>
            <w:numFmt w:val="decimal"/>
            <w:numStart w:val="1"/>
            <w:numRestart w:val="continuous"/>
            <w15:footnoteColumns w:val="1"/>
          </w:footnotePr>
          <w:pgSz w:w="11900" w:h="16840"/>
          <w:pgMar w:top="2410" w:right="1407" w:bottom="2410" w:left="1709" w:header="0" w:footer="3" w:gutter="0"/>
          <w:cols w:space="720"/>
          <w:noEndnote/>
          <w:rtlGutter w:val="0"/>
          <w:docGrid w:linePitch="360"/>
        </w:sectPr>
      </w:pPr>
      <w:r>
        <w:rPr>
          <w:color w:val="000000"/>
          <w:spacing w:val="0"/>
          <w:w w:val="100"/>
          <w:position w:val="0"/>
          <w:sz w:val="24"/>
          <w:szCs w:val="24"/>
        </w:rPr>
        <w:t>部分已解锁。本集团根据解锁情况，按照解锁股票相应的账面价值结转库存 股约人民币</w:t>
      </w:r>
      <w:r>
        <w:rPr>
          <w:rFonts w:ascii="Arial" w:eastAsia="Arial" w:hAnsi="Arial" w:cs="Arial"/>
          <w:color w:val="000000"/>
          <w:spacing w:val="0"/>
          <w:w w:val="100"/>
          <w:position w:val="0"/>
          <w:sz w:val="24"/>
          <w:szCs w:val="24"/>
        </w:rPr>
        <w:t>3</w:t>
      </w:r>
      <w:r>
        <w:rPr>
          <w:color w:val="000000"/>
          <w:spacing w:val="0"/>
          <w:w w:val="100"/>
          <w:position w:val="0"/>
          <w:sz w:val="24"/>
          <w:szCs w:val="24"/>
        </w:rPr>
        <w:t>亿元、其他应付款约人民币</w:t>
      </w:r>
      <w:r>
        <w:rPr>
          <w:rFonts w:ascii="Arial" w:eastAsia="Arial" w:hAnsi="Arial" w:cs="Arial"/>
          <w:color w:val="000000"/>
          <w:spacing w:val="0"/>
          <w:w w:val="100"/>
          <w:position w:val="0"/>
          <w:sz w:val="24"/>
          <w:szCs w:val="24"/>
        </w:rPr>
        <w:t>1.5</w:t>
      </w:r>
      <w:r>
        <w:rPr>
          <w:color w:val="000000"/>
          <w:spacing w:val="0"/>
          <w:w w:val="100"/>
          <w:position w:val="0"/>
          <w:sz w:val="24"/>
          <w:szCs w:val="24"/>
        </w:rPr>
        <w:t>亿元以及等待期内确认的资本 公积约人民币</w:t>
      </w:r>
      <w:r>
        <w:rPr>
          <w:rFonts w:ascii="Arial" w:eastAsia="Arial" w:hAnsi="Arial" w:cs="Arial"/>
          <w:color w:val="000000"/>
          <w:spacing w:val="0"/>
          <w:w w:val="100"/>
          <w:position w:val="0"/>
          <w:sz w:val="24"/>
          <w:szCs w:val="24"/>
        </w:rPr>
        <w:t>1.5</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(41))</w:t>
      </w:r>
      <w:r>
        <w:rPr>
          <w:color w:val="000000"/>
          <w:spacing w:val="0"/>
          <w:w w:val="100"/>
          <w:position w:val="0"/>
          <w:sz w:val="24"/>
          <w:szCs w:val="24"/>
        </w:rPr>
        <w:t>。</w:t>
      </w:r>
    </w:p>
    <w:p>
      <w:pPr>
        <w:pStyle w:val="Style72"/>
        <w:keepNext w:val="0"/>
        <w:keepLines w:val="0"/>
        <w:widowControl w:val="0"/>
        <w:shd w:val="clear" w:color="auto" w:fill="auto"/>
        <w:tabs>
          <w:tab w:pos="706" w:val="left"/>
        </w:tabs>
        <w:bidi w:val="0"/>
        <w:spacing w:before="0" w:after="28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20" w:line="240" w:lineRule="auto"/>
        <w:ind w:left="0" w:right="0" w:firstLine="0"/>
        <w:jc w:val="left"/>
      </w:pPr>
      <w:r>
        <w:rPr>
          <w:rFonts w:ascii="Arial" w:eastAsia="Arial" w:hAnsi="Arial" w:cs="Arial"/>
          <w:color w:val="000000"/>
          <w:spacing w:val="0"/>
          <w:w w:val="100"/>
          <w:position w:val="0"/>
          <w:sz w:val="24"/>
          <w:szCs w:val="24"/>
        </w:rPr>
        <w:t>（43）</w:t>
      </w:r>
      <w:r>
        <w:rPr>
          <w:b/>
          <w:bCs/>
          <w:color w:val="000000"/>
          <w:spacing w:val="0"/>
          <w:w w:val="100"/>
          <w:position w:val="0"/>
          <w:sz w:val="24"/>
          <w:szCs w:val="24"/>
        </w:rPr>
        <w:t>其他综合收益</w:t>
      </w:r>
    </w:p>
    <w:p>
      <w:pPr>
        <w:pStyle w:val="Style26"/>
        <w:keepNext w:val="0"/>
        <w:keepLines w:val="0"/>
        <w:widowControl w:val="0"/>
        <w:shd w:val="clear" w:color="auto" w:fill="auto"/>
        <w:tabs>
          <w:tab w:leader="underscore" w:pos="9211" w:val="left"/>
        </w:tabs>
        <w:bidi w:val="0"/>
        <w:spacing w:before="0" w:after="0" w:line="240" w:lineRule="auto"/>
        <w:ind w:left="4555" w:right="0" w:firstLine="0"/>
        <w:jc w:val="left"/>
        <w:rPr>
          <w:sz w:val="15"/>
          <w:szCs w:val="15"/>
        </w:rPr>
      </w:pPr>
      <w:r>
        <w:rPr>
          <w:color w:val="000000"/>
          <w:spacing w:val="0"/>
          <w:w w:val="100"/>
          <w:position w:val="0"/>
          <w:sz w:val="15"/>
          <w:szCs w:val="15"/>
          <w:u w:val="single"/>
        </w:rPr>
        <w:t>资产负债表中其他综合收益</w:t>
      </w:r>
      <w:r>
        <w:rPr>
          <w:color w:val="000000"/>
          <w:spacing w:val="0"/>
          <w:w w:val="100"/>
          <w:position w:val="0"/>
          <w:sz w:val="15"/>
          <w:szCs w:val="15"/>
        </w:rPr>
        <w:tab/>
      </w:r>
      <w:r>
        <w:rPr>
          <w:rFonts w:ascii="Arial" w:eastAsia="Arial" w:hAnsi="Arial" w:cs="Arial"/>
          <w:color w:val="000000"/>
          <w:spacing w:val="0"/>
          <w:w w:val="100"/>
          <w:position w:val="0"/>
          <w:sz w:val="16"/>
          <w:szCs w:val="16"/>
          <w:u w:val="single"/>
        </w:rPr>
        <w:t>2021</w:t>
      </w:r>
      <w:r>
        <w:rPr>
          <w:color w:val="000000"/>
          <w:spacing w:val="0"/>
          <w:w w:val="100"/>
          <w:position w:val="0"/>
          <w:sz w:val="15"/>
          <w:szCs w:val="15"/>
          <w:u w:val="single"/>
        </w:rPr>
        <w:t>年度利润表中其他综合收益</w:t>
      </w:r>
    </w:p>
    <w:tbl>
      <w:tblPr>
        <w:tblOverlap w:val="never"/>
        <w:jc w:val="center"/>
        <w:tblLayout w:type="fixed"/>
      </w:tblPr>
      <w:tblGrid>
        <w:gridCol w:w="3427"/>
        <w:gridCol w:w="1037"/>
        <w:gridCol w:w="1162"/>
        <w:gridCol w:w="994"/>
        <w:gridCol w:w="1085"/>
        <w:gridCol w:w="1147"/>
        <w:gridCol w:w="950"/>
        <w:gridCol w:w="1118"/>
        <w:gridCol w:w="1090"/>
        <w:gridCol w:w="1032"/>
      </w:tblGrid>
      <w:tr>
        <w:trPr>
          <w:trHeight w:val="763"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6"/>
                <w:szCs w:val="16"/>
              </w:rPr>
              <w:t xml:space="preserve">2020 </w:t>
            </w:r>
            <w:r>
              <w:rPr>
                <w:rFonts w:ascii="SimSun" w:eastAsia="SimSun" w:hAnsi="SimSun" w:cs="SimSun"/>
                <w:color w:val="000000"/>
                <w:spacing w:val="0"/>
                <w:w w:val="100"/>
                <w:position w:val="0"/>
                <w:sz w:val="15"/>
                <w:szCs w:val="15"/>
              </w:rPr>
              <w:t>年</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02" w:lineRule="exact"/>
              <w:ind w:left="260" w:right="0" w:firstLine="20"/>
              <w:jc w:val="left"/>
              <w:rPr>
                <w:sz w:val="15"/>
                <w:szCs w:val="15"/>
              </w:rPr>
            </w:pPr>
            <w:r>
              <w:rPr>
                <w:rFonts w:ascii="SimSun" w:eastAsia="SimSun" w:hAnsi="SimSun" w:cs="SimSun"/>
                <w:color w:val="000000"/>
                <w:spacing w:val="0"/>
                <w:w w:val="100"/>
                <w:position w:val="0"/>
                <w:sz w:val="15"/>
                <w:szCs w:val="15"/>
              </w:rPr>
              <w:t>税后归属 于母公司</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其他综合</w:t>
            </w:r>
          </w:p>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收益转</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留存收益</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6"/>
                <w:szCs w:val="16"/>
              </w:rPr>
              <w:t xml:space="preserve">2021 </w:t>
            </w:r>
            <w:r>
              <w:rPr>
                <w:rFonts w:ascii="SimSun" w:eastAsia="SimSun" w:hAnsi="SimSun" w:cs="SimSun"/>
                <w:color w:val="000000"/>
                <w:spacing w:val="0"/>
                <w:w w:val="100"/>
                <w:position w:val="0"/>
                <w:sz w:val="15"/>
                <w:szCs w:val="15"/>
              </w:rPr>
              <w:t>年</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所得税前发</w:t>
            </w:r>
          </w:p>
          <w:p>
            <w:pPr>
              <w:pStyle w:val="Style29"/>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生额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11" w:lineRule="exact"/>
              <w:ind w:left="200" w:right="0" w:firstLine="0"/>
              <w:jc w:val="left"/>
              <w:rPr>
                <w:sz w:val="15"/>
                <w:szCs w:val="15"/>
              </w:rPr>
            </w:pPr>
            <w:r>
              <w:rPr>
                <w:rFonts w:ascii="SimSun" w:eastAsia="SimSun" w:hAnsi="SimSun" w:cs="SimSun"/>
                <w:color w:val="000000"/>
                <w:spacing w:val="0"/>
                <w:w w:val="100"/>
                <w:position w:val="0"/>
                <w:sz w:val="15"/>
                <w:szCs w:val="15"/>
              </w:rPr>
              <w:t>减：其他 综合收益 本年转出</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192" w:lineRule="exact"/>
              <w:ind w:left="0" w:right="0" w:firstLine="0"/>
              <w:jc w:val="right"/>
              <w:rPr>
                <w:sz w:val="15"/>
                <w:szCs w:val="15"/>
              </w:rPr>
            </w:pPr>
            <w:r>
              <w:rPr>
                <w:rFonts w:ascii="SimSun" w:eastAsia="SimSun" w:hAnsi="SimSun" w:cs="SimSun"/>
                <w:color w:val="000000"/>
                <w:spacing w:val="0"/>
                <w:w w:val="100"/>
                <w:position w:val="0"/>
                <w:sz w:val="15"/>
                <w:szCs w:val="15"/>
              </w:rPr>
              <w:t>减:所得税费 用</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税后归属于</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母公司</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税后归属于</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少数股东</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不能重分类进损益的其他综合收益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权益法下不能转损益的其他综合收益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5,384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(5,384)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其他权益工具投资公允价值变动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(1,323,028)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(1,024,260)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58,860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(2,288,428)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(1,329,227)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304,967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(1,024,260)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vertAlign w:val="superscript"/>
              </w:rPr>
              <w:t>-</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将重分类进损益的其他综合收益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vertAlign w:val="superscript"/>
              </w:rPr>
              <w:t>-</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权益法下可转损益的其他综合收益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22,516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(41,476)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(18,960)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(41,476)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(41,476)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vertAlign w:val="superscript"/>
              </w:rPr>
              <w:t>-</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其他债权投资</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含应收款项融资</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信用减值准备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vertAlign w:val="superscript"/>
              </w:rPr>
              <w:t>-</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外币财务报表折算差额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(60,130)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(600,578)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(660,708)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(600,541)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(600,578)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37</w:t>
            </w:r>
          </w:p>
        </w:tc>
      </w:tr>
      <w:tr>
        <w:trPr>
          <w:trHeight w:val="384"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(1,355,258)</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u w:val="single"/>
              </w:rPr>
              <w:t>(1,666,314)</w:t>
            </w: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53,476</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(2,968,096)</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(1,971,244)</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304,967</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(1,666,314)</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37</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资产负债表中其他综合收益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3"/>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年度利润表中其他综合收益</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其他综合</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减：其他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6"/>
                <w:szCs w:val="16"/>
              </w:rPr>
              <w:t xml:space="preserve">2019 </w:t>
            </w:r>
            <w:r>
              <w:rPr>
                <w:rFonts w:ascii="SimSun" w:eastAsia="SimSun" w:hAnsi="SimSun" w:cs="SimSun"/>
                <w:color w:val="000000"/>
                <w:spacing w:val="0"/>
                <w:w w:val="100"/>
                <w:position w:val="0"/>
                <w:sz w:val="15"/>
                <w:szCs w:val="15"/>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税后归属</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收益转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6"/>
                <w:szCs w:val="16"/>
              </w:rPr>
              <w:t xml:space="preserve">2020 </w:t>
            </w:r>
            <w:r>
              <w:rPr>
                <w:rFonts w:ascii="SimSun" w:eastAsia="SimSun" w:hAnsi="SimSun" w:cs="SimSun"/>
                <w:color w:val="000000"/>
                <w:spacing w:val="0"/>
                <w:w w:val="100"/>
                <w:position w:val="0"/>
                <w:sz w:val="15"/>
                <w:szCs w:val="15"/>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所得税前发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综合收益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减:所得税费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税后归属于</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税后归属于</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于母公司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留存收益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15"/>
                <w:szCs w:val="15"/>
              </w:rPr>
            </w:pPr>
            <w:r>
              <w:rPr>
                <w:rFonts w:ascii="SimSun" w:eastAsia="SimSun" w:hAnsi="SimSun" w:cs="SimSun"/>
                <w:color w:val="000000"/>
                <w:spacing w:val="0"/>
                <w:w w:val="100"/>
                <w:position w:val="0"/>
                <w:sz w:val="15"/>
                <w:szCs w:val="15"/>
              </w:rPr>
              <w:t>生额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本年转出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母公司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少数股东</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不能重分类进损益的其他综合收益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权益法下不能转损益的其他综合收益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5,384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其他权益工具投资公允价值变动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(930,651)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(491,876)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99,499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(1,323,028)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(644,721)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152,845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(491,876)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将重分类进损益的其他综合收益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权益法下可转损益的其他综合收益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40,684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(18,168)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22,516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(18,168)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(18,168)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其他债权投资</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含应收款项融资</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信用减值准备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(4,607)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4,607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6,144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4,607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外币财务报表折算差额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1,086,765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(1,146,895)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(60,130)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(1,146,789)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(1,146,895)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106</w:t>
            </w:r>
          </w:p>
        </w:tc>
      </w:tr>
      <w:tr>
        <w:trPr>
          <w:trHeight w:val="27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u w:val="single"/>
              </w:rPr>
              <w:t>197,575</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(1,652,332)</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99,499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(1,355,258)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(1,803,534)</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151,308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(1,652,332)</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106</w:t>
            </w:r>
          </w:p>
        </w:tc>
      </w:tr>
    </w:tbl>
    <w:p>
      <w:pPr>
        <w:sectPr>
          <w:footnotePr>
            <w:pos w:val="pageBottom"/>
            <w:numFmt w:val="decimal"/>
            <w:numStart w:val="1"/>
            <w:numRestart w:val="continuous"/>
            <w15:footnoteColumns w:val="1"/>
          </w:footnotePr>
          <w:pgSz w:w="16840" w:h="11900" w:orient="landscape"/>
          <w:pgMar w:top="2405" w:right="1373" w:bottom="2021" w:left="1714" w:header="0" w:footer="3" w:gutter="0"/>
          <w:cols w:space="720"/>
          <w:noEndnote/>
          <w:rtlGutter w:val="0"/>
          <w:docGrid w:linePitch="360"/>
        </w:sectPr>
      </w:pPr>
    </w:p>
    <w:p>
      <w:pPr>
        <w:pStyle w:val="Style72"/>
        <w:keepNext w:val="0"/>
        <w:keepLines w:val="0"/>
        <w:widowControl w:val="0"/>
        <w:shd w:val="clear" w:color="auto" w:fill="auto"/>
        <w:tabs>
          <w:tab w:pos="706" w:val="left"/>
        </w:tabs>
        <w:bidi w:val="0"/>
        <w:spacing w:before="0" w:after="28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（44）</w:t>
      </w:r>
      <w:r>
        <w:rPr>
          <w:b/>
          <w:bCs/>
          <w:color w:val="000000"/>
          <w:spacing w:val="0"/>
          <w:w w:val="100"/>
          <w:position w:val="0"/>
          <w:sz w:val="24"/>
          <w:szCs w:val="24"/>
        </w:rPr>
        <w:t>盈余公积</w:t>
      </w:r>
    </w:p>
    <w:p>
      <w:pPr>
        <w:pStyle w:val="Style29"/>
        <w:keepNext w:val="0"/>
        <w:keepLines w:val="0"/>
        <w:widowControl w:val="0"/>
        <w:shd w:val="clear" w:color="auto" w:fill="auto"/>
        <w:tabs>
          <w:tab w:pos="4099" w:val="left"/>
        </w:tabs>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tab/>
      </w: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p>
      <w:pPr>
        <w:pStyle w:val="Style55"/>
        <w:keepNext w:val="0"/>
        <w:keepLines w:val="0"/>
        <w:widowControl w:val="0"/>
        <w:shd w:val="clear" w:color="auto" w:fill="auto"/>
        <w:tabs>
          <w:tab w:pos="2150" w:val="left"/>
          <w:tab w:pos="4099" w:val="left"/>
        </w:tabs>
        <w:bidi w:val="0"/>
        <w:spacing w:before="0" w:after="280" w:line="240" w:lineRule="auto"/>
        <w:ind w:left="0" w:right="0" w:firstLine="0"/>
        <w:jc w:val="righ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tab/>
        <w:t>本年增加</w:t>
        <w:tab/>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bl>
      <w:tblPr>
        <w:tblOverlap w:val="never"/>
        <w:jc w:val="right"/>
        <w:tblLayout w:type="fixed"/>
      </w:tblPr>
      <w:tblGrid>
        <w:gridCol w:w="1862"/>
        <w:gridCol w:w="1138"/>
        <w:gridCol w:w="1464"/>
        <w:gridCol w:w="1152"/>
        <w:gridCol w:w="1286"/>
        <w:gridCol w:w="1166"/>
      </w:tblGrid>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法定盈余公积金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1,751,958</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1,751,958</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被动稀释处置子公司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57,799</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57,799</w:t>
            </w:r>
          </w:p>
        </w:tc>
      </w:tr>
      <w:tr>
        <w:trPr>
          <w:trHeight w:val="259"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1,809,757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1,809,757</w:t>
            </w:r>
          </w:p>
        </w:tc>
      </w:tr>
      <w:tr>
        <w:trPr>
          <w:trHeight w:val="45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会计政策</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SimSun" w:eastAsia="SimSun" w:hAnsi="SimSun" w:cs="SimSun"/>
                <w:color w:val="000000"/>
                <w:spacing w:val="0"/>
                <w:w w:val="100"/>
                <w:position w:val="0"/>
                <w:sz w:val="18"/>
                <w:szCs w:val="18"/>
              </w:rPr>
              <w:t>变更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法定盈余公积金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1,690,873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(21,873)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1,669,000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82,958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1,751,958</w:t>
            </w:r>
          </w:p>
        </w:tc>
      </w:tr>
      <w:tr>
        <w:trPr>
          <w:trHeight w:val="2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被动稀释处置子公司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57,799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57,799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57,799</w:t>
            </w:r>
          </w:p>
        </w:tc>
      </w:tr>
      <w:tr>
        <w:trPr>
          <w:trHeight w:val="283"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1,748,672</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(21,873)</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1,726,799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82,958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1,809,757</w:t>
            </w:r>
          </w:p>
        </w:tc>
      </w:tr>
    </w:tbl>
    <w:p>
      <w:pPr>
        <w:widowControl w:val="0"/>
        <w:spacing w:after="179" w:line="1" w:lineRule="exact"/>
      </w:pPr>
    </w:p>
    <w:p>
      <w:pPr>
        <w:pStyle w:val="Style72"/>
        <w:keepNext w:val="0"/>
        <w:keepLines w:val="0"/>
        <w:widowControl w:val="0"/>
        <w:shd w:val="clear" w:color="auto" w:fill="auto"/>
        <w:bidi w:val="0"/>
        <w:spacing w:before="0" w:after="280" w:line="320" w:lineRule="exact"/>
        <w:ind w:left="700" w:right="0" w:firstLine="20"/>
        <w:jc w:val="both"/>
        <w:sectPr>
          <w:footnotePr>
            <w:pos w:val="pageBottom"/>
            <w:numFmt w:val="decimal"/>
            <w:numStart w:val="1"/>
            <w:numRestart w:val="continuous"/>
            <w15:footnoteColumns w:val="1"/>
          </w:footnotePr>
          <w:pgSz w:w="11900" w:h="16840"/>
          <w:pgMar w:top="2410" w:right="1302" w:bottom="2410" w:left="1709" w:header="0" w:footer="3" w:gutter="0"/>
          <w:cols w:space="720"/>
          <w:noEndnote/>
          <w:rtlGutter w:val="0"/>
          <w:docGrid w:linePitch="360"/>
        </w:sectPr>
      </w:pPr>
      <w:r>
        <w:rPr>
          <w:color w:val="000000"/>
          <w:spacing w:val="0"/>
          <w:w w:val="100"/>
          <w:position w:val="0"/>
          <w:sz w:val="24"/>
          <w:szCs w:val="24"/>
        </w:rPr>
        <w:t>根据《中华人民共和国公司法》及本公司章程，本公司按年度净利润的</w:t>
      </w:r>
      <w:r>
        <w:rPr>
          <w:rFonts w:ascii="Arial" w:eastAsia="Arial" w:hAnsi="Arial" w:cs="Arial"/>
          <w:color w:val="000000"/>
          <w:spacing w:val="0"/>
          <w:w w:val="100"/>
          <w:position w:val="0"/>
          <w:sz w:val="24"/>
          <w:szCs w:val="24"/>
        </w:rPr>
        <w:t xml:space="preserve">10% </w:t>
      </w:r>
      <w:r>
        <w:rPr>
          <w:color w:val="000000"/>
          <w:spacing w:val="0"/>
          <w:w w:val="100"/>
          <w:position w:val="0"/>
          <w:sz w:val="24"/>
          <w:szCs w:val="24"/>
        </w:rPr>
        <w:t>提取法定盈余公积金，当法定盈余公积金累计额达到注册资本的</w:t>
      </w:r>
      <w:r>
        <w:rPr>
          <w:rFonts w:ascii="Arial" w:eastAsia="Arial" w:hAnsi="Arial" w:cs="Arial"/>
          <w:color w:val="000000"/>
          <w:spacing w:val="0"/>
          <w:w w:val="100"/>
          <w:position w:val="0"/>
          <w:sz w:val="24"/>
          <w:szCs w:val="24"/>
        </w:rPr>
        <w:t>50%</w:t>
      </w:r>
      <w:r>
        <w:rPr>
          <w:color w:val="000000"/>
          <w:spacing w:val="0"/>
          <w:w w:val="100"/>
          <w:position w:val="0"/>
          <w:sz w:val="24"/>
          <w:szCs w:val="24"/>
        </w:rPr>
        <w:t>以上时， 可不再提取。当法定盈余公积金不足以弥补以前年度亏损时，应当先用当年 利润弥补亏损。法定盈余公积金经批准后可用于弥补亏损，或者增加股本。 经董事会决议，本公司</w:t>
      </w:r>
      <w:r>
        <w:rPr>
          <w:rFonts w:ascii="Arial" w:eastAsia="Arial" w:hAnsi="Arial" w:cs="Arial"/>
          <w:color w:val="000000"/>
          <w:spacing w:val="0"/>
          <w:w w:val="100"/>
          <w:position w:val="0"/>
          <w:sz w:val="24"/>
          <w:szCs w:val="24"/>
        </w:rPr>
        <w:t>2021</w:t>
      </w:r>
      <w:r>
        <w:rPr>
          <w:color w:val="000000"/>
          <w:spacing w:val="0"/>
          <w:w w:val="100"/>
          <w:position w:val="0"/>
          <w:sz w:val="24"/>
          <w:szCs w:val="24"/>
        </w:rPr>
        <w:t>年度为净亏损，故未提取法定盈余公积金</w:t>
      </w:r>
      <w:r>
        <w:rPr>
          <w:rFonts w:ascii="Arial" w:eastAsia="Arial" w:hAnsi="Arial" w:cs="Arial"/>
          <w:color w:val="000000"/>
          <w:spacing w:val="0"/>
          <w:w w:val="100"/>
          <w:position w:val="0"/>
          <w:sz w:val="24"/>
          <w:szCs w:val="24"/>
        </w:rPr>
        <w:t xml:space="preserve">（2020 </w:t>
      </w:r>
      <w:r>
        <w:rPr>
          <w:color w:val="000000"/>
          <w:spacing w:val="0"/>
          <w:w w:val="100"/>
          <w:position w:val="0"/>
          <w:sz w:val="24"/>
          <w:szCs w:val="24"/>
        </w:rPr>
        <w:t>年度：按净利润之</w:t>
      </w:r>
      <w:r>
        <w:rPr>
          <w:rFonts w:ascii="Arial" w:eastAsia="Arial" w:hAnsi="Arial" w:cs="Arial"/>
          <w:color w:val="000000"/>
          <w:spacing w:val="0"/>
          <w:w w:val="100"/>
          <w:position w:val="0"/>
          <w:sz w:val="24"/>
          <w:szCs w:val="24"/>
        </w:rPr>
        <w:t>10%</w:t>
      </w:r>
      <w:r>
        <w:rPr>
          <w:color w:val="000000"/>
          <w:spacing w:val="0"/>
          <w:w w:val="100"/>
          <w:position w:val="0"/>
          <w:sz w:val="24"/>
          <w:szCs w:val="24"/>
        </w:rPr>
        <w:t>提取法定盈余公积金约人民币</w:t>
      </w:r>
      <w:r>
        <w:rPr>
          <w:rFonts w:ascii="Arial" w:eastAsia="Arial" w:hAnsi="Arial" w:cs="Arial"/>
          <w:color w:val="000000"/>
          <w:spacing w:val="0"/>
          <w:w w:val="100"/>
          <w:position w:val="0"/>
          <w:sz w:val="24"/>
          <w:szCs w:val="24"/>
        </w:rPr>
        <w:t>8,296</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tabs>
          <w:tab w:pos="706" w:val="left"/>
        </w:tabs>
        <w:bidi w:val="0"/>
        <w:spacing w:before="22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（45）（</w:t>
      </w:r>
      <w:r>
        <w:rPr>
          <w:b/>
          <w:bCs/>
          <w:color w:val="000000"/>
          <w:spacing w:val="0"/>
          <w:w w:val="100"/>
          <w:position w:val="0"/>
          <w:sz w:val="24"/>
          <w:szCs w:val="24"/>
        </w:rPr>
        <w:t>累计亏损</w:t>
      </w:r>
      <w:r>
        <w:rPr>
          <w:rFonts w:ascii="Arial" w:eastAsia="Arial" w:hAnsi="Arial" w:cs="Arial"/>
          <w:color w:val="000000"/>
          <w:spacing w:val="0"/>
          <w:w w:val="100"/>
          <w:position w:val="0"/>
          <w:sz w:val="24"/>
          <w:szCs w:val="24"/>
        </w:rPr>
        <w:t>）/</w:t>
      </w:r>
      <w:r>
        <w:rPr>
          <w:b/>
          <w:bCs/>
          <w:color w:val="000000"/>
          <w:spacing w:val="0"/>
          <w:w w:val="100"/>
          <w:position w:val="0"/>
          <w:sz w:val="24"/>
          <w:szCs w:val="24"/>
        </w:rPr>
        <w:t>未分配利润</w:t>
      </w:r>
    </w:p>
    <w:tbl>
      <w:tblPr>
        <w:tblOverlap w:val="never"/>
        <w:jc w:val="right"/>
        <w:tblLayout w:type="fixed"/>
      </w:tblPr>
      <w:tblGrid>
        <w:gridCol w:w="3830"/>
        <w:gridCol w:w="2251"/>
        <w:gridCol w:w="1987"/>
      </w:tblGrid>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8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4"/>
                <w:szCs w:val="24"/>
              </w:rPr>
              <w:t>年初未分配利润</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调整前</w:t>
            </w:r>
            <w:r>
              <w:rPr>
                <w:rFonts w:ascii="SimSun" w:eastAsia="SimSun" w:hAnsi="SimSun" w:cs="SimSun"/>
                <w:color w:val="000000"/>
                <w:spacing w:val="0"/>
                <w:w w:val="100"/>
                <w:position w:val="0"/>
                <w:sz w:val="28"/>
                <w:szCs w:val="2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36,033,899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41,277,886</w:t>
            </w:r>
          </w:p>
        </w:tc>
      </w:tr>
      <w:tr>
        <w:trPr>
          <w:trHeight w:val="29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调整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24"/>
                <w:szCs w:val="24"/>
              </w:rPr>
            </w:pPr>
            <w:r>
              <w:rPr>
                <w:rFonts w:ascii="Arial" w:eastAsia="Arial" w:hAnsi="Arial" w:cs="Arial"/>
                <w:color w:val="000000"/>
                <w:spacing w:val="0"/>
                <w:w w:val="100"/>
                <w:position w:val="0"/>
                <w:sz w:val="24"/>
                <w:szCs w:val="24"/>
              </w:rPr>
              <w:t>(230,990)</w:t>
            </w:r>
          </w:p>
        </w:tc>
      </w:tr>
      <w:tr>
        <w:trPr>
          <w:trHeight w:val="331"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4"/>
                <w:szCs w:val="24"/>
              </w:rPr>
              <w:t>年初未分配利润</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调整后</w:t>
            </w:r>
            <w:r>
              <w:rPr>
                <w:rFonts w:ascii="SimSun" w:eastAsia="SimSun" w:hAnsi="SimSun" w:cs="SimSun"/>
                <w:color w:val="000000"/>
                <w:spacing w:val="0"/>
                <w:w w:val="100"/>
                <w:position w:val="0"/>
                <w:sz w:val="28"/>
                <w:szCs w:val="2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36,033,899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41,046,896</w:t>
            </w:r>
          </w:p>
        </w:tc>
      </w:tr>
      <w:tr>
        <w:trPr>
          <w:trHeight w:val="3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加：本年归属于母公司股东的净利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SimSun" w:eastAsia="SimSun" w:hAnsi="SimSun" w:cs="SimSun"/>
                <w:color w:val="000000"/>
                <w:spacing w:val="0"/>
                <w:w w:val="100"/>
                <w:position w:val="0"/>
                <w:sz w:val="24"/>
                <w:szCs w:val="24"/>
              </w:rPr>
              <w:t>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rPr>
              <w:t>(43,264,609)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(4,274,696)</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4"/>
                <w:szCs w:val="24"/>
              </w:rPr>
            </w:pPr>
            <w:r>
              <w:rPr>
                <w:rFonts w:ascii="SimSun" w:eastAsia="SimSun" w:hAnsi="SimSun" w:cs="SimSun"/>
                <w:color w:val="000000"/>
                <w:spacing w:val="0"/>
                <w:w w:val="100"/>
                <w:position w:val="0"/>
                <w:sz w:val="24"/>
                <w:szCs w:val="24"/>
              </w:rPr>
              <w:t>其他综合收益转入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(53,476)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24"/>
                <w:szCs w:val="24"/>
              </w:rPr>
            </w:pPr>
            <w:r>
              <w:rPr>
                <w:rFonts w:ascii="Arial" w:eastAsia="Arial" w:hAnsi="Arial" w:cs="Arial"/>
                <w:color w:val="000000"/>
                <w:spacing w:val="0"/>
                <w:w w:val="100"/>
                <w:position w:val="0"/>
                <w:sz w:val="24"/>
                <w:szCs w:val="24"/>
              </w:rPr>
              <w:t>(99,499)</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减：提取法定盈余公积</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附注四</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(44))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24"/>
                <w:szCs w:val="24"/>
              </w:rPr>
            </w:pPr>
            <w:r>
              <w:rPr>
                <w:rFonts w:ascii="Arial" w:eastAsia="Arial" w:hAnsi="Arial" w:cs="Arial"/>
                <w:color w:val="000000"/>
                <w:spacing w:val="0"/>
                <w:w w:val="100"/>
                <w:position w:val="0"/>
                <w:sz w:val="24"/>
                <w:szCs w:val="24"/>
              </w:rPr>
              <w:t>(82,958)</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24"/>
                <w:szCs w:val="24"/>
              </w:rPr>
            </w:pPr>
            <w:r>
              <w:rPr>
                <w:rFonts w:ascii="SimSun" w:eastAsia="SimSun" w:hAnsi="SimSun" w:cs="SimSun"/>
                <w:color w:val="000000"/>
                <w:spacing w:val="0"/>
                <w:w w:val="100"/>
                <w:position w:val="0"/>
                <w:sz w:val="24"/>
                <w:szCs w:val="24"/>
              </w:rPr>
              <w:t>支付普通股股利</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24"/>
                <w:szCs w:val="24"/>
              </w:rPr>
            </w:pPr>
            <w:r>
              <w:rPr>
                <w:rFonts w:ascii="Arial" w:eastAsia="Arial" w:hAnsi="Arial" w:cs="Arial"/>
                <w:color w:val="000000"/>
                <w:spacing w:val="0"/>
                <w:w w:val="100"/>
                <w:position w:val="0"/>
                <w:sz w:val="24"/>
                <w:szCs w:val="24"/>
              </w:rPr>
              <w:t>(457,878)</w:t>
            </w: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4"/>
                <w:szCs w:val="24"/>
              </w:rPr>
            </w:pPr>
            <w:r>
              <w:rPr>
                <w:rFonts w:ascii="SimSun" w:eastAsia="SimSun" w:hAnsi="SimSun" w:cs="SimSun"/>
                <w:color w:val="000000"/>
                <w:spacing w:val="0"/>
                <w:w w:val="100"/>
                <w:position w:val="0"/>
                <w:sz w:val="24"/>
                <w:szCs w:val="24"/>
              </w:rPr>
              <w:t>提取一般风险准备</w:t>
            </w:r>
            <w:r>
              <w:rPr>
                <w:rFonts w:ascii="Arial" w:eastAsia="Arial" w:hAnsi="Arial" w:cs="Arial"/>
                <w:color w:val="000000"/>
                <w:spacing w:val="0"/>
                <w:w w:val="100"/>
                <w:position w:val="0"/>
                <w:sz w:val="24"/>
                <w:szCs w:val="24"/>
              </w:rPr>
              <w:t>（a）</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(165,631)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24"/>
                <w:szCs w:val="24"/>
              </w:rPr>
            </w:pPr>
            <w:r>
              <w:rPr>
                <w:rFonts w:ascii="Arial" w:eastAsia="Arial" w:hAnsi="Arial" w:cs="Arial"/>
                <w:color w:val="000000"/>
                <w:spacing w:val="0"/>
                <w:w w:val="100"/>
                <w:position w:val="0"/>
                <w:sz w:val="24"/>
                <w:szCs w:val="24"/>
              </w:rPr>
              <w:t>(97,966)</w:t>
            </w:r>
          </w:p>
        </w:tc>
      </w:tr>
      <w:tr>
        <w:trPr>
          <w:trHeight w:val="360"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年末</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累计亏损</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未分配利润</w:t>
            </w:r>
          </w:p>
        </w:tc>
        <w:tc>
          <w:tcPr>
            <w:tcBorders>
              <w:top w:val="single" w:sz="4"/>
              <w:bottom w:val="single" w:sz="4"/>
            </w:tcBorders>
            <w:shd w:val="clear" w:color="auto" w:fill="FFFFFF"/>
            <w:vAlign w:val="top"/>
          </w:tcPr>
          <w:p>
            <w:pPr>
              <w:pStyle w:val="Style29"/>
              <w:keepNext w:val="0"/>
              <w:keepLines w:val="0"/>
              <w:widowControl w:val="0"/>
              <w:shd w:val="clear" w:color="auto" w:fill="auto"/>
              <w:tabs>
                <w:tab w:pos="1862" w:val="left"/>
              </w:tabs>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u w:val="single"/>
              </w:rPr>
              <w:t>(7,449,817)</w:t>
            </w:r>
            <w:r>
              <w:rPr>
                <w:rFonts w:ascii="Arial" w:eastAsia="Arial" w:hAnsi="Arial" w:cs="Arial"/>
                <w:color w:val="000000"/>
                <w:spacing w:val="0"/>
                <w:w w:val="100"/>
                <w:position w:val="0"/>
                <w:sz w:val="24"/>
                <w:szCs w:val="24"/>
              </w:rPr>
              <w:tab/>
              <w:t>_</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36,033,899</w:t>
            </w:r>
          </w:p>
        </w:tc>
      </w:tr>
    </w:tbl>
    <w:p>
      <w:pPr>
        <w:widowControl w:val="0"/>
        <w:spacing w:after="219" w:line="1" w:lineRule="exact"/>
      </w:pPr>
    </w:p>
    <w:p>
      <w:pPr>
        <w:pStyle w:val="Style72"/>
        <w:keepNext w:val="0"/>
        <w:keepLines w:val="0"/>
        <w:widowControl w:val="0"/>
        <w:shd w:val="clear" w:color="auto" w:fill="auto"/>
        <w:bidi w:val="0"/>
        <w:spacing w:before="0" w:after="300" w:line="314" w:lineRule="exact"/>
        <w:ind w:left="700" w:right="0" w:hanging="700"/>
        <w:jc w:val="left"/>
      </w:pPr>
      <w:r>
        <w:rPr>
          <w:rFonts w:ascii="Arial" w:eastAsia="Arial" w:hAnsi="Arial" w:cs="Arial"/>
          <w:color w:val="000000"/>
          <w:spacing w:val="0"/>
          <w:w w:val="100"/>
          <w:position w:val="0"/>
          <w:sz w:val="24"/>
          <w:szCs w:val="24"/>
        </w:rPr>
        <w:t xml:space="preserve">（a） </w:t>
      </w:r>
      <w:r>
        <w:rPr>
          <w:color w:val="000000"/>
          <w:spacing w:val="0"/>
          <w:w w:val="100"/>
          <w:position w:val="0"/>
          <w:sz w:val="24"/>
          <w:szCs w:val="24"/>
        </w:rPr>
        <w:t>根据财政部于</w:t>
      </w:r>
      <w:r>
        <w:rPr>
          <w:rFonts w:ascii="Arial" w:eastAsia="Arial" w:hAnsi="Arial" w:cs="Arial"/>
          <w:color w:val="000000"/>
          <w:spacing w:val="0"/>
          <w:w w:val="100"/>
          <w:position w:val="0"/>
          <w:sz w:val="24"/>
          <w:szCs w:val="24"/>
        </w:rPr>
        <w:t>2012</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日颁布的《金融企业准备金计提管理办法》</w:t>
      </w:r>
      <w:r>
        <w:rPr>
          <w:color w:val="000000"/>
          <w:spacing w:val="0"/>
          <w:w w:val="100"/>
          <w:position w:val="0"/>
          <w:sz w:val="28"/>
          <w:szCs w:val="28"/>
        </w:rPr>
        <w:t>（</w:t>
      </w:r>
      <w:r>
        <w:rPr>
          <w:color w:val="000000"/>
          <w:spacing w:val="0"/>
          <w:w w:val="100"/>
          <w:position w:val="0"/>
          <w:sz w:val="24"/>
          <w:szCs w:val="24"/>
        </w:rPr>
        <w:t>财 金</w:t>
      </w:r>
      <w:r>
        <w:rPr>
          <w:rFonts w:ascii="Arial" w:eastAsia="Arial" w:hAnsi="Arial" w:cs="Arial"/>
          <w:color w:val="000000"/>
          <w:spacing w:val="0"/>
          <w:w w:val="100"/>
          <w:position w:val="0"/>
          <w:sz w:val="24"/>
          <w:szCs w:val="24"/>
        </w:rPr>
        <w:t>[2012]20</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，要求金融企业计提的一般风险准备余额原则上不得低于风险 资产期末余额的</w:t>
      </w:r>
      <w:r>
        <w:rPr>
          <w:rFonts w:ascii="Arial" w:eastAsia="Arial" w:hAnsi="Arial" w:cs="Arial"/>
          <w:color w:val="000000"/>
          <w:spacing w:val="0"/>
          <w:w w:val="100"/>
          <w:position w:val="0"/>
          <w:sz w:val="24"/>
          <w:szCs w:val="24"/>
        </w:rPr>
        <w:t>1.5%</w:t>
      </w:r>
      <w:r>
        <w:rPr>
          <w:color w:val="000000"/>
          <w:spacing w:val="0"/>
          <w:w w:val="100"/>
          <w:position w:val="0"/>
          <w:sz w:val="24"/>
          <w:szCs w:val="24"/>
        </w:rPr>
        <w:t>，难以一次性达到</w:t>
      </w:r>
      <w:r>
        <w:rPr>
          <w:rFonts w:ascii="Arial" w:eastAsia="Arial" w:hAnsi="Arial" w:cs="Arial"/>
          <w:color w:val="000000"/>
          <w:spacing w:val="0"/>
          <w:w w:val="100"/>
          <w:position w:val="0"/>
          <w:sz w:val="24"/>
          <w:szCs w:val="24"/>
        </w:rPr>
        <w:t>1.5%</w:t>
      </w:r>
      <w:r>
        <w:rPr>
          <w:color w:val="000000"/>
          <w:spacing w:val="0"/>
          <w:w w:val="100"/>
          <w:position w:val="0"/>
          <w:sz w:val="24"/>
          <w:szCs w:val="24"/>
        </w:rPr>
        <w:t>的，于自</w:t>
      </w:r>
      <w:r>
        <w:rPr>
          <w:rFonts w:ascii="Arial" w:eastAsia="Arial" w:hAnsi="Arial" w:cs="Arial"/>
          <w:color w:val="000000"/>
          <w:spacing w:val="0"/>
          <w:w w:val="100"/>
          <w:position w:val="0"/>
          <w:sz w:val="24"/>
          <w:szCs w:val="24"/>
        </w:rPr>
        <w:t>2012</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 xml:space="preserve">日起分 </w:t>
      </w:r>
      <w:r>
        <w:rPr>
          <w:rFonts w:ascii="Arial" w:eastAsia="Arial" w:hAnsi="Arial" w:cs="Arial"/>
          <w:color w:val="000000"/>
          <w:spacing w:val="0"/>
          <w:w w:val="100"/>
          <w:position w:val="0"/>
          <w:sz w:val="24"/>
          <w:szCs w:val="24"/>
        </w:rPr>
        <w:t>5</w:t>
      </w:r>
      <w:r>
        <w:rPr>
          <w:color w:val="000000"/>
          <w:spacing w:val="0"/>
          <w:w w:val="100"/>
          <w:position w:val="0"/>
          <w:sz w:val="24"/>
          <w:szCs w:val="24"/>
        </w:rPr>
        <w:t>年到位，原则上不得超过</w:t>
      </w:r>
      <w:r>
        <w:rPr>
          <w:rFonts w:ascii="Arial" w:eastAsia="Arial" w:hAnsi="Arial" w:cs="Arial"/>
          <w:color w:val="000000"/>
          <w:spacing w:val="0"/>
          <w:w w:val="100"/>
          <w:position w:val="0"/>
          <w:sz w:val="24"/>
          <w:szCs w:val="24"/>
        </w:rPr>
        <w:t>5</w:t>
      </w:r>
      <w:r>
        <w:rPr>
          <w:color w:val="000000"/>
          <w:spacing w:val="0"/>
          <w:w w:val="100"/>
          <w:position w:val="0"/>
          <w:sz w:val="24"/>
          <w:szCs w:val="24"/>
        </w:rPr>
        <w:t>年。于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日，本集团按照对联营 企业的持股比例对应确认一般风险准备。</w:t>
      </w:r>
      <w:r>
        <w:br w:type="page"/>
      </w:r>
    </w:p>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00" w:line="240" w:lineRule="auto"/>
        <w:ind w:left="0" w:right="0" w:firstLine="72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tbl>
      <w:tblPr>
        <w:tblOverlap w:val="never"/>
        <w:jc w:val="center"/>
        <w:tblLayout w:type="fixed"/>
      </w:tblPr>
      <w:tblGrid>
        <w:gridCol w:w="576"/>
        <w:gridCol w:w="3893"/>
        <w:gridCol w:w="1762"/>
        <w:gridCol w:w="974"/>
        <w:gridCol w:w="1579"/>
      </w:tblGrid>
      <w:tr>
        <w:trPr>
          <w:trHeight w:val="44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四</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b/>
                <w:bCs/>
                <w:color w:val="000000"/>
                <w:spacing w:val="0"/>
                <w:w w:val="100"/>
                <w:position w:val="0"/>
                <w:sz w:val="24"/>
                <w:szCs w:val="24"/>
              </w:rPr>
              <w:t>合并财务报表项目附注</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71"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24"/>
                <w:szCs w:val="24"/>
              </w:rPr>
            </w:pPr>
            <w:r>
              <w:rPr>
                <w:rFonts w:ascii="Arial" w:eastAsia="Arial" w:hAnsi="Arial" w:cs="Arial"/>
                <w:color w:val="000000"/>
                <w:spacing w:val="0"/>
                <w:w w:val="100"/>
                <w:position w:val="0"/>
                <w:sz w:val="24"/>
                <w:szCs w:val="24"/>
              </w:rPr>
              <w:t>(46)</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140"/>
              <w:jc w:val="left"/>
              <w:rPr>
                <w:sz w:val="24"/>
                <w:szCs w:val="24"/>
              </w:rPr>
            </w:pPr>
            <w:r>
              <w:rPr>
                <w:rFonts w:ascii="SimSun" w:eastAsia="SimSun" w:hAnsi="SimSun" w:cs="SimSun"/>
                <w:b/>
                <w:bCs/>
                <w:color w:val="000000"/>
                <w:spacing w:val="0"/>
                <w:w w:val="100"/>
                <w:position w:val="0"/>
                <w:sz w:val="24"/>
                <w:szCs w:val="24"/>
              </w:rPr>
              <w:t>营业收入和营业成本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主营业务收入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color w:val="000000"/>
                <w:spacing w:val="0"/>
                <w:w w:val="100"/>
                <w:position w:val="0"/>
                <w:sz w:val="24"/>
                <w:szCs w:val="24"/>
              </w:rPr>
              <w:t>132,086,489</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245,578,423</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其他业务收入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6,817,848</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6,717,243</w:t>
            </w:r>
          </w:p>
        </w:tc>
      </w:tr>
      <w:tr>
        <w:trPr>
          <w:trHeight w:val="44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138,904,337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252,295,666</w:t>
            </w:r>
          </w:p>
        </w:tc>
      </w:tr>
      <w:tr>
        <w:trPr>
          <w:trHeight w:val="59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主营业务成本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128,682,647</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223,444,744</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其他业务成本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1,055,510</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1,132,653</w:t>
            </w:r>
          </w:p>
        </w:tc>
      </w:tr>
      <w:tr>
        <w:trPr>
          <w:trHeight w:val="43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Fonts w:ascii="Arial" w:eastAsia="Arial" w:hAnsi="Arial" w:cs="Arial"/>
                <w:color w:val="000000"/>
                <w:spacing w:val="0"/>
                <w:w w:val="100"/>
                <w:position w:val="0"/>
                <w:sz w:val="24"/>
                <w:szCs w:val="24"/>
              </w:rPr>
              <w:t>129,738,157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224,577,397</w:t>
            </w:r>
          </w:p>
        </w:tc>
      </w:tr>
      <w:tr>
        <w:trPr>
          <w:trHeight w:val="58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(a)</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主营业务收入和主营业务成本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按行业分析如下：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r>
      <w:tr>
        <w:trPr>
          <w:trHeight w:val="37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400" w:firstLine="0"/>
              <w:jc w:val="right"/>
              <w:rPr>
                <w:sz w:val="18"/>
                <w:szCs w:val="18"/>
              </w:rPr>
            </w:pPr>
            <w:r>
              <w:rPr>
                <w:rFonts w:ascii="SimSun" w:eastAsia="SimSun" w:hAnsi="SimSun" w:cs="SimSun"/>
                <w:color w:val="000000"/>
                <w:spacing w:val="0"/>
                <w:w w:val="100"/>
                <w:position w:val="0"/>
                <w:sz w:val="18"/>
                <w:szCs w:val="18"/>
              </w:rPr>
              <w:t>主营业务收入</w:t>
            </w:r>
          </w:p>
        </w:tc>
        <w:tc>
          <w:tcPr>
            <w:gridSpan w:val="2"/>
            <w:tcBorders>
              <w:top w:val="single" w:sz="4"/>
            </w:tcBorders>
            <w:shd w:val="clear" w:color="auto" w:fill="FFFFFF"/>
            <w:vAlign w:val="top"/>
          </w:tcPr>
          <w:p>
            <w:pPr>
              <w:pStyle w:val="Style29"/>
              <w:keepNext w:val="0"/>
              <w:keepLines w:val="0"/>
              <w:widowControl w:val="0"/>
              <w:shd w:val="clear" w:color="auto" w:fill="auto"/>
              <w:tabs>
                <w:tab w:pos="1517" w:val="left"/>
              </w:tabs>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主营业务成本</w:t>
              <w:tab/>
              <w:t>主营业务收入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主营业务成本</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2458" w:val="left"/>
              </w:tabs>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零售批发行业</w:t>
              <w:tab/>
            </w:r>
            <w:r>
              <w:rPr>
                <w:rFonts w:ascii="Arial" w:eastAsia="Arial" w:hAnsi="Arial" w:cs="Arial"/>
                <w:color w:val="000000"/>
                <w:spacing w:val="0"/>
                <w:w w:val="100"/>
                <w:position w:val="0"/>
                <w:sz w:val="18"/>
                <w:szCs w:val="18"/>
              </w:rPr>
              <w:t>127,999,222</w:t>
            </w:r>
          </w:p>
        </w:tc>
        <w:tc>
          <w:tcPr>
            <w:gridSpan w:val="2"/>
            <w:tcBorders/>
            <w:shd w:val="clear" w:color="auto" w:fill="FFFFFF"/>
            <w:vAlign w:val="bottom"/>
          </w:tcPr>
          <w:p>
            <w:pPr>
              <w:pStyle w:val="Style29"/>
              <w:keepNext w:val="0"/>
              <w:keepLines w:val="0"/>
              <w:widowControl w:val="0"/>
              <w:shd w:val="clear" w:color="auto" w:fill="auto"/>
              <w:tabs>
                <w:tab w:pos="1512"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125,247,971</w:t>
              <w:tab/>
              <w:t>238,502,552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216,542,992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tabs>
                <w:tab w:pos="2665" w:val="left"/>
              </w:tabs>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物流服务</w:t>
              <w:tab/>
            </w:r>
            <w:r>
              <w:rPr>
                <w:rFonts w:ascii="Arial" w:eastAsia="Arial" w:hAnsi="Arial" w:cs="Arial"/>
                <w:color w:val="000000"/>
                <w:spacing w:val="0"/>
                <w:w w:val="100"/>
                <w:position w:val="0"/>
                <w:sz w:val="18"/>
                <w:szCs w:val="18"/>
              </w:rPr>
              <w:t>1,718,369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2,103,079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3,839,450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4,784,407</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2655" w:val="left"/>
              </w:tabs>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安装维修行业</w:t>
              <w:tab/>
            </w:r>
            <w:r>
              <w:rPr>
                <w:rFonts w:ascii="Arial" w:eastAsia="Arial" w:hAnsi="Arial" w:cs="Arial"/>
                <w:color w:val="000000"/>
                <w:spacing w:val="0"/>
                <w:w w:val="100"/>
                <w:position w:val="0"/>
                <w:sz w:val="18"/>
                <w:szCs w:val="18"/>
              </w:rPr>
              <w:t>1,051,512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1,017,965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1,937,828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1,623,905</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2626" w:val="left"/>
              </w:tabs>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其他行业</w:t>
            </w:r>
            <w:r>
              <w:rPr>
                <w:rFonts w:ascii="Arial" w:eastAsia="Arial" w:hAnsi="Arial" w:cs="Arial"/>
                <w:color w:val="000000"/>
                <w:spacing w:val="0"/>
                <w:w w:val="100"/>
                <w:position w:val="0"/>
                <w:sz w:val="18"/>
                <w:szCs w:val="18"/>
              </w:rPr>
              <w:t>(i)</w:t>
              <w:tab/>
            </w:r>
            <w:r>
              <w:rPr>
                <w:rFonts w:ascii="Arial" w:eastAsia="Arial" w:hAnsi="Arial" w:cs="Arial"/>
                <w:color w:val="000000"/>
                <w:spacing w:val="0"/>
                <w:w w:val="100"/>
                <w:position w:val="0"/>
                <w:sz w:val="18"/>
                <w:szCs w:val="18"/>
              </w:rPr>
              <w:t>1,317,386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313,632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1,298,593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493,440</w:t>
            </w:r>
          </w:p>
        </w:tc>
      </w:tr>
      <w:tr>
        <w:trPr>
          <w:trHeight w:val="25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400" w:firstLine="0"/>
              <w:jc w:val="right"/>
              <w:rPr>
                <w:sz w:val="18"/>
                <w:szCs w:val="18"/>
              </w:rPr>
            </w:pPr>
            <w:r>
              <w:rPr>
                <w:rFonts w:ascii="Arial" w:eastAsia="Arial" w:hAnsi="Arial" w:cs="Arial"/>
                <w:color w:val="000000"/>
                <w:spacing w:val="0"/>
                <w:w w:val="100"/>
                <w:position w:val="0"/>
                <w:sz w:val="18"/>
                <w:szCs w:val="18"/>
              </w:rPr>
              <w:t>132,086,489</w:t>
            </w:r>
          </w:p>
        </w:tc>
        <w:tc>
          <w:tcPr>
            <w:gridSpan w:val="2"/>
            <w:tcBorders>
              <w:top w:val="single" w:sz="4"/>
            </w:tcBorders>
            <w:shd w:val="clear" w:color="auto" w:fill="FFFFFF"/>
            <w:vAlign w:val="bottom"/>
          </w:tcPr>
          <w:p>
            <w:pPr>
              <w:pStyle w:val="Style29"/>
              <w:keepNext w:val="0"/>
              <w:keepLines w:val="0"/>
              <w:widowControl w:val="0"/>
              <w:shd w:val="clear" w:color="auto" w:fill="auto"/>
              <w:tabs>
                <w:tab w:pos="1512"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128,682,647</w:t>
              <w:tab/>
              <w:t>245,578,423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223,444,744</w:t>
            </w:r>
          </w:p>
        </w:tc>
      </w:tr>
      <w:tr>
        <w:trPr>
          <w:trHeight w:val="60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rPr>
              <w:t>⑴</w:t>
            </w:r>
          </w:p>
        </w:tc>
        <w:tc>
          <w:tcPr>
            <w:gridSpan w:val="4"/>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其他行业收入主要包括苏宁易购网站开放平台的平台服务收入、自建配</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套物业销售收入及代理劳务收入等。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footnotePr>
            <w:pos w:val="pageBottom"/>
            <w:numFmt w:val="decimal"/>
            <w:numStart w:val="1"/>
            <w:numRestart w:val="continuous"/>
            <w15:footnoteColumns w:val="1"/>
          </w:footnotePr>
          <w:pgSz w:w="11900" w:h="16840"/>
          <w:pgMar w:top="1618" w:right="1407" w:bottom="5257" w:left="1709" w:header="0" w:footer="3" w:gutter="0"/>
          <w:cols w:space="720"/>
          <w:noEndnote/>
          <w:rtlGutter w:val="0"/>
          <w:docGrid w:linePitch="360"/>
        </w:sectPr>
      </w:pPr>
    </w:p>
    <w:p>
      <w:pPr>
        <w:pStyle w:val="Style72"/>
        <w:keepNext w:val="0"/>
        <w:keepLines w:val="0"/>
        <w:widowControl w:val="0"/>
        <w:shd w:val="clear" w:color="auto" w:fill="auto"/>
        <w:tabs>
          <w:tab w:pos="707" w:val="left"/>
        </w:tabs>
        <w:bidi w:val="0"/>
        <w:spacing w:before="220" w:after="28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20" w:line="240" w:lineRule="auto"/>
        <w:ind w:left="0" w:right="0" w:firstLine="0"/>
        <w:jc w:val="left"/>
        <w:rPr>
          <w:sz w:val="28"/>
          <w:szCs w:val="28"/>
        </w:rPr>
      </w:pPr>
      <w:r>
        <w:rPr>
          <w:rFonts w:ascii="Arial" w:eastAsia="Arial" w:hAnsi="Arial" w:cs="Arial"/>
          <w:color w:val="000000"/>
          <w:spacing w:val="0"/>
          <w:w w:val="100"/>
          <w:position w:val="0"/>
          <w:sz w:val="24"/>
          <w:szCs w:val="24"/>
        </w:rPr>
        <w:t>(46)</w:t>
      </w:r>
      <w:r>
        <w:rPr>
          <w:b/>
          <w:bCs/>
          <w:color w:val="000000"/>
          <w:spacing w:val="0"/>
          <w:w w:val="100"/>
          <w:position w:val="0"/>
          <w:sz w:val="24"/>
          <w:szCs w:val="24"/>
        </w:rPr>
        <w:t>营业收入和营业成本</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7" w:val="left"/>
        </w:tabs>
        <w:bidi w:val="0"/>
        <w:spacing w:before="0" w:after="320" w:line="240" w:lineRule="auto"/>
        <w:ind w:left="0" w:right="0" w:firstLine="0"/>
        <w:jc w:val="left"/>
      </w:pPr>
      <w:r>
        <w:rPr>
          <w:rFonts w:ascii="Arial" w:eastAsia="Arial" w:hAnsi="Arial" w:cs="Arial"/>
          <w:color w:val="000000"/>
          <w:spacing w:val="0"/>
          <w:w w:val="100"/>
          <w:position w:val="0"/>
          <w:sz w:val="24"/>
          <w:szCs w:val="24"/>
        </w:rPr>
        <w:t>(a)</w:t>
        <w:tab/>
      </w:r>
      <w:r>
        <w:rPr>
          <w:color w:val="000000"/>
          <w:spacing w:val="0"/>
          <w:w w:val="100"/>
          <w:position w:val="0"/>
          <w:sz w:val="24"/>
          <w:szCs w:val="24"/>
        </w:rPr>
        <w:t>主营业务收入和主营业务成本</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bidi w:val="0"/>
        <w:spacing w:before="0" w:after="280" w:line="240" w:lineRule="auto"/>
        <w:ind w:left="0" w:right="0" w:firstLine="700"/>
        <w:jc w:val="left"/>
      </w:pPr>
      <w:r>
        <w:rPr>
          <w:color w:val="000000"/>
          <w:spacing w:val="0"/>
          <w:w w:val="100"/>
          <w:position w:val="0"/>
          <w:sz w:val="24"/>
          <w:szCs w:val="24"/>
        </w:rPr>
        <w:t>按产品分析如下：</w:t>
      </w:r>
    </w:p>
    <w:p>
      <w:pPr>
        <w:pStyle w:val="Style26"/>
        <w:keepNext w:val="0"/>
        <w:keepLines w:val="0"/>
        <w:widowControl w:val="0"/>
        <w:shd w:val="clear" w:color="auto" w:fill="auto"/>
        <w:tabs>
          <w:tab w:pos="6134" w:val="left"/>
        </w:tabs>
        <w:bidi w:val="0"/>
        <w:spacing w:before="0" w:after="0" w:line="240" w:lineRule="auto"/>
        <w:ind w:left="3077" w:right="0" w:firstLine="0"/>
        <w:jc w:val="left"/>
        <w:rPr>
          <w:sz w:val="18"/>
          <w:szCs w:val="18"/>
        </w:rPr>
      </w:pPr>
      <w:r>
        <w:rPr>
          <w:rFonts w:ascii="Arial" w:eastAsia="Arial" w:hAnsi="Arial" w:cs="Arial"/>
          <w:color w:val="000000"/>
          <w:spacing w:val="0"/>
          <w:w w:val="100"/>
          <w:position w:val="0"/>
          <w:sz w:val="18"/>
          <w:szCs w:val="18"/>
        </w:rPr>
        <w:t>2021</w:t>
      </w:r>
      <w:r>
        <w:rPr>
          <w:color w:val="000000"/>
          <w:spacing w:val="0"/>
          <w:w w:val="100"/>
          <w:position w:val="0"/>
          <w:sz w:val="18"/>
          <w:szCs w:val="18"/>
        </w:rPr>
        <w:t>年度</w:t>
        <w:tab/>
      </w:r>
      <w:r>
        <w:rPr>
          <w:rFonts w:ascii="Arial" w:eastAsia="Arial" w:hAnsi="Arial" w:cs="Arial"/>
          <w:color w:val="000000"/>
          <w:spacing w:val="0"/>
          <w:w w:val="100"/>
          <w:position w:val="0"/>
          <w:sz w:val="18"/>
          <w:szCs w:val="18"/>
        </w:rPr>
        <w:t>2020</w:t>
      </w:r>
      <w:r>
        <w:rPr>
          <w:color w:val="000000"/>
          <w:spacing w:val="0"/>
          <w:w w:val="100"/>
          <w:position w:val="0"/>
          <w:sz w:val="18"/>
          <w:szCs w:val="18"/>
        </w:rPr>
        <w:t>年度</w:t>
      </w:r>
    </w:p>
    <w:tbl>
      <w:tblPr>
        <w:tblOverlap w:val="never"/>
        <w:jc w:val="right"/>
        <w:tblLayout w:type="fixed"/>
      </w:tblPr>
      <w:tblGrid>
        <w:gridCol w:w="1718"/>
        <w:gridCol w:w="1862"/>
        <w:gridCol w:w="1531"/>
        <w:gridCol w:w="1531"/>
        <w:gridCol w:w="1430"/>
      </w:tblGrid>
      <w:tr>
        <w:trPr>
          <w:trHeight w:val="379"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主营业务收入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主营业务成本</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主营业务收入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主营业务成本</w:t>
            </w: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日用百货产品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28,863,188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27,582,059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50,683,648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43,912,145</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通讯产品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26,512,311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26,378,169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60,415,816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58,707,324</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小家电产品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21,126,238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20,671,395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40,844,302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35,703,175</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白色电器产品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15,977,571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15,607,058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23,630,351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20,393,310</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数码及</w:t>
            </w:r>
            <w:r>
              <w:rPr>
                <w:rFonts w:ascii="Arial" w:eastAsia="Arial" w:hAnsi="Arial" w:cs="Arial"/>
                <w:color w:val="000000"/>
                <w:spacing w:val="0"/>
                <w:w w:val="100"/>
                <w:position w:val="0"/>
                <w:sz w:val="18"/>
                <w:szCs w:val="18"/>
              </w:rPr>
              <w:t>IT</w:t>
            </w:r>
            <w:r>
              <w:rPr>
                <w:rFonts w:ascii="SimSun" w:eastAsia="SimSun" w:hAnsi="SimSun" w:cs="SimSun"/>
                <w:color w:val="000000"/>
                <w:spacing w:val="0"/>
                <w:w w:val="100"/>
                <w:position w:val="0"/>
                <w:sz w:val="18"/>
                <w:szCs w:val="18"/>
              </w:rPr>
              <w:t>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12,749,565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12,701,844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23,586,557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23,232,606</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空调产品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12,739,528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12,477,045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20,910,618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18,376,915</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黑色电器产品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10,030,821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9,830,401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18,431,260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16,217,517</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物流服务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1,718,369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2,103,079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3,839,450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4,784,407</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安装维修业务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1,051,512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1,017,965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1,937,828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1,623,905</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其他行业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1,317,386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313,632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1,298,593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493,440</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132,086,489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128,682,647</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245,578,423</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223,444,744</w:t>
            </w:r>
          </w:p>
        </w:tc>
      </w:tr>
    </w:tbl>
    <w:p>
      <w:pPr>
        <w:widowControl w:val="0"/>
        <w:spacing w:after="279" w:line="1" w:lineRule="exact"/>
      </w:pPr>
    </w:p>
    <w:p>
      <w:pPr>
        <w:pStyle w:val="Style72"/>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 xml:space="preserve">(b) </w:t>
      </w:r>
      <w:r>
        <w:rPr>
          <w:color w:val="000000"/>
          <w:spacing w:val="0"/>
          <w:w w:val="100"/>
          <w:position w:val="0"/>
          <w:sz w:val="24"/>
          <w:szCs w:val="24"/>
        </w:rPr>
        <w:t>其他业务收入和其他业务成本</w:t>
      </w:r>
    </w:p>
    <w:p>
      <w:pPr>
        <w:pStyle w:val="Style26"/>
        <w:keepNext w:val="0"/>
        <w:keepLines w:val="0"/>
        <w:widowControl w:val="0"/>
        <w:shd w:val="clear" w:color="auto" w:fill="auto"/>
        <w:tabs>
          <w:tab w:pos="6134" w:val="left"/>
        </w:tabs>
        <w:bidi w:val="0"/>
        <w:spacing w:before="0" w:after="0" w:line="240" w:lineRule="auto"/>
        <w:ind w:left="3077" w:right="0" w:firstLine="0"/>
        <w:jc w:val="left"/>
        <w:rPr>
          <w:sz w:val="18"/>
          <w:szCs w:val="18"/>
        </w:rPr>
      </w:pPr>
      <w:r>
        <w:rPr>
          <w:rFonts w:ascii="Arial" w:eastAsia="Arial" w:hAnsi="Arial" w:cs="Arial"/>
          <w:color w:val="000000"/>
          <w:spacing w:val="0"/>
          <w:w w:val="100"/>
          <w:position w:val="0"/>
          <w:sz w:val="18"/>
          <w:szCs w:val="18"/>
        </w:rPr>
        <w:t>2021</w:t>
      </w:r>
      <w:r>
        <w:rPr>
          <w:color w:val="000000"/>
          <w:spacing w:val="0"/>
          <w:w w:val="100"/>
          <w:position w:val="0"/>
          <w:sz w:val="18"/>
          <w:szCs w:val="18"/>
        </w:rPr>
        <w:t>年度</w:t>
        <w:tab/>
      </w:r>
      <w:r>
        <w:rPr>
          <w:rFonts w:ascii="Arial" w:eastAsia="Arial" w:hAnsi="Arial" w:cs="Arial"/>
          <w:color w:val="000000"/>
          <w:spacing w:val="0"/>
          <w:w w:val="100"/>
          <w:position w:val="0"/>
          <w:sz w:val="18"/>
          <w:szCs w:val="18"/>
        </w:rPr>
        <w:t>2020</w:t>
      </w:r>
      <w:r>
        <w:rPr>
          <w:color w:val="000000"/>
          <w:spacing w:val="0"/>
          <w:w w:val="100"/>
          <w:position w:val="0"/>
          <w:sz w:val="18"/>
          <w:szCs w:val="18"/>
        </w:rPr>
        <w:t>年度</w:t>
      </w:r>
    </w:p>
    <w:tbl>
      <w:tblPr>
        <w:tblOverlap w:val="never"/>
        <w:jc w:val="right"/>
        <w:tblLayout w:type="fixed"/>
      </w:tblPr>
      <w:tblGrid>
        <w:gridCol w:w="1877"/>
        <w:gridCol w:w="1699"/>
        <w:gridCol w:w="1531"/>
        <w:gridCol w:w="1531"/>
        <w:gridCol w:w="1435"/>
      </w:tblGrid>
      <w:tr>
        <w:trPr>
          <w:trHeight w:val="38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其他业务收入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其他业务成本</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其他业务收入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其他业务成本</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租金收入</w:t>
            </w:r>
            <w:r>
              <w:rPr>
                <w:rFonts w:ascii="Arial" w:eastAsia="Arial" w:hAnsi="Arial" w:cs="Arial"/>
                <w:color w:val="000000"/>
                <w:spacing w:val="0"/>
                <w:w w:val="100"/>
                <w:position w:val="0"/>
                <w:sz w:val="18"/>
                <w:szCs w:val="18"/>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3,205,916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1,022,981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2,390,380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1,125,870</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连锁店服务收入</w:t>
            </w:r>
            <w:r>
              <w:rPr>
                <w:rFonts w:ascii="Arial" w:eastAsia="Arial" w:hAnsi="Arial" w:cs="Arial"/>
                <w:color w:val="000000"/>
                <w:spacing w:val="0"/>
                <w:w w:val="100"/>
                <w:position w:val="0"/>
                <w:sz w:val="18"/>
                <w:szCs w:val="18"/>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2,659,489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3,152,008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信息技术服务收入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543,552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438,803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代理费收入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160,760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148,203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r>
              <w:rPr>
                <w:rFonts w:ascii="Arial" w:eastAsia="Arial" w:hAnsi="Arial" w:cs="Arial"/>
                <w:color w:val="000000"/>
                <w:spacing w:val="0"/>
                <w:w w:val="100"/>
                <w:position w:val="0"/>
                <w:sz w:val="18"/>
                <w:szCs w:val="18"/>
              </w:rPr>
              <w:t>(iii)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248,131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32,529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587,849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6,783</w:t>
            </w:r>
          </w:p>
        </w:tc>
      </w:tr>
      <w:tr>
        <w:trPr>
          <w:trHeight w:val="27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6,817,848</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1,055,510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6,717,243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1,132,653</w:t>
            </w:r>
          </w:p>
        </w:tc>
      </w:tr>
    </w:tbl>
    <w:p>
      <w:pPr>
        <w:widowControl w:val="0"/>
        <w:spacing w:after="279" w:line="1" w:lineRule="exact"/>
      </w:pPr>
    </w:p>
    <w:p>
      <w:pPr>
        <w:pStyle w:val="Style72"/>
        <w:keepNext w:val="0"/>
        <w:keepLines w:val="0"/>
        <w:widowControl w:val="0"/>
        <w:shd w:val="clear" w:color="auto" w:fill="auto"/>
        <w:tabs>
          <w:tab w:pos="1190" w:val="left"/>
        </w:tabs>
        <w:bidi w:val="0"/>
        <w:spacing w:before="0" w:after="0" w:line="307" w:lineRule="exact"/>
        <w:ind w:left="0" w:right="0" w:firstLine="0"/>
        <w:jc w:val="left"/>
      </w:pPr>
      <w:r>
        <w:rPr>
          <w:color w:val="000000"/>
          <w:spacing w:val="0"/>
          <w:w w:val="100"/>
          <w:position w:val="0"/>
          <w:sz w:val="24"/>
          <w:szCs w:val="24"/>
        </w:rPr>
        <w:t>⑴</w:t>
        <w:tab/>
        <w:t>本集团的租金收入来自于出租自有的房屋及建筑物、机器设备、运输工</w:t>
      </w:r>
    </w:p>
    <w:p>
      <w:pPr>
        <w:pStyle w:val="Style72"/>
        <w:keepNext w:val="0"/>
        <w:keepLines w:val="0"/>
        <w:widowControl w:val="0"/>
        <w:shd w:val="clear" w:color="auto" w:fill="auto"/>
        <w:bidi w:val="0"/>
        <w:spacing w:before="0" w:after="280" w:line="307" w:lineRule="exact"/>
        <w:ind w:left="700" w:right="0" w:firstLine="20"/>
        <w:jc w:val="both"/>
      </w:pPr>
      <w:r>
        <w:rPr>
          <w:color w:val="000000"/>
          <w:spacing w:val="0"/>
          <w:w w:val="100"/>
          <w:position w:val="0"/>
          <w:sz w:val="24"/>
          <w:szCs w:val="24"/>
        </w:rPr>
        <w:t>具及使用权资产转租。</w:t>
      </w:r>
      <w:r>
        <w:rPr>
          <w:rFonts w:ascii="Arial" w:eastAsia="Arial" w:hAnsi="Arial" w:cs="Arial"/>
          <w:color w:val="000000"/>
          <w:spacing w:val="0"/>
          <w:w w:val="100"/>
          <w:position w:val="0"/>
          <w:sz w:val="24"/>
          <w:szCs w:val="24"/>
        </w:rPr>
        <w:t>2021</w:t>
      </w:r>
      <w:r>
        <w:rPr>
          <w:color w:val="000000"/>
          <w:spacing w:val="0"/>
          <w:w w:val="100"/>
          <w:position w:val="0"/>
          <w:sz w:val="24"/>
          <w:szCs w:val="24"/>
        </w:rPr>
        <w:t>年度，租金收入中基于承租人的销售额的一定比 例确认的可变租金约人民币</w:t>
      </w:r>
      <w:r>
        <w:rPr>
          <w:rFonts w:ascii="Arial" w:eastAsia="Arial" w:hAnsi="Arial" w:cs="Arial"/>
          <w:color w:val="000000"/>
          <w:spacing w:val="0"/>
          <w:w w:val="100"/>
          <w:position w:val="0"/>
          <w:sz w:val="24"/>
          <w:szCs w:val="24"/>
        </w:rPr>
        <w:t>5,025</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年度：约人民币</w:t>
      </w:r>
      <w:r>
        <w:rPr>
          <w:rFonts w:ascii="Arial" w:eastAsia="Arial" w:hAnsi="Arial" w:cs="Arial"/>
          <w:color w:val="000000"/>
          <w:spacing w:val="0"/>
          <w:w w:val="100"/>
          <w:position w:val="0"/>
          <w:sz w:val="24"/>
          <w:szCs w:val="24"/>
        </w:rPr>
        <w:t>3,747</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80" w:line="312"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年度，本集团未因新冠肺炎疫情影响免除承租人租金</w:t>
      </w:r>
      <w:r>
        <w:rPr>
          <w:rFonts w:ascii="Arial" w:eastAsia="Arial" w:hAnsi="Arial" w:cs="Arial"/>
          <w:color w:val="000000"/>
          <w:spacing w:val="0"/>
          <w:w w:val="100"/>
          <w:position w:val="0"/>
          <w:sz w:val="24"/>
          <w:szCs w:val="24"/>
        </w:rPr>
        <w:t>(2020</w:t>
      </w:r>
      <w:r>
        <w:rPr>
          <w:color w:val="000000"/>
          <w:spacing w:val="0"/>
          <w:w w:val="100"/>
          <w:position w:val="0"/>
          <w:sz w:val="24"/>
          <w:szCs w:val="24"/>
        </w:rPr>
        <w:t>年度： 约人民币</w:t>
      </w:r>
      <w:r>
        <w:rPr>
          <w:rFonts w:ascii="Arial" w:eastAsia="Arial" w:hAnsi="Arial" w:cs="Arial"/>
          <w:color w:val="000000"/>
          <w:spacing w:val="0"/>
          <w:w w:val="100"/>
          <w:position w:val="0"/>
          <w:sz w:val="24"/>
          <w:szCs w:val="24"/>
        </w:rPr>
        <w:t>1.24</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numPr>
          <w:ilvl w:val="0"/>
          <w:numId w:val="107"/>
        </w:numPr>
        <w:shd w:val="clear" w:color="auto" w:fill="auto"/>
        <w:tabs>
          <w:tab w:pos="707" w:val="left"/>
        </w:tabs>
        <w:bidi w:val="0"/>
        <w:spacing w:before="0" w:after="320" w:line="312" w:lineRule="exact"/>
        <w:ind w:left="700" w:right="0" w:hanging="700"/>
        <w:jc w:val="left"/>
      </w:pPr>
      <w:bookmarkStart w:id="943" w:name="bookmark943"/>
      <w:bookmarkEnd w:id="943"/>
      <w:r>
        <w:rPr>
          <w:color w:val="000000"/>
          <w:spacing w:val="0"/>
          <w:w w:val="100"/>
          <w:position w:val="0"/>
          <w:sz w:val="24"/>
          <w:szCs w:val="24"/>
        </w:rPr>
        <w:t>连锁店服务收入主要包括向客户收取的广告及展示服务收入及商品展示位收 入等。</w:t>
      </w:r>
    </w:p>
    <w:p>
      <w:pPr>
        <w:pStyle w:val="Style72"/>
        <w:keepNext w:val="0"/>
        <w:keepLines w:val="0"/>
        <w:widowControl w:val="0"/>
        <w:numPr>
          <w:ilvl w:val="0"/>
          <w:numId w:val="107"/>
        </w:numPr>
        <w:shd w:val="clear" w:color="auto" w:fill="auto"/>
        <w:tabs>
          <w:tab w:pos="707" w:val="left"/>
        </w:tabs>
        <w:bidi w:val="0"/>
        <w:spacing w:before="0" w:after="280" w:line="271" w:lineRule="auto"/>
        <w:ind w:left="0" w:right="0" w:firstLine="0"/>
        <w:jc w:val="left"/>
      </w:pPr>
      <w:bookmarkStart w:id="944" w:name="bookmark944"/>
      <w:bookmarkEnd w:id="944"/>
      <w:r>
        <w:rPr>
          <w:color w:val="000000"/>
          <w:spacing w:val="0"/>
          <w:w w:val="100"/>
          <w:position w:val="0"/>
          <w:sz w:val="24"/>
          <w:szCs w:val="24"/>
        </w:rPr>
        <w:t>其他主要包括物流增值服务收入等。</w:t>
      </w:r>
      <w:r>
        <w:br w:type="page"/>
      </w:r>
    </w:p>
    <w:p>
      <w:pPr>
        <w:pStyle w:val="Style72"/>
        <w:keepNext w:val="0"/>
        <w:keepLines w:val="0"/>
        <w:widowControl w:val="0"/>
        <w:shd w:val="clear" w:color="auto" w:fill="auto"/>
        <w:tabs>
          <w:tab w:pos="706" w:val="left"/>
        </w:tabs>
        <w:bidi w:val="0"/>
        <w:spacing w:before="0" w:after="28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240" w:lineRule="auto"/>
        <w:ind w:left="0" w:right="0" w:firstLine="0"/>
        <w:jc w:val="left"/>
        <w:rPr>
          <w:sz w:val="28"/>
          <w:szCs w:val="28"/>
        </w:rPr>
      </w:pPr>
      <w:r>
        <w:rPr>
          <w:rFonts w:ascii="Arial" w:eastAsia="Arial" w:hAnsi="Arial" w:cs="Arial"/>
          <w:color w:val="000000"/>
          <w:spacing w:val="0"/>
          <w:w w:val="100"/>
          <w:position w:val="0"/>
          <w:sz w:val="24"/>
          <w:szCs w:val="24"/>
        </w:rPr>
        <w:t>(46)</w:t>
      </w:r>
      <w:r>
        <w:rPr>
          <w:b/>
          <w:bCs/>
          <w:color w:val="000000"/>
          <w:spacing w:val="0"/>
          <w:w w:val="100"/>
          <w:position w:val="0"/>
          <w:sz w:val="24"/>
          <w:szCs w:val="24"/>
        </w:rPr>
        <w:t>营业收入和营业成本</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109"/>
        </w:numPr>
        <w:shd w:val="clear" w:color="auto" w:fill="auto"/>
        <w:tabs>
          <w:tab w:pos="706" w:val="left"/>
        </w:tabs>
        <w:bidi w:val="0"/>
        <w:spacing w:before="0" w:after="200" w:line="240" w:lineRule="auto"/>
        <w:ind w:left="0" w:right="0" w:firstLine="0"/>
        <w:jc w:val="left"/>
      </w:pPr>
      <w:bookmarkStart w:id="945" w:name="bookmark945"/>
      <w:bookmarkEnd w:id="945"/>
      <w:r>
        <w:rPr>
          <w:color w:val="000000"/>
          <w:spacing w:val="0"/>
          <w:w w:val="100"/>
          <w:position w:val="0"/>
          <w:sz w:val="24"/>
          <w:szCs w:val="24"/>
        </w:rPr>
        <w:t>本集团</w:t>
      </w:r>
      <w:r>
        <w:rPr>
          <w:rFonts w:ascii="Arial" w:eastAsia="Arial" w:hAnsi="Arial" w:cs="Arial"/>
          <w:color w:val="000000"/>
          <w:spacing w:val="0"/>
          <w:w w:val="100"/>
          <w:position w:val="0"/>
          <w:sz w:val="24"/>
          <w:szCs w:val="24"/>
        </w:rPr>
        <w:t>2021</w:t>
      </w:r>
      <w:r>
        <w:rPr>
          <w:color w:val="000000"/>
          <w:spacing w:val="0"/>
          <w:w w:val="100"/>
          <w:position w:val="0"/>
          <w:sz w:val="24"/>
          <w:szCs w:val="24"/>
        </w:rPr>
        <w:t>年度营业收入分解如下:</w:t>
      </w:r>
    </w:p>
    <w:p>
      <w:pPr>
        <w:pStyle w:val="Style26"/>
        <w:keepNext w:val="0"/>
        <w:keepLines w:val="0"/>
        <w:widowControl w:val="0"/>
        <w:shd w:val="clear" w:color="auto" w:fill="auto"/>
        <w:bidi w:val="0"/>
        <w:spacing w:before="0" w:after="0" w:line="240" w:lineRule="auto"/>
        <w:ind w:left="4502" w:right="0" w:firstLine="0"/>
        <w:jc w:val="left"/>
        <w:rPr>
          <w:sz w:val="15"/>
          <w:szCs w:val="15"/>
        </w:rPr>
      </w:pPr>
      <w:r>
        <w:rPr>
          <w:rFonts w:ascii="Arial" w:eastAsia="Arial" w:hAnsi="Arial" w:cs="Arial"/>
          <w:color w:val="000000"/>
          <w:spacing w:val="0"/>
          <w:w w:val="100"/>
          <w:position w:val="0"/>
          <w:sz w:val="16"/>
          <w:szCs w:val="16"/>
        </w:rPr>
        <w:t>2021</w:t>
      </w:r>
      <w:r>
        <w:rPr>
          <w:color w:val="000000"/>
          <w:spacing w:val="0"/>
          <w:w w:val="100"/>
          <w:position w:val="0"/>
          <w:sz w:val="15"/>
          <w:szCs w:val="15"/>
        </w:rPr>
        <w:t>年度</w:t>
      </w:r>
    </w:p>
    <w:tbl>
      <w:tblPr>
        <w:tblOverlap w:val="never"/>
        <w:jc w:val="right"/>
        <w:tblLayout w:type="fixed"/>
      </w:tblPr>
      <w:tblGrid>
        <w:gridCol w:w="1901"/>
        <w:gridCol w:w="1334"/>
        <w:gridCol w:w="1147"/>
        <w:gridCol w:w="1349"/>
        <w:gridCol w:w="1147"/>
        <w:gridCol w:w="1070"/>
      </w:tblGrid>
      <w:tr>
        <w:trPr>
          <w:trHeight w:val="31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零售业务</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物流服务</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15"/>
                <w:szCs w:val="15"/>
              </w:rPr>
            </w:pPr>
            <w:r>
              <w:rPr>
                <w:rFonts w:ascii="SimSun" w:eastAsia="SimSun" w:hAnsi="SimSun" w:cs="SimSun"/>
                <w:color w:val="000000"/>
                <w:spacing w:val="0"/>
                <w:w w:val="100"/>
                <w:position w:val="0"/>
                <w:sz w:val="15"/>
                <w:szCs w:val="15"/>
              </w:rPr>
              <w:t>安装维修服务</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rPr>
              <w:t>其他</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合计</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主营业务收入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127,999,222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1,718,369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1,051,512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1,317,386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132,086,489</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其中：在某一时点确认</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127,999,222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1,317,386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129,316,608</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在某一时段内确认</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1,718,369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1,051,512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2,769,881</w:t>
            </w:r>
          </w:p>
        </w:tc>
      </w:tr>
      <w:tr>
        <w:trPr>
          <w:trHeight w:val="19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其他业务收入</w:t>
            </w:r>
            <w:r>
              <w:rPr>
                <w:rFonts w:ascii="Arial" w:eastAsia="Arial" w:hAnsi="Arial" w:cs="Arial"/>
                <w:color w:val="000000"/>
                <w:spacing w:val="0"/>
                <w:w w:val="100"/>
                <w:position w:val="0"/>
                <w:sz w:val="16"/>
                <w:szCs w:val="16"/>
              </w:rPr>
              <w:t>(i)</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6,817,848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6,817,848</w:t>
            </w:r>
          </w:p>
        </w:tc>
      </w:tr>
      <w:tr>
        <w:trPr>
          <w:trHeight w:val="22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127,999,222</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1,718,369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1,051,512</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8,135,234</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138,904,337</w:t>
            </w:r>
          </w:p>
        </w:tc>
      </w:tr>
    </w:tbl>
    <w:p>
      <w:pPr>
        <w:widowControl w:val="0"/>
        <w:spacing w:after="199" w:line="1" w:lineRule="exact"/>
      </w:pPr>
    </w:p>
    <w:p>
      <w:pPr>
        <w:pStyle w:val="Style72"/>
        <w:keepNext w:val="0"/>
        <w:keepLines w:val="0"/>
        <w:widowControl w:val="0"/>
        <w:shd w:val="clear" w:color="auto" w:fill="auto"/>
        <w:tabs>
          <w:tab w:pos="706" w:val="left"/>
        </w:tabs>
        <w:bidi w:val="0"/>
        <w:spacing w:before="0" w:after="280" w:line="314" w:lineRule="exact"/>
        <w:ind w:left="0" w:right="0" w:firstLine="0"/>
        <w:jc w:val="left"/>
      </w:pPr>
      <w:r>
        <w:rPr>
          <w:color w:val="000000"/>
          <w:spacing w:val="0"/>
          <w:w w:val="100"/>
          <w:position w:val="0"/>
          <w:sz w:val="24"/>
          <w:szCs w:val="24"/>
        </w:rPr>
        <w:t>⑴</w:t>
        <w:tab/>
        <w:t>除租金收入外，其他业务收入均在某一时段内确认。</w:t>
      </w:r>
    </w:p>
    <w:p>
      <w:pPr>
        <w:pStyle w:val="Style72"/>
        <w:keepNext w:val="0"/>
        <w:keepLines w:val="0"/>
        <w:widowControl w:val="0"/>
        <w:shd w:val="clear" w:color="auto" w:fill="auto"/>
        <w:bidi w:val="0"/>
        <w:spacing w:before="0" w:after="280" w:line="314"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日，本集团已签订合同但尚未履行完毕的履约义务所对 应的收入金额约人民币</w:t>
      </w:r>
      <w:r>
        <w:rPr>
          <w:rFonts w:ascii="Arial" w:eastAsia="Arial" w:hAnsi="Arial" w:cs="Arial"/>
          <w:color w:val="000000"/>
          <w:spacing w:val="0"/>
          <w:w w:val="100"/>
          <w:position w:val="0"/>
          <w:sz w:val="24"/>
          <w:szCs w:val="24"/>
        </w:rPr>
        <w:t>108.30</w:t>
      </w:r>
      <w:r>
        <w:rPr>
          <w:color w:val="000000"/>
          <w:spacing w:val="0"/>
          <w:w w:val="100"/>
          <w:position w:val="0"/>
          <w:sz w:val="24"/>
          <w:szCs w:val="24"/>
        </w:rPr>
        <w:t>亿元</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 xml:space="preserve">128.25 </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，其中，本集团预计约人民币</w:t>
      </w:r>
      <w:r>
        <w:rPr>
          <w:rFonts w:ascii="Arial" w:eastAsia="Arial" w:hAnsi="Arial" w:cs="Arial"/>
          <w:color w:val="000000"/>
          <w:spacing w:val="0"/>
          <w:w w:val="100"/>
          <w:position w:val="0"/>
          <w:sz w:val="24"/>
          <w:szCs w:val="24"/>
        </w:rPr>
        <w:t>100.58</w:t>
      </w:r>
      <w:r>
        <w:rPr>
          <w:color w:val="000000"/>
          <w:spacing w:val="0"/>
          <w:w w:val="100"/>
          <w:position w:val="0"/>
          <w:sz w:val="24"/>
          <w:szCs w:val="24"/>
        </w:rPr>
        <w:t>亿元将于</w:t>
      </w:r>
      <w:r>
        <w:rPr>
          <w:rFonts w:ascii="Arial" w:eastAsia="Arial" w:hAnsi="Arial" w:cs="Arial"/>
          <w:color w:val="000000"/>
          <w:spacing w:val="0"/>
          <w:w w:val="100"/>
          <w:position w:val="0"/>
          <w:sz w:val="24"/>
          <w:szCs w:val="24"/>
        </w:rPr>
        <w:t>2022</w:t>
      </w:r>
      <w:r>
        <w:rPr>
          <w:color w:val="000000"/>
          <w:spacing w:val="0"/>
          <w:w w:val="100"/>
          <w:position w:val="0"/>
          <w:sz w:val="24"/>
          <w:szCs w:val="24"/>
        </w:rPr>
        <w:t>年度确认收入， 约人民币</w:t>
      </w:r>
      <w:r>
        <w:rPr>
          <w:rFonts w:ascii="Arial" w:eastAsia="Arial" w:hAnsi="Arial" w:cs="Arial"/>
          <w:color w:val="000000"/>
          <w:spacing w:val="0"/>
          <w:w w:val="100"/>
          <w:position w:val="0"/>
          <w:sz w:val="24"/>
          <w:szCs w:val="24"/>
        </w:rPr>
        <w:t>7.72</w:t>
      </w:r>
      <w:r>
        <w:rPr>
          <w:color w:val="000000"/>
          <w:spacing w:val="0"/>
          <w:w w:val="100"/>
          <w:position w:val="0"/>
          <w:sz w:val="24"/>
          <w:szCs w:val="24"/>
        </w:rPr>
        <w:t>亿元将于</w:t>
      </w:r>
      <w:r>
        <w:rPr>
          <w:rFonts w:ascii="Arial" w:eastAsia="Arial" w:hAnsi="Arial" w:cs="Arial"/>
          <w:color w:val="000000"/>
          <w:spacing w:val="0"/>
          <w:w w:val="100"/>
          <w:position w:val="0"/>
          <w:sz w:val="24"/>
          <w:szCs w:val="24"/>
        </w:rPr>
        <w:t>2023</w:t>
      </w:r>
      <w:r>
        <w:rPr>
          <w:color w:val="000000"/>
          <w:spacing w:val="0"/>
          <w:w w:val="100"/>
          <w:position w:val="0"/>
          <w:sz w:val="24"/>
          <w:szCs w:val="24"/>
        </w:rPr>
        <w:t>年度及以后确认收入。</w:t>
      </w:r>
    </w:p>
    <w:p>
      <w:pPr>
        <w:pStyle w:val="Style72"/>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(47)</w:t>
      </w:r>
      <w:r>
        <w:rPr>
          <w:b/>
          <w:bCs/>
          <w:color w:val="000000"/>
          <w:spacing w:val="0"/>
          <w:w w:val="100"/>
          <w:position w:val="0"/>
          <w:sz w:val="24"/>
          <w:szCs w:val="24"/>
        </w:rPr>
        <w:t>税金及附加</w:t>
      </w:r>
    </w:p>
    <w:tbl>
      <w:tblPr>
        <w:tblOverlap w:val="never"/>
        <w:jc w:val="right"/>
        <w:tblLayout w:type="fixed"/>
      </w:tblPr>
      <w:tblGrid>
        <w:gridCol w:w="2194"/>
        <w:gridCol w:w="1550"/>
        <w:gridCol w:w="1301"/>
        <w:gridCol w:w="2846"/>
      </w:tblGrid>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计缴标准</w:t>
            </w:r>
          </w:p>
        </w:tc>
      </w:tr>
      <w:tr>
        <w:trPr>
          <w:trHeight w:val="35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房产税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206,979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219,774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房屋租金</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房产原值</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应税合同、产权转移凭证、记载资</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金的账簿等帐载金额以及其他营业</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账簿、权利、</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印花税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99,732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154,465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许可证照的件数</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城市维护建设税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65,418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135,710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增值税</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消费税的缴纳税额</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土地使用税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50,755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61,333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应纳税土地占用面积</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土地增值税</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40,740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转让房地产所得增值额</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教育费附加</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37,191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96,834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增值税</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消费税的缴纳税额</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防洪、水利、安保基金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6,873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8,531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应纳税收入</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150,910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296,128</w:t>
            </w:r>
          </w:p>
        </w:tc>
        <w:tc>
          <w:tcPr>
            <w:tcBorders/>
            <w:shd w:val="clear" w:color="auto" w:fill="FFFFFF"/>
            <w:vAlign w:val="top"/>
          </w:tcPr>
          <w:p>
            <w:pPr>
              <w:widowControl w:val="0"/>
              <w:rPr>
                <w:sz w:val="10"/>
                <w:szCs w:val="10"/>
              </w:rPr>
            </w:pPr>
          </w:p>
        </w:tc>
      </w:tr>
      <w:tr>
        <w:trPr>
          <w:trHeight w:val="278"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658,598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972,775</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2"/>
        <w:keepNext w:val="0"/>
        <w:keepLines w:val="0"/>
        <w:widowControl w:val="0"/>
        <w:shd w:val="clear" w:color="auto" w:fill="auto"/>
        <w:tabs>
          <w:tab w:pos="706"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（48）</w:t>
      </w:r>
      <w:r>
        <w:rPr>
          <w:b/>
          <w:bCs/>
          <w:color w:val="000000"/>
          <w:spacing w:val="0"/>
          <w:w w:val="100"/>
          <w:position w:val="0"/>
          <w:sz w:val="24"/>
          <w:szCs w:val="24"/>
        </w:rPr>
        <w:t>销售费用</w:t>
      </w:r>
    </w:p>
    <w:p>
      <w:pPr>
        <w:pStyle w:val="Style92"/>
        <w:keepNext w:val="0"/>
        <w:keepLines w:val="0"/>
        <w:widowControl w:val="0"/>
        <w:shd w:val="clear" w:color="auto" w:fill="auto"/>
        <w:tabs>
          <w:tab w:pos="2491" w:val="left"/>
        </w:tabs>
        <w:bidi w:val="0"/>
        <w:spacing w:before="0" w:after="300" w:line="240" w:lineRule="auto"/>
        <w:ind w:left="0" w:right="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2020</w:t>
      </w:r>
      <w:r>
        <w:rPr>
          <w:rFonts w:ascii="SimSun" w:eastAsia="SimSun" w:hAnsi="SimSun" w:cs="SimSun"/>
          <w:color w:val="000000"/>
          <w:spacing w:val="0"/>
          <w:w w:val="100"/>
          <w:position w:val="0"/>
          <w:sz w:val="24"/>
          <w:szCs w:val="24"/>
        </w:rPr>
        <w:t>年度</w:t>
      </w:r>
    </w:p>
    <w:tbl>
      <w:tblPr>
        <w:tblOverlap w:val="never"/>
        <w:jc w:val="right"/>
        <w:tblLayout w:type="fixed"/>
      </w:tblPr>
      <w:tblGrid>
        <w:gridCol w:w="3432"/>
        <w:gridCol w:w="2630"/>
        <w:gridCol w:w="1910"/>
      </w:tblGrid>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工资、奖金、津贴和补贴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4,164,006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5,486,901</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使用权资产折旧费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3,763,855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3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广告费及市场推广费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2,948,607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4,202,519</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租赁费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2,403,053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7,872,877</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水电能源费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881,188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915,772</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信息技术服务费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798,093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760,994</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固定资产折旧费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746,945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1,028,288</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渠道拓展服务费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599,734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525,704</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合伙人服务费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576,505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345,990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长期待摊费用摊销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565,391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882,695</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社会保险费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539,893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420,308</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运输及力资费用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431,202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1,084,428</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无形资产摊销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306,443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457,059</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办公费用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185,922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377,118</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住房公积金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146,690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181,311</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咨询费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50,370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32,304</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职工福利费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38,737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152,771</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固定资产日常维修费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24,182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65,945</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差旅费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21,873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31,659</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保险费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15,511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31,481</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业务招待费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11,266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16,800</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700,247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803,587</w:t>
            </w:r>
          </w:p>
        </w:tc>
      </w:tr>
      <w:tr>
        <w:trPr>
          <w:trHeight w:val="31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19,919,713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25,676,511</w:t>
            </w:r>
          </w:p>
        </w:tc>
      </w:tr>
    </w:tbl>
    <w:p>
      <w:pPr>
        <w:spacing w:lineRule="exact" w:line="1"/>
        <w:rPr>
          <w:sz w:val="2"/>
          <w:szCs w:val="2"/>
        </w:rPr>
      </w:pPr>
      <w:r>
        <w:br w:type="page"/>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b/>
          <w:bCs/>
          <w:color w:val="000000"/>
          <w:spacing w:val="0"/>
          <w:w w:val="100"/>
          <w:position w:val="0"/>
          <w:sz w:val="24"/>
          <w:szCs w:val="24"/>
        </w:rPr>
        <w:t>财务报表附注</w:t>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w:t>
      </w:r>
    </w:p>
    <w:p>
      <w:pPr>
        <w:pStyle w:val="Style26"/>
        <w:keepNext w:val="0"/>
        <w:keepLines w:val="0"/>
        <w:widowControl w:val="0"/>
        <w:shd w:val="clear" w:color="auto" w:fill="auto"/>
        <w:bidi w:val="0"/>
        <w:spacing w:before="0" w:after="60" w:line="240" w:lineRule="auto"/>
        <w:ind w:left="710" w:right="0" w:firstLine="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rFonts w:ascii="Arial" w:eastAsia="Arial" w:hAnsi="Arial" w:cs="Arial"/>
          <w:color w:val="000000"/>
          <w:spacing w:val="0"/>
          <w:w w:val="100"/>
          <w:position w:val="0"/>
          <w:sz w:val="18"/>
          <w:szCs w:val="18"/>
        </w:rPr>
        <w:t>)</w:t>
      </w:r>
    </w:p>
    <w:tbl>
      <w:tblPr>
        <w:tblOverlap w:val="never"/>
        <w:jc w:val="center"/>
        <w:tblLayout w:type="fixed"/>
      </w:tblPr>
      <w:tblGrid>
        <w:gridCol w:w="4277"/>
        <w:gridCol w:w="2544"/>
        <w:gridCol w:w="1862"/>
      </w:tblGrid>
      <w:tr>
        <w:trPr>
          <w:trHeight w:val="442" w:hRule="exact"/>
        </w:trPr>
        <w:tc>
          <w:tcPr>
            <w:tcBorders/>
            <w:shd w:val="clear" w:color="auto" w:fill="FFFFFF"/>
            <w:vAlign w:val="top"/>
          </w:tcPr>
          <w:p>
            <w:pPr>
              <w:pStyle w:val="Style29"/>
              <w:keepNext w:val="0"/>
              <w:keepLines w:val="0"/>
              <w:widowControl w:val="0"/>
              <w:shd w:val="clear" w:color="auto" w:fill="auto"/>
              <w:tabs>
                <w:tab w:pos="706" w:val="left"/>
              </w:tabs>
              <w:bidi w:val="0"/>
              <w:spacing w:before="0" w:after="0" w:line="240" w:lineRule="auto"/>
              <w:ind w:left="0" w:right="0" w:firstLine="0"/>
              <w:jc w:val="left"/>
              <w:rPr>
                <w:sz w:val="28"/>
                <w:szCs w:val="28"/>
              </w:rPr>
            </w:pPr>
            <w:r>
              <w:rPr>
                <w:rFonts w:ascii="SimSun" w:eastAsia="SimSun" w:hAnsi="SimSun" w:cs="SimSun"/>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(49)</w:t>
            </w:r>
            <w:r>
              <w:rPr>
                <w:rFonts w:ascii="SimSun" w:eastAsia="SimSun" w:hAnsi="SimSun" w:cs="SimSun"/>
                <w:b/>
                <w:bCs/>
                <w:color w:val="000000"/>
                <w:spacing w:val="0"/>
                <w:w w:val="100"/>
                <w:position w:val="0"/>
                <w:sz w:val="24"/>
                <w:szCs w:val="24"/>
              </w:rPr>
              <w:t>管理费用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工资、奖金、津贴和补贴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2,039,211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2,226,620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无形资产摊销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455,470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469,729</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固定资产折旧费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339,433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386,460</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社会保险费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262,591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192,092</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咨询费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171,617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98,459</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使用权资产折旧费</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109,995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住房公积金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86,167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97,974</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职工福利费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59,318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69,674</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水电能源费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59,133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79,663</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业务招待费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41,483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54,815</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保险费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36,925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27,931</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长期待摊费用摊销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36,525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54,466</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办公费用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36,358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43,071</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租赁费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32,989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111,435</w:t>
            </w:r>
          </w:p>
        </w:tc>
      </w:tr>
      <w:tr>
        <w:trPr>
          <w:trHeight w:val="33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差旅费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28,909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43,841</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355,715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703,490</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4,151,839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4,659,720</w:t>
            </w:r>
          </w:p>
        </w:tc>
      </w:tr>
      <w:tr>
        <w:trPr>
          <w:trHeight w:val="74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(50)</w:t>
            </w:r>
            <w:r>
              <w:rPr>
                <w:rFonts w:ascii="SimSun" w:eastAsia="SimSun" w:hAnsi="SimSun" w:cs="SimSun"/>
                <w:b/>
                <w:bCs/>
                <w:color w:val="000000"/>
                <w:spacing w:val="0"/>
                <w:w w:val="100"/>
                <w:position w:val="0"/>
                <w:sz w:val="24"/>
                <w:szCs w:val="24"/>
              </w:rPr>
              <w:t>研发费用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工资、奖金、津贴和补贴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1,217,112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1,462,461</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固定资产折旧费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310,379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309,248</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社会保险费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118,408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106,687</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信息技术服务费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106,351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230,911</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住房公积金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43,943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51,069</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水电能源费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28,155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22,387</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无形资产摊销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10,757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13,730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长期待摊费用摊销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5,566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24"/>
                <w:szCs w:val="24"/>
              </w:rPr>
            </w:pPr>
            <w:r>
              <w:rPr>
                <w:rFonts w:ascii="Arial" w:eastAsia="Arial" w:hAnsi="Arial" w:cs="Arial"/>
                <w:color w:val="000000"/>
                <w:spacing w:val="0"/>
                <w:w w:val="100"/>
                <w:position w:val="0"/>
                <w:sz w:val="24"/>
                <w:szCs w:val="24"/>
              </w:rPr>
              <w:t>4,272</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差旅费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2,013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24"/>
                <w:szCs w:val="24"/>
              </w:rPr>
            </w:pPr>
            <w:r>
              <w:rPr>
                <w:rFonts w:ascii="Arial" w:eastAsia="Arial" w:hAnsi="Arial" w:cs="Arial"/>
                <w:color w:val="000000"/>
                <w:spacing w:val="0"/>
                <w:w w:val="100"/>
                <w:position w:val="0"/>
                <w:sz w:val="24"/>
                <w:szCs w:val="24"/>
              </w:rPr>
              <w:t>2,759</w:t>
            </w: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职工福利费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both"/>
              <w:rPr>
                <w:sz w:val="24"/>
                <w:szCs w:val="24"/>
              </w:rPr>
            </w:pPr>
            <w:r>
              <w:rPr>
                <w:rFonts w:ascii="Arial" w:eastAsia="Arial" w:hAnsi="Arial" w:cs="Arial"/>
                <w:color w:val="000000"/>
                <w:spacing w:val="0"/>
                <w:w w:val="100"/>
                <w:position w:val="0"/>
                <w:sz w:val="24"/>
                <w:szCs w:val="24"/>
              </w:rPr>
              <w:t>1,759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24"/>
                <w:szCs w:val="24"/>
              </w:rPr>
            </w:pPr>
            <w:r>
              <w:rPr>
                <w:rFonts w:ascii="Arial" w:eastAsia="Arial" w:hAnsi="Arial" w:cs="Arial"/>
                <w:color w:val="000000"/>
                <w:spacing w:val="0"/>
                <w:w w:val="100"/>
                <w:position w:val="0"/>
                <w:sz w:val="24"/>
                <w:szCs w:val="24"/>
              </w:rPr>
              <w:t>3,007</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67,117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57,402</w:t>
            </w:r>
          </w:p>
        </w:tc>
      </w:tr>
      <w:tr>
        <w:trPr>
          <w:trHeight w:val="31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1,911,560</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2,263,933</w:t>
            </w:r>
          </w:p>
        </w:tc>
      </w:tr>
    </w:tbl>
    <w:p>
      <w:pPr>
        <w:spacing w:lineRule="exact" w:line="1"/>
        <w:rPr>
          <w:sz w:val="2"/>
          <w:szCs w:val="2"/>
        </w:rPr>
      </w:pPr>
      <w:r>
        <w:br w:type="page"/>
      </w:r>
    </w:p>
    <w:p>
      <w:pPr>
        <w:pStyle w:val="Style72"/>
        <w:keepNext w:val="0"/>
        <w:keepLines w:val="0"/>
        <w:widowControl w:val="0"/>
        <w:shd w:val="clear" w:color="auto" w:fill="auto"/>
        <w:tabs>
          <w:tab w:pos="706" w:val="left"/>
        </w:tabs>
        <w:bidi w:val="0"/>
        <w:spacing w:before="0" w:after="28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（51）</w:t>
      </w:r>
      <w:r>
        <w:rPr>
          <w:b/>
          <w:bCs/>
          <w:color w:val="000000"/>
          <w:spacing w:val="0"/>
          <w:w w:val="100"/>
          <w:position w:val="0"/>
          <w:sz w:val="24"/>
          <w:szCs w:val="24"/>
        </w:rPr>
        <w:t>财务费用</w:t>
      </w:r>
    </w:p>
    <w:tbl>
      <w:tblPr>
        <w:tblOverlap w:val="never"/>
        <w:jc w:val="left"/>
        <w:tblLayout w:type="fixed"/>
      </w:tblPr>
      <w:tblGrid>
        <w:gridCol w:w="3360"/>
        <w:gridCol w:w="2789"/>
        <w:gridCol w:w="1920"/>
      </w:tblGrid>
      <w:tr>
        <w:trPr>
          <w:trHeight w:val="302" w:hRule="exact"/>
        </w:trPr>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借款利息支出</w:t>
            </w:r>
          </w:p>
        </w:tc>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960"/>
              <w:jc w:val="left"/>
              <w:rPr>
                <w:sz w:val="24"/>
                <w:szCs w:val="24"/>
              </w:rPr>
            </w:pPr>
            <w:r>
              <w:rPr>
                <w:rFonts w:ascii="Arial" w:eastAsia="Arial" w:hAnsi="Arial" w:cs="Arial"/>
                <w:color w:val="000000"/>
                <w:spacing w:val="0"/>
                <w:w w:val="100"/>
                <w:position w:val="0"/>
                <w:sz w:val="24"/>
                <w:szCs w:val="24"/>
              </w:rPr>
              <w:t>1,874,667</w:t>
            </w:r>
          </w:p>
        </w:tc>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2,218,321</w:t>
            </w:r>
          </w:p>
        </w:tc>
      </w:tr>
      <w:tr>
        <w:trPr>
          <w:trHeight w:val="312" w:hRule="exact"/>
        </w:trPr>
        <w:tc>
          <w:tcPr>
            <w:tcBorders/>
            <w:shd w:val="clear" w:color="auto" w:fill="FFFFFF"/>
            <w:vAlign w:val="top"/>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加：租赁负债利息支出</w:t>
            </w:r>
          </w:p>
        </w:tc>
        <w:tc>
          <w:tcPr>
            <w:tcBorders/>
            <w:shd w:val="clear" w:color="auto" w:fill="FFFFFF"/>
            <w:vAlign w:val="center"/>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960"/>
              <w:jc w:val="left"/>
              <w:rPr>
                <w:sz w:val="24"/>
                <w:szCs w:val="24"/>
              </w:rPr>
            </w:pPr>
            <w:r>
              <w:rPr>
                <w:rFonts w:ascii="Arial" w:eastAsia="Arial" w:hAnsi="Arial" w:cs="Arial"/>
                <w:color w:val="000000"/>
                <w:spacing w:val="0"/>
                <w:w w:val="100"/>
                <w:position w:val="0"/>
                <w:sz w:val="24"/>
                <w:szCs w:val="24"/>
              </w:rPr>
              <w:t>1,893,285</w:t>
            </w:r>
          </w:p>
        </w:tc>
        <w:tc>
          <w:tcPr>
            <w:tcBorders/>
            <w:shd w:val="clear" w:color="auto" w:fill="FFFFFF"/>
            <w:vAlign w:val="center"/>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w:t>
            </w:r>
          </w:p>
        </w:tc>
      </w:tr>
      <w:tr>
        <w:trPr>
          <w:trHeight w:val="307" w:hRule="exact"/>
        </w:trPr>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减：资本化利息</w:t>
            </w:r>
          </w:p>
        </w:tc>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(83,420)</w:t>
            </w:r>
          </w:p>
        </w:tc>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(80,606)</w:t>
            </w:r>
          </w:p>
        </w:tc>
      </w:tr>
      <w:tr>
        <w:trPr>
          <w:trHeight w:val="336" w:hRule="exact"/>
        </w:trPr>
        <w:tc>
          <w:tcPr>
            <w:tcBorders>
              <w:top w:val="single" w:sz="4"/>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利息费用</w:t>
            </w:r>
          </w:p>
        </w:tc>
        <w:tc>
          <w:tcPr>
            <w:tcBorders>
              <w:top w:val="single" w:sz="4"/>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960"/>
              <w:jc w:val="left"/>
              <w:rPr>
                <w:sz w:val="24"/>
                <w:szCs w:val="24"/>
              </w:rPr>
            </w:pPr>
            <w:r>
              <w:rPr>
                <w:rFonts w:ascii="Arial" w:eastAsia="Arial" w:hAnsi="Arial" w:cs="Arial"/>
                <w:color w:val="000000"/>
                <w:spacing w:val="0"/>
                <w:w w:val="100"/>
                <w:position w:val="0"/>
                <w:sz w:val="24"/>
                <w:szCs w:val="24"/>
              </w:rPr>
              <w:t>3,684,532</w:t>
            </w:r>
          </w:p>
        </w:tc>
        <w:tc>
          <w:tcPr>
            <w:tcBorders>
              <w:top w:val="single" w:sz="4"/>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2,137,715</w:t>
            </w:r>
          </w:p>
        </w:tc>
      </w:tr>
      <w:tr>
        <w:trPr>
          <w:trHeight w:val="307" w:hRule="exact"/>
        </w:trPr>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减：利息收入</w:t>
            </w:r>
          </w:p>
        </w:tc>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1080" w:right="0" w:firstLine="0"/>
              <w:jc w:val="left"/>
              <w:rPr>
                <w:sz w:val="24"/>
                <w:szCs w:val="24"/>
              </w:rPr>
            </w:pPr>
            <w:r>
              <w:rPr>
                <w:rFonts w:ascii="Arial" w:eastAsia="Arial" w:hAnsi="Arial" w:cs="Arial"/>
                <w:color w:val="000000"/>
                <w:spacing w:val="0"/>
                <w:w w:val="100"/>
                <w:position w:val="0"/>
                <w:sz w:val="24"/>
                <w:szCs w:val="24"/>
              </w:rPr>
              <w:t>(300,378)</w:t>
            </w:r>
          </w:p>
        </w:tc>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(562,209)</w:t>
            </w:r>
          </w:p>
        </w:tc>
      </w:tr>
      <w:tr>
        <w:trPr>
          <w:trHeight w:val="307" w:hRule="exact"/>
        </w:trPr>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长期应付款折现费用</w:t>
            </w:r>
          </w:p>
        </w:tc>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1300" w:right="0" w:firstLine="0"/>
              <w:jc w:val="left"/>
              <w:rPr>
                <w:sz w:val="24"/>
                <w:szCs w:val="24"/>
              </w:rPr>
            </w:pPr>
            <w:r>
              <w:rPr>
                <w:rFonts w:ascii="Arial" w:eastAsia="Arial" w:hAnsi="Arial" w:cs="Arial"/>
                <w:color w:val="000000"/>
                <w:spacing w:val="0"/>
                <w:w w:val="100"/>
                <w:position w:val="0"/>
                <w:sz w:val="24"/>
                <w:szCs w:val="24"/>
              </w:rPr>
              <w:t>56,007</w:t>
            </w:r>
          </w:p>
        </w:tc>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56,007</w:t>
            </w:r>
          </w:p>
        </w:tc>
      </w:tr>
      <w:tr>
        <w:trPr>
          <w:trHeight w:val="322" w:hRule="exact"/>
        </w:trPr>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银行手续费</w:t>
            </w:r>
          </w:p>
        </w:tc>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314,865</w:t>
            </w:r>
          </w:p>
        </w:tc>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429,201</w:t>
            </w:r>
          </w:p>
        </w:tc>
      </w:tr>
      <w:tr>
        <w:trPr>
          <w:trHeight w:val="312" w:hRule="exact"/>
        </w:trPr>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汇兑损益</w:t>
            </w:r>
          </w:p>
        </w:tc>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1080" w:right="0" w:firstLine="0"/>
              <w:jc w:val="left"/>
              <w:rPr>
                <w:sz w:val="24"/>
                <w:szCs w:val="24"/>
              </w:rPr>
            </w:pPr>
            <w:r>
              <w:rPr>
                <w:rFonts w:ascii="Arial" w:eastAsia="Arial" w:hAnsi="Arial" w:cs="Arial"/>
                <w:color w:val="000000"/>
                <w:spacing w:val="0"/>
                <w:w w:val="100"/>
                <w:position w:val="0"/>
                <w:sz w:val="24"/>
                <w:szCs w:val="24"/>
              </w:rPr>
              <w:t>(132,864)</w:t>
            </w:r>
          </w:p>
        </w:tc>
        <w:tc>
          <w:tcPr>
            <w:tcBorders/>
            <w:shd w:val="clear" w:color="auto" w:fill="FFFFFF"/>
            <w:vAlign w:val="bottom"/>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(95,290)</w:t>
            </w:r>
          </w:p>
        </w:tc>
      </w:tr>
      <w:tr>
        <w:trPr>
          <w:trHeight w:val="293" w:hRule="exact"/>
        </w:trPr>
        <w:tc>
          <w:tcPr>
            <w:tcBorders>
              <w:top w:val="single" w:sz="4"/>
              <w:bottom w:val="single" w:sz="4"/>
            </w:tcBorders>
            <w:shd w:val="clear" w:color="auto" w:fill="FFFFFF"/>
            <w:vAlign w:val="top"/>
          </w:tcPr>
          <w:p>
            <w:pPr>
              <w:framePr w:w="8069" w:h="2798" w:vSpace="605" w:wrap="notBeside" w:vAnchor="text" w:hAnchor="text" w:x="716" w:y="606"/>
              <w:widowControl w:val="0"/>
              <w:rPr>
                <w:sz w:val="10"/>
                <w:szCs w:val="10"/>
              </w:rPr>
            </w:pPr>
          </w:p>
        </w:tc>
        <w:tc>
          <w:tcPr>
            <w:tcBorders>
              <w:top w:val="single" w:sz="4"/>
              <w:bottom w:val="single" w:sz="4"/>
            </w:tcBorders>
            <w:shd w:val="clear" w:color="auto" w:fill="FFFFFF"/>
            <w:vAlign w:val="top"/>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960"/>
              <w:jc w:val="left"/>
              <w:rPr>
                <w:sz w:val="24"/>
                <w:szCs w:val="24"/>
              </w:rPr>
            </w:pPr>
            <w:r>
              <w:rPr>
                <w:rFonts w:ascii="Arial" w:eastAsia="Arial" w:hAnsi="Arial" w:cs="Arial"/>
                <w:color w:val="000000"/>
                <w:spacing w:val="0"/>
                <w:w w:val="100"/>
                <w:position w:val="0"/>
                <w:sz w:val="24"/>
                <w:szCs w:val="24"/>
              </w:rPr>
              <w:t>3,622,162</w:t>
            </w:r>
          </w:p>
        </w:tc>
        <w:tc>
          <w:tcPr>
            <w:tcBorders>
              <w:top w:val="single" w:sz="4"/>
              <w:bottom w:val="single" w:sz="4"/>
            </w:tcBorders>
            <w:shd w:val="clear" w:color="auto" w:fill="FFFFFF"/>
            <w:vAlign w:val="top"/>
          </w:tcPr>
          <w:p>
            <w:pPr>
              <w:pStyle w:val="Style29"/>
              <w:keepNext w:val="0"/>
              <w:keepLines w:val="0"/>
              <w:framePr w:w="8069" w:h="2798" w:vSpace="605" w:wrap="notBeside" w:vAnchor="text" w:hAnchor="text" w:x="716" w:y="606"/>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1,965,424</w:t>
            </w:r>
          </w:p>
        </w:tc>
      </w:tr>
    </w:tbl>
    <w:p>
      <w:pPr>
        <w:pStyle w:val="Style26"/>
        <w:keepNext w:val="0"/>
        <w:keepLines w:val="0"/>
        <w:framePr w:w="1118" w:h="312" w:hSpace="715" w:wrap="notBeside" w:vAnchor="text" w:hAnchor="text" w:x="5026" w:y="1"/>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color w:val="000000"/>
          <w:spacing w:val="0"/>
          <w:w w:val="100"/>
          <w:position w:val="0"/>
          <w:sz w:val="24"/>
          <w:szCs w:val="24"/>
        </w:rPr>
        <w:t>年度</w:t>
      </w:r>
    </w:p>
    <w:p>
      <w:pPr>
        <w:pStyle w:val="Style26"/>
        <w:keepNext w:val="0"/>
        <w:keepLines w:val="0"/>
        <w:framePr w:w="1118" w:h="312" w:hSpace="715" w:wrap="notBeside" w:vAnchor="text" w:hAnchor="text" w:x="7522" w:y="1"/>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2020</w:t>
      </w:r>
      <w:r>
        <w:rPr>
          <w:color w:val="000000"/>
          <w:spacing w:val="0"/>
          <w:w w:val="100"/>
          <w:position w:val="0"/>
          <w:sz w:val="24"/>
          <w:szCs w:val="24"/>
        </w:rPr>
        <w:t>年度</w:t>
      </w:r>
    </w:p>
    <w:p>
      <w:pPr>
        <w:widowControl w:val="0"/>
        <w:spacing w:line="1" w:lineRule="exact"/>
      </w:pPr>
    </w:p>
    <w:p>
      <w:pPr>
        <w:pStyle w:val="Style72"/>
        <w:keepNext w:val="0"/>
        <w:keepLines w:val="0"/>
        <w:widowControl w:val="0"/>
        <w:shd w:val="clear" w:color="auto" w:fill="auto"/>
        <w:bidi w:val="0"/>
        <w:spacing w:before="0" w:after="280" w:line="298" w:lineRule="exact"/>
        <w:ind w:left="700" w:right="0" w:firstLine="20"/>
        <w:jc w:val="both"/>
      </w:pPr>
      <w:r>
        <w:rPr>
          <w:color w:val="000000"/>
          <w:spacing w:val="0"/>
          <w:w w:val="100"/>
          <w:position w:val="0"/>
          <w:sz w:val="24"/>
          <w:szCs w:val="24"/>
        </w:rPr>
        <w:t>本集团将不满足终止确认条件的应收票据贴现取得的现金确认为短期借款</w:t>
      </w:r>
      <w:r>
        <w:rPr>
          <w:rFonts w:ascii="Arial" w:eastAsia="Arial" w:hAnsi="Arial" w:cs="Arial"/>
          <w:color w:val="000000"/>
          <w:spacing w:val="0"/>
          <w:w w:val="100"/>
          <w:position w:val="0"/>
          <w:sz w:val="24"/>
          <w:szCs w:val="24"/>
        </w:rPr>
        <w:t>（</w:t>
      </w:r>
      <w:r>
        <w:rPr>
          <w:color w:val="000000"/>
          <w:spacing w:val="0"/>
          <w:w w:val="100"/>
          <w:position w:val="0"/>
          <w:sz w:val="24"/>
          <w:szCs w:val="24"/>
        </w:rPr>
        <w:t>附 注四</w:t>
      </w:r>
      <w:r>
        <w:rPr>
          <w:rFonts w:ascii="Arial" w:eastAsia="Arial" w:hAnsi="Arial" w:cs="Arial"/>
          <w:color w:val="000000"/>
          <w:spacing w:val="0"/>
          <w:w w:val="100"/>
          <w:position w:val="0"/>
          <w:sz w:val="24"/>
          <w:szCs w:val="24"/>
        </w:rPr>
        <w:t>（24））</w:t>
      </w:r>
      <w:r>
        <w:rPr>
          <w:color w:val="000000"/>
          <w:spacing w:val="0"/>
          <w:w w:val="100"/>
          <w:position w:val="0"/>
          <w:sz w:val="24"/>
          <w:szCs w:val="24"/>
        </w:rPr>
        <w:t>，并按实际利率法计算利息费用，计入借款利息支出。</w:t>
      </w:r>
      <w:r>
        <w:br w:type="page"/>
      </w:r>
    </w:p>
    <w:p>
      <w:pPr>
        <w:pStyle w:val="Style72"/>
        <w:keepNext w:val="0"/>
        <w:keepLines w:val="0"/>
        <w:widowControl w:val="0"/>
        <w:shd w:val="clear" w:color="auto" w:fill="auto"/>
        <w:tabs>
          <w:tab w:pos="696" w:val="left"/>
        </w:tabs>
        <w:bidi w:val="0"/>
        <w:spacing w:before="0" w:after="280" w:line="240" w:lineRule="auto"/>
        <w:ind w:left="0" w:right="0" w:firstLine="0"/>
        <w:jc w:val="both"/>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240" w:lineRule="auto"/>
        <w:ind w:left="0" w:right="0" w:firstLine="0"/>
        <w:jc w:val="both"/>
      </w:pPr>
      <w:r>
        <w:rPr>
          <w:rFonts w:ascii="Arial" w:eastAsia="Arial" w:hAnsi="Arial" w:cs="Arial"/>
          <w:color w:val="000000"/>
          <w:spacing w:val="0"/>
          <w:w w:val="100"/>
          <w:position w:val="0"/>
          <w:sz w:val="24"/>
          <w:szCs w:val="24"/>
        </w:rPr>
        <w:t>(52)</w:t>
      </w:r>
      <w:r>
        <w:rPr>
          <w:b/>
          <w:bCs/>
          <w:color w:val="000000"/>
          <w:spacing w:val="0"/>
          <w:w w:val="100"/>
          <w:position w:val="0"/>
          <w:sz w:val="24"/>
          <w:szCs w:val="24"/>
        </w:rPr>
        <w:t>费用按性质分类</w:t>
      </w:r>
    </w:p>
    <w:tbl>
      <w:tblPr>
        <w:tblOverlap w:val="never"/>
        <w:jc w:val="right"/>
        <w:tblLayout w:type="fixed"/>
      </w:tblPr>
      <w:tblGrid>
        <w:gridCol w:w="3576"/>
        <w:gridCol w:w="2410"/>
        <w:gridCol w:w="2083"/>
      </w:tblGrid>
      <w:tr>
        <w:trPr>
          <w:trHeight w:val="744" w:hRule="exact"/>
        </w:trPr>
        <w:tc>
          <w:tcPr>
            <w:vMerge w:val="restart"/>
            <w:tcBorders/>
            <w:shd w:val="clear" w:color="auto" w:fill="FFFFFF"/>
            <w:vAlign w:val="top"/>
          </w:tcPr>
          <w:p>
            <w:pPr>
              <w:pStyle w:val="Style29"/>
              <w:keepNext w:val="0"/>
              <w:keepLines w:val="0"/>
              <w:widowControl w:val="0"/>
              <w:shd w:val="clear" w:color="auto" w:fill="auto"/>
              <w:bidi w:val="0"/>
              <w:spacing w:before="0" w:after="0" w:line="322" w:lineRule="exact"/>
              <w:ind w:left="0" w:right="0" w:firstLine="0"/>
              <w:jc w:val="left"/>
              <w:rPr>
                <w:sz w:val="24"/>
                <w:szCs w:val="24"/>
              </w:rPr>
            </w:pPr>
            <w:r>
              <w:rPr>
                <w:rFonts w:ascii="SimSun" w:eastAsia="SimSun" w:hAnsi="SimSun" w:cs="SimSun"/>
                <w:color w:val="000000"/>
                <w:spacing w:val="0"/>
                <w:w w:val="100"/>
                <w:position w:val="0"/>
                <w:sz w:val="24"/>
                <w:szCs w:val="24"/>
              </w:rPr>
              <w:t>利润表中的营业成本、销售费用、 如下：</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管理费用和研发费用按照性质分类，列示</w:t>
            </w:r>
          </w:p>
        </w:tc>
      </w:tr>
      <w:tr>
        <w:trPr>
          <w:trHeight w:val="600" w:hRule="exact"/>
        </w:trPr>
        <w:tc>
          <w:tcPr>
            <w:vMerge/>
            <w:tcBorders/>
            <w:shd w:val="clear" w:color="auto" w:fill="FFFFFF"/>
            <w:vAlign w:val="top"/>
          </w:tcPr>
          <w:p>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5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存货变动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11,274,553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2,199,590</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采购的商品及消耗的安装维修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用备件</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112,586,263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214,591,662</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房地产项目开发成本的变动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56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618,240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职工薪酬费用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9,017,140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11,718,703</w:t>
            </w:r>
          </w:p>
        </w:tc>
      </w:tr>
      <w:tr>
        <w:trPr>
          <w:trHeight w:val="30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使用权资产折旧费</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5,237,049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广告费及市场推广费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2,948,607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4,202,519</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租赁及物业费</w:t>
            </w:r>
            <w:r>
              <w:rPr>
                <w:rFonts w:ascii="Arial" w:eastAsia="Arial" w:hAnsi="Arial" w:cs="Arial"/>
                <w:color w:val="000000"/>
                <w:spacing w:val="0"/>
                <w:w w:val="100"/>
                <w:position w:val="0"/>
                <w:sz w:val="24"/>
                <w:szCs w:val="24"/>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2,603,188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8,853,045</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运输及力资费用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2,534,281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3,598,704</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折旧费用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1,683,306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2,009,417</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摊销费用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1,627,753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2,137,846</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安装维修劳务支出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1,047,994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1,610,286</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水电能源费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968,476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1,017,822</w:t>
            </w: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信息技术服务费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921,844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991,905</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办公费用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222,303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420,487</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咨询费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222,157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139,754</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固定资产日常修理费用</w:t>
            </w:r>
            <w:r>
              <w:rPr>
                <w:rFonts w:ascii="Arial" w:eastAsia="Arial" w:hAnsi="Arial" w:cs="Arial"/>
                <w:color w:val="000000"/>
                <w:spacing w:val="0"/>
                <w:w w:val="100"/>
                <w:position w:val="0"/>
                <w:sz w:val="24"/>
                <w:szCs w:val="24"/>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37,355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107,495</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2,789,000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2,960,086</w:t>
            </w:r>
          </w:p>
        </w:tc>
      </w:tr>
      <w:tr>
        <w:trPr>
          <w:trHeight w:val="31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155,721,269</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257,177,561</w:t>
            </w:r>
          </w:p>
        </w:tc>
      </w:tr>
    </w:tbl>
    <w:p>
      <w:pPr>
        <w:widowControl w:val="0"/>
        <w:spacing w:after="279" w:line="1" w:lineRule="exact"/>
      </w:pPr>
    </w:p>
    <w:p>
      <w:pPr>
        <w:pStyle w:val="Style72"/>
        <w:keepNext w:val="0"/>
        <w:keepLines w:val="0"/>
        <w:widowControl w:val="0"/>
        <w:shd w:val="clear" w:color="auto" w:fill="auto"/>
        <w:tabs>
          <w:tab w:pos="696" w:val="left"/>
        </w:tabs>
        <w:bidi w:val="0"/>
        <w:spacing w:before="0" w:after="0" w:line="311" w:lineRule="exact"/>
        <w:ind w:left="0" w:right="0" w:firstLine="0"/>
        <w:jc w:val="both"/>
      </w:pPr>
      <w:r>
        <w:rPr>
          <w:color w:val="000000"/>
          <w:spacing w:val="0"/>
          <w:w w:val="100"/>
          <w:position w:val="0"/>
          <w:sz w:val="24"/>
          <w:szCs w:val="24"/>
        </w:rPr>
        <w:t>⑴</w:t>
        <w:tab/>
        <w:t>如附注二</w:t>
      </w:r>
      <w:r>
        <w:rPr>
          <w:rFonts w:ascii="Arial" w:eastAsia="Arial" w:hAnsi="Arial" w:cs="Arial"/>
          <w:color w:val="000000"/>
          <w:spacing w:val="0"/>
          <w:w w:val="100"/>
          <w:position w:val="0"/>
          <w:sz w:val="24"/>
          <w:szCs w:val="24"/>
        </w:rPr>
        <w:t>(25)</w:t>
      </w:r>
      <w:r>
        <w:rPr>
          <w:color w:val="000000"/>
          <w:spacing w:val="0"/>
          <w:w w:val="100"/>
          <w:position w:val="0"/>
          <w:sz w:val="24"/>
          <w:szCs w:val="24"/>
        </w:rPr>
        <w:t>所述，本集团将短期租赁及低价值租赁的租金和可变租金的支出</w:t>
      </w:r>
    </w:p>
    <w:p>
      <w:pPr>
        <w:pStyle w:val="Style72"/>
        <w:keepNext w:val="0"/>
        <w:keepLines w:val="0"/>
        <w:widowControl w:val="0"/>
        <w:shd w:val="clear" w:color="auto" w:fill="auto"/>
        <w:bidi w:val="0"/>
        <w:spacing w:before="0" w:after="280" w:line="311" w:lineRule="exact"/>
        <w:ind w:left="0" w:right="0" w:firstLine="700"/>
        <w:jc w:val="both"/>
      </w:pPr>
      <w:r>
        <w:rPr>
          <w:color w:val="000000"/>
          <w:spacing w:val="0"/>
          <w:w w:val="100"/>
          <w:position w:val="0"/>
          <w:sz w:val="24"/>
          <w:szCs w:val="24"/>
        </w:rPr>
        <w:t>直接计入当期损益，</w:t>
      </w:r>
      <w:r>
        <w:rPr>
          <w:rFonts w:ascii="Arial" w:eastAsia="Arial" w:hAnsi="Arial" w:cs="Arial"/>
          <w:color w:val="000000"/>
          <w:spacing w:val="0"/>
          <w:w w:val="100"/>
          <w:position w:val="0"/>
          <w:sz w:val="24"/>
          <w:szCs w:val="24"/>
        </w:rPr>
        <w:t>2021</w:t>
      </w:r>
      <w:r>
        <w:rPr>
          <w:color w:val="000000"/>
          <w:spacing w:val="0"/>
          <w:w w:val="100"/>
          <w:position w:val="0"/>
          <w:sz w:val="24"/>
          <w:szCs w:val="24"/>
        </w:rPr>
        <w:t>年度金额约人民币</w:t>
      </w:r>
      <w:r>
        <w:rPr>
          <w:rFonts w:ascii="Arial" w:eastAsia="Arial" w:hAnsi="Arial" w:cs="Arial"/>
          <w:color w:val="000000"/>
          <w:spacing w:val="0"/>
          <w:w w:val="100"/>
          <w:position w:val="0"/>
          <w:sz w:val="24"/>
          <w:szCs w:val="24"/>
        </w:rPr>
        <w:t>8.61</w:t>
      </w:r>
      <w:r>
        <w:rPr>
          <w:color w:val="000000"/>
          <w:spacing w:val="0"/>
          <w:w w:val="100"/>
          <w:position w:val="0"/>
          <w:sz w:val="24"/>
          <w:szCs w:val="24"/>
        </w:rPr>
        <w:t>亿元。</w:t>
      </w:r>
    </w:p>
    <w:p>
      <w:pPr>
        <w:pStyle w:val="Style72"/>
        <w:keepNext w:val="0"/>
        <w:keepLines w:val="0"/>
        <w:widowControl w:val="0"/>
        <w:shd w:val="clear" w:color="auto" w:fill="auto"/>
        <w:bidi w:val="0"/>
        <w:spacing w:before="0" w:after="280" w:line="310" w:lineRule="exact"/>
        <w:ind w:left="700" w:right="0" w:firstLine="20"/>
        <w:jc w:val="both"/>
      </w:pPr>
      <w:r>
        <w:rPr>
          <w:color w:val="000000"/>
          <w:spacing w:val="0"/>
          <w:w w:val="100"/>
          <w:position w:val="0"/>
          <w:sz w:val="24"/>
          <w:szCs w:val="24"/>
        </w:rPr>
        <w:t>由于新冠肺炎疫情影响，出租人免除本集团</w:t>
      </w:r>
      <w:r>
        <w:rPr>
          <w:rFonts w:ascii="Arial" w:eastAsia="Arial" w:hAnsi="Arial" w:cs="Arial"/>
          <w:color w:val="000000"/>
          <w:spacing w:val="0"/>
          <w:w w:val="100"/>
          <w:position w:val="0"/>
          <w:sz w:val="24"/>
          <w:szCs w:val="24"/>
        </w:rPr>
        <w:t>2021</w:t>
      </w:r>
      <w:r>
        <w:rPr>
          <w:color w:val="000000"/>
          <w:spacing w:val="0"/>
          <w:w w:val="100"/>
          <w:position w:val="0"/>
          <w:sz w:val="24"/>
          <w:szCs w:val="24"/>
        </w:rPr>
        <w:t>年度的租金约人民币</w:t>
      </w:r>
      <w:r>
        <w:rPr>
          <w:rFonts w:ascii="Arial" w:eastAsia="Arial" w:hAnsi="Arial" w:cs="Arial"/>
          <w:color w:val="000000"/>
          <w:spacing w:val="0"/>
          <w:w w:val="100"/>
          <w:position w:val="0"/>
          <w:sz w:val="24"/>
          <w:szCs w:val="24"/>
        </w:rPr>
        <w:t xml:space="preserve">3,780 </w:t>
      </w:r>
      <w:r>
        <w:rPr>
          <w:color w:val="000000"/>
          <w:spacing w:val="0"/>
          <w:w w:val="100"/>
          <w:position w:val="0"/>
          <w:sz w:val="24"/>
          <w:szCs w:val="24"/>
        </w:rPr>
        <w:t>万元，本集团已将上述租金减免额冲减当期租金费用</w:t>
      </w:r>
      <w:r>
        <w:rPr>
          <w:rFonts w:ascii="Arial" w:eastAsia="Arial" w:hAnsi="Arial" w:cs="Arial"/>
          <w:color w:val="000000"/>
          <w:spacing w:val="0"/>
          <w:w w:val="100"/>
          <w:position w:val="0"/>
          <w:sz w:val="24"/>
          <w:szCs w:val="24"/>
        </w:rPr>
        <w:t>(2020</w:t>
      </w:r>
      <w:r>
        <w:rPr>
          <w:color w:val="000000"/>
          <w:spacing w:val="0"/>
          <w:w w:val="100"/>
          <w:position w:val="0"/>
          <w:sz w:val="24"/>
          <w:szCs w:val="24"/>
        </w:rPr>
        <w:t xml:space="preserve">年度：约人民币 </w:t>
      </w:r>
      <w:r>
        <w:rPr>
          <w:rFonts w:ascii="Arial" w:eastAsia="Arial" w:hAnsi="Arial" w:cs="Arial"/>
          <w:color w:val="000000"/>
          <w:spacing w:val="0"/>
          <w:w w:val="100"/>
          <w:position w:val="0"/>
          <w:sz w:val="24"/>
          <w:szCs w:val="24"/>
        </w:rPr>
        <w:t>5.48</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80" w:line="312" w:lineRule="exact"/>
        <w:ind w:left="700" w:right="0" w:hanging="700"/>
        <w:jc w:val="both"/>
      </w:pPr>
      <w:r>
        <w:rPr>
          <w:rFonts w:ascii="Arial" w:eastAsia="Arial" w:hAnsi="Arial" w:cs="Arial"/>
          <w:color w:val="000000"/>
          <w:spacing w:val="0"/>
          <w:w w:val="100"/>
          <w:position w:val="0"/>
          <w:sz w:val="24"/>
          <w:szCs w:val="24"/>
        </w:rPr>
        <w:t xml:space="preserve">(ii) </w:t>
      </w:r>
      <w:r>
        <w:rPr>
          <w:color w:val="000000"/>
          <w:spacing w:val="0"/>
          <w:w w:val="100"/>
          <w:position w:val="0"/>
          <w:sz w:val="24"/>
          <w:szCs w:val="24"/>
        </w:rPr>
        <w:t>针对不符合固定资产资本化条件的日常修理费用，本集团将与物流运输、研 发部门、行政部门和销售部门相关的分别计入营业成本、研发费用、管理费 用和销售费用。</w:t>
      </w:r>
      <w:r>
        <w:br w:type="page"/>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b/>
          <w:bCs/>
          <w:color w:val="000000"/>
          <w:spacing w:val="0"/>
          <w:w w:val="100"/>
          <w:position w:val="0"/>
          <w:sz w:val="24"/>
          <w:szCs w:val="24"/>
        </w:rPr>
        <w:t>财务报表附注</w:t>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w:t>
      </w:r>
    </w:p>
    <w:p>
      <w:pPr>
        <w:pStyle w:val="Style26"/>
        <w:keepNext w:val="0"/>
        <w:keepLines w:val="0"/>
        <w:widowControl w:val="0"/>
        <w:shd w:val="clear" w:color="auto" w:fill="auto"/>
        <w:bidi w:val="0"/>
        <w:spacing w:before="0" w:after="60" w:line="240" w:lineRule="auto"/>
        <w:ind w:left="710" w:right="0" w:firstLine="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rFonts w:ascii="Arial" w:eastAsia="Arial" w:hAnsi="Arial" w:cs="Arial"/>
          <w:color w:val="000000"/>
          <w:spacing w:val="0"/>
          <w:w w:val="100"/>
          <w:position w:val="0"/>
          <w:sz w:val="18"/>
          <w:szCs w:val="18"/>
        </w:rPr>
        <w:t>）</w:t>
      </w:r>
    </w:p>
    <w:tbl>
      <w:tblPr>
        <w:tblOverlap w:val="never"/>
        <w:jc w:val="center"/>
        <w:tblLayout w:type="fixed"/>
      </w:tblPr>
      <w:tblGrid>
        <w:gridCol w:w="581"/>
        <w:gridCol w:w="3144"/>
        <w:gridCol w:w="1282"/>
        <w:gridCol w:w="2126"/>
        <w:gridCol w:w="1627"/>
      </w:tblGrid>
      <w:tr>
        <w:trPr>
          <w:trHeight w:val="44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b/>
                <w:bCs/>
                <w:color w:val="000000"/>
                <w:spacing w:val="0"/>
                <w:w w:val="100"/>
                <w:position w:val="0"/>
                <w:sz w:val="24"/>
                <w:szCs w:val="24"/>
              </w:rPr>
              <w:t>四</w:t>
            </w:r>
          </w:p>
        </w:tc>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b/>
                <w:bCs/>
                <w:color w:val="000000"/>
                <w:spacing w:val="0"/>
                <w:w w:val="100"/>
                <w:position w:val="0"/>
                <w:sz w:val="24"/>
                <w:szCs w:val="24"/>
              </w:rPr>
              <w:t>合并财务报表项目附注</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r>
      <w:tr>
        <w:trPr>
          <w:trHeight w:val="1166"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both"/>
              <w:rPr>
                <w:sz w:val="24"/>
                <w:szCs w:val="24"/>
              </w:rPr>
            </w:pPr>
            <w:r>
              <w:rPr>
                <w:rFonts w:ascii="Arial" w:eastAsia="Arial" w:hAnsi="Arial" w:cs="Arial"/>
                <w:color w:val="000000"/>
                <w:spacing w:val="0"/>
                <w:w w:val="100"/>
                <w:position w:val="0"/>
                <w:sz w:val="24"/>
                <w:szCs w:val="24"/>
              </w:rPr>
              <w:t>(53)</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140"/>
              <w:jc w:val="left"/>
              <w:rPr>
                <w:sz w:val="24"/>
                <w:szCs w:val="24"/>
              </w:rPr>
            </w:pPr>
            <w:r>
              <w:rPr>
                <w:rFonts w:ascii="SimSun" w:eastAsia="SimSun" w:hAnsi="SimSun" w:cs="SimSun"/>
                <w:b/>
                <w:bCs/>
                <w:color w:val="000000"/>
                <w:spacing w:val="0"/>
                <w:w w:val="100"/>
                <w:position w:val="0"/>
                <w:sz w:val="24"/>
                <w:szCs w:val="24"/>
              </w:rPr>
              <w:t>资产减值损失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长期股权投资减值损失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8,648,921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35,932</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使用权资产减值损失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3,878,622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无形资产减值损失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1,914,243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471,208</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商誉减值损失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4"/>
                <w:szCs w:val="24"/>
              </w:rPr>
            </w:pPr>
            <w:r>
              <w:rPr>
                <w:rFonts w:ascii="Arial" w:eastAsia="Arial" w:hAnsi="Arial" w:cs="Arial"/>
                <w:color w:val="000000"/>
                <w:spacing w:val="0"/>
                <w:w w:val="100"/>
                <w:position w:val="0"/>
                <w:sz w:val="24"/>
                <w:szCs w:val="24"/>
              </w:rPr>
              <w:t>930,695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1,092,451</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预付账款减值损失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4"/>
                <w:szCs w:val="24"/>
              </w:rPr>
            </w:pPr>
            <w:r>
              <w:rPr>
                <w:rFonts w:ascii="Arial" w:eastAsia="Arial" w:hAnsi="Arial" w:cs="Arial"/>
                <w:color w:val="000000"/>
                <w:spacing w:val="0"/>
                <w:w w:val="100"/>
                <w:position w:val="0"/>
                <w:sz w:val="24"/>
                <w:szCs w:val="24"/>
              </w:rPr>
              <w:t>519,109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在建工程减值损失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4"/>
                <w:szCs w:val="24"/>
              </w:rPr>
            </w:pPr>
            <w:r>
              <w:rPr>
                <w:rFonts w:ascii="Arial" w:eastAsia="Arial" w:hAnsi="Arial" w:cs="Arial"/>
                <w:color w:val="000000"/>
                <w:spacing w:val="0"/>
                <w:w w:val="100"/>
                <w:position w:val="0"/>
                <w:sz w:val="24"/>
                <w:szCs w:val="24"/>
              </w:rPr>
              <w:t>165,302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长期待摊费用减值损失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4"/>
                <w:szCs w:val="24"/>
              </w:rPr>
            </w:pPr>
            <w:r>
              <w:rPr>
                <w:rFonts w:ascii="Arial" w:eastAsia="Arial" w:hAnsi="Arial" w:cs="Arial"/>
                <w:color w:val="000000"/>
                <w:spacing w:val="0"/>
                <w:w w:val="100"/>
                <w:position w:val="0"/>
                <w:sz w:val="24"/>
                <w:szCs w:val="24"/>
              </w:rPr>
              <w:t>148,610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45,732</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固定资产减值损失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86,011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165,638</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投资性房地产减值损失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48,236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存货跌价损失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45,560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377,000</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16,385,309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2,187,961</w:t>
            </w:r>
          </w:p>
        </w:tc>
      </w:tr>
      <w:tr>
        <w:trPr>
          <w:trHeight w:val="1330" w:hRule="exact"/>
        </w:trPr>
        <w:tc>
          <w:tcPr>
            <w:tcBorders/>
            <w:shd w:val="clear" w:color="auto" w:fill="FFFFFF"/>
            <w:vAlign w:val="top"/>
          </w:tcPr>
          <w:p>
            <w:pPr>
              <w:pStyle w:val="Style29"/>
              <w:keepNext w:val="0"/>
              <w:keepLines w:val="0"/>
              <w:widowControl w:val="0"/>
              <w:shd w:val="clear" w:color="auto" w:fill="auto"/>
              <w:bidi w:val="0"/>
              <w:spacing w:before="280" w:after="0" w:line="240" w:lineRule="auto"/>
              <w:ind w:left="0" w:right="0" w:firstLine="0"/>
              <w:jc w:val="both"/>
              <w:rPr>
                <w:sz w:val="24"/>
                <w:szCs w:val="24"/>
              </w:rPr>
            </w:pPr>
            <w:r>
              <w:rPr>
                <w:rFonts w:ascii="Arial" w:eastAsia="Arial" w:hAnsi="Arial" w:cs="Arial"/>
                <w:color w:val="000000"/>
                <w:spacing w:val="0"/>
                <w:w w:val="100"/>
                <w:position w:val="0"/>
                <w:sz w:val="24"/>
                <w:szCs w:val="24"/>
              </w:rPr>
              <w:t>(54)</w:t>
            </w:r>
          </w:p>
        </w:tc>
        <w:tc>
          <w:tcPr>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140"/>
              <w:jc w:val="left"/>
              <w:rPr>
                <w:sz w:val="24"/>
                <w:szCs w:val="24"/>
              </w:rPr>
            </w:pPr>
            <w:r>
              <w:rPr>
                <w:rFonts w:ascii="SimSun" w:eastAsia="SimSun" w:hAnsi="SimSun" w:cs="SimSun"/>
                <w:b/>
                <w:bCs/>
                <w:color w:val="000000"/>
                <w:spacing w:val="0"/>
                <w:w w:val="100"/>
                <w:position w:val="0"/>
                <w:sz w:val="24"/>
                <w:szCs w:val="24"/>
              </w:rPr>
              <w:t>信用减值损失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应收账款坏账损失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2,145,754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304,152</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其他应收款坏账损失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4"/>
                <w:szCs w:val="24"/>
              </w:rPr>
            </w:pPr>
            <w:r>
              <w:rPr>
                <w:rFonts w:ascii="Arial" w:eastAsia="Arial" w:hAnsi="Arial" w:cs="Arial"/>
                <w:color w:val="000000"/>
                <w:spacing w:val="0"/>
                <w:w w:val="100"/>
                <w:position w:val="0"/>
                <w:sz w:val="24"/>
                <w:szCs w:val="24"/>
              </w:rPr>
              <w:t>488,576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39,570</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color w:val="000000"/>
                <w:spacing w:val="0"/>
                <w:w w:val="100"/>
                <w:position w:val="0"/>
                <w:sz w:val="24"/>
                <w:szCs w:val="24"/>
              </w:rPr>
              <w:t>应收票据坏账损失</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转回</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95,508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(16,202)</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财务担保减值准备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64,262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24"/>
                <w:szCs w:val="24"/>
              </w:rPr>
            </w:pPr>
            <w:r>
              <w:rPr>
                <w:rFonts w:ascii="Arial" w:eastAsia="Arial" w:hAnsi="Arial" w:cs="Arial"/>
                <w:color w:val="000000"/>
                <w:spacing w:val="0"/>
                <w:w w:val="100"/>
                <w:position w:val="0"/>
                <w:sz w:val="24"/>
                <w:szCs w:val="24"/>
              </w:rPr>
              <w:t>-</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长期应收款坏账损失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37,336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575</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货币资金坏账损失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83,543</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2,831,436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411,638</w:t>
            </w:r>
          </w:p>
        </w:tc>
      </w:tr>
      <w:tr>
        <w:trPr>
          <w:trHeight w:val="1642" w:hRule="exact"/>
        </w:trPr>
        <w:tc>
          <w:tcPr>
            <w:tcBorders/>
            <w:shd w:val="clear" w:color="auto" w:fill="FFFFFF"/>
            <w:vAlign w:val="top"/>
          </w:tcPr>
          <w:p>
            <w:pPr>
              <w:pStyle w:val="Style29"/>
              <w:keepNext w:val="0"/>
              <w:keepLines w:val="0"/>
              <w:widowControl w:val="0"/>
              <w:shd w:val="clear" w:color="auto" w:fill="auto"/>
              <w:bidi w:val="0"/>
              <w:spacing w:before="280" w:after="0" w:line="240" w:lineRule="auto"/>
              <w:ind w:left="0" w:right="0" w:firstLine="0"/>
              <w:jc w:val="left"/>
              <w:rPr>
                <w:sz w:val="24"/>
                <w:szCs w:val="24"/>
              </w:rPr>
            </w:pPr>
            <w:r>
              <w:rPr>
                <w:rFonts w:ascii="Arial" w:eastAsia="Arial" w:hAnsi="Arial" w:cs="Arial"/>
                <w:color w:val="000000"/>
                <w:spacing w:val="0"/>
                <w:w w:val="100"/>
                <w:position w:val="0"/>
                <w:sz w:val="24"/>
                <w:szCs w:val="24"/>
              </w:rPr>
              <w:t>(55)</w:t>
            </w:r>
          </w:p>
        </w:tc>
        <w:tc>
          <w:tcPr>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140"/>
              <w:jc w:val="left"/>
              <w:rPr>
                <w:sz w:val="24"/>
                <w:szCs w:val="24"/>
              </w:rPr>
            </w:pPr>
            <w:r>
              <w:rPr>
                <w:rFonts w:ascii="SimSun" w:eastAsia="SimSun" w:hAnsi="SimSun" w:cs="SimSun"/>
                <w:b/>
                <w:bCs/>
                <w:color w:val="000000"/>
                <w:spacing w:val="0"/>
                <w:w w:val="100"/>
                <w:position w:val="0"/>
                <w:sz w:val="24"/>
                <w:szCs w:val="24"/>
              </w:rPr>
              <w:t>其他收益</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与资产相关</w:t>
            </w:r>
            <w:r>
              <w:rPr>
                <w:rFonts w:ascii="Arial" w:eastAsia="Arial" w:hAnsi="Arial" w:cs="Arial"/>
                <w:color w:val="000000"/>
                <w:spacing w:val="0"/>
                <w:w w:val="100"/>
                <w:position w:val="0"/>
                <w:sz w:val="24"/>
                <w:szCs w:val="24"/>
              </w:rPr>
              <w:t>/</w:t>
            </w:r>
          </w:p>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与收益相关</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287,541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rPr>
              <w:t>798,270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与收益相关</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政府补助</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rFonts w:ascii="Arial" w:eastAsia="Arial" w:hAnsi="Arial" w:cs="Arial"/>
                <w:color w:val="000000"/>
                <w:spacing w:val="0"/>
                <w:w w:val="100"/>
                <w:position w:val="0"/>
                <w:sz w:val="24"/>
                <w:szCs w:val="24"/>
              </w:rPr>
              <w:t>（38））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63,682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41,027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与资产相关</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351,223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rPr>
              <w:t>839,297</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2"/>
        <w:keepNext w:val="0"/>
        <w:keepLines w:val="0"/>
        <w:widowControl w:val="0"/>
        <w:shd w:val="clear" w:color="auto" w:fill="auto"/>
        <w:bidi w:val="0"/>
        <w:spacing w:before="0" w:after="260" w:line="240" w:lineRule="auto"/>
        <w:ind w:left="0" w:right="0" w:firstLine="0"/>
        <w:jc w:val="left"/>
        <w:rPr>
          <w:sz w:val="28"/>
          <w:szCs w:val="28"/>
        </w:rPr>
      </w:pPr>
      <w:r>
        <w:rPr>
          <w:b/>
          <w:bCs/>
          <w:color w:val="000000"/>
          <w:spacing w:val="0"/>
          <w:w w:val="100"/>
          <w:position w:val="0"/>
          <w:sz w:val="24"/>
          <w:szCs w:val="24"/>
        </w:rPr>
        <w:t>四 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2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（56）</w:t>
      </w:r>
      <w:r>
        <w:rPr>
          <w:b/>
          <w:bCs/>
          <w:color w:val="000000"/>
          <w:spacing w:val="0"/>
          <w:w w:val="100"/>
          <w:position w:val="0"/>
          <w:sz w:val="24"/>
          <w:szCs w:val="24"/>
        </w:rPr>
        <w:t>投资</w:t>
      </w:r>
      <w:r>
        <w:rPr>
          <w:rFonts w:ascii="Arial" w:eastAsia="Arial" w:hAnsi="Arial" w:cs="Arial"/>
          <w:color w:val="000000"/>
          <w:spacing w:val="0"/>
          <w:w w:val="100"/>
          <w:position w:val="0"/>
          <w:sz w:val="24"/>
          <w:szCs w:val="24"/>
        </w:rPr>
        <w:t>（</w:t>
      </w:r>
      <w:r>
        <w:rPr>
          <w:b/>
          <w:bCs/>
          <w:color w:val="000000"/>
          <w:spacing w:val="0"/>
          <w:w w:val="100"/>
          <w:position w:val="0"/>
          <w:sz w:val="24"/>
          <w:szCs w:val="24"/>
        </w:rPr>
        <w:t>损失</w:t>
      </w:r>
      <w:r>
        <w:rPr>
          <w:rFonts w:ascii="Arial" w:eastAsia="Arial" w:hAnsi="Arial" w:cs="Arial"/>
          <w:color w:val="000000"/>
          <w:spacing w:val="0"/>
          <w:w w:val="100"/>
          <w:position w:val="0"/>
          <w:sz w:val="24"/>
          <w:szCs w:val="24"/>
        </w:rPr>
        <w:t>）/</w:t>
      </w:r>
      <w:r>
        <w:rPr>
          <w:b/>
          <w:bCs/>
          <w:color w:val="000000"/>
          <w:spacing w:val="0"/>
          <w:w w:val="100"/>
          <w:position w:val="0"/>
          <w:sz w:val="24"/>
          <w:szCs w:val="24"/>
        </w:rPr>
        <w:t>收益</w:t>
      </w:r>
    </w:p>
    <w:tbl>
      <w:tblPr>
        <w:tblOverlap w:val="never"/>
        <w:jc w:val="center"/>
        <w:tblLayout w:type="fixed"/>
      </w:tblPr>
      <w:tblGrid>
        <w:gridCol w:w="3706"/>
        <w:gridCol w:w="2448"/>
        <w:gridCol w:w="1915"/>
      </w:tblGrid>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7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处置子公司产生的投资收益</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附</w:t>
            </w:r>
          </w:p>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注五</w:t>
            </w:r>
            <w:r>
              <w:rPr>
                <w:rFonts w:ascii="Arial" w:eastAsia="Arial" w:hAnsi="Arial" w:cs="Arial"/>
                <w:color w:val="000000"/>
                <w:spacing w:val="0"/>
                <w:w w:val="100"/>
                <w:position w:val="0"/>
                <w:sz w:val="24"/>
                <w:szCs w:val="24"/>
              </w:rPr>
              <w:t>（1）（b））</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24"/>
                <w:szCs w:val="24"/>
              </w:rPr>
            </w:pPr>
            <w:r>
              <w:rPr>
                <w:rFonts w:ascii="Arial" w:eastAsia="Arial" w:hAnsi="Arial" w:cs="Arial"/>
                <w:color w:val="000000"/>
                <w:spacing w:val="0"/>
                <w:w w:val="100"/>
                <w:position w:val="0"/>
                <w:sz w:val="24"/>
                <w:szCs w:val="24"/>
              </w:rPr>
              <w:t>1,249,427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24"/>
                <w:szCs w:val="24"/>
              </w:rPr>
            </w:pPr>
            <w:r>
              <w:rPr>
                <w:rFonts w:ascii="Arial" w:eastAsia="Arial" w:hAnsi="Arial" w:cs="Arial"/>
                <w:color w:val="000000"/>
                <w:spacing w:val="0"/>
                <w:w w:val="100"/>
                <w:position w:val="0"/>
                <w:sz w:val="24"/>
                <w:szCs w:val="24"/>
              </w:rPr>
              <w:t>810,054</w:t>
            </w:r>
          </w:p>
        </w:tc>
      </w:tr>
      <w:tr>
        <w:trPr>
          <w:trHeight w:val="629" w:hRule="exact"/>
        </w:trPr>
        <w:tc>
          <w:tcPr>
            <w:tcBorders/>
            <w:shd w:val="clear" w:color="auto" w:fill="FFFFFF"/>
            <w:vAlign w:val="top"/>
          </w:tcPr>
          <w:p>
            <w:pPr>
              <w:pStyle w:val="Style29"/>
              <w:keepNext w:val="0"/>
              <w:keepLines w:val="0"/>
              <w:widowControl w:val="0"/>
              <w:shd w:val="clear" w:color="auto" w:fill="auto"/>
              <w:bidi w:val="0"/>
              <w:spacing w:before="0" w:after="0" w:line="307" w:lineRule="exact"/>
              <w:ind w:left="260" w:right="0" w:hanging="260"/>
              <w:jc w:val="both"/>
              <w:rPr>
                <w:sz w:val="28"/>
                <w:szCs w:val="28"/>
              </w:rPr>
            </w:pPr>
            <w:r>
              <w:rPr>
                <w:rFonts w:ascii="SimSun" w:eastAsia="SimSun" w:hAnsi="SimSun" w:cs="SimSun"/>
                <w:color w:val="000000"/>
                <w:spacing w:val="0"/>
                <w:w w:val="100"/>
                <w:position w:val="0"/>
                <w:sz w:val="24"/>
                <w:szCs w:val="24"/>
              </w:rPr>
              <w:t>处置其他非流动金融资产产生 的投资收益</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损失</w:t>
            </w:r>
            <w:r>
              <w:rPr>
                <w:rFonts w:ascii="SimSun" w:eastAsia="SimSun" w:hAnsi="SimSun" w:cs="SimSun"/>
                <w:color w:val="000000"/>
                <w:spacing w:val="0"/>
                <w:w w:val="100"/>
                <w:position w:val="0"/>
                <w:sz w:val="28"/>
                <w:szCs w:val="2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380,000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(88,933)</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债券回购取得的投资收益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309,587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24"/>
                <w:szCs w:val="24"/>
              </w:rPr>
            </w:pPr>
            <w:r>
              <w:rPr>
                <w:rFonts w:ascii="Arial" w:eastAsia="Arial" w:hAnsi="Arial" w:cs="Arial"/>
                <w:color w:val="000000"/>
                <w:spacing w:val="0"/>
                <w:w w:val="100"/>
                <w:position w:val="0"/>
                <w:sz w:val="24"/>
                <w:szCs w:val="24"/>
              </w:rPr>
              <w:t>195,273</w:t>
            </w:r>
          </w:p>
        </w:tc>
      </w:tr>
      <w:tr>
        <w:trPr>
          <w:trHeight w:val="629" w:hRule="exact"/>
        </w:trPr>
        <w:tc>
          <w:tcPr>
            <w:tcBorders/>
            <w:shd w:val="clear" w:color="auto" w:fill="FFFFFF"/>
            <w:vAlign w:val="bottom"/>
          </w:tcPr>
          <w:p>
            <w:pPr>
              <w:pStyle w:val="Style29"/>
              <w:keepNext w:val="0"/>
              <w:keepLines w:val="0"/>
              <w:widowControl w:val="0"/>
              <w:shd w:val="clear" w:color="auto" w:fill="auto"/>
              <w:bidi w:val="0"/>
              <w:spacing w:before="0" w:after="0" w:line="293" w:lineRule="exact"/>
              <w:ind w:left="260" w:right="0" w:hanging="260"/>
              <w:jc w:val="left"/>
              <w:rPr>
                <w:sz w:val="24"/>
                <w:szCs w:val="24"/>
              </w:rPr>
            </w:pPr>
            <w:r>
              <w:rPr>
                <w:rFonts w:ascii="SimSun" w:eastAsia="SimSun" w:hAnsi="SimSun" w:cs="SimSun"/>
                <w:color w:val="000000"/>
                <w:spacing w:val="0"/>
                <w:w w:val="100"/>
                <w:position w:val="0"/>
                <w:sz w:val="24"/>
                <w:szCs w:val="24"/>
              </w:rPr>
              <w:t>交易性金融资产持有期间取得 的投资收益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188,546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24"/>
                <w:szCs w:val="24"/>
              </w:rPr>
            </w:pPr>
            <w:r>
              <w:rPr>
                <w:rFonts w:ascii="Arial" w:eastAsia="Arial" w:hAnsi="Arial" w:cs="Arial"/>
                <w:color w:val="000000"/>
                <w:spacing w:val="0"/>
                <w:w w:val="100"/>
                <w:position w:val="0"/>
                <w:sz w:val="24"/>
                <w:szCs w:val="24"/>
              </w:rPr>
              <w:t>219,464</w:t>
            </w:r>
          </w:p>
        </w:tc>
      </w:tr>
      <w:tr>
        <w:trPr>
          <w:trHeight w:val="619" w:hRule="exact"/>
        </w:trPr>
        <w:tc>
          <w:tcPr>
            <w:tcBorders/>
            <w:shd w:val="clear" w:color="auto" w:fill="FFFFFF"/>
            <w:vAlign w:val="top"/>
          </w:tcPr>
          <w:p>
            <w:pPr>
              <w:pStyle w:val="Style29"/>
              <w:keepNext w:val="0"/>
              <w:keepLines w:val="0"/>
              <w:widowControl w:val="0"/>
              <w:shd w:val="clear" w:color="auto" w:fill="auto"/>
              <w:bidi w:val="0"/>
              <w:spacing w:before="0" w:after="0" w:line="293" w:lineRule="exact"/>
              <w:ind w:left="260" w:right="0" w:hanging="260"/>
              <w:jc w:val="left"/>
              <w:rPr>
                <w:sz w:val="24"/>
                <w:szCs w:val="24"/>
              </w:rPr>
            </w:pPr>
            <w:r>
              <w:rPr>
                <w:rFonts w:ascii="SimSun" w:eastAsia="SimSun" w:hAnsi="SimSun" w:cs="SimSun"/>
                <w:color w:val="000000"/>
                <w:spacing w:val="0"/>
                <w:w w:val="100"/>
                <w:position w:val="0"/>
                <w:sz w:val="24"/>
                <w:szCs w:val="24"/>
              </w:rPr>
              <w:t>其他非流动金融资产投资持有 期间取得的投资收益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120,000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56,158</w:t>
            </w:r>
          </w:p>
        </w:tc>
      </w:tr>
      <w:tr>
        <w:trPr>
          <w:trHeight w:val="624" w:hRule="exact"/>
        </w:trPr>
        <w:tc>
          <w:tcPr>
            <w:tcBorders/>
            <w:shd w:val="clear" w:color="auto" w:fill="FFFFFF"/>
            <w:vAlign w:val="bottom"/>
          </w:tcPr>
          <w:p>
            <w:pPr>
              <w:pStyle w:val="Style29"/>
              <w:keepNext w:val="0"/>
              <w:keepLines w:val="0"/>
              <w:widowControl w:val="0"/>
              <w:shd w:val="clear" w:color="auto" w:fill="auto"/>
              <w:bidi w:val="0"/>
              <w:spacing w:before="0" w:after="0" w:line="298" w:lineRule="exact"/>
              <w:ind w:left="260" w:right="0" w:hanging="260"/>
              <w:jc w:val="left"/>
              <w:rPr>
                <w:sz w:val="24"/>
                <w:szCs w:val="24"/>
              </w:rPr>
            </w:pPr>
            <w:r>
              <w:rPr>
                <w:rFonts w:ascii="SimSun" w:eastAsia="SimSun" w:hAnsi="SimSun" w:cs="SimSun"/>
                <w:color w:val="000000"/>
                <w:spacing w:val="0"/>
                <w:w w:val="100"/>
                <w:position w:val="0"/>
                <w:sz w:val="24"/>
                <w:szCs w:val="24"/>
              </w:rPr>
              <w:t>其他权益工具投资持有期间取 得的投资收益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69,037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35,373</w:t>
            </w:r>
          </w:p>
        </w:tc>
      </w:tr>
      <w:tr>
        <w:trPr>
          <w:trHeight w:val="62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处置交易性金融资产取得的投</w:t>
            </w:r>
          </w:p>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29,823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24"/>
                <w:szCs w:val="24"/>
              </w:rPr>
            </w:pPr>
            <w:r>
              <w:rPr>
                <w:rFonts w:ascii="Arial" w:eastAsia="Arial" w:hAnsi="Arial" w:cs="Arial"/>
                <w:color w:val="000000"/>
                <w:spacing w:val="0"/>
                <w:w w:val="100"/>
                <w:position w:val="0"/>
                <w:sz w:val="24"/>
                <w:szCs w:val="24"/>
              </w:rPr>
              <w:t>990,436</w:t>
            </w:r>
          </w:p>
        </w:tc>
      </w:tr>
      <w:tr>
        <w:trPr>
          <w:trHeight w:val="61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债权投资持有期间取得的投资</w:t>
            </w:r>
          </w:p>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407</w:t>
            </w:r>
          </w:p>
        </w:tc>
      </w:tr>
      <w:tr>
        <w:trPr>
          <w:trHeight w:val="63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其他流动资产持有期间取得的</w:t>
            </w:r>
          </w:p>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11,390</w:t>
            </w:r>
          </w:p>
        </w:tc>
      </w:tr>
      <w:tr>
        <w:trPr>
          <w:trHeight w:val="62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权益法核算的长期股权投资</w:t>
            </w:r>
          </w:p>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损失</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4"/>
                <w:szCs w:val="24"/>
              </w:rPr>
            </w:pPr>
            <w:r>
              <w:rPr>
                <w:rFonts w:ascii="Arial" w:eastAsia="Arial" w:hAnsi="Arial" w:cs="Arial"/>
                <w:color w:val="000000"/>
                <w:spacing w:val="0"/>
                <w:w w:val="100"/>
                <w:position w:val="0"/>
                <w:sz w:val="24"/>
                <w:szCs w:val="24"/>
              </w:rPr>
              <w:t>(14,033,112)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24"/>
                <w:szCs w:val="24"/>
              </w:rPr>
            </w:pPr>
            <w:r>
              <w:rPr>
                <w:rFonts w:ascii="Arial" w:eastAsia="Arial" w:hAnsi="Arial" w:cs="Arial"/>
                <w:color w:val="000000"/>
                <w:spacing w:val="0"/>
                <w:w w:val="100"/>
                <w:position w:val="0"/>
                <w:sz w:val="24"/>
                <w:szCs w:val="24"/>
              </w:rPr>
              <w:t>14,118</w:t>
            </w:r>
          </w:p>
        </w:tc>
      </w:tr>
      <w:tr>
        <w:trPr>
          <w:trHeight w:val="61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处置衍生金融负债取得的投资</w:t>
            </w:r>
          </w:p>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(30,078)</w:t>
            </w:r>
          </w:p>
        </w:tc>
      </w:tr>
      <w:tr>
        <w:trPr>
          <w:trHeight w:val="346"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tabs>
                <w:tab w:pos="2033" w:val="left"/>
              </w:tabs>
              <w:bidi w:val="0"/>
              <w:spacing w:before="0" w:after="0" w:line="240" w:lineRule="auto"/>
              <w:ind w:left="0" w:right="0" w:firstLine="420"/>
              <w:jc w:val="left"/>
              <w:rPr>
                <w:sz w:val="24"/>
                <w:szCs w:val="24"/>
              </w:rPr>
            </w:pPr>
            <w:r>
              <w:rPr>
                <w:rFonts w:ascii="Arial" w:eastAsia="Arial" w:hAnsi="Arial" w:cs="Arial"/>
                <w:color w:val="000000"/>
                <w:spacing w:val="0"/>
                <w:w w:val="100"/>
                <w:position w:val="0"/>
                <w:sz w:val="24"/>
                <w:szCs w:val="24"/>
                <w:u w:val="single"/>
              </w:rPr>
              <w:t>(11,686,618)</w:t>
            </w:r>
            <w:r>
              <w:rPr>
                <w:rFonts w:ascii="Arial" w:eastAsia="Arial" w:hAnsi="Arial" w:cs="Arial"/>
                <w:color w:val="000000"/>
                <w:spacing w:val="0"/>
                <w:w w:val="100"/>
                <w:position w:val="0"/>
                <w:sz w:val="24"/>
                <w:szCs w:val="24"/>
              </w:rPr>
              <w:tab/>
              <w:t>_</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2,213,662</w:t>
            </w:r>
          </w:p>
        </w:tc>
      </w:tr>
    </w:tbl>
    <w:p>
      <w:pPr>
        <w:pStyle w:val="Style2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本集团不存在投资收益汇回的重大限制。</w:t>
      </w:r>
      <w:r>
        <w:br w:type="page"/>
      </w:r>
    </w:p>
    <w:p>
      <w:pPr>
        <w:pStyle w:val="Style72"/>
        <w:keepNext w:val="0"/>
        <w:keepLines w:val="0"/>
        <w:widowControl w:val="0"/>
        <w:shd w:val="clear" w:color="auto" w:fill="auto"/>
        <w:tabs>
          <w:tab w:pos="706"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（57）</w:t>
      </w:r>
      <w:r>
        <w:rPr>
          <w:b/>
          <w:bCs/>
          <w:color w:val="000000"/>
          <w:spacing w:val="0"/>
          <w:w w:val="100"/>
          <w:position w:val="0"/>
          <w:sz w:val="24"/>
          <w:szCs w:val="24"/>
        </w:rPr>
        <w:t>公允价值变动</w:t>
      </w:r>
      <w:r>
        <w:rPr>
          <w:rFonts w:ascii="Arial" w:eastAsia="Arial" w:hAnsi="Arial" w:cs="Arial"/>
          <w:color w:val="000000"/>
          <w:spacing w:val="0"/>
          <w:w w:val="100"/>
          <w:position w:val="0"/>
          <w:sz w:val="24"/>
          <w:szCs w:val="24"/>
        </w:rPr>
        <w:t>（</w:t>
      </w:r>
      <w:r>
        <w:rPr>
          <w:b/>
          <w:bCs/>
          <w:color w:val="000000"/>
          <w:spacing w:val="0"/>
          <w:w w:val="100"/>
          <w:position w:val="0"/>
          <w:sz w:val="24"/>
          <w:szCs w:val="24"/>
        </w:rPr>
        <w:t>损失</w:t>
      </w:r>
      <w:r>
        <w:rPr>
          <w:rFonts w:ascii="Arial" w:eastAsia="Arial" w:hAnsi="Arial" w:cs="Arial"/>
          <w:color w:val="000000"/>
          <w:spacing w:val="0"/>
          <w:w w:val="100"/>
          <w:position w:val="0"/>
          <w:sz w:val="24"/>
          <w:szCs w:val="24"/>
        </w:rPr>
        <w:t>）/</w:t>
      </w:r>
      <w:r>
        <w:rPr>
          <w:b/>
          <w:bCs/>
          <w:color w:val="000000"/>
          <w:spacing w:val="0"/>
          <w:w w:val="100"/>
          <w:position w:val="0"/>
          <w:sz w:val="24"/>
          <w:szCs w:val="24"/>
        </w:rPr>
        <w:t>收益</w:t>
      </w:r>
    </w:p>
    <w:p>
      <w:pPr>
        <w:pStyle w:val="Style92"/>
        <w:keepNext w:val="0"/>
        <w:keepLines w:val="0"/>
        <w:widowControl w:val="0"/>
        <w:shd w:val="clear" w:color="auto" w:fill="auto"/>
        <w:tabs>
          <w:tab w:pos="2491" w:val="left"/>
        </w:tabs>
        <w:bidi w:val="0"/>
        <w:spacing w:before="0" w:after="300" w:line="240" w:lineRule="auto"/>
        <w:ind w:left="0" w:right="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2020</w:t>
      </w:r>
      <w:r>
        <w:rPr>
          <w:rFonts w:ascii="SimSun" w:eastAsia="SimSun" w:hAnsi="SimSun" w:cs="SimSun"/>
          <w:color w:val="000000"/>
          <w:spacing w:val="0"/>
          <w:w w:val="100"/>
          <w:position w:val="0"/>
          <w:sz w:val="24"/>
          <w:szCs w:val="24"/>
        </w:rPr>
        <w:t>年度</w:t>
      </w:r>
    </w:p>
    <w:p>
      <w:pPr>
        <w:pStyle w:val="Style26"/>
        <w:keepNext w:val="0"/>
        <w:keepLines w:val="0"/>
        <w:widowControl w:val="0"/>
        <w:shd w:val="clear" w:color="auto" w:fill="auto"/>
        <w:bidi w:val="0"/>
        <w:spacing w:before="0" w:after="0" w:line="240" w:lineRule="auto"/>
        <w:ind w:left="5" w:right="0" w:firstLine="0"/>
        <w:jc w:val="left"/>
        <w:rPr>
          <w:sz w:val="24"/>
          <w:szCs w:val="24"/>
        </w:rPr>
      </w:pPr>
      <w:r>
        <w:rPr>
          <w:color w:val="000000"/>
          <w:spacing w:val="0"/>
          <w:w w:val="100"/>
          <w:position w:val="0"/>
          <w:sz w:val="24"/>
          <w:szCs w:val="24"/>
        </w:rPr>
        <w:t>交易性金融资产</w:t>
      </w:r>
      <w:r>
        <w:rPr>
          <w:rFonts w:ascii="Arial" w:eastAsia="Arial" w:hAnsi="Arial" w:cs="Arial"/>
          <w:color w:val="000000"/>
          <w:spacing w:val="0"/>
          <w:w w:val="100"/>
          <w:position w:val="0"/>
          <w:sz w:val="24"/>
          <w:szCs w:val="24"/>
        </w:rPr>
        <w:t>-</w:t>
      </w:r>
    </w:p>
    <w:p>
      <w:pPr>
        <w:pStyle w:val="Style26"/>
        <w:keepNext w:val="0"/>
        <w:keepLines w:val="0"/>
        <w:widowControl w:val="0"/>
        <w:shd w:val="clear" w:color="auto" w:fill="auto"/>
        <w:bidi w:val="0"/>
        <w:spacing w:before="0" w:after="0" w:line="240" w:lineRule="auto"/>
        <w:ind w:left="5" w:right="0" w:firstLine="0"/>
        <w:jc w:val="left"/>
        <w:rPr>
          <w:sz w:val="24"/>
          <w:szCs w:val="24"/>
        </w:rPr>
      </w:pPr>
      <w:r>
        <w:rPr>
          <w:color w:val="000000"/>
          <w:spacing w:val="0"/>
          <w:w w:val="100"/>
          <w:position w:val="0"/>
          <w:sz w:val="24"/>
          <w:szCs w:val="24"/>
        </w:rPr>
        <w:t>以公允价值计量且其变动计</w:t>
      </w:r>
    </w:p>
    <w:tbl>
      <w:tblPr>
        <w:tblOverlap w:val="never"/>
        <w:jc w:val="right"/>
        <w:tblLayout w:type="fixed"/>
      </w:tblPr>
      <w:tblGrid>
        <w:gridCol w:w="3682"/>
        <w:gridCol w:w="2544"/>
        <w:gridCol w:w="1819"/>
      </w:tblGrid>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4"/>
                <w:szCs w:val="24"/>
              </w:rPr>
            </w:pPr>
            <w:r>
              <w:rPr>
                <w:rFonts w:ascii="SimSun" w:eastAsia="SimSun" w:hAnsi="SimSun" w:cs="SimSun"/>
                <w:color w:val="000000"/>
                <w:spacing w:val="0"/>
                <w:w w:val="100"/>
                <w:position w:val="0"/>
                <w:sz w:val="24"/>
                <w:szCs w:val="24"/>
              </w:rPr>
              <w:t>入当期损益的金融资产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612,647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532,788</w:t>
            </w:r>
          </w:p>
        </w:tc>
      </w:tr>
      <w:tr>
        <w:trPr>
          <w:trHeight w:val="3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理财产品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(100,121)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(63,395)</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基金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(223,680)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45,168</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交易性权益工具投资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(80,828)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(283,365)</w:t>
            </w:r>
          </w:p>
        </w:tc>
      </w:tr>
      <w:tr>
        <w:trPr>
          <w:trHeight w:val="43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208,018</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231,196</w:t>
            </w:r>
          </w:p>
        </w:tc>
      </w:tr>
      <w:tr>
        <w:trPr>
          <w:trHeight w:val="43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其他非流动金融资产</w:t>
            </w:r>
            <w:r>
              <w:rPr>
                <w:rFonts w:ascii="Arial" w:eastAsia="Arial" w:hAnsi="Arial" w:cs="Arial"/>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契约型基金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24"/>
                <w:szCs w:val="24"/>
              </w:rPr>
            </w:pPr>
            <w:r>
              <w:rPr>
                <w:rFonts w:ascii="Arial" w:eastAsia="Arial" w:hAnsi="Arial" w:cs="Arial"/>
                <w:color w:val="000000"/>
                <w:spacing w:val="0"/>
                <w:w w:val="100"/>
                <w:position w:val="0"/>
                <w:sz w:val="24"/>
                <w:szCs w:val="24"/>
              </w:rPr>
              <w:t>9,375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24"/>
                <w:szCs w:val="24"/>
              </w:rPr>
            </w:pPr>
            <w:r>
              <w:rPr>
                <w:rFonts w:ascii="Arial" w:eastAsia="Arial" w:hAnsi="Arial" w:cs="Arial"/>
                <w:color w:val="000000"/>
                <w:spacing w:val="0"/>
                <w:w w:val="100"/>
                <w:position w:val="0"/>
                <w:sz w:val="24"/>
                <w:szCs w:val="24"/>
              </w:rPr>
              <w:t>-</w:t>
            </w:r>
          </w:p>
        </w:tc>
      </w:tr>
      <w:tr>
        <w:trPr>
          <w:trHeight w:val="3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理财产品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24"/>
                <w:szCs w:val="24"/>
              </w:rPr>
            </w:pPr>
            <w:r>
              <w:rPr>
                <w:rFonts w:ascii="Arial" w:eastAsia="Arial" w:hAnsi="Arial" w:cs="Arial"/>
                <w:color w:val="000000"/>
                <w:spacing w:val="0"/>
                <w:w w:val="100"/>
                <w:position w:val="0"/>
                <w:sz w:val="24"/>
                <w:szCs w:val="24"/>
              </w:rPr>
              <w:t>1,110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股权投资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(232,070)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394,810</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可转换债券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(53,017)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2,132</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优先股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(15,161)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(65,819)</w:t>
            </w:r>
          </w:p>
        </w:tc>
      </w:tr>
      <w:tr>
        <w:trPr>
          <w:trHeight w:val="29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衍生金融工具</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82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(58,077)</w:t>
            </w: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(289,763)</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273,046</w:t>
            </w:r>
          </w:p>
        </w:tc>
      </w:tr>
      <w:tr>
        <w:trPr>
          <w:trHeight w:val="43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衍生金融负债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24"/>
                <w:szCs w:val="24"/>
              </w:rPr>
            </w:pPr>
            <w:r>
              <w:rPr>
                <w:rFonts w:ascii="Arial" w:eastAsia="Arial" w:hAnsi="Arial" w:cs="Arial"/>
                <w:color w:val="000000"/>
                <w:spacing w:val="0"/>
                <w:w w:val="100"/>
                <w:position w:val="0"/>
                <w:sz w:val="24"/>
                <w:szCs w:val="24"/>
              </w:rPr>
              <w:t>(1,266)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400</w:t>
            </w:r>
          </w:p>
        </w:tc>
      </w:tr>
      <w:tr>
        <w:trPr>
          <w:trHeight w:val="60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其他非流动负债</w:t>
            </w:r>
            <w:r>
              <w:rPr>
                <w:rFonts w:ascii="Arial" w:eastAsia="Arial" w:hAnsi="Arial" w:cs="Arial"/>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远期外汇合同</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24"/>
                <w:szCs w:val="24"/>
              </w:rPr>
            </w:pPr>
            <w:r>
              <w:rPr>
                <w:rFonts w:ascii="Arial" w:eastAsia="Arial" w:hAnsi="Arial" w:cs="Arial"/>
                <w:color w:val="000000"/>
                <w:spacing w:val="0"/>
                <w:w w:val="100"/>
                <w:position w:val="0"/>
                <w:sz w:val="24"/>
                <w:szCs w:val="24"/>
              </w:rPr>
              <w:t>3,543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(34,052)</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流动性支持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(67,028)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(3,310)</w:t>
            </w: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(63,485)</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(37,362)</w:t>
            </w:r>
          </w:p>
        </w:tc>
      </w:tr>
      <w:tr>
        <w:trPr>
          <w:trHeight w:val="43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一年内到期的非流动负债</w:t>
            </w:r>
            <w:r>
              <w:rPr>
                <w:rFonts w:ascii="Arial" w:eastAsia="Arial" w:hAnsi="Arial" w:cs="Arial"/>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利率互换合同</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22,133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24"/>
                <w:szCs w:val="24"/>
              </w:rPr>
            </w:pPr>
            <w:r>
              <w:rPr>
                <w:rFonts w:ascii="Arial" w:eastAsia="Arial" w:hAnsi="Arial" w:cs="Arial"/>
                <w:color w:val="000000"/>
                <w:spacing w:val="0"/>
                <w:w w:val="100"/>
                <w:position w:val="0"/>
                <w:sz w:val="24"/>
                <w:szCs w:val="24"/>
              </w:rPr>
              <w:t>-</w:t>
            </w:r>
          </w:p>
        </w:tc>
      </w:tr>
      <w:tr>
        <w:trPr>
          <w:trHeight w:val="283" w:hRule="exact"/>
        </w:trPr>
        <w:tc>
          <w:tcPr>
            <w:gridSpan w:val="3"/>
            <w:tcBorders>
              <w:top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(124,363)</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467,280</w:t>
            </w:r>
          </w:p>
        </w:tc>
      </w:tr>
    </w:tbl>
    <w:p>
      <w:pPr>
        <w:sectPr>
          <w:footnotePr>
            <w:pos w:val="pageBottom"/>
            <w:numFmt w:val="decimal"/>
            <w:numStart w:val="1"/>
            <w:numRestart w:val="continuous"/>
            <w15:footnoteColumns w:val="1"/>
          </w:footnotePr>
          <w:pgSz w:w="11900" w:h="16840"/>
          <w:pgMar w:top="1781" w:right="1427" w:bottom="1633" w:left="1689" w:header="0" w:footer="3" w:gutter="0"/>
          <w:cols w:space="720"/>
          <w:noEndnote/>
          <w:rtlGutter w:val="0"/>
          <w:docGrid w:linePitch="360"/>
        </w:sectPr>
      </w:pPr>
    </w:p>
    <w:tbl>
      <w:tblPr>
        <w:tblOverlap w:val="never"/>
        <w:jc w:val="center"/>
        <w:tblLayout w:type="fixed"/>
      </w:tblPr>
      <w:tblGrid>
        <w:gridCol w:w="581"/>
        <w:gridCol w:w="2602"/>
        <w:gridCol w:w="1930"/>
        <w:gridCol w:w="1670"/>
        <w:gridCol w:w="1882"/>
      </w:tblGrid>
      <w:tr>
        <w:trPr>
          <w:trHeight w:val="1430" w:hRule="exact"/>
        </w:trPr>
        <w:tc>
          <w:tcPr>
            <w:gridSpan w:val="5"/>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720"/>
              <w:jc w:val="left"/>
              <w:rPr>
                <w:sz w:val="24"/>
                <w:szCs w:val="24"/>
              </w:rPr>
            </w:pPr>
            <w:r>
              <w:rPr>
                <w:rFonts w:ascii="SimSun" w:eastAsia="SimSun" w:hAnsi="SimSun" w:cs="SimSun"/>
                <w:b/>
                <w:bCs/>
                <w:color w:val="000000"/>
                <w:spacing w:val="0"/>
                <w:w w:val="100"/>
                <w:position w:val="0"/>
                <w:sz w:val="24"/>
                <w:szCs w:val="24"/>
              </w:rPr>
              <w:t>苏宁易购集团股份有限公司</w:t>
            </w:r>
          </w:p>
          <w:p>
            <w:pPr>
              <w:pStyle w:val="Style29"/>
              <w:keepNext w:val="0"/>
              <w:keepLines w:val="0"/>
              <w:widowControl w:val="0"/>
              <w:shd w:val="clear" w:color="auto" w:fill="auto"/>
              <w:bidi w:val="0"/>
              <w:spacing w:before="0" w:after="60" w:line="240" w:lineRule="auto"/>
              <w:ind w:left="0" w:right="0" w:firstLine="720"/>
              <w:jc w:val="left"/>
              <w:rPr>
                <w:sz w:val="24"/>
                <w:szCs w:val="24"/>
              </w:rPr>
            </w:pPr>
            <w:r>
              <w:rPr>
                <w:rFonts w:ascii="SimSun" w:eastAsia="SimSun" w:hAnsi="SimSun" w:cs="SimSun"/>
                <w:b/>
                <w:bCs/>
                <w:color w:val="000000"/>
                <w:spacing w:val="0"/>
                <w:w w:val="100"/>
                <w:position w:val="0"/>
                <w:sz w:val="24"/>
                <w:szCs w:val="24"/>
              </w:rPr>
              <w:t>财务报表附注</w:t>
            </w:r>
          </w:p>
          <w:p>
            <w:pPr>
              <w:pStyle w:val="Style29"/>
              <w:keepNext w:val="0"/>
              <w:keepLines w:val="0"/>
              <w:widowControl w:val="0"/>
              <w:shd w:val="clear" w:color="auto" w:fill="auto"/>
              <w:bidi w:val="0"/>
              <w:spacing w:before="0" w:after="60" w:line="240" w:lineRule="auto"/>
              <w:ind w:left="0" w:right="0" w:firstLine="72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29"/>
              <w:keepNext w:val="0"/>
              <w:keepLines w:val="0"/>
              <w:widowControl w:val="0"/>
              <w:shd w:val="clear" w:color="auto" w:fill="auto"/>
              <w:bidi w:val="0"/>
              <w:spacing w:before="0" w:after="60" w:line="240" w:lineRule="auto"/>
              <w:ind w:left="0" w:right="0" w:firstLine="720"/>
              <w:jc w:val="left"/>
            </w:pP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除特别注明外，金额单位为人民币千元</w:t>
            </w:r>
            <w:r>
              <w:rPr>
                <w:rFonts w:ascii="SimSun" w:eastAsia="SimSun" w:hAnsi="SimSun" w:cs="SimSun"/>
                <w:color w:val="000000"/>
                <w:spacing w:val="0"/>
                <w:w w:val="100"/>
                <w:position w:val="0"/>
                <w:sz w:val="22"/>
                <w:szCs w:val="22"/>
              </w:rPr>
              <w:t>）</w:t>
            </w:r>
          </w:p>
        </w:tc>
      </w:tr>
      <w:tr>
        <w:trPr>
          <w:trHeight w:val="58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四</w:t>
            </w:r>
          </w:p>
        </w:tc>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b/>
                <w:bCs/>
                <w:color w:val="000000"/>
                <w:spacing w:val="0"/>
                <w:w w:val="100"/>
                <w:position w:val="0"/>
                <w:sz w:val="24"/>
                <w:szCs w:val="24"/>
              </w:rPr>
              <w:t>合并财务报表项目附注</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b/>
                <w:bCs/>
                <w:color w:val="000000"/>
                <w:spacing w:val="0"/>
                <w:w w:val="100"/>
                <w:position w:val="0"/>
                <w:sz w:val="24"/>
                <w:szCs w:val="24"/>
              </w:rPr>
              <w:t>资产处置收益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24"/>
                <w:szCs w:val="24"/>
              </w:rPr>
            </w:pPr>
            <w:r>
              <w:rPr>
                <w:rFonts w:ascii="SimSun" w:eastAsia="SimSun" w:hAnsi="SimSun" w:cs="SimSun"/>
                <w:color w:val="000000"/>
                <w:spacing w:val="0"/>
                <w:w w:val="100"/>
                <w:position w:val="0"/>
                <w:sz w:val="24"/>
                <w:szCs w:val="24"/>
              </w:rPr>
              <w:t>计入</w:t>
            </w: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24"/>
                <w:szCs w:val="24"/>
              </w:rPr>
            </w:pPr>
            <w:r>
              <w:rPr>
                <w:rFonts w:ascii="SimSun" w:eastAsia="SimSun" w:hAnsi="SimSun" w:cs="SimSun"/>
                <w:color w:val="000000"/>
                <w:spacing w:val="0"/>
                <w:w w:val="100"/>
                <w:position w:val="0"/>
                <w:sz w:val="24"/>
                <w:szCs w:val="24"/>
              </w:rPr>
              <w:t>非经常性损益的</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金额</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使用权资产处置收益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61,039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24"/>
                <w:szCs w:val="24"/>
              </w:rPr>
            </w:pPr>
            <w:r>
              <w:rPr>
                <w:rFonts w:ascii="Arial" w:eastAsia="Arial" w:hAnsi="Arial" w:cs="Arial"/>
                <w:color w:val="000000"/>
                <w:spacing w:val="0"/>
                <w:w w:val="100"/>
                <w:position w:val="0"/>
                <w:sz w:val="24"/>
                <w:szCs w:val="24"/>
              </w:rPr>
              <w:t>61,039</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固定资产处置收益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38,122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35,646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24"/>
                <w:szCs w:val="24"/>
              </w:rPr>
            </w:pPr>
            <w:r>
              <w:rPr>
                <w:rFonts w:ascii="Arial" w:eastAsia="Arial" w:hAnsi="Arial" w:cs="Arial"/>
                <w:color w:val="000000"/>
                <w:spacing w:val="0"/>
                <w:w w:val="100"/>
                <w:position w:val="0"/>
                <w:sz w:val="24"/>
                <w:szCs w:val="24"/>
              </w:rPr>
              <w:t>38,122</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24"/>
                <w:szCs w:val="24"/>
              </w:rPr>
            </w:pPr>
            <w:r>
              <w:rPr>
                <w:rFonts w:ascii="Arial" w:eastAsia="Arial" w:hAnsi="Arial" w:cs="Arial"/>
                <w:color w:val="000000"/>
                <w:spacing w:val="0"/>
                <w:w w:val="100"/>
                <w:position w:val="0"/>
                <w:sz w:val="24"/>
                <w:szCs w:val="24"/>
              </w:rPr>
              <w:t>99,161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35,646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24"/>
                <w:szCs w:val="24"/>
              </w:rPr>
            </w:pPr>
            <w:r>
              <w:rPr>
                <w:rFonts w:ascii="Arial" w:eastAsia="Arial" w:hAnsi="Arial" w:cs="Arial"/>
                <w:color w:val="000000"/>
                <w:spacing w:val="0"/>
                <w:w w:val="100"/>
                <w:position w:val="0"/>
                <w:sz w:val="24"/>
                <w:szCs w:val="24"/>
              </w:rPr>
              <w:t>99,161</w:t>
            </w:r>
          </w:p>
        </w:tc>
      </w:tr>
      <w:tr>
        <w:trPr>
          <w:trHeight w:val="74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(59)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b/>
                <w:bCs/>
                <w:color w:val="000000"/>
                <w:spacing w:val="0"/>
                <w:w w:val="100"/>
                <w:position w:val="0"/>
                <w:sz w:val="24"/>
                <w:szCs w:val="24"/>
              </w:rPr>
              <w:t>营业外收入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24"/>
                <w:szCs w:val="24"/>
              </w:rPr>
            </w:pPr>
            <w:r>
              <w:rPr>
                <w:rFonts w:ascii="SimSun" w:eastAsia="SimSun" w:hAnsi="SimSun" w:cs="SimSun"/>
                <w:color w:val="000000"/>
                <w:spacing w:val="0"/>
                <w:w w:val="100"/>
                <w:position w:val="0"/>
                <w:sz w:val="24"/>
                <w:szCs w:val="24"/>
              </w:rPr>
              <w:t>计入</w:t>
            </w: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24"/>
                <w:szCs w:val="24"/>
              </w:rPr>
            </w:pPr>
            <w:r>
              <w:rPr>
                <w:rFonts w:ascii="SimSun" w:eastAsia="SimSun" w:hAnsi="SimSun" w:cs="SimSun"/>
                <w:color w:val="000000"/>
                <w:spacing w:val="0"/>
                <w:w w:val="100"/>
                <w:position w:val="0"/>
                <w:sz w:val="24"/>
                <w:szCs w:val="24"/>
              </w:rPr>
              <w:t>非经常性损益的</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金额</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无需支付的应付款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134,013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102,024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134,013</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商铺解约补偿收入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110,429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87,853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110,429</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罚款收入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57,644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141,108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24"/>
                <w:szCs w:val="24"/>
              </w:rPr>
            </w:pPr>
            <w:r>
              <w:rPr>
                <w:rFonts w:ascii="Arial" w:eastAsia="Arial" w:hAnsi="Arial" w:cs="Arial"/>
                <w:color w:val="000000"/>
                <w:spacing w:val="0"/>
                <w:w w:val="100"/>
                <w:position w:val="0"/>
                <w:sz w:val="24"/>
                <w:szCs w:val="24"/>
              </w:rPr>
              <w:t>57,644</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火灾赔偿收入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50,000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both"/>
              <w:rPr>
                <w:sz w:val="24"/>
                <w:szCs w:val="24"/>
              </w:rPr>
            </w:pPr>
            <w:r>
              <w:rPr>
                <w:rFonts w:ascii="Arial" w:eastAsia="Arial" w:hAnsi="Arial" w:cs="Arial"/>
                <w:color w:val="000000"/>
                <w:spacing w:val="0"/>
                <w:w w:val="100"/>
                <w:position w:val="0"/>
                <w:sz w:val="24"/>
                <w:szCs w:val="24"/>
              </w:rPr>
              <w:t>50,000</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91,028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94,090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24"/>
                <w:szCs w:val="24"/>
              </w:rPr>
            </w:pPr>
            <w:r>
              <w:rPr>
                <w:rFonts w:ascii="Arial" w:eastAsia="Arial" w:hAnsi="Arial" w:cs="Arial"/>
                <w:color w:val="000000"/>
                <w:spacing w:val="0"/>
                <w:w w:val="100"/>
                <w:position w:val="0"/>
                <w:sz w:val="24"/>
                <w:szCs w:val="24"/>
              </w:rPr>
              <w:t>91,028</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443,114</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425,075</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u w:val="single"/>
              </w:rPr>
              <w:t>443,114</w:t>
            </w:r>
          </w:p>
        </w:tc>
      </w:tr>
      <w:tr>
        <w:trPr>
          <w:trHeight w:val="59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(60)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b/>
                <w:bCs/>
                <w:color w:val="000000"/>
                <w:spacing w:val="0"/>
                <w:w w:val="100"/>
                <w:position w:val="0"/>
                <w:sz w:val="24"/>
                <w:szCs w:val="24"/>
              </w:rPr>
              <w:t>营业外支出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24"/>
                <w:szCs w:val="24"/>
              </w:rPr>
            </w:pPr>
            <w:r>
              <w:rPr>
                <w:rFonts w:ascii="SimSun" w:eastAsia="SimSun" w:hAnsi="SimSun" w:cs="SimSun"/>
                <w:color w:val="000000"/>
                <w:spacing w:val="0"/>
                <w:w w:val="100"/>
                <w:position w:val="0"/>
                <w:sz w:val="24"/>
                <w:szCs w:val="24"/>
              </w:rPr>
              <w:t>计入</w:t>
            </w: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24"/>
                <w:szCs w:val="24"/>
              </w:rPr>
            </w:pPr>
            <w:r>
              <w:rPr>
                <w:rFonts w:ascii="SimSun" w:eastAsia="SimSun" w:hAnsi="SimSun" w:cs="SimSun"/>
                <w:color w:val="000000"/>
                <w:spacing w:val="0"/>
                <w:w w:val="100"/>
                <w:position w:val="0"/>
                <w:sz w:val="24"/>
                <w:szCs w:val="24"/>
              </w:rPr>
              <w:t>非经常性损益的</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金额</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罚款、赔款及违约金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451,804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220,513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451,804</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固定资产报废损失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144,486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65,188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144,486</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无形资产报废损失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101,390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101,390</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未决诉讼预计赔偿</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49,346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26,146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24"/>
                <w:szCs w:val="24"/>
              </w:rPr>
            </w:pPr>
            <w:r>
              <w:rPr>
                <w:rFonts w:ascii="Arial" w:eastAsia="Arial" w:hAnsi="Arial" w:cs="Arial"/>
                <w:color w:val="000000"/>
                <w:spacing w:val="0"/>
                <w:w w:val="100"/>
                <w:position w:val="0"/>
                <w:sz w:val="24"/>
                <w:szCs w:val="24"/>
              </w:rPr>
              <w:t>49,346</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捐赠支出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1,636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29,762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1,636</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火灾损失</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50,028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92,829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70,271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24"/>
                <w:szCs w:val="24"/>
              </w:rPr>
            </w:pPr>
            <w:r>
              <w:rPr>
                <w:rFonts w:ascii="Arial" w:eastAsia="Arial" w:hAnsi="Arial" w:cs="Arial"/>
                <w:color w:val="000000"/>
                <w:spacing w:val="0"/>
                <w:w w:val="100"/>
                <w:position w:val="0"/>
                <w:sz w:val="24"/>
                <w:szCs w:val="24"/>
              </w:rPr>
              <w:t>92,829</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841,491</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461,908</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841,491</w:t>
            </w:r>
          </w:p>
        </w:tc>
      </w:tr>
    </w:tbl>
    <w:p>
      <w:pPr>
        <w:sectPr>
          <w:footnotePr>
            <w:pos w:val="pageBottom"/>
            <w:numFmt w:val="decimal"/>
            <w:numStart w:val="1"/>
            <w:numRestart w:val="continuous"/>
            <w15:footnoteColumns w:val="1"/>
          </w:footnotePr>
          <w:pgSz w:w="11900" w:h="16840"/>
          <w:pgMar w:top="778" w:right="1527" w:bottom="884" w:left="1709" w:header="0" w:footer="3" w:gutter="0"/>
          <w:cols w:space="720"/>
          <w:noEndnote/>
          <w:rtlGutter w:val="0"/>
          <w:docGrid w:linePitch="360"/>
        </w:sectPr>
      </w:pPr>
    </w:p>
    <w:p>
      <w:pPr>
        <w:pStyle w:val="Style72"/>
        <w:keepNext w:val="0"/>
        <w:keepLines w:val="0"/>
        <w:widowControl w:val="0"/>
        <w:shd w:val="clear" w:color="auto" w:fill="auto"/>
        <w:tabs>
          <w:tab w:pos="677" w:val="left"/>
        </w:tabs>
        <w:bidi w:val="0"/>
        <w:spacing w:before="18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(61)</w:t>
      </w:r>
      <w:r>
        <w:rPr>
          <w:b/>
          <w:bCs/>
          <w:color w:val="000000"/>
          <w:spacing w:val="0"/>
          <w:w w:val="100"/>
          <w:position w:val="0"/>
          <w:sz w:val="24"/>
          <w:szCs w:val="24"/>
        </w:rPr>
        <w:t>所得税费用</w:t>
      </w:r>
    </w:p>
    <w:p>
      <w:pPr>
        <w:pStyle w:val="Style92"/>
        <w:keepNext w:val="0"/>
        <w:keepLines w:val="0"/>
        <w:widowControl w:val="0"/>
        <w:shd w:val="clear" w:color="auto" w:fill="auto"/>
        <w:tabs>
          <w:tab w:pos="2491" w:val="left"/>
        </w:tabs>
        <w:bidi w:val="0"/>
        <w:spacing w:before="0" w:after="240"/>
        <w:ind w:left="0" w:right="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2020</w:t>
      </w:r>
      <w:r>
        <w:rPr>
          <w:rFonts w:ascii="SimSun" w:eastAsia="SimSun" w:hAnsi="SimSun" w:cs="SimSun"/>
          <w:color w:val="000000"/>
          <w:spacing w:val="0"/>
          <w:w w:val="100"/>
          <w:position w:val="0"/>
          <w:sz w:val="24"/>
          <w:szCs w:val="24"/>
        </w:rPr>
        <w:t>年度</w:t>
      </w:r>
    </w:p>
    <w:p>
      <w:pPr>
        <w:pStyle w:val="Style72"/>
        <w:keepNext w:val="0"/>
        <w:keepLines w:val="0"/>
        <w:widowControl w:val="0"/>
        <w:shd w:val="clear" w:color="auto" w:fill="auto"/>
        <w:bidi w:val="0"/>
        <w:spacing w:before="0" w:after="0" w:line="312" w:lineRule="exact"/>
        <w:ind w:left="0" w:right="0" w:firstLine="720"/>
        <w:jc w:val="left"/>
      </w:pPr>
      <w:r>
        <w:rPr>
          <w:color w:val="000000"/>
          <w:spacing w:val="0"/>
          <w:w w:val="100"/>
          <w:position w:val="0"/>
          <w:sz w:val="24"/>
          <w:szCs w:val="24"/>
        </w:rPr>
        <w:t>按税法及相关规定计算的当期</w:t>
      </w:r>
    </w:p>
    <w:p>
      <w:pPr>
        <w:pStyle w:val="Style92"/>
        <w:keepNext w:val="0"/>
        <w:keepLines w:val="0"/>
        <w:widowControl w:val="0"/>
        <w:shd w:val="clear" w:color="auto" w:fill="auto"/>
        <w:tabs>
          <w:tab w:pos="5228" w:val="left"/>
          <w:tab w:pos="7724" w:val="left"/>
        </w:tabs>
        <w:bidi w:val="0"/>
        <w:spacing w:before="0" w:after="0" w:line="312" w:lineRule="exact"/>
        <w:ind w:left="0" w:right="0" w:firstLine="980"/>
        <w:jc w:val="left"/>
      </w:pPr>
      <w:r>
        <w:rPr>
          <w:rFonts w:ascii="SimSun" w:eastAsia="SimSun" w:hAnsi="SimSun" w:cs="SimSun"/>
          <w:color w:val="000000"/>
          <w:spacing w:val="0"/>
          <w:w w:val="100"/>
          <w:position w:val="0"/>
          <w:sz w:val="24"/>
          <w:szCs w:val="24"/>
        </w:rPr>
        <w:t>所得税</w:t>
        <w:tab/>
      </w:r>
      <w:r>
        <w:rPr>
          <w:color w:val="000000"/>
          <w:spacing w:val="0"/>
          <w:w w:val="100"/>
          <w:position w:val="0"/>
          <w:sz w:val="24"/>
          <w:szCs w:val="24"/>
        </w:rPr>
        <w:t>742,820</w:t>
        <w:tab/>
        <w:t>452,697</w:t>
      </w:r>
    </w:p>
    <w:p>
      <w:pPr>
        <w:pStyle w:val="Style92"/>
        <w:keepNext w:val="0"/>
        <w:keepLines w:val="0"/>
        <w:widowControl w:val="0"/>
        <w:shd w:val="clear" w:color="auto" w:fill="auto"/>
        <w:tabs>
          <w:tab w:pos="3922" w:val="left"/>
          <w:tab w:pos="6413" w:val="left"/>
        </w:tabs>
        <w:bidi w:val="0"/>
        <w:spacing w:before="0" w:after="0" w:line="240" w:lineRule="auto"/>
        <w:ind w:left="0" w:right="0" w:firstLine="720"/>
        <w:jc w:val="left"/>
      </w:pPr>
      <w:r>
        <w:rPr>
          <w:rFonts w:ascii="SimSun" w:eastAsia="SimSun" w:hAnsi="SimSun" w:cs="SimSun"/>
          <w:color w:val="000000"/>
          <w:spacing w:val="0"/>
          <w:w w:val="100"/>
          <w:position w:val="0"/>
          <w:sz w:val="24"/>
          <w:szCs w:val="24"/>
        </w:rPr>
        <w:t>递延所得税</w:t>
        <w:tab/>
      </w:r>
      <w:r>
        <w:rPr>
          <w:color w:val="000000"/>
          <w:spacing w:val="0"/>
          <w:w w:val="100"/>
          <w:position w:val="0"/>
          <w:sz w:val="24"/>
          <w:szCs w:val="24"/>
          <w:u w:val="single"/>
        </w:rPr>
        <w:t>(8,636,870)</w:t>
      </w:r>
      <w:r>
        <w:rPr>
          <w:color w:val="000000"/>
          <w:spacing w:val="0"/>
          <w:w w:val="100"/>
          <w:position w:val="0"/>
          <w:sz w:val="24"/>
          <w:szCs w:val="24"/>
        </w:rPr>
        <w:tab/>
      </w:r>
      <w:r>
        <w:rPr>
          <w:color w:val="000000"/>
          <w:spacing w:val="0"/>
          <w:w w:val="100"/>
          <w:position w:val="0"/>
          <w:sz w:val="24"/>
          <w:szCs w:val="24"/>
          <w:u w:val="single"/>
        </w:rPr>
        <w:t>(1,995,472)</w:t>
      </w:r>
    </w:p>
    <w:p>
      <w:pPr>
        <w:pStyle w:val="Style92"/>
        <w:keepNext w:val="0"/>
        <w:keepLines w:val="0"/>
        <w:widowControl w:val="0"/>
        <w:shd w:val="clear" w:color="auto" w:fill="auto"/>
        <w:tabs>
          <w:tab w:pos="2491" w:val="left"/>
        </w:tabs>
        <w:bidi w:val="0"/>
        <w:spacing w:before="0" w:after="340" w:line="240" w:lineRule="auto"/>
        <w:ind w:left="0" w:right="0" w:firstLine="0"/>
        <w:jc w:val="right"/>
      </w:pPr>
      <w:r>
        <w:rPr>
          <w:color w:val="000000"/>
          <w:spacing w:val="0"/>
          <w:w w:val="100"/>
          <w:position w:val="0"/>
          <w:sz w:val="24"/>
          <w:szCs w:val="24"/>
          <w:u w:val="single"/>
        </w:rPr>
        <w:t>(7,894,050)</w:t>
        <w:tab/>
        <w:t>(1,542,775)</w:t>
      </w:r>
    </w:p>
    <w:p>
      <w:pPr>
        <w:pStyle w:val="Style26"/>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将基于合并利润表的亏损总额采用适用税率计算的所得税调节为所得税费 用：</w:t>
      </w:r>
    </w:p>
    <w:tbl>
      <w:tblPr>
        <w:tblOverlap w:val="never"/>
        <w:jc w:val="center"/>
        <w:tblLayout w:type="fixed"/>
      </w:tblPr>
      <w:tblGrid>
        <w:gridCol w:w="3696"/>
        <w:gridCol w:w="2419"/>
        <w:gridCol w:w="1954"/>
      </w:tblGrid>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亏损总额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(52,073,411)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(6,900,641)</w:t>
            </w:r>
          </w:p>
        </w:tc>
      </w:tr>
      <w:tr>
        <w:trPr>
          <w:trHeight w:val="432"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按适用税率计算的所得税</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(12,984,035)</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(1,675,119)</w:t>
            </w:r>
          </w:p>
        </w:tc>
      </w:tr>
      <w:tr>
        <w:trPr>
          <w:trHeight w:val="42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部分子公司之优惠税率影响</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165,327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48,798</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非应纳税收入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(171,148)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(372,537)</w:t>
            </w:r>
          </w:p>
        </w:tc>
      </w:tr>
      <w:tr>
        <w:trPr>
          <w:trHeight w:val="4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不得扣除的成本、费用和损失</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4"/>
                <w:szCs w:val="24"/>
              </w:rPr>
            </w:pPr>
            <w:r>
              <w:rPr>
                <w:rFonts w:ascii="Arial" w:eastAsia="Arial" w:hAnsi="Arial" w:cs="Arial"/>
                <w:color w:val="000000"/>
                <w:spacing w:val="0"/>
                <w:w w:val="100"/>
                <w:position w:val="0"/>
                <w:sz w:val="24"/>
                <w:szCs w:val="24"/>
              </w:rPr>
              <w:t>3,136,545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24"/>
                <w:szCs w:val="24"/>
              </w:rPr>
            </w:pPr>
            <w:r>
              <w:rPr>
                <w:rFonts w:ascii="Arial" w:eastAsia="Arial" w:hAnsi="Arial" w:cs="Arial"/>
                <w:color w:val="000000"/>
                <w:spacing w:val="0"/>
                <w:w w:val="100"/>
                <w:position w:val="0"/>
                <w:sz w:val="24"/>
                <w:szCs w:val="24"/>
              </w:rPr>
              <w:t>381,775</w:t>
            </w:r>
          </w:p>
        </w:tc>
      </w:tr>
      <w:tr>
        <w:trPr>
          <w:trHeight w:val="56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研发费用加计扣除</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(36,034)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(161,176)</w:t>
            </w:r>
          </w:p>
        </w:tc>
      </w:tr>
      <w:tr>
        <w:trPr>
          <w:trHeight w:val="73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所得税汇算清缴差异</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转回以前年度确认的递延所得</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(126,897)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(100,190)</w:t>
            </w:r>
          </w:p>
        </w:tc>
      </w:tr>
      <w:tr>
        <w:trPr>
          <w:trHeight w:val="61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税资产</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使用前期未确认递延所得税资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4"/>
                <w:szCs w:val="24"/>
              </w:rPr>
            </w:pPr>
            <w:r>
              <w:rPr>
                <w:rFonts w:ascii="Arial" w:eastAsia="Arial" w:hAnsi="Arial" w:cs="Arial"/>
                <w:color w:val="000000"/>
                <w:spacing w:val="0"/>
                <w:w w:val="100"/>
                <w:position w:val="0"/>
                <w:sz w:val="24"/>
                <w:szCs w:val="24"/>
              </w:rPr>
              <w:t>1,312,730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80,645</w:t>
            </w:r>
          </w:p>
        </w:tc>
      </w:tr>
      <w:tr>
        <w:trPr>
          <w:trHeight w:val="629" w:hRule="exact"/>
        </w:trPr>
        <w:tc>
          <w:tcPr>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60"/>
              <w:jc w:val="left"/>
              <w:rPr>
                <w:sz w:val="24"/>
                <w:szCs w:val="24"/>
              </w:rPr>
            </w:pPr>
            <w:r>
              <w:rPr>
                <w:rFonts w:ascii="SimSun" w:eastAsia="SimSun" w:hAnsi="SimSun" w:cs="SimSun"/>
                <w:color w:val="000000"/>
                <w:spacing w:val="0"/>
                <w:w w:val="100"/>
                <w:position w:val="0"/>
                <w:sz w:val="24"/>
                <w:szCs w:val="24"/>
              </w:rPr>
              <w:t>产的可抵扣暂时性差异</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使用前期未确认递延所得税资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(10,276)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(32,634)</w:t>
            </w:r>
          </w:p>
        </w:tc>
      </w:tr>
      <w:tr>
        <w:trPr>
          <w:trHeight w:val="614" w:hRule="exact"/>
        </w:trPr>
        <w:tc>
          <w:tcPr>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60"/>
              <w:jc w:val="left"/>
              <w:rPr>
                <w:sz w:val="24"/>
                <w:szCs w:val="24"/>
              </w:rPr>
            </w:pPr>
            <w:r>
              <w:rPr>
                <w:rFonts w:ascii="SimSun" w:eastAsia="SimSun" w:hAnsi="SimSun" w:cs="SimSun"/>
                <w:color w:val="000000"/>
                <w:spacing w:val="0"/>
                <w:w w:val="100"/>
                <w:position w:val="0"/>
                <w:sz w:val="24"/>
                <w:szCs w:val="24"/>
              </w:rPr>
              <w:t>产的可抵扣亏损</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当期未确认递延所得税资产的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(57,969)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(48,736)</w:t>
            </w:r>
          </w:p>
        </w:tc>
      </w:tr>
      <w:tr>
        <w:trPr>
          <w:trHeight w:val="629" w:hRule="exact"/>
        </w:trPr>
        <w:tc>
          <w:tcPr>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60"/>
              <w:jc w:val="left"/>
              <w:rPr>
                <w:sz w:val="24"/>
                <w:szCs w:val="24"/>
              </w:rPr>
            </w:pPr>
            <w:r>
              <w:rPr>
                <w:rFonts w:ascii="SimSun" w:eastAsia="SimSun" w:hAnsi="SimSun" w:cs="SimSun"/>
                <w:color w:val="000000"/>
                <w:spacing w:val="0"/>
                <w:w w:val="100"/>
                <w:position w:val="0"/>
                <w:sz w:val="24"/>
                <w:szCs w:val="24"/>
              </w:rPr>
              <w:t>可抵扣暂时性差异</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当期未确认递延所得税资产的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231,277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5,151</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可抵扣亏损</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646,430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331,248</w:t>
            </w:r>
          </w:p>
        </w:tc>
      </w:tr>
      <w:tr>
        <w:trPr>
          <w:trHeight w:val="379"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所得税费用</w:t>
            </w:r>
          </w:p>
        </w:tc>
        <w:tc>
          <w:tcPr>
            <w:tcBorders>
              <w:top w:val="single" w:sz="4"/>
              <w:bottom w:val="single" w:sz="4"/>
            </w:tcBorders>
            <w:shd w:val="clear" w:color="auto" w:fill="FFFFFF"/>
            <w:vAlign w:val="center"/>
          </w:tcPr>
          <w:p>
            <w:pPr>
              <w:pStyle w:val="Style29"/>
              <w:keepNext w:val="0"/>
              <w:keepLines w:val="0"/>
              <w:widowControl w:val="0"/>
              <w:shd w:val="clear" w:color="auto" w:fill="auto"/>
              <w:tabs>
                <w:tab w:pos="2023" w:val="left"/>
              </w:tabs>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u w:val="single"/>
              </w:rPr>
              <w:t>(7,894,050)</w:t>
            </w:r>
            <w:r>
              <w:rPr>
                <w:rFonts w:ascii="Arial" w:eastAsia="Arial" w:hAnsi="Arial" w:cs="Arial"/>
                <w:color w:val="000000"/>
                <w:spacing w:val="0"/>
                <w:w w:val="100"/>
                <w:position w:val="0"/>
                <w:sz w:val="24"/>
                <w:szCs w:val="24"/>
              </w:rPr>
              <w:tab/>
              <w:t>_</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(1,542,775)</w:t>
            </w:r>
          </w:p>
        </w:tc>
      </w:tr>
    </w:tbl>
    <w:p>
      <w:pPr>
        <w:pStyle w:val="Style72"/>
        <w:keepNext w:val="0"/>
        <w:keepLines w:val="0"/>
        <w:widowControl w:val="0"/>
        <w:shd w:val="clear" w:color="auto" w:fill="auto"/>
        <w:tabs>
          <w:tab w:pos="696"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（62）</w:t>
      </w:r>
      <w:r>
        <w:rPr>
          <w:b/>
          <w:bCs/>
          <w:color w:val="000000"/>
          <w:spacing w:val="0"/>
          <w:w w:val="100"/>
          <w:position w:val="0"/>
          <w:sz w:val="24"/>
          <w:szCs w:val="24"/>
        </w:rPr>
        <w:t>每股收益</w:t>
      </w:r>
    </w:p>
    <w:p>
      <w:pPr>
        <w:pStyle w:val="Style72"/>
        <w:keepNext w:val="0"/>
        <w:keepLines w:val="0"/>
        <w:widowControl w:val="0"/>
        <w:shd w:val="clear" w:color="auto" w:fill="auto"/>
        <w:tabs>
          <w:tab w:pos="696"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（a）</w:t>
        <w:tab/>
      </w:r>
      <w:r>
        <w:rPr>
          <w:color w:val="000000"/>
          <w:spacing w:val="0"/>
          <w:w w:val="100"/>
          <w:position w:val="0"/>
          <w:sz w:val="24"/>
          <w:szCs w:val="24"/>
        </w:rPr>
        <w:t>基本每股收益</w:t>
      </w:r>
    </w:p>
    <w:p>
      <w:pPr>
        <w:pStyle w:val="Style7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基本每股收益以归属于母公司普通股股东的合并净利润除以母公司发行在外</w:t>
      </w:r>
    </w:p>
    <w:p>
      <w:pPr>
        <w:pStyle w:val="Style72"/>
        <w:keepNext w:val="0"/>
        <w:keepLines w:val="0"/>
        <w:widowControl w:val="0"/>
        <w:shd w:val="clear" w:color="auto" w:fill="auto"/>
        <w:bidi w:val="0"/>
        <w:spacing w:before="0" w:after="300" w:line="240" w:lineRule="auto"/>
        <w:ind w:left="0" w:right="0" w:firstLine="700"/>
        <w:jc w:val="both"/>
      </w:pPr>
      <w:r>
        <w:rPr>
          <w:color w:val="000000"/>
          <w:spacing w:val="0"/>
          <w:w w:val="100"/>
          <w:position w:val="0"/>
          <w:sz w:val="24"/>
          <w:szCs w:val="24"/>
        </w:rPr>
        <w:t>普通股的加权平均数计算：</w:t>
      </w:r>
    </w:p>
    <w:tbl>
      <w:tblPr>
        <w:tblOverlap w:val="never"/>
        <w:jc w:val="right"/>
        <w:tblLayout w:type="fixed"/>
      </w:tblPr>
      <w:tblGrid>
        <w:gridCol w:w="3557"/>
        <w:gridCol w:w="2323"/>
        <w:gridCol w:w="2117"/>
      </w:tblGrid>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1090" w:hRule="exact"/>
        </w:trPr>
        <w:tc>
          <w:tcPr>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0"/>
              <w:jc w:val="left"/>
              <w:rPr>
                <w:sz w:val="24"/>
                <w:szCs w:val="24"/>
              </w:rPr>
            </w:pPr>
            <w:r>
              <w:rPr>
                <w:rFonts w:ascii="SimSun" w:eastAsia="SimSun" w:hAnsi="SimSun" w:cs="SimSun"/>
                <w:color w:val="000000"/>
                <w:spacing w:val="0"/>
                <w:w w:val="100"/>
                <w:position w:val="0"/>
                <w:sz w:val="24"/>
                <w:szCs w:val="24"/>
              </w:rPr>
              <w:t>归属于母公司普通股股东的合</w:t>
            </w:r>
          </w:p>
          <w:p>
            <w:pPr>
              <w:pStyle w:val="Style29"/>
              <w:keepNext w:val="0"/>
              <w:keepLines w:val="0"/>
              <w:widowControl w:val="0"/>
              <w:shd w:val="clear" w:color="auto" w:fill="auto"/>
              <w:bidi w:val="0"/>
              <w:spacing w:before="0" w:after="0" w:line="240" w:lineRule="auto"/>
              <w:ind w:left="0" w:right="0" w:firstLine="260"/>
              <w:jc w:val="left"/>
              <w:rPr>
                <w:sz w:val="28"/>
                <w:szCs w:val="28"/>
              </w:rPr>
            </w:pPr>
            <w:r>
              <w:rPr>
                <w:rFonts w:ascii="SimSun" w:eastAsia="SimSun" w:hAnsi="SimSun" w:cs="SimSun"/>
                <w:color w:val="000000"/>
                <w:spacing w:val="0"/>
                <w:w w:val="100"/>
                <w:position w:val="0"/>
                <w:sz w:val="24"/>
                <w:szCs w:val="24"/>
              </w:rPr>
              <w:t>并净亏损</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千元</w:t>
            </w:r>
            <w:r>
              <w:rPr>
                <w:rFonts w:ascii="SimSun" w:eastAsia="SimSun" w:hAnsi="SimSun" w:cs="SimSun"/>
                <w:color w:val="000000"/>
                <w:spacing w:val="0"/>
                <w:w w:val="100"/>
                <w:position w:val="0"/>
                <w:sz w:val="28"/>
                <w:szCs w:val="28"/>
              </w:rPr>
              <w:t>）</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本公司发行在外普通股的加权</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(43,264,609)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(4,274,696)</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平均数</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千股</w:t>
            </w: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Arial" w:eastAsia="Arial" w:hAnsi="Arial" w:cs="Arial"/>
                <w:color w:val="000000"/>
                <w:spacing w:val="0"/>
                <w:w w:val="100"/>
                <w:position w:val="0"/>
                <w:sz w:val="24"/>
                <w:szCs w:val="24"/>
              </w:rPr>
              <w:t>9,299,079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9,257,904</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基本每股收益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人民币</w:t>
            </w:r>
            <w:r>
              <w:rPr>
                <w:rFonts w:ascii="Arial" w:eastAsia="Arial" w:hAnsi="Arial" w:cs="Arial"/>
                <w:color w:val="000000"/>
                <w:spacing w:val="0"/>
                <w:w w:val="100"/>
                <w:position w:val="0"/>
                <w:sz w:val="24"/>
                <w:szCs w:val="24"/>
              </w:rPr>
              <w:t>-4.65</w:t>
            </w:r>
            <w:r>
              <w:rPr>
                <w:rFonts w:ascii="SimSun" w:eastAsia="SimSun" w:hAnsi="SimSun" w:cs="SimSun"/>
                <w:color w:val="000000"/>
                <w:spacing w:val="0"/>
                <w:w w:val="100"/>
                <w:position w:val="0"/>
                <w:sz w:val="24"/>
                <w:szCs w:val="24"/>
              </w:rPr>
              <w:t>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人民币</w:t>
            </w:r>
            <w:r>
              <w:rPr>
                <w:rFonts w:ascii="Arial" w:eastAsia="Arial" w:hAnsi="Arial" w:cs="Arial"/>
                <w:color w:val="000000"/>
                <w:spacing w:val="0"/>
                <w:w w:val="100"/>
                <w:position w:val="0"/>
                <w:sz w:val="24"/>
                <w:szCs w:val="24"/>
              </w:rPr>
              <w:t>-0.46</w:t>
            </w:r>
            <w:r>
              <w:rPr>
                <w:rFonts w:ascii="SimSun" w:eastAsia="SimSun" w:hAnsi="SimSun" w:cs="SimSun"/>
                <w:color w:val="000000"/>
                <w:spacing w:val="0"/>
                <w:w w:val="100"/>
                <w:position w:val="0"/>
                <w:sz w:val="24"/>
                <w:szCs w:val="24"/>
              </w:rPr>
              <w:t>元</w:t>
            </w:r>
          </w:p>
        </w:tc>
      </w:tr>
    </w:tbl>
    <w:p>
      <w:pPr>
        <w:widowControl w:val="0"/>
        <w:spacing w:after="299" w:line="1" w:lineRule="exact"/>
      </w:pPr>
    </w:p>
    <w:p>
      <w:pPr>
        <w:pStyle w:val="Style72"/>
        <w:keepNext w:val="0"/>
        <w:keepLines w:val="0"/>
        <w:widowControl w:val="0"/>
        <w:shd w:val="clear" w:color="auto" w:fill="auto"/>
        <w:bidi w:val="0"/>
        <w:spacing w:before="0" w:after="300" w:line="307" w:lineRule="exact"/>
        <w:ind w:left="0" w:right="0" w:firstLine="0"/>
        <w:jc w:val="left"/>
      </w:pPr>
      <w:r>
        <w:rPr>
          <w:rFonts w:ascii="Arial" w:eastAsia="Arial" w:hAnsi="Arial" w:cs="Arial"/>
          <w:color w:val="000000"/>
          <w:spacing w:val="0"/>
          <w:w w:val="100"/>
          <w:position w:val="0"/>
          <w:sz w:val="24"/>
          <w:szCs w:val="24"/>
        </w:rPr>
        <w:t xml:space="preserve">（b） </w:t>
      </w:r>
      <w:r>
        <w:rPr>
          <w:color w:val="000000"/>
          <w:spacing w:val="0"/>
          <w:w w:val="100"/>
          <w:position w:val="0"/>
          <w:sz w:val="24"/>
          <w:szCs w:val="24"/>
        </w:rPr>
        <w:t>稀释每股收益</w:t>
      </w:r>
    </w:p>
    <w:p>
      <w:pPr>
        <w:pStyle w:val="Style72"/>
        <w:keepNext w:val="0"/>
        <w:keepLines w:val="0"/>
        <w:widowControl w:val="0"/>
        <w:shd w:val="clear" w:color="auto" w:fill="auto"/>
        <w:bidi w:val="0"/>
        <w:spacing w:before="0" w:after="300" w:line="307" w:lineRule="exact"/>
        <w:ind w:left="700" w:right="0" w:firstLine="20"/>
        <w:jc w:val="both"/>
      </w:pPr>
      <w:r>
        <w:rPr>
          <w:color w:val="000000"/>
          <w:spacing w:val="0"/>
          <w:w w:val="100"/>
          <w:position w:val="0"/>
          <w:sz w:val="24"/>
          <w:szCs w:val="24"/>
        </w:rPr>
        <w:t>稀释每股收益以根据稀释性潜在普通股调整后的归属于本公司普通股股东的 合并净利润除以调整后的本公司发行在外普通股的加权平均数计算。对于盈 利企业，限制性股票的行权价格低于当期普通股平均市场价格时，应当考虑 其稀释性，并计算稀释每股收益于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年度，本集团限制性股票不具有稀释 性：</w:t>
      </w:r>
    </w:p>
    <w:tbl>
      <w:tblPr>
        <w:tblOverlap w:val="never"/>
        <w:jc w:val="right"/>
        <w:tblLayout w:type="fixed"/>
      </w:tblPr>
      <w:tblGrid>
        <w:gridCol w:w="3557"/>
        <w:gridCol w:w="2347"/>
        <w:gridCol w:w="2165"/>
      </w:tblGrid>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归属于本公司普通股股东的合</w:t>
            </w:r>
          </w:p>
        </w:tc>
        <w:tc>
          <w:tcPr>
            <w:gridSpan w:val="2"/>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并净亏损</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千元</w:t>
            </w:r>
            <w:r>
              <w:rPr>
                <w:rFonts w:ascii="Arial" w:eastAsia="Arial" w:hAnsi="Arial" w:cs="Arial"/>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000000"/>
                <w:spacing w:val="0"/>
                <w:w w:val="100"/>
                <w:position w:val="0"/>
                <w:sz w:val="24"/>
                <w:szCs w:val="24"/>
              </w:rPr>
              <w:t>(43,264,609)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(4,274,696)</w:t>
            </w:r>
          </w:p>
        </w:tc>
      </w:tr>
      <w:tr>
        <w:trPr>
          <w:trHeight w:val="44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本公司发行在外普通股的加权</w:t>
            </w:r>
          </w:p>
        </w:tc>
        <w:tc>
          <w:tcPr>
            <w:gridSpan w:val="2"/>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平均数</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千股</w:t>
            </w: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24"/>
                <w:szCs w:val="24"/>
              </w:rPr>
            </w:pPr>
            <w:r>
              <w:rPr>
                <w:rFonts w:ascii="Arial" w:eastAsia="Arial" w:hAnsi="Arial" w:cs="Arial"/>
                <w:color w:val="000000"/>
                <w:spacing w:val="0"/>
                <w:w w:val="100"/>
                <w:position w:val="0"/>
                <w:sz w:val="24"/>
                <w:szCs w:val="24"/>
              </w:rPr>
              <w:t>9,299,079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24"/>
                <w:szCs w:val="24"/>
              </w:rPr>
            </w:pPr>
            <w:r>
              <w:rPr>
                <w:rFonts w:ascii="Arial" w:eastAsia="Arial" w:hAnsi="Arial" w:cs="Arial"/>
                <w:color w:val="000000"/>
                <w:spacing w:val="0"/>
                <w:w w:val="100"/>
                <w:position w:val="0"/>
                <w:sz w:val="24"/>
                <w:szCs w:val="24"/>
              </w:rPr>
              <w:t>9,257,904</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加：限制性股票调整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3,015</w:t>
            </w:r>
          </w:p>
        </w:tc>
      </w:tr>
      <w:tr>
        <w:trPr>
          <w:trHeight w:val="326"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经调整的本公司发行在外普通</w:t>
            </w:r>
          </w:p>
        </w:tc>
        <w:tc>
          <w:tcPr>
            <w:gridSpan w:val="2"/>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股的加权平均数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24"/>
                <w:szCs w:val="24"/>
              </w:rPr>
            </w:pPr>
            <w:r>
              <w:rPr>
                <w:rFonts w:ascii="Arial" w:eastAsia="Arial" w:hAnsi="Arial" w:cs="Arial"/>
                <w:color w:val="000000"/>
                <w:spacing w:val="0"/>
                <w:w w:val="100"/>
                <w:position w:val="0"/>
                <w:sz w:val="24"/>
                <w:szCs w:val="24"/>
              </w:rPr>
              <w:t>9,299,079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24"/>
                <w:szCs w:val="24"/>
              </w:rPr>
            </w:pPr>
            <w:r>
              <w:rPr>
                <w:rFonts w:ascii="Arial" w:eastAsia="Arial" w:hAnsi="Arial" w:cs="Arial"/>
                <w:color w:val="000000"/>
                <w:spacing w:val="0"/>
                <w:w w:val="100"/>
                <w:position w:val="0"/>
                <w:sz w:val="24"/>
                <w:szCs w:val="24"/>
              </w:rPr>
              <w:t>9,260,919</w:t>
            </w:r>
          </w:p>
        </w:tc>
      </w:tr>
      <w:tr>
        <w:trPr>
          <w:trHeight w:val="43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稀释每股收益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人民币</w:t>
            </w:r>
            <w:r>
              <w:rPr>
                <w:rFonts w:ascii="Arial" w:eastAsia="Arial" w:hAnsi="Arial" w:cs="Arial"/>
                <w:color w:val="000000"/>
                <w:spacing w:val="0"/>
                <w:w w:val="100"/>
                <w:position w:val="0"/>
                <w:sz w:val="24"/>
                <w:szCs w:val="24"/>
              </w:rPr>
              <w:t>-4.65</w:t>
            </w:r>
            <w:r>
              <w:rPr>
                <w:rFonts w:ascii="SimSun" w:eastAsia="SimSun" w:hAnsi="SimSun" w:cs="SimSun"/>
                <w:color w:val="000000"/>
                <w:spacing w:val="0"/>
                <w:w w:val="100"/>
                <w:position w:val="0"/>
                <w:sz w:val="24"/>
                <w:szCs w:val="24"/>
              </w:rPr>
              <w:t>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人民币</w:t>
            </w:r>
            <w:r>
              <w:rPr>
                <w:rFonts w:ascii="Arial" w:eastAsia="Arial" w:hAnsi="Arial" w:cs="Arial"/>
                <w:color w:val="000000"/>
                <w:spacing w:val="0"/>
                <w:w w:val="100"/>
                <w:position w:val="0"/>
                <w:sz w:val="24"/>
                <w:szCs w:val="24"/>
              </w:rPr>
              <w:t>-0.46</w:t>
            </w:r>
            <w:r>
              <w:rPr>
                <w:rFonts w:ascii="SimSun" w:eastAsia="SimSun" w:hAnsi="SimSun" w:cs="SimSun"/>
                <w:color w:val="000000"/>
                <w:spacing w:val="0"/>
                <w:w w:val="100"/>
                <w:position w:val="0"/>
                <w:sz w:val="24"/>
                <w:szCs w:val="24"/>
              </w:rPr>
              <w:t>元</w:t>
            </w:r>
          </w:p>
        </w:tc>
      </w:tr>
    </w:tbl>
    <w:p>
      <w:pPr>
        <w:spacing w:lineRule="exact" w:line="1"/>
        <w:rPr>
          <w:sz w:val="2"/>
          <w:szCs w:val="2"/>
        </w:rPr>
      </w:pPr>
      <w:r>
        <w:br w:type="page"/>
      </w:r>
    </w:p>
    <w:p>
      <w:pPr>
        <w:pStyle w:val="Style72"/>
        <w:keepNext w:val="0"/>
        <w:keepLines w:val="0"/>
        <w:widowControl w:val="0"/>
        <w:shd w:val="clear" w:color="auto" w:fill="auto"/>
        <w:tabs>
          <w:tab w:pos="691" w:val="left"/>
        </w:tabs>
        <w:bidi w:val="0"/>
        <w:spacing w:before="0" w:after="28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24"/>
          <w:szCs w:val="24"/>
        </w:rPr>
        <w:t>(63)</w:t>
      </w:r>
      <w:r>
        <w:rPr>
          <w:b/>
          <w:bCs/>
          <w:color w:val="000000"/>
          <w:spacing w:val="0"/>
          <w:w w:val="100"/>
          <w:position w:val="0"/>
          <w:sz w:val="24"/>
          <w:szCs w:val="24"/>
        </w:rPr>
        <w:t>现金流量表项目注释</w:t>
      </w:r>
    </w:p>
    <w:p>
      <w:pPr>
        <w:pStyle w:val="Style26"/>
        <w:keepNext w:val="0"/>
        <w:keepLines w:val="0"/>
        <w:widowControl w:val="0"/>
        <w:shd w:val="clear" w:color="auto" w:fill="auto"/>
        <w:tabs>
          <w:tab w:pos="701"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(a)</w:t>
        <w:tab/>
      </w:r>
      <w:r>
        <w:rPr>
          <w:color w:val="000000"/>
          <w:spacing w:val="0"/>
          <w:w w:val="100"/>
          <w:position w:val="0"/>
          <w:sz w:val="24"/>
          <w:szCs w:val="24"/>
        </w:rPr>
        <w:t>收到的其他与经营活动有关的现金</w:t>
      </w:r>
    </w:p>
    <w:tbl>
      <w:tblPr>
        <w:tblOverlap w:val="never"/>
        <w:jc w:val="center"/>
        <w:tblLayout w:type="fixed"/>
      </w:tblPr>
      <w:tblGrid>
        <w:gridCol w:w="4627"/>
        <w:gridCol w:w="2150"/>
        <w:gridCol w:w="2006"/>
      </w:tblGrid>
      <w:tr>
        <w:trPr>
          <w:trHeight w:val="2131" w:hRule="exact"/>
        </w:trPr>
        <w:tc>
          <w:tcPr>
            <w:vMerge w:val="restart"/>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收到的各种保证金、押金</w:t>
            </w:r>
          </w:p>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补贴收入</w:t>
            </w:r>
          </w:p>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存款利息收入</w:t>
            </w:r>
          </w:p>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赔款收入</w:t>
            </w:r>
          </w:p>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320" w:line="240" w:lineRule="auto"/>
              <w:ind w:left="0" w:right="0" w:firstLine="40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1,107,219</w:t>
            </w:r>
          </w:p>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440,281</w:t>
            </w:r>
          </w:p>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293,677</w:t>
            </w:r>
          </w:p>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168,073</w:t>
            </w:r>
          </w:p>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115,622</w:t>
            </w:r>
          </w:p>
        </w:tc>
        <w:tc>
          <w:tcPr>
            <w:tcBorders/>
            <w:shd w:val="clear" w:color="auto" w:fill="FFFFFF"/>
            <w:vAlign w:val="bottom"/>
          </w:tcPr>
          <w:p>
            <w:pPr>
              <w:pStyle w:val="Style29"/>
              <w:keepNext w:val="0"/>
              <w:keepLines w:val="0"/>
              <w:widowControl w:val="0"/>
              <w:shd w:val="clear" w:color="auto" w:fill="auto"/>
              <w:bidi w:val="0"/>
              <w:spacing w:before="0" w:after="320" w:line="240" w:lineRule="auto"/>
              <w:ind w:left="0" w:right="0" w:firstLine="76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1,011,860</w:t>
            </w:r>
          </w:p>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999,358</w:t>
            </w:r>
          </w:p>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409,193</w:t>
            </w:r>
          </w:p>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265,621</w:t>
            </w:r>
          </w:p>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327,835</w:t>
            </w:r>
          </w:p>
        </w:tc>
      </w:tr>
      <w:tr>
        <w:trPr>
          <w:trHeight w:val="293" w:hRule="exact"/>
        </w:trPr>
        <w:tc>
          <w:tcPr>
            <w:vMerge/>
            <w:tcBorders/>
            <w:shd w:val="clear" w:color="auto" w:fill="FFFFFF"/>
            <w:vAlign w:val="center"/>
          </w:tcPr>
          <w:p>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2,124,872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3,013,867</w:t>
            </w:r>
          </w:p>
        </w:tc>
      </w:tr>
      <w:tr>
        <w:trPr>
          <w:trHeight w:val="744" w:hRule="exact"/>
        </w:trPr>
        <w:tc>
          <w:tcPr>
            <w:tcBorders>
              <w:top w:val="single" w:sz="4"/>
            </w:tcBorders>
            <w:shd w:val="clear" w:color="auto" w:fill="FFFFFF"/>
            <w:vAlign w:val="center"/>
          </w:tcPr>
          <w:p>
            <w:pPr>
              <w:pStyle w:val="Style29"/>
              <w:keepNext w:val="0"/>
              <w:keepLines w:val="0"/>
              <w:widowControl w:val="0"/>
              <w:shd w:val="clear" w:color="auto" w:fill="auto"/>
              <w:tabs>
                <w:tab w:pos="672"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(b)</w:t>
              <w:tab/>
            </w:r>
            <w:r>
              <w:rPr>
                <w:rFonts w:ascii="SimSun" w:eastAsia="SimSun" w:hAnsi="SimSun" w:cs="SimSun"/>
                <w:color w:val="000000"/>
                <w:spacing w:val="0"/>
                <w:w w:val="100"/>
                <w:position w:val="0"/>
                <w:sz w:val="24"/>
                <w:szCs w:val="24"/>
              </w:rPr>
              <w:t>支付的其他与经营活动有关的现金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租赁及仓储费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4,612,109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6,930,099</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广告费及市场推广费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4,514,097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6,140,921</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信息技术服务费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1,497,444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991,905</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银行手续费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1,236,709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429,201</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水电能源费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978,168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1,034,357</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支付的各类保证金、订金及押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4"/>
                <w:szCs w:val="24"/>
              </w:rPr>
            </w:pPr>
            <w:r>
              <w:rPr>
                <w:rFonts w:ascii="SimSun" w:eastAsia="SimSun" w:hAnsi="SimSun" w:cs="SimSun"/>
                <w:color w:val="000000"/>
                <w:spacing w:val="0"/>
                <w:w w:val="100"/>
                <w:position w:val="0"/>
                <w:sz w:val="24"/>
                <w:szCs w:val="24"/>
              </w:rPr>
              <w:t>金等</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960,780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804,495</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运输及力资费用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431,202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1,084,428</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办公费用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222,303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420,487</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咨询费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222,157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139,754</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Arial" w:eastAsia="Arial" w:hAnsi="Arial" w:cs="Arial"/>
                <w:color w:val="000000"/>
                <w:spacing w:val="0"/>
                <w:w w:val="100"/>
                <w:position w:val="0"/>
                <w:sz w:val="24"/>
                <w:szCs w:val="24"/>
              </w:rPr>
              <w:t>1,922,379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24"/>
                <w:szCs w:val="24"/>
              </w:rPr>
            </w:pPr>
            <w:r>
              <w:rPr>
                <w:rFonts w:ascii="Arial" w:eastAsia="Arial" w:hAnsi="Arial" w:cs="Arial"/>
                <w:color w:val="000000"/>
                <w:spacing w:val="0"/>
                <w:w w:val="100"/>
                <w:position w:val="0"/>
                <w:sz w:val="24"/>
                <w:szCs w:val="24"/>
              </w:rPr>
              <w:t>3,399,160</w:t>
            </w:r>
          </w:p>
        </w:tc>
      </w:tr>
      <w:tr>
        <w:trPr>
          <w:trHeight w:val="31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16,597,348</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21,374,807</w:t>
            </w:r>
          </w:p>
        </w:tc>
      </w:tr>
    </w:tbl>
    <w:p>
      <w:pPr>
        <w:spacing w:lineRule="exact" w:line="1"/>
        <w:rPr>
          <w:sz w:val="2"/>
          <w:szCs w:val="2"/>
        </w:rPr>
      </w:pPr>
      <w:r>
        <w:br w:type="page"/>
      </w:r>
    </w:p>
    <w:p>
      <w:pPr>
        <w:pStyle w:val="Style72"/>
        <w:keepNext w:val="0"/>
        <w:keepLines w:val="0"/>
        <w:widowControl w:val="0"/>
        <w:shd w:val="clear" w:color="auto" w:fill="auto"/>
        <w:tabs>
          <w:tab w:pos="696"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rFonts w:ascii="Arial" w:eastAsia="Arial" w:hAnsi="Arial" w:cs="Arial"/>
          <w:color w:val="000000"/>
          <w:spacing w:val="0"/>
          <w:w w:val="100"/>
          <w:position w:val="0"/>
          <w:sz w:val="24"/>
          <w:szCs w:val="24"/>
        </w:rPr>
        <w:t>(63)</w:t>
      </w:r>
      <w:r>
        <w:rPr>
          <w:b/>
          <w:bCs/>
          <w:color w:val="000000"/>
          <w:spacing w:val="0"/>
          <w:w w:val="100"/>
          <w:position w:val="0"/>
          <w:sz w:val="24"/>
          <w:szCs w:val="24"/>
        </w:rPr>
        <w:t>现金流量表项目注释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111"/>
        </w:numPr>
        <w:shd w:val="clear" w:color="auto" w:fill="auto"/>
        <w:tabs>
          <w:tab w:pos="696" w:val="left"/>
        </w:tabs>
        <w:bidi w:val="0"/>
        <w:spacing w:before="0" w:after="300" w:line="240" w:lineRule="auto"/>
        <w:ind w:left="0" w:right="0" w:firstLine="0"/>
        <w:jc w:val="left"/>
      </w:pPr>
      <w:bookmarkStart w:id="946" w:name="bookmark946"/>
      <w:bookmarkEnd w:id="946"/>
      <w:r>
        <w:rPr>
          <w:color w:val="000000"/>
          <w:spacing w:val="0"/>
          <w:w w:val="100"/>
          <w:position w:val="0"/>
          <w:sz w:val="24"/>
          <w:szCs w:val="24"/>
        </w:rPr>
        <w:t>收到的其他与筹资活动有关的现金</w:t>
      </w:r>
    </w:p>
    <w:tbl>
      <w:tblPr>
        <w:tblOverlap w:val="never"/>
        <w:jc w:val="center"/>
        <w:tblLayout w:type="fixed"/>
      </w:tblPr>
      <w:tblGrid>
        <w:gridCol w:w="4622"/>
        <w:gridCol w:w="2150"/>
        <w:gridCol w:w="2011"/>
      </w:tblGrid>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收回作为短期借款质押物的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24"/>
                <w:szCs w:val="24"/>
              </w:rPr>
            </w:pPr>
            <w:r>
              <w:rPr>
                <w:rFonts w:ascii="SimSun" w:eastAsia="SimSun" w:hAnsi="SimSun" w:cs="SimSun"/>
                <w:color w:val="000000"/>
                <w:spacing w:val="0"/>
                <w:w w:val="100"/>
                <w:position w:val="0"/>
                <w:sz w:val="24"/>
                <w:szCs w:val="24"/>
              </w:rPr>
              <w:t>保证金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6,816,847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12,524,895</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应返还股权投资款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3,457,861</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收回短期借款融资开立信用证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4"/>
                <w:szCs w:val="24"/>
              </w:rPr>
            </w:pPr>
            <w:r>
              <w:rPr>
                <w:rFonts w:ascii="SimSun" w:eastAsia="SimSun" w:hAnsi="SimSun" w:cs="SimSun"/>
                <w:color w:val="000000"/>
                <w:spacing w:val="0"/>
                <w:w w:val="100"/>
                <w:position w:val="0"/>
                <w:sz w:val="24"/>
                <w:szCs w:val="24"/>
              </w:rPr>
              <w:t>的保证金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127,100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698,000</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收回租赁保证金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40,902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SimSun" w:eastAsia="SimSun" w:hAnsi="SimSun" w:cs="SimSun"/>
                <w:color w:val="000000"/>
                <w:spacing w:val="0"/>
                <w:w w:val="100"/>
                <w:position w:val="0"/>
                <w:sz w:val="24"/>
                <w:szCs w:val="24"/>
              </w:rPr>
              <w:t>收到关联方借款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2,000,000</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10,442,710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15,222,895</w:t>
            </w:r>
          </w:p>
        </w:tc>
      </w:tr>
      <w:tr>
        <w:trPr>
          <w:trHeight w:val="739" w:hRule="exact"/>
        </w:trPr>
        <w:tc>
          <w:tcPr>
            <w:tcBorders>
              <w:top w:val="single" w:sz="4"/>
            </w:tcBorders>
            <w:shd w:val="clear" w:color="auto" w:fill="FFFFFF"/>
            <w:vAlign w:val="center"/>
          </w:tcPr>
          <w:p>
            <w:pPr>
              <w:pStyle w:val="Style29"/>
              <w:keepNext w:val="0"/>
              <w:keepLines w:val="0"/>
              <w:widowControl w:val="0"/>
              <w:shd w:val="clear" w:color="auto" w:fill="auto"/>
              <w:tabs>
                <w:tab w:pos="672"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(d)</w:t>
              <w:tab/>
            </w:r>
            <w:r>
              <w:rPr>
                <w:rFonts w:ascii="SimSun" w:eastAsia="SimSun" w:hAnsi="SimSun" w:cs="SimSun"/>
                <w:color w:val="000000"/>
                <w:spacing w:val="0"/>
                <w:w w:val="100"/>
                <w:position w:val="0"/>
                <w:sz w:val="24"/>
                <w:szCs w:val="24"/>
              </w:rPr>
              <w:t>支付的其他与筹资活动有关的现金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支付作为短期借款质押物的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24"/>
                <w:szCs w:val="24"/>
              </w:rPr>
            </w:pPr>
            <w:r>
              <w:rPr>
                <w:rFonts w:ascii="SimSun" w:eastAsia="SimSun" w:hAnsi="SimSun" w:cs="SimSun"/>
                <w:color w:val="000000"/>
                <w:spacing w:val="0"/>
                <w:w w:val="100"/>
                <w:position w:val="0"/>
                <w:sz w:val="24"/>
                <w:szCs w:val="24"/>
              </w:rPr>
              <w:t>保证金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11,042,239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16,455,443</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偿还租赁负债支付的金额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4,590,932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支付短期借款融资开立信用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24"/>
                <w:szCs w:val="24"/>
              </w:rPr>
            </w:pPr>
            <w:r>
              <w:rPr>
                <w:rFonts w:ascii="SimSun" w:eastAsia="SimSun" w:hAnsi="SimSun" w:cs="SimSun"/>
                <w:color w:val="000000"/>
                <w:spacing w:val="0"/>
                <w:w w:val="100"/>
                <w:position w:val="0"/>
                <w:sz w:val="24"/>
                <w:szCs w:val="24"/>
              </w:rPr>
              <w:t>证的保证金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24"/>
                <w:szCs w:val="24"/>
              </w:rPr>
            </w:pPr>
            <w:r>
              <w:rPr>
                <w:rFonts w:ascii="Arial" w:eastAsia="Arial" w:hAnsi="Arial" w:cs="Arial"/>
                <w:color w:val="000000"/>
                <w:spacing w:val="0"/>
                <w:w w:val="100"/>
                <w:position w:val="0"/>
                <w:sz w:val="24"/>
                <w:szCs w:val="24"/>
              </w:rPr>
              <w:t>1,494,332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727,100</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收购少数股东股权支付的现金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180,000</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支付租赁保证金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28,000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支付回购员工持股计划库存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24"/>
                <w:szCs w:val="24"/>
              </w:rPr>
            </w:pPr>
            <w:r>
              <w:rPr>
                <w:rFonts w:ascii="SimSun" w:eastAsia="SimSun" w:hAnsi="SimSun" w:cs="SimSun"/>
                <w:color w:val="000000"/>
                <w:spacing w:val="0"/>
                <w:w w:val="100"/>
                <w:position w:val="0"/>
                <w:sz w:val="24"/>
                <w:szCs w:val="24"/>
              </w:rPr>
              <w:t>股的现金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700,894</w:t>
            </w:r>
          </w:p>
        </w:tc>
      </w:tr>
      <w:tr>
        <w:trPr>
          <w:trHeight w:val="31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17,205,503</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18,063,437</w:t>
            </w:r>
          </w:p>
        </w:tc>
      </w:tr>
    </w:tbl>
    <w:p>
      <w:pPr>
        <w:spacing w:lineRule="exact" w:line="1"/>
        <w:rPr>
          <w:sz w:val="2"/>
          <w:szCs w:val="2"/>
        </w:rPr>
      </w:pPr>
      <w:r>
        <w:br w:type="page"/>
      </w:r>
    </w:p>
    <w:p>
      <w:pPr>
        <w:pStyle w:val="Style72"/>
        <w:keepNext w:val="0"/>
        <w:keepLines w:val="0"/>
        <w:widowControl w:val="0"/>
        <w:shd w:val="clear" w:color="auto" w:fill="auto"/>
        <w:tabs>
          <w:tab w:pos="696"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(64)</w:t>
      </w:r>
      <w:r>
        <w:rPr>
          <w:b/>
          <w:bCs/>
          <w:color w:val="000000"/>
          <w:spacing w:val="0"/>
          <w:w w:val="100"/>
          <w:position w:val="0"/>
          <w:sz w:val="24"/>
          <w:szCs w:val="24"/>
        </w:rPr>
        <w:t>现金流量表补充资料</w:t>
      </w:r>
    </w:p>
    <w:p>
      <w:pPr>
        <w:pStyle w:val="Style72"/>
        <w:keepNext w:val="0"/>
        <w:keepLines w:val="0"/>
        <w:widowControl w:val="0"/>
        <w:shd w:val="clear" w:color="auto" w:fill="auto"/>
        <w:tabs>
          <w:tab w:pos="696"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(a)</w:t>
        <w:tab/>
      </w:r>
      <w:r>
        <w:rPr>
          <w:color w:val="000000"/>
          <w:spacing w:val="0"/>
          <w:w w:val="100"/>
          <w:position w:val="0"/>
          <w:sz w:val="24"/>
          <w:szCs w:val="24"/>
        </w:rPr>
        <w:t>现金流量表补充资料</w:t>
      </w:r>
    </w:p>
    <w:p>
      <w:pPr>
        <w:pStyle w:val="Style2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将合并净亏损调节为经营活动现金流量</w:t>
      </w:r>
    </w:p>
    <w:tbl>
      <w:tblPr>
        <w:tblOverlap w:val="never"/>
        <w:jc w:val="center"/>
        <w:tblLayout w:type="fixed"/>
      </w:tblPr>
      <w:tblGrid>
        <w:gridCol w:w="3974"/>
        <w:gridCol w:w="2189"/>
        <w:gridCol w:w="1906"/>
      </w:tblGrid>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合并净亏损</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(44,179,361)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(5,357,866)</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加：资产减值损失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24"/>
                <w:szCs w:val="24"/>
              </w:rPr>
            </w:pPr>
            <w:r>
              <w:rPr>
                <w:rFonts w:ascii="Arial" w:eastAsia="Arial" w:hAnsi="Arial" w:cs="Arial"/>
                <w:color w:val="000000"/>
                <w:spacing w:val="0"/>
                <w:w w:val="100"/>
                <w:position w:val="0"/>
                <w:sz w:val="24"/>
                <w:szCs w:val="24"/>
              </w:rPr>
              <w:t>16,385,309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2,187,961</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信用减值损失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2,831,436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411,638</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使用权资产折旧</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5,237,049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固定资产和投资性房地产折旧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1,683,306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2,009,417</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无形资产摊销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772,670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987,562</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长期待摊费用摊销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607,482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941,433</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其他非流动资产摊销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163,602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资产处置收益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(99,161)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rPr>
                <w:sz w:val="24"/>
                <w:szCs w:val="24"/>
              </w:rPr>
            </w:pPr>
            <w:r>
              <w:rPr>
                <w:rFonts w:ascii="Arial" w:eastAsia="Arial" w:hAnsi="Arial" w:cs="Arial"/>
                <w:color w:val="000000"/>
                <w:spacing w:val="0"/>
                <w:w w:val="100"/>
                <w:position w:val="0"/>
                <w:sz w:val="24"/>
                <w:szCs w:val="24"/>
              </w:rPr>
              <w:t>(35,646)</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固定资产及无形资产报废损失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245,876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44,635</w:t>
            </w:r>
          </w:p>
        </w:tc>
      </w:tr>
      <w:tr>
        <w:trPr>
          <w:trHeight w:val="3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财务费用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3,661,228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2,218,321</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11,686,618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(2,213,662)</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公允价值变动收益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124,363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(467,280)</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递延所得税资产增加</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(4,666,738)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(1,513,371)</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递延所得税负债减少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(3,970,132)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(482,101)</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存货的减少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11,229,467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4,471,340</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经营性应收项目的减少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7,585,913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7,913,580</w:t>
            </w: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经营性应付项目的减少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Fonts w:ascii="Arial" w:eastAsia="Arial" w:hAnsi="Arial" w:cs="Arial"/>
                <w:color w:val="000000"/>
                <w:spacing w:val="0"/>
                <w:w w:val="100"/>
                <w:position w:val="0"/>
                <w:sz w:val="24"/>
                <w:szCs w:val="24"/>
              </w:rPr>
              <w:t>(15,729,154)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(12,737,807)</w:t>
            </w:r>
          </w:p>
        </w:tc>
      </w:tr>
      <w:tr>
        <w:trPr>
          <w:trHeight w:val="365"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经营活动使用的现金流量净额</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(6,430,227)</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(1,621,846)</w:t>
            </w:r>
          </w:p>
        </w:tc>
      </w:tr>
    </w:tbl>
    <w:p>
      <w:pPr>
        <w:pStyle w:val="Style72"/>
        <w:keepNext w:val="0"/>
        <w:keepLines w:val="0"/>
        <w:widowControl w:val="0"/>
        <w:shd w:val="clear" w:color="auto" w:fill="auto"/>
        <w:tabs>
          <w:tab w:pos="696"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rFonts w:ascii="Arial" w:eastAsia="Arial" w:hAnsi="Arial" w:cs="Arial"/>
          <w:color w:val="000000"/>
          <w:spacing w:val="0"/>
          <w:w w:val="100"/>
          <w:position w:val="0"/>
          <w:sz w:val="24"/>
          <w:szCs w:val="24"/>
        </w:rPr>
        <w:t>（64）</w:t>
      </w:r>
      <w:r>
        <w:rPr>
          <w:b/>
          <w:bCs/>
          <w:color w:val="000000"/>
          <w:spacing w:val="0"/>
          <w:w w:val="100"/>
          <w:position w:val="0"/>
          <w:sz w:val="24"/>
          <w:szCs w:val="24"/>
        </w:rPr>
        <w:t>现金流量表补充资料</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6" w:val="left"/>
        </w:tabs>
        <w:bidi w:val="0"/>
        <w:spacing w:before="0" w:after="300" w:line="240" w:lineRule="auto"/>
        <w:ind w:left="0" w:right="0" w:firstLine="0"/>
        <w:jc w:val="left"/>
        <w:rPr>
          <w:sz w:val="28"/>
          <w:szCs w:val="28"/>
        </w:rPr>
      </w:pPr>
      <w:r>
        <w:rPr>
          <w:rFonts w:ascii="Arial" w:eastAsia="Arial" w:hAnsi="Arial" w:cs="Arial"/>
          <w:color w:val="000000"/>
          <w:spacing w:val="0"/>
          <w:w w:val="100"/>
          <w:position w:val="0"/>
          <w:sz w:val="24"/>
          <w:szCs w:val="24"/>
        </w:rPr>
        <w:t>（a）</w:t>
        <w:tab/>
      </w:r>
      <w:r>
        <w:rPr>
          <w:color w:val="000000"/>
          <w:spacing w:val="0"/>
          <w:w w:val="100"/>
          <w:position w:val="0"/>
          <w:sz w:val="24"/>
          <w:szCs w:val="24"/>
        </w:rPr>
        <w:t>现金流量表补充资料</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700"/>
        <w:jc w:val="left"/>
      </w:pPr>
      <w:r>
        <w:rPr>
          <w:color w:val="000000"/>
          <w:spacing w:val="0"/>
          <w:w w:val="100"/>
          <w:position w:val="0"/>
          <w:sz w:val="24"/>
          <w:szCs w:val="24"/>
        </w:rPr>
        <w:t>不涉及现金收支的重大经营、投资和筹资活动</w:t>
      </w:r>
    </w:p>
    <w:p>
      <w:pPr>
        <w:pStyle w:val="Style92"/>
        <w:keepNext w:val="0"/>
        <w:keepLines w:val="0"/>
        <w:widowControl w:val="0"/>
        <w:shd w:val="clear" w:color="auto" w:fill="auto"/>
        <w:tabs>
          <w:tab w:pos="2491" w:val="left"/>
        </w:tabs>
        <w:bidi w:val="0"/>
        <w:spacing w:before="0" w:after="300" w:line="240" w:lineRule="auto"/>
        <w:ind w:left="0" w:right="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2020</w:t>
      </w:r>
      <w:r>
        <w:rPr>
          <w:rFonts w:ascii="SimSun" w:eastAsia="SimSun" w:hAnsi="SimSun" w:cs="SimSun"/>
          <w:color w:val="000000"/>
          <w:spacing w:val="0"/>
          <w:w w:val="100"/>
          <w:position w:val="0"/>
          <w:sz w:val="24"/>
          <w:szCs w:val="24"/>
        </w:rPr>
        <w:t>年度</w:t>
      </w:r>
    </w:p>
    <w:tbl>
      <w:tblPr>
        <w:tblOverlap w:val="never"/>
        <w:jc w:val="right"/>
        <w:tblLayout w:type="fixed"/>
      </w:tblPr>
      <w:tblGrid>
        <w:gridCol w:w="3706"/>
        <w:gridCol w:w="2342"/>
        <w:gridCol w:w="2021"/>
      </w:tblGrid>
      <w:tr>
        <w:trPr>
          <w:trHeight w:val="610" w:hRule="exact"/>
        </w:trPr>
        <w:tc>
          <w:tcPr>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24"/>
                <w:szCs w:val="24"/>
              </w:rPr>
            </w:pPr>
            <w:r>
              <w:rPr>
                <w:rFonts w:ascii="SimSun" w:eastAsia="SimSun" w:hAnsi="SimSun" w:cs="SimSun"/>
                <w:color w:val="000000"/>
                <w:spacing w:val="0"/>
                <w:w w:val="100"/>
                <w:position w:val="0"/>
                <w:sz w:val="24"/>
                <w:szCs w:val="24"/>
              </w:rPr>
              <w:t>当期新增的使用权资产 用借款保证金及到期理财产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32,668,083</w:t>
            </w:r>
          </w:p>
        </w:tc>
        <w:tc>
          <w:tcPr>
            <w:tcBorders/>
            <w:shd w:val="clear" w:color="auto" w:fill="FFFFFF"/>
            <w:vAlign w:val="top"/>
          </w:tcPr>
          <w:p>
            <w:pPr>
              <w:pStyle w:val="Style29"/>
              <w:keepNext w:val="0"/>
              <w:keepLines w:val="0"/>
              <w:widowControl w:val="0"/>
              <w:shd w:val="clear" w:color="auto" w:fill="auto"/>
              <w:bidi w:val="0"/>
              <w:spacing w:before="160" w:after="0" w:line="240" w:lineRule="auto"/>
              <w:ind w:left="0" w:right="0" w:firstLine="0"/>
              <w:jc w:val="right"/>
              <w:rPr>
                <w:sz w:val="24"/>
                <w:szCs w:val="24"/>
              </w:rPr>
            </w:pPr>
            <w:r>
              <w:rPr>
                <w:rFonts w:ascii="SimSun" w:eastAsia="SimSun" w:hAnsi="SimSun" w:cs="SimSun"/>
                <w:color w:val="000000"/>
                <w:spacing w:val="0"/>
                <w:w w:val="100"/>
                <w:position w:val="0"/>
                <w:sz w:val="24"/>
                <w:szCs w:val="24"/>
              </w:rPr>
              <w:t>—</w:t>
            </w:r>
          </w:p>
        </w:tc>
      </w:tr>
      <w:tr>
        <w:trPr>
          <w:trHeight w:val="624" w:hRule="exact"/>
        </w:trPr>
        <w:tc>
          <w:tcPr>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60"/>
              <w:jc w:val="left"/>
              <w:rPr>
                <w:sz w:val="24"/>
                <w:szCs w:val="24"/>
              </w:rPr>
            </w:pPr>
            <w:r>
              <w:rPr>
                <w:rFonts w:ascii="SimSun" w:eastAsia="SimSun" w:hAnsi="SimSun" w:cs="SimSun"/>
                <w:color w:val="000000"/>
                <w:spacing w:val="0"/>
                <w:w w:val="100"/>
                <w:position w:val="0"/>
                <w:sz w:val="24"/>
                <w:szCs w:val="24"/>
              </w:rPr>
              <w:t>品偿还的借款本金</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以其他非流动金融资产偿还</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5,659,180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63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的关联方借款</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以应收票据支付的存货采购</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1,596,381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37,595,737</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41,923,644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37,595,737</w:t>
            </w:r>
          </w:p>
        </w:tc>
      </w:tr>
      <w:tr>
        <w:trPr>
          <w:trHeight w:val="1334" w:hRule="exact"/>
        </w:trPr>
        <w:tc>
          <w:tcPr>
            <w:tcBorders>
              <w:top w:val="single" w:sz="4"/>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0"/>
              <w:jc w:val="left"/>
              <w:rPr>
                <w:sz w:val="24"/>
                <w:szCs w:val="24"/>
              </w:rPr>
            </w:pPr>
            <w:r>
              <w:rPr>
                <w:rFonts w:ascii="SimSun" w:eastAsia="SimSun" w:hAnsi="SimSun" w:cs="SimSun"/>
                <w:color w:val="000000"/>
                <w:spacing w:val="0"/>
                <w:w w:val="100"/>
                <w:position w:val="0"/>
                <w:sz w:val="24"/>
                <w:szCs w:val="24"/>
              </w:rPr>
              <w:t>现金及现金等价物净变动情况</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77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现金的年末余额</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减:现金及现金等价物的年初余</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4,162,258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11,563,877</w:t>
            </w: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SimSun" w:eastAsia="SimSun" w:hAnsi="SimSun" w:cs="SimSun"/>
                <w:color w:val="000000"/>
                <w:spacing w:val="0"/>
                <w:w w:val="100"/>
                <w:position w:val="0"/>
                <w:sz w:val="24"/>
                <w:szCs w:val="24"/>
              </w:rPr>
              <w:t>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4"/>
                <w:szCs w:val="24"/>
              </w:rPr>
            </w:pPr>
            <w:r>
              <w:rPr>
                <w:rFonts w:ascii="Arial" w:eastAsia="Arial" w:hAnsi="Arial" w:cs="Arial"/>
                <w:color w:val="000000"/>
                <w:spacing w:val="0"/>
                <w:w w:val="100"/>
                <w:position w:val="0"/>
                <w:sz w:val="24"/>
                <w:szCs w:val="24"/>
              </w:rPr>
              <w:t>(11,563,877)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(17,919,907)</w:t>
            </w:r>
          </w:p>
        </w:tc>
      </w:tr>
      <w:tr>
        <w:trPr>
          <w:trHeight w:val="355" w:hRule="exact"/>
        </w:trPr>
        <w:tc>
          <w:tcPr>
            <w:tcBorders>
              <w:top w:val="single" w:sz="4"/>
              <w:bottom w:val="single" w:sz="4"/>
            </w:tcBorders>
            <w:shd w:val="clear" w:color="auto" w:fill="FFFFFF"/>
            <w:vAlign w:val="bottom"/>
          </w:tcPr>
          <w:p>
            <w:pPr>
              <w:pStyle w:val="Style29"/>
              <w:keepNext w:val="0"/>
              <w:keepLines w:val="0"/>
              <w:widowControl w:val="0"/>
              <w:shd w:val="clear" w:color="auto" w:fill="auto"/>
              <w:tabs>
                <w:tab w:pos="3226" w:val="left"/>
              </w:tabs>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现金及现金等价物净减少额</w:t>
              <w:tab/>
              <w:t>_</w:t>
            </w:r>
          </w:p>
        </w:tc>
        <w:tc>
          <w:tcPr>
            <w:tcBorders>
              <w:top w:val="single" w:sz="4"/>
              <w:bottom w:val="single" w:sz="4"/>
            </w:tcBorders>
            <w:shd w:val="clear" w:color="auto" w:fill="FFFFFF"/>
            <w:vAlign w:val="bottom"/>
          </w:tcPr>
          <w:p>
            <w:pPr>
              <w:pStyle w:val="Style29"/>
              <w:keepNext w:val="0"/>
              <w:keepLines w:val="0"/>
              <w:widowControl w:val="0"/>
              <w:shd w:val="clear" w:color="auto" w:fill="auto"/>
              <w:tabs>
                <w:tab w:pos="1483" w:val="left"/>
              </w:tabs>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u w:val="single"/>
              </w:rPr>
              <w:t>(7,401,619)</w:t>
            </w:r>
            <w:r>
              <w:rPr>
                <w:rFonts w:ascii="Arial" w:eastAsia="Arial" w:hAnsi="Arial" w:cs="Arial"/>
                <w:color w:val="000000"/>
                <w:spacing w:val="0"/>
                <w:w w:val="100"/>
                <w:position w:val="0"/>
                <w:sz w:val="24"/>
                <w:szCs w:val="24"/>
              </w:rPr>
              <w:tab/>
              <w:t>_</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(6,356,030)</w:t>
            </w:r>
          </w:p>
        </w:tc>
      </w:tr>
    </w:tbl>
    <w:p>
      <w:pPr>
        <w:pStyle w:val="Style72"/>
        <w:keepNext w:val="0"/>
        <w:keepLines w:val="0"/>
        <w:widowControl w:val="0"/>
        <w:shd w:val="clear" w:color="auto" w:fill="auto"/>
        <w:tabs>
          <w:tab w:pos="702"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rFonts w:ascii="Arial" w:eastAsia="Arial" w:hAnsi="Arial" w:cs="Arial"/>
          <w:color w:val="000000"/>
          <w:spacing w:val="0"/>
          <w:w w:val="100"/>
          <w:position w:val="0"/>
          <w:sz w:val="24"/>
          <w:szCs w:val="24"/>
        </w:rPr>
        <w:t>（64）</w:t>
      </w:r>
      <w:r>
        <w:rPr>
          <w:b/>
          <w:bCs/>
          <w:color w:val="000000"/>
          <w:spacing w:val="0"/>
          <w:w w:val="100"/>
          <w:position w:val="0"/>
          <w:sz w:val="24"/>
          <w:szCs w:val="24"/>
        </w:rPr>
        <w:t>现金流量表补充资料</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2"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（b）</w:t>
        <w:tab/>
      </w:r>
      <w:r>
        <w:rPr>
          <w:color w:val="000000"/>
          <w:spacing w:val="0"/>
          <w:w w:val="100"/>
          <w:position w:val="0"/>
          <w:sz w:val="24"/>
          <w:szCs w:val="24"/>
        </w:rPr>
        <w:t>取得或处置子公司及业务</w:t>
      </w:r>
    </w:p>
    <w:p>
      <w:pPr>
        <w:pStyle w:val="Style72"/>
        <w:keepNext w:val="0"/>
        <w:keepLines w:val="0"/>
        <w:widowControl w:val="0"/>
        <w:shd w:val="clear" w:color="auto" w:fill="auto"/>
        <w:tabs>
          <w:tab w:pos="702" w:val="left"/>
        </w:tabs>
        <w:bidi w:val="0"/>
        <w:spacing w:before="0" w:after="300" w:line="240" w:lineRule="auto"/>
        <w:ind w:left="0" w:right="0" w:firstLine="0"/>
        <w:jc w:val="left"/>
      </w:pPr>
      <w:r>
        <w:rPr>
          <w:color w:val="000000"/>
          <w:spacing w:val="0"/>
          <w:w w:val="100"/>
          <w:position w:val="0"/>
          <w:sz w:val="24"/>
          <w:szCs w:val="24"/>
        </w:rPr>
        <w:t>⑴</w:t>
        <w:tab/>
        <w:t>取得子公司及业务</w:t>
      </w:r>
    </w:p>
    <w:tbl>
      <w:tblPr>
        <w:tblOverlap w:val="never"/>
        <w:jc w:val="right"/>
        <w:tblLayout w:type="fixed"/>
      </w:tblPr>
      <w:tblGrid>
        <w:gridCol w:w="4219"/>
        <w:gridCol w:w="2054"/>
        <w:gridCol w:w="1790"/>
      </w:tblGrid>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1075" w:hRule="exact"/>
        </w:trPr>
        <w:tc>
          <w:tcPr>
            <w:tcBorders/>
            <w:shd w:val="clear" w:color="auto" w:fill="FFFFFF"/>
            <w:vAlign w:val="bottom"/>
          </w:tcPr>
          <w:p>
            <w:pPr>
              <w:pStyle w:val="Style29"/>
              <w:keepNext w:val="0"/>
              <w:keepLines w:val="0"/>
              <w:widowControl w:val="0"/>
              <w:shd w:val="clear" w:color="auto" w:fill="auto"/>
              <w:bidi w:val="0"/>
              <w:spacing w:before="0" w:after="0" w:line="312" w:lineRule="exact"/>
              <w:ind w:left="260" w:right="0" w:hanging="260"/>
              <w:jc w:val="left"/>
              <w:rPr>
                <w:sz w:val="24"/>
                <w:szCs w:val="24"/>
              </w:rPr>
            </w:pPr>
            <w:r>
              <w:rPr>
                <w:rFonts w:ascii="SimSun" w:eastAsia="SimSun" w:hAnsi="SimSun" w:cs="SimSun"/>
                <w:color w:val="000000"/>
                <w:spacing w:val="0"/>
                <w:w w:val="100"/>
                <w:position w:val="0"/>
                <w:sz w:val="24"/>
                <w:szCs w:val="24"/>
              </w:rPr>
              <w:t>本年发生的企业合并于本年支付的 现金和现金等价物</w:t>
            </w:r>
          </w:p>
          <w:p>
            <w:pPr>
              <w:pStyle w:val="Style29"/>
              <w:keepNext w:val="0"/>
              <w:keepLines w:val="0"/>
              <w:widowControl w:val="0"/>
              <w:shd w:val="clear" w:color="auto" w:fill="auto"/>
              <w:bidi w:val="0"/>
              <w:spacing w:before="0" w:after="0" w:line="312" w:lineRule="exact"/>
              <w:ind w:left="0" w:right="0" w:firstLine="0"/>
              <w:jc w:val="left"/>
              <w:rPr>
                <w:sz w:val="24"/>
                <w:szCs w:val="24"/>
              </w:rPr>
            </w:pPr>
            <w:r>
              <w:rPr>
                <w:rFonts w:ascii="SimSun" w:eastAsia="SimSun" w:hAnsi="SimSun" w:cs="SimSun"/>
                <w:color w:val="000000"/>
                <w:spacing w:val="0"/>
                <w:w w:val="100"/>
                <w:position w:val="0"/>
                <w:sz w:val="24"/>
                <w:szCs w:val="24"/>
              </w:rPr>
              <w:t>加：前期发生的企业合并于本年支付</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629" w:hRule="exact"/>
        </w:trPr>
        <w:tc>
          <w:tcPr>
            <w:tcBorders/>
            <w:shd w:val="clear" w:color="auto" w:fill="FFFFFF"/>
            <w:vAlign w:val="bottom"/>
          </w:tcPr>
          <w:p>
            <w:pPr>
              <w:pStyle w:val="Style29"/>
              <w:keepNext w:val="0"/>
              <w:keepLines w:val="0"/>
              <w:widowControl w:val="0"/>
              <w:shd w:val="clear" w:color="auto" w:fill="auto"/>
              <w:bidi w:val="0"/>
              <w:spacing w:before="0" w:after="0" w:line="322" w:lineRule="exact"/>
              <w:ind w:left="20" w:right="0" w:firstLine="0"/>
              <w:jc w:val="center"/>
              <w:rPr>
                <w:sz w:val="24"/>
                <w:szCs w:val="24"/>
              </w:rPr>
            </w:pPr>
            <w:r>
              <w:rPr>
                <w:rFonts w:ascii="SimSun" w:eastAsia="SimSun" w:hAnsi="SimSun" w:cs="SimSun"/>
                <w:color w:val="000000"/>
                <w:spacing w:val="0"/>
                <w:w w:val="100"/>
                <w:position w:val="0"/>
                <w:sz w:val="24"/>
                <w:szCs w:val="24"/>
              </w:rPr>
              <w:t>的现金和现金等价物 其中：天天快递物流业务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15,900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67,409</w:t>
            </w:r>
          </w:p>
        </w:tc>
      </w:tr>
      <w:tr>
        <w:trPr>
          <w:trHeight w:val="331"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取得子公司及业务支付的现金净额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15,900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67,409</w:t>
            </w:r>
          </w:p>
        </w:tc>
      </w:tr>
      <w:tr>
        <w:trPr>
          <w:trHeight w:val="1330" w:hRule="exact"/>
        </w:trPr>
        <w:tc>
          <w:tcPr>
            <w:tcBorders>
              <w:top w:val="single" w:sz="4"/>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0"/>
              <w:jc w:val="left"/>
              <w:rPr>
                <w:sz w:val="24"/>
                <w:szCs w:val="24"/>
              </w:rPr>
            </w:pPr>
            <w:r>
              <w:rPr>
                <w:rFonts w:ascii="SimSun" w:eastAsia="SimSun" w:hAnsi="SimSun" w:cs="SimSun"/>
                <w:color w:val="000000"/>
                <w:spacing w:val="0"/>
                <w:w w:val="100"/>
                <w:position w:val="0"/>
                <w:sz w:val="24"/>
                <w:szCs w:val="24"/>
              </w:rPr>
              <w:t>前期取得子公司的价格</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509"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天天快递物流业务</w:t>
            </w:r>
          </w:p>
        </w:tc>
        <w:tc>
          <w:tcPr>
            <w:tcBorders>
              <w:bottom w:val="single" w:sz="4"/>
            </w:tcBorders>
            <w:shd w:val="clear" w:color="auto" w:fill="FFFFFF"/>
            <w:vAlign w:val="bottom"/>
          </w:tcPr>
          <w:p>
            <w:pPr>
              <w:pStyle w:val="Style29"/>
              <w:keepNext w:val="0"/>
              <w:keepLines w:val="0"/>
              <w:widowControl w:val="0"/>
              <w:shd w:val="clear" w:color="auto" w:fill="auto"/>
              <w:tabs>
                <w:tab w:pos="1782" w:val="left"/>
              </w:tabs>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u w:val="single"/>
              </w:rPr>
              <w:t>243,975</w:t>
            </w:r>
            <w:r>
              <w:rPr>
                <w:rFonts w:ascii="Arial" w:eastAsia="Arial" w:hAnsi="Arial" w:cs="Arial"/>
                <w:color w:val="000000"/>
                <w:spacing w:val="0"/>
                <w:w w:val="100"/>
                <w:position w:val="0"/>
                <w:sz w:val="24"/>
                <w:szCs w:val="24"/>
              </w:rPr>
              <w:tab/>
              <w:t>_</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243,975</w:t>
            </w:r>
          </w:p>
        </w:tc>
      </w:tr>
    </w:tbl>
    <w:p>
      <w:pPr>
        <w:pStyle w:val="Style72"/>
        <w:keepNext w:val="0"/>
        <w:keepLines w:val="0"/>
        <w:widowControl w:val="0"/>
        <w:shd w:val="clear" w:color="auto" w:fill="auto"/>
        <w:bidi w:val="0"/>
        <w:spacing w:before="0" w:after="60" w:line="240" w:lineRule="auto"/>
        <w:ind w:left="0" w:right="0" w:firstLine="70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280" w:line="240" w:lineRule="auto"/>
        <w:ind w:left="0" w:right="0" w:firstLine="70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tabs>
          <w:tab w:pos="699" w:val="left"/>
        </w:tabs>
        <w:bidi w:val="0"/>
        <w:spacing w:before="0" w:after="22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240" w:lineRule="auto"/>
        <w:ind w:left="0" w:right="0" w:firstLine="0"/>
        <w:jc w:val="left"/>
        <w:rPr>
          <w:sz w:val="28"/>
          <w:szCs w:val="28"/>
        </w:rPr>
      </w:pPr>
      <w:r>
        <w:rPr>
          <w:rFonts w:ascii="Arial" w:eastAsia="Arial" w:hAnsi="Arial" w:cs="Arial"/>
          <w:color w:val="000000"/>
          <w:spacing w:val="0"/>
          <w:w w:val="100"/>
          <w:position w:val="0"/>
          <w:sz w:val="24"/>
          <w:szCs w:val="24"/>
        </w:rPr>
        <w:t>（64）</w:t>
      </w:r>
      <w:r>
        <w:rPr>
          <w:b/>
          <w:bCs/>
          <w:color w:val="000000"/>
          <w:spacing w:val="0"/>
          <w:w w:val="100"/>
          <w:position w:val="0"/>
          <w:sz w:val="24"/>
          <w:szCs w:val="24"/>
        </w:rPr>
        <w:t>现金流量表补充资料</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9" w:val="left"/>
        </w:tabs>
        <w:bidi w:val="0"/>
        <w:spacing w:before="0" w:after="280" w:line="240" w:lineRule="auto"/>
        <w:ind w:left="0" w:right="0" w:firstLine="0"/>
        <w:jc w:val="left"/>
      </w:pPr>
      <w:r>
        <w:rPr>
          <w:rFonts w:ascii="Arial" w:eastAsia="Arial" w:hAnsi="Arial" w:cs="Arial"/>
          <w:color w:val="000000"/>
          <w:spacing w:val="0"/>
          <w:w w:val="100"/>
          <w:position w:val="0"/>
          <w:sz w:val="24"/>
          <w:szCs w:val="24"/>
        </w:rPr>
        <w:t>（b）</w:t>
        <w:tab/>
      </w:r>
      <w:r>
        <w:rPr>
          <w:color w:val="000000"/>
          <w:spacing w:val="0"/>
          <w:w w:val="100"/>
          <w:position w:val="0"/>
          <w:sz w:val="24"/>
          <w:szCs w:val="24"/>
        </w:rPr>
        <w:t>取得或处置子公司及业务</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tabs>
          <w:tab w:pos="699" w:val="left"/>
        </w:tabs>
        <w:bidi w:val="0"/>
        <w:spacing w:before="0" w:after="280" w:line="240" w:lineRule="auto"/>
        <w:ind w:left="0" w:right="0" w:firstLine="0"/>
        <w:jc w:val="left"/>
      </w:pPr>
      <w:r>
        <w:rPr>
          <w:rFonts w:ascii="Arial" w:eastAsia="Arial" w:hAnsi="Arial" w:cs="Arial"/>
          <w:color w:val="000000"/>
          <w:spacing w:val="0"/>
          <w:w w:val="100"/>
          <w:position w:val="0"/>
          <w:sz w:val="24"/>
          <w:szCs w:val="24"/>
        </w:rPr>
        <w:t>（ii）</w:t>
        <w:tab/>
      </w:r>
      <w:r>
        <w:rPr>
          <w:color w:val="000000"/>
          <w:spacing w:val="0"/>
          <w:w w:val="100"/>
          <w:position w:val="0"/>
          <w:sz w:val="24"/>
          <w:szCs w:val="24"/>
        </w:rPr>
        <w:t>处置子公司</w:t>
      </w:r>
    </w:p>
    <w:tbl>
      <w:tblPr>
        <w:tblOverlap w:val="never"/>
        <w:jc w:val="left"/>
        <w:tblLayout w:type="fixed"/>
      </w:tblPr>
      <w:tblGrid>
        <w:gridCol w:w="4368"/>
        <w:gridCol w:w="2059"/>
        <w:gridCol w:w="1642"/>
      </w:tblGrid>
      <w:tr>
        <w:trPr>
          <w:trHeight w:val="461" w:hRule="exact"/>
        </w:trPr>
        <w:tc>
          <w:tcPr>
            <w:tcBorders/>
            <w:shd w:val="clear" w:color="auto" w:fill="FFFFFF"/>
            <w:vAlign w:val="top"/>
          </w:tcPr>
          <w:p>
            <w:pPr>
              <w:pStyle w:val="Style29"/>
              <w:keepNext w:val="0"/>
              <w:keepLines w:val="0"/>
              <w:framePr w:w="8069" w:h="7320" w:vSpace="485" w:wrap="notBeside" w:vAnchor="text" w:hAnchor="text" w:x="716" w:y="486"/>
              <w:widowControl w:val="0"/>
              <w:shd w:val="clear" w:color="auto" w:fill="auto"/>
              <w:bidi w:val="0"/>
              <w:spacing w:before="0" w:after="0" w:line="221" w:lineRule="exact"/>
              <w:ind w:left="0" w:right="0" w:firstLine="0"/>
              <w:jc w:val="left"/>
              <w:rPr>
                <w:sz w:val="18"/>
                <w:szCs w:val="18"/>
              </w:rPr>
            </w:pPr>
            <w:r>
              <w:rPr>
                <w:rFonts w:ascii="SimSun" w:eastAsia="SimSun" w:hAnsi="SimSun" w:cs="SimSun"/>
                <w:color w:val="000000"/>
                <w:spacing w:val="0"/>
                <w:w w:val="100"/>
                <w:position w:val="0"/>
                <w:sz w:val="18"/>
                <w:szCs w:val="18"/>
              </w:rPr>
              <w:t>本年处置子公司于本年收到的现金和现金等价物 其中：南京钰月资产管理有限公司等</w:t>
            </w:r>
            <w:r>
              <w:rPr>
                <w:rFonts w:ascii="Arial" w:eastAsia="Arial" w:hAnsi="Arial" w:cs="Arial"/>
                <w:color w:val="000000"/>
                <w:spacing w:val="0"/>
                <w:w w:val="100"/>
                <w:position w:val="0"/>
                <w:sz w:val="18"/>
                <w:szCs w:val="18"/>
              </w:rPr>
              <w:t>18</w:t>
            </w:r>
            <w:r>
              <w:rPr>
                <w:rFonts w:ascii="SimSun" w:eastAsia="SimSun" w:hAnsi="SimSun" w:cs="SimSun"/>
                <w:color w:val="000000"/>
                <w:spacing w:val="0"/>
                <w:w w:val="100"/>
                <w:position w:val="0"/>
                <w:sz w:val="18"/>
                <w:szCs w:val="18"/>
              </w:rPr>
              <w:t>家仓储物</w:t>
            </w:r>
          </w:p>
        </w:tc>
        <w:tc>
          <w:tcPr>
            <w:tcBorders/>
            <w:shd w:val="clear" w:color="auto" w:fill="FFFFFF"/>
            <w:vAlign w:val="top"/>
          </w:tcPr>
          <w:p>
            <w:pPr>
              <w:framePr w:w="8069" w:h="7320" w:vSpace="485" w:wrap="notBeside" w:vAnchor="text" w:hAnchor="text" w:x="716" w:y="486"/>
              <w:widowControl w:val="0"/>
              <w:rPr>
                <w:sz w:val="10"/>
                <w:szCs w:val="10"/>
              </w:rPr>
            </w:pPr>
          </w:p>
        </w:tc>
        <w:tc>
          <w:tcPr>
            <w:tcBorders/>
            <w:shd w:val="clear" w:color="auto" w:fill="FFFFFF"/>
            <w:vAlign w:val="top"/>
          </w:tcPr>
          <w:p>
            <w:pPr>
              <w:framePr w:w="8069" w:h="7320" w:vSpace="485" w:wrap="notBeside" w:vAnchor="text" w:hAnchor="text" w:x="716" w:y="486"/>
              <w:widowControl w:val="0"/>
              <w:rPr>
                <w:sz w:val="10"/>
                <w:szCs w:val="10"/>
              </w:rPr>
            </w:pPr>
          </w:p>
        </w:tc>
      </w:tr>
      <w:tr>
        <w:trPr>
          <w:trHeight w:val="470" w:hRule="exact"/>
        </w:trPr>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exact"/>
              <w:ind w:left="540" w:right="0" w:firstLine="280"/>
              <w:jc w:val="left"/>
              <w:rPr>
                <w:sz w:val="18"/>
                <w:szCs w:val="18"/>
              </w:rPr>
            </w:pPr>
            <w:r>
              <w:rPr>
                <w:rFonts w:ascii="SimSun" w:eastAsia="SimSun" w:hAnsi="SimSun" w:cs="SimSun"/>
                <w:color w:val="000000"/>
                <w:spacing w:val="0"/>
                <w:w w:val="100"/>
                <w:position w:val="0"/>
                <w:sz w:val="18"/>
                <w:szCs w:val="18"/>
              </w:rPr>
              <w:t>流公司</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以下合称</w:t>
            </w:r>
            <w:r>
              <w:rPr>
                <w:rFonts w:ascii="Arial" w:eastAsia="Arial" w:hAnsi="Arial" w:cs="Arial"/>
                <w:color w:val="000000"/>
                <w:spacing w:val="0"/>
                <w:w w:val="100"/>
                <w:position w:val="0"/>
                <w:sz w:val="18"/>
                <w:szCs w:val="18"/>
              </w:rPr>
              <w:t>“18</w:t>
            </w:r>
            <w:r>
              <w:rPr>
                <w:rFonts w:ascii="SimSun" w:eastAsia="SimSun" w:hAnsi="SimSun" w:cs="SimSun"/>
                <w:color w:val="000000"/>
                <w:spacing w:val="0"/>
                <w:w w:val="100"/>
                <w:position w:val="0"/>
                <w:sz w:val="18"/>
                <w:szCs w:val="18"/>
              </w:rPr>
              <w:t>家仓储物流公司</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sz w:val="18"/>
                <w:szCs w:val="18"/>
              </w:rPr>
              <w:t xml:space="preserve"> </w:t>
            </w:r>
            <w:r>
              <w:rPr>
                <w:rFonts w:ascii="SimSun" w:eastAsia="SimSun" w:hAnsi="SimSun" w:cs="SimSun"/>
                <w:color w:val="000000"/>
                <w:spacing w:val="0"/>
                <w:w w:val="100"/>
                <w:position w:val="0"/>
                <w:sz w:val="18"/>
                <w:szCs w:val="18"/>
              </w:rPr>
              <w:t>南京悦百家网络技术服务有限公司</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8"/>
                <w:szCs w:val="18"/>
              </w:rPr>
              <w:t>以下</w:t>
            </w:r>
          </w:p>
        </w:tc>
        <w:tc>
          <w:tcPr>
            <w:tcBorders/>
            <w:shd w:val="clear" w:color="auto" w:fill="FFFFFF"/>
            <w:vAlign w:val="top"/>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5,078,180</w:t>
            </w:r>
          </w:p>
        </w:tc>
        <w:tc>
          <w:tcPr>
            <w:tcBorders/>
            <w:shd w:val="clear" w:color="auto" w:fill="FFFFFF"/>
            <w:vAlign w:val="top"/>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sz w:val="18"/>
                <w:szCs w:val="18"/>
              </w:rPr>
              <w:t>简称''南京悦百家</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22"/>
                <w:szCs w:val="22"/>
              </w:rPr>
              <w:t>）</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24,000</w:t>
            </w:r>
          </w:p>
        </w:tc>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r>
      <w:tr>
        <w:trPr>
          <w:trHeight w:val="226" w:hRule="exact"/>
        </w:trPr>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苏宁悦城置业</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10,000</w:t>
            </w:r>
          </w:p>
        </w:tc>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r>
      <w:tr>
        <w:trPr>
          <w:trHeight w:val="466" w:hRule="exact"/>
        </w:trPr>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苏宁深创投</w:t>
            </w:r>
          </w:p>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山东渤宁苏宁易购商贸有限公司、湖北苏</w:t>
            </w:r>
          </w:p>
        </w:tc>
        <w:tc>
          <w:tcPr>
            <w:tcBorders/>
            <w:shd w:val="clear" w:color="auto" w:fill="FFFFFF"/>
            <w:vAlign w:val="top"/>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5,023</w:t>
            </w:r>
          </w:p>
        </w:tc>
        <w:tc>
          <w:tcPr>
            <w:tcBorders/>
            <w:shd w:val="clear" w:color="auto" w:fill="FFFFFF"/>
            <w:vAlign w:val="top"/>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r>
      <w:tr>
        <w:trPr>
          <w:trHeight w:val="946" w:hRule="exact"/>
        </w:trPr>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30" w:lineRule="exact"/>
              <w:ind w:left="720" w:right="0" w:firstLine="20"/>
              <w:jc w:val="both"/>
            </w:pPr>
            <w:r>
              <w:rPr>
                <w:rFonts w:ascii="SimSun" w:eastAsia="SimSun" w:hAnsi="SimSun" w:cs="SimSun"/>
                <w:color w:val="000000"/>
                <w:spacing w:val="0"/>
                <w:w w:val="100"/>
                <w:position w:val="0"/>
                <w:sz w:val="18"/>
                <w:szCs w:val="18"/>
              </w:rPr>
              <w:t xml:space="preserve">宁物流有限公司、天津津宁易达物流有 限公司、西安市高新区苏宁易达物流仓 储有限公司、温州苏宁采购有限公司 </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以下合称</w:t>
            </w: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8"/>
                <w:szCs w:val="18"/>
              </w:rPr>
              <w:t>家仓储物流公司</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22"/>
                <w:szCs w:val="22"/>
              </w:rPr>
              <w:t>）</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2,376,131</w:t>
            </w:r>
          </w:p>
        </w:tc>
      </w:tr>
      <w:tr>
        <w:trPr>
          <w:trHeight w:val="235" w:hRule="exact"/>
        </w:trPr>
        <w:tc>
          <w:tcPr>
            <w:tcBorders/>
            <w:shd w:val="clear" w:color="auto" w:fill="FFFFFF"/>
            <w:vAlign w:val="top"/>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中山市苏宁物流有限公司</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8"/>
                <w:szCs w:val="18"/>
              </w:rPr>
              <w:t>以下简称</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中山</w:t>
            </w:r>
          </w:p>
        </w:tc>
        <w:tc>
          <w:tcPr>
            <w:tcBorders/>
            <w:shd w:val="clear" w:color="auto" w:fill="FFFFFF"/>
            <w:vAlign w:val="top"/>
          </w:tcPr>
          <w:p>
            <w:pPr>
              <w:framePr w:w="8069" w:h="7320" w:vSpace="485" w:wrap="notBeside" w:vAnchor="text" w:hAnchor="text" w:x="716" w:y="486"/>
              <w:widowControl w:val="0"/>
              <w:rPr>
                <w:sz w:val="10"/>
                <w:szCs w:val="10"/>
              </w:rPr>
            </w:pPr>
          </w:p>
        </w:tc>
        <w:tc>
          <w:tcPr>
            <w:tcBorders/>
            <w:shd w:val="clear" w:color="auto" w:fill="FFFFFF"/>
            <w:vAlign w:val="top"/>
          </w:tcPr>
          <w:p>
            <w:pPr>
              <w:framePr w:w="8069" w:h="7320" w:vSpace="485" w:wrap="notBeside" w:vAnchor="text" w:hAnchor="text" w:x="716" w:y="486"/>
              <w:widowControl w:val="0"/>
              <w:rPr>
                <w:sz w:val="10"/>
                <w:szCs w:val="10"/>
              </w:rPr>
            </w:pPr>
          </w:p>
        </w:tc>
      </w:tr>
      <w:tr>
        <w:trPr>
          <w:trHeight w:val="235" w:hRule="exact"/>
        </w:trPr>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sz w:val="18"/>
                <w:szCs w:val="18"/>
              </w:rPr>
              <w:t>苏宁物流</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22"/>
                <w:szCs w:val="22"/>
              </w:rPr>
              <w:t>）</w:t>
            </w:r>
          </w:p>
        </w:tc>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226,756</w:t>
            </w:r>
          </w:p>
        </w:tc>
      </w:tr>
      <w:tr>
        <w:trPr>
          <w:trHeight w:val="221" w:hRule="exact"/>
        </w:trPr>
        <w:tc>
          <w:tcPr>
            <w:tcBorders/>
            <w:shd w:val="clear" w:color="auto" w:fill="FFFFFF"/>
            <w:vAlign w:val="top"/>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减：丧失控制权日子公司持有的现金和现金等价</w:t>
            </w:r>
          </w:p>
        </w:tc>
        <w:tc>
          <w:tcPr>
            <w:tcBorders/>
            <w:shd w:val="clear" w:color="auto" w:fill="FFFFFF"/>
            <w:vAlign w:val="top"/>
          </w:tcPr>
          <w:p>
            <w:pPr>
              <w:framePr w:w="8069" w:h="7320" w:vSpace="485" w:wrap="notBeside" w:vAnchor="text" w:hAnchor="text" w:x="716" w:y="486"/>
              <w:widowControl w:val="0"/>
              <w:rPr>
                <w:sz w:val="10"/>
                <w:szCs w:val="10"/>
              </w:rPr>
            </w:pPr>
          </w:p>
        </w:tc>
        <w:tc>
          <w:tcPr>
            <w:tcBorders/>
            <w:shd w:val="clear" w:color="auto" w:fill="FFFFFF"/>
            <w:vAlign w:val="top"/>
          </w:tcPr>
          <w:p>
            <w:pPr>
              <w:framePr w:w="8069" w:h="7320" w:vSpace="485" w:wrap="notBeside" w:vAnchor="text" w:hAnchor="text" w:x="716" w:y="486"/>
              <w:widowControl w:val="0"/>
              <w:rPr>
                <w:sz w:val="10"/>
                <w:szCs w:val="10"/>
              </w:rPr>
            </w:pPr>
          </w:p>
        </w:tc>
      </w:tr>
      <w:tr>
        <w:trPr>
          <w:trHeight w:val="226" w:hRule="exact"/>
        </w:trPr>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物</w:t>
            </w:r>
          </w:p>
        </w:tc>
        <w:tc>
          <w:tcPr>
            <w:tcBorders/>
            <w:shd w:val="clear" w:color="auto" w:fill="FFFFFF"/>
            <w:vAlign w:val="top"/>
          </w:tcPr>
          <w:p>
            <w:pPr>
              <w:framePr w:w="8069" w:h="7320" w:vSpace="485" w:wrap="notBeside" w:vAnchor="text" w:hAnchor="text" w:x="716" w:y="486"/>
              <w:widowControl w:val="0"/>
              <w:rPr>
                <w:sz w:val="10"/>
                <w:szCs w:val="10"/>
              </w:rPr>
            </w:pPr>
          </w:p>
        </w:tc>
        <w:tc>
          <w:tcPr>
            <w:tcBorders/>
            <w:shd w:val="clear" w:color="auto" w:fill="FFFFFF"/>
            <w:vAlign w:val="top"/>
          </w:tcPr>
          <w:p>
            <w:pPr>
              <w:framePr w:w="8069" w:h="7320" w:vSpace="485" w:wrap="notBeside" w:vAnchor="text" w:hAnchor="text" w:x="716" w:y="486"/>
              <w:widowControl w:val="0"/>
              <w:rPr>
                <w:sz w:val="10"/>
                <w:szCs w:val="10"/>
              </w:rPr>
            </w:pPr>
          </w:p>
        </w:tc>
      </w:tr>
      <w:tr>
        <w:trPr>
          <w:trHeight w:val="259" w:hRule="exact"/>
        </w:trPr>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其中：苏宁悦城置业</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(177,666)</w:t>
            </w:r>
          </w:p>
        </w:tc>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苏宁深创投</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(5,023)</w:t>
            </w:r>
          </w:p>
        </w:tc>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18</w:t>
            </w:r>
            <w:r>
              <w:rPr>
                <w:rFonts w:ascii="SimSun" w:eastAsia="SimSun" w:hAnsi="SimSun" w:cs="SimSun"/>
                <w:color w:val="000000"/>
                <w:spacing w:val="0"/>
                <w:w w:val="100"/>
                <w:position w:val="0"/>
                <w:sz w:val="18"/>
                <w:szCs w:val="18"/>
              </w:rPr>
              <w:t>家仓储物流公司</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(2,384)</w:t>
            </w:r>
          </w:p>
        </w:tc>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南京悦百家</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660" w:firstLine="0"/>
              <w:jc w:val="right"/>
              <w:rPr>
                <w:sz w:val="18"/>
                <w:szCs w:val="18"/>
              </w:rPr>
            </w:pPr>
            <w:r>
              <w:rPr>
                <w:rFonts w:ascii="Arial" w:eastAsia="Arial" w:hAnsi="Arial" w:cs="Arial"/>
                <w:color w:val="000000"/>
                <w:spacing w:val="0"/>
                <w:w w:val="100"/>
                <w:position w:val="0"/>
                <w:sz w:val="18"/>
                <w:szCs w:val="18"/>
              </w:rPr>
              <w:t>(40)</w:t>
            </w:r>
          </w:p>
        </w:tc>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8"/>
                <w:szCs w:val="18"/>
              </w:rPr>
              <w:t>家仓储物流公司</w:t>
            </w:r>
          </w:p>
        </w:tc>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(886,589)</w:t>
            </w:r>
          </w:p>
        </w:tc>
      </w:tr>
      <w:tr>
        <w:trPr>
          <w:trHeight w:val="235" w:hRule="exact"/>
        </w:trPr>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中山苏宁物流</w:t>
            </w:r>
          </w:p>
        </w:tc>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(22,499)</w:t>
            </w:r>
          </w:p>
        </w:tc>
      </w:tr>
      <w:tr>
        <w:trPr>
          <w:trHeight w:val="230" w:hRule="exact"/>
        </w:trPr>
        <w:tc>
          <w:tcPr>
            <w:tcBorders/>
            <w:shd w:val="clear" w:color="auto" w:fill="FFFFFF"/>
            <w:vAlign w:val="top"/>
          </w:tcPr>
          <w:p>
            <w:pPr>
              <w:pStyle w:val="Style29"/>
              <w:keepNext w:val="0"/>
              <w:keepLines w:val="0"/>
              <w:framePr w:w="8069" w:h="7320" w:vSpace="485" w:wrap="notBeside" w:vAnchor="text" w:hAnchor="text" w:x="716" w:y="486"/>
              <w:widowControl w:val="0"/>
              <w:shd w:val="clear" w:color="auto" w:fill="auto"/>
              <w:tabs>
                <w:tab w:pos="725" w:val="lef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w:t>
              <w:tab/>
              <w:t>前期处置子公司于本年收到的现金及现</w:t>
            </w:r>
          </w:p>
        </w:tc>
        <w:tc>
          <w:tcPr>
            <w:tcBorders/>
            <w:shd w:val="clear" w:color="auto" w:fill="FFFFFF"/>
            <w:vAlign w:val="top"/>
          </w:tcPr>
          <w:p>
            <w:pPr>
              <w:framePr w:w="8069" w:h="7320" w:vSpace="485" w:wrap="notBeside" w:vAnchor="text" w:hAnchor="text" w:x="716" w:y="486"/>
              <w:widowControl w:val="0"/>
              <w:rPr>
                <w:sz w:val="10"/>
                <w:szCs w:val="10"/>
              </w:rPr>
            </w:pPr>
          </w:p>
        </w:tc>
        <w:tc>
          <w:tcPr>
            <w:tcBorders/>
            <w:shd w:val="clear" w:color="auto" w:fill="FFFFFF"/>
            <w:vAlign w:val="top"/>
          </w:tcPr>
          <w:p>
            <w:pPr>
              <w:framePr w:w="8069" w:h="7320" w:vSpace="485" w:wrap="notBeside" w:vAnchor="text" w:hAnchor="text" w:x="716" w:y="486"/>
              <w:widowControl w:val="0"/>
              <w:rPr>
                <w:sz w:val="10"/>
                <w:szCs w:val="10"/>
              </w:rPr>
            </w:pPr>
          </w:p>
        </w:tc>
      </w:tr>
      <w:tr>
        <w:trPr>
          <w:trHeight w:val="240" w:hRule="exact"/>
        </w:trPr>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金等价物</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44,194</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27,707</w:t>
            </w:r>
          </w:p>
        </w:tc>
      </w:tr>
      <w:tr>
        <w:trPr>
          <w:trHeight w:val="230" w:hRule="exact"/>
        </w:trPr>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w:t>
            </w: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8"/>
                <w:szCs w:val="18"/>
              </w:rPr>
              <w:t>家仓储物流公司</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44,194</w:t>
            </w:r>
          </w:p>
        </w:tc>
        <w:tc>
          <w:tcPr>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top"/>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陕西易达物流投资有限公司、内江苏宁易</w:t>
            </w:r>
          </w:p>
        </w:tc>
        <w:tc>
          <w:tcPr>
            <w:tcBorders/>
            <w:shd w:val="clear" w:color="auto" w:fill="FFFFFF"/>
            <w:vAlign w:val="top"/>
          </w:tcPr>
          <w:p>
            <w:pPr>
              <w:framePr w:w="8069" w:h="7320" w:vSpace="485" w:wrap="notBeside" w:vAnchor="text" w:hAnchor="text" w:x="716" w:y="486"/>
              <w:widowControl w:val="0"/>
              <w:rPr>
                <w:sz w:val="10"/>
                <w:szCs w:val="10"/>
              </w:rPr>
            </w:pPr>
          </w:p>
        </w:tc>
        <w:tc>
          <w:tcPr>
            <w:tcBorders/>
            <w:shd w:val="clear" w:color="auto" w:fill="FFFFFF"/>
            <w:vAlign w:val="top"/>
          </w:tcPr>
          <w:p>
            <w:pPr>
              <w:framePr w:w="8069" w:h="7320" w:vSpace="485" w:wrap="notBeside" w:vAnchor="text" w:hAnchor="text" w:x="716" w:y="486"/>
              <w:widowControl w:val="0"/>
              <w:rPr>
                <w:sz w:val="10"/>
                <w:szCs w:val="10"/>
              </w:rPr>
            </w:pPr>
          </w:p>
        </w:tc>
      </w:tr>
      <w:tr>
        <w:trPr>
          <w:trHeight w:val="936" w:hRule="exact"/>
        </w:trPr>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27" w:lineRule="exact"/>
              <w:ind w:left="720" w:right="0" w:firstLine="20"/>
              <w:jc w:val="both"/>
            </w:pPr>
            <w:r>
              <w:rPr>
                <w:rFonts w:ascii="SimSun" w:eastAsia="SimSun" w:hAnsi="SimSun" w:cs="SimSun"/>
                <w:color w:val="000000"/>
                <w:spacing w:val="0"/>
                <w:w w:val="100"/>
                <w:position w:val="0"/>
                <w:sz w:val="18"/>
                <w:szCs w:val="18"/>
              </w:rPr>
              <w:t>达商贸有限公司、佛山市三水苏宁易达 物流投资有限公司、宁波苏宁易达物流 投资有限公司、湖南苏宁易达物流仓储 有限公司</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以下合称</w:t>
            </w: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8"/>
                <w:szCs w:val="18"/>
              </w:rPr>
              <w:t>家易达物流公司</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22"/>
                <w:szCs w:val="22"/>
              </w:rPr>
              <w:t>）</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27,707</w:t>
            </w:r>
          </w:p>
        </w:tc>
      </w:tr>
      <w:tr>
        <w:trPr>
          <w:trHeight w:val="278" w:hRule="exact"/>
        </w:trPr>
        <w:tc>
          <w:tcPr>
            <w:tcBorders>
              <w:top w:val="single" w:sz="4"/>
              <w:bottom w:val="single" w:sz="4"/>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处置子公司及业务收到支付的现金净额</w:t>
            </w:r>
          </w:p>
        </w:tc>
        <w:tc>
          <w:tcPr>
            <w:tcBorders>
              <w:top w:val="single" w:sz="4"/>
              <w:bottom w:val="single" w:sz="4"/>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4,976,284</w:t>
            </w:r>
          </w:p>
        </w:tc>
        <w:tc>
          <w:tcPr>
            <w:tcBorders>
              <w:top w:val="single" w:sz="4"/>
              <w:bottom w:val="single" w:sz="4"/>
            </w:tcBorders>
            <w:shd w:val="clear" w:color="auto" w:fill="FFFFFF"/>
            <w:vAlign w:val="center"/>
          </w:tcPr>
          <w:p>
            <w:pPr>
              <w:pStyle w:val="Style29"/>
              <w:keepNext w:val="0"/>
              <w:keepLines w:val="0"/>
              <w:framePr w:w="8069" w:h="7320" w:vSpace="485" w:wrap="notBeside" w:vAnchor="text" w:hAnchor="text" w:x="716" w:y="486"/>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1,721,506</w:t>
            </w:r>
          </w:p>
        </w:tc>
      </w:tr>
    </w:tbl>
    <w:p>
      <w:pPr>
        <w:pStyle w:val="Style26"/>
        <w:keepNext w:val="0"/>
        <w:keepLines w:val="0"/>
        <w:framePr w:w="854" w:h="240" w:hSpace="715" w:wrap="notBeside" w:vAnchor="text" w:hAnchor="text" w:x="5588" w:y="1"/>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w:t>
      </w:r>
      <w:r>
        <w:rPr>
          <w:color w:val="000000"/>
          <w:spacing w:val="0"/>
          <w:w w:val="100"/>
          <w:position w:val="0"/>
          <w:sz w:val="18"/>
          <w:szCs w:val="18"/>
        </w:rPr>
        <w:t>年度</w:t>
      </w:r>
    </w:p>
    <w:p>
      <w:pPr>
        <w:pStyle w:val="Style26"/>
        <w:keepNext w:val="0"/>
        <w:keepLines w:val="0"/>
        <w:framePr w:w="854" w:h="240" w:hSpace="715" w:wrap="notBeside" w:vAnchor="text" w:hAnchor="text" w:x="7801" w:y="1"/>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年度</w:t>
      </w:r>
    </w:p>
    <w:p>
      <w:pPr>
        <w:widowControl w:val="0"/>
        <w:spacing w:line="1" w:lineRule="exact"/>
        <w:sectPr>
          <w:footnotePr>
            <w:pos w:val="pageBottom"/>
            <w:numFmt w:val="decimal"/>
            <w:numStart w:val="1"/>
            <w:numRestart w:val="continuous"/>
            <w15:footnoteColumns w:val="1"/>
          </w:footnotePr>
          <w:pgSz w:w="11900" w:h="16840"/>
          <w:pgMar w:top="1842" w:right="1407" w:bottom="3646" w:left="1709" w:header="0" w:footer="3" w:gutter="0"/>
          <w:cols w:space="720"/>
          <w:noEndnote/>
          <w:rtlGutter w:val="0"/>
          <w:docGrid w:linePitch="360"/>
        </w:sectPr>
      </w:pPr>
    </w:p>
    <w:p>
      <w:pPr>
        <w:pStyle w:val="Style72"/>
        <w:keepNext w:val="0"/>
        <w:keepLines w:val="0"/>
        <w:widowControl w:val="0"/>
        <w:shd w:val="clear" w:color="auto" w:fill="auto"/>
        <w:bidi w:val="0"/>
        <w:spacing w:before="0" w:after="80" w:line="326" w:lineRule="exact"/>
        <w:ind w:right="0" w:firstLine="0"/>
        <w:jc w:val="left"/>
      </w:pPr>
      <w:r>
        <w:rPr>
          <w:b/>
          <w:bCs/>
          <w:color w:val="000000"/>
          <w:spacing w:val="0"/>
          <w:w w:val="100"/>
          <w:position w:val="0"/>
          <w:sz w:val="24"/>
          <w:szCs w:val="24"/>
        </w:rPr>
        <w:t>苏宁易购集团股份有限公司 财务报表附注</w:t>
      </w:r>
    </w:p>
    <w:p>
      <w:pPr>
        <w:pStyle w:val="Style92"/>
        <w:keepNext w:val="0"/>
        <w:keepLines w:val="0"/>
        <w:widowControl w:val="0"/>
        <w:shd w:val="clear" w:color="auto" w:fill="auto"/>
        <w:bidi w:val="0"/>
        <w:spacing w:before="0" w:after="80" w:line="240" w:lineRule="auto"/>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00" w:line="240" w:lineRule="auto"/>
        <w:ind w:left="0" w:right="0" w:firstLine="72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bidi w:val="0"/>
        <w:spacing w:before="0" w:after="200" w:line="240" w:lineRule="auto"/>
        <w:ind w:left="0" w:right="0" w:firstLine="720"/>
        <w:jc w:val="left"/>
      </w:pPr>
      <w:r>
        <w:rPr>
          <w:b/>
          <w:bCs/>
          <w:color w:val="000000"/>
          <w:spacing w:val="0"/>
          <w:w w:val="100"/>
          <w:position w:val="0"/>
          <w:sz w:val="24"/>
          <w:szCs w:val="24"/>
        </w:rPr>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widowControl w:val="0"/>
        <w:spacing w:line="1" w:lineRule="exact"/>
      </w:pPr>
      <w:r>
        <mc:AlternateContent>
          <mc:Choice Requires="wps">
            <w:drawing>
              <wp:anchor distT="88900" distB="770890" distL="0" distR="0" simplePos="0" relativeHeight="125829420" behindDoc="0" locked="0" layoutInCell="1" allowOverlap="1">
                <wp:simplePos x="0" y="0"/>
                <wp:positionH relativeFrom="page">
                  <wp:posOffset>1085215</wp:posOffset>
                </wp:positionH>
                <wp:positionV relativeFrom="paragraph">
                  <wp:posOffset>88900</wp:posOffset>
                </wp:positionV>
                <wp:extent cx="292735" cy="189230"/>
                <wp:wrapTopAndBottom/>
                <wp:docPr id="68" name="Shape 68"/>
                <a:graphic xmlns:a="http://schemas.openxmlformats.org/drawingml/2006/main">
                  <a:graphicData uri="http://schemas.microsoft.com/office/word/2010/wordprocessingShape">
                    <wps:wsp>
                      <wps:cNvSpPr txBox="1"/>
                      <wps:spPr>
                        <a:xfrm>
                          <a:ext cx="292735" cy="18923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(64)</w:t>
                            </w:r>
                          </w:p>
                        </w:txbxContent>
                      </wps:txbx>
                      <wps:bodyPr wrap="none" lIns="0" tIns="0" rIns="0" bIns="0">
                        <a:noAutoFit/>
                      </wps:bodyPr>
                    </wps:wsp>
                  </a:graphicData>
                </a:graphic>
              </wp:anchor>
            </w:drawing>
          </mc:Choice>
          <mc:Fallback>
            <w:pict>
              <v:shape id="_x0000_s1094" type="#_x0000_t202" style="position:absolute;margin-left:85.450000000000003pt;margin-top:7.pt;width:23.050000000000001pt;height:14.9pt;z-index:-125829333;mso-wrap-distance-left:0;mso-wrap-distance-top:7.pt;mso-wrap-distance-right:0;mso-wrap-distance-bottom:60.700000000000003pt;mso-position-horizontal-relative:page" filled="f" stroked="f">
                <v:textbox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(64)</w:t>
                      </w:r>
                    </w:p>
                  </w:txbxContent>
                </v:textbox>
                <w10:wrap type="topAndBottom" anchorx="page"/>
              </v:shape>
            </w:pict>
          </mc:Fallback>
        </mc:AlternateContent>
      </w:r>
      <w:r>
        <mc:AlternateContent>
          <mc:Choice Requires="wps">
            <w:drawing>
              <wp:anchor distT="95250" distB="752475" distL="0" distR="0" simplePos="0" relativeHeight="125829422" behindDoc="0" locked="0" layoutInCell="1" allowOverlap="1">
                <wp:simplePos x="0" y="0"/>
                <wp:positionH relativeFrom="page">
                  <wp:posOffset>1539240</wp:posOffset>
                </wp:positionH>
                <wp:positionV relativeFrom="paragraph">
                  <wp:posOffset>95250</wp:posOffset>
                </wp:positionV>
                <wp:extent cx="1649095" cy="201295"/>
                <wp:wrapTopAndBottom/>
                <wp:docPr id="70" name="Shape 70"/>
                <a:graphic xmlns:a="http://schemas.openxmlformats.org/drawingml/2006/main">
                  <a:graphicData uri="http://schemas.microsoft.com/office/word/2010/wordprocessingShape">
                    <wps:wsp>
                      <wps:cNvSpPr txBox="1"/>
                      <wps:spPr>
                        <a:xfrm>
                          <a:ext cx="1649095" cy="20129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现金流量表补充资料</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txbxContent>
                      </wps:txbx>
                      <wps:bodyPr wrap="none" lIns="0" tIns="0" rIns="0" bIns="0">
                        <a:noAutoFit/>
                      </wps:bodyPr>
                    </wps:wsp>
                  </a:graphicData>
                </a:graphic>
              </wp:anchor>
            </w:drawing>
          </mc:Choice>
          <mc:Fallback>
            <w:pict>
              <v:shape id="_x0000_s1096" type="#_x0000_t202" style="position:absolute;margin-left:121.2pt;margin-top:7.5pt;width:129.84999999999999pt;height:15.85pt;z-index:-125829331;mso-wrap-distance-left:0;mso-wrap-distance-top:7.5pt;mso-wrap-distance-right:0;mso-wrap-distance-bottom:59.25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现金流量表补充资料</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txbxContent>
                </v:textbox>
                <w10:wrap type="topAndBottom" anchorx="page"/>
              </v:shape>
            </w:pict>
          </mc:Fallback>
        </mc:AlternateContent>
      </w:r>
      <w:r>
        <mc:AlternateContent>
          <mc:Choice Requires="wps">
            <w:drawing>
              <wp:anchor distT="494030" distB="363220" distL="0" distR="0" simplePos="0" relativeHeight="125829424" behindDoc="0" locked="0" layoutInCell="1" allowOverlap="1">
                <wp:simplePos x="0" y="0"/>
                <wp:positionH relativeFrom="page">
                  <wp:posOffset>1085215</wp:posOffset>
                </wp:positionH>
                <wp:positionV relativeFrom="paragraph">
                  <wp:posOffset>494030</wp:posOffset>
                </wp:positionV>
                <wp:extent cx="207010" cy="191770"/>
                <wp:wrapTopAndBottom/>
                <wp:docPr id="72" name="Shape 72"/>
                <a:graphic xmlns:a="http://schemas.openxmlformats.org/drawingml/2006/main">
                  <a:graphicData uri="http://schemas.microsoft.com/office/word/2010/wordprocessingShape">
                    <wps:wsp>
                      <wps:cNvSpPr txBox="1"/>
                      <wps:spPr>
                        <a:xfrm>
                          <a:ext cx="207010" cy="19177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p>
                        </w:txbxContent>
                      </wps:txbx>
                      <wps:bodyPr wrap="none" lIns="0" tIns="0" rIns="0" bIns="0">
                        <a:noAutoFit/>
                      </wps:bodyPr>
                    </wps:wsp>
                  </a:graphicData>
                </a:graphic>
              </wp:anchor>
            </w:drawing>
          </mc:Choice>
          <mc:Fallback>
            <w:pict>
              <v:shape id="_x0000_s1098" type="#_x0000_t202" style="position:absolute;margin-left:85.450000000000003pt;margin-top:38.899999999999999pt;width:16.300000000000001pt;height:15.1pt;z-index:-125829329;mso-wrap-distance-left:0;mso-wrap-distance-top:38.899999999999999pt;mso-wrap-distance-right:0;mso-wrap-distance-bottom:28.600000000000001pt;mso-position-horizontal-relative:page" filled="f" stroked="f">
                <v:textbox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p>
                  </w:txbxContent>
                </v:textbox>
                <w10:wrap type="topAndBottom" anchorx="page"/>
              </v:shape>
            </w:pict>
          </mc:Fallback>
        </mc:AlternateContent>
      </w:r>
      <w:r>
        <mc:AlternateContent>
          <mc:Choice Requires="wps">
            <w:drawing>
              <wp:anchor distT="466725" distB="381000" distL="0" distR="0" simplePos="0" relativeHeight="125829426" behindDoc="0" locked="0" layoutInCell="1" allowOverlap="1">
                <wp:simplePos x="0" y="0"/>
                <wp:positionH relativeFrom="page">
                  <wp:posOffset>1542415</wp:posOffset>
                </wp:positionH>
                <wp:positionV relativeFrom="paragraph">
                  <wp:posOffset>466725</wp:posOffset>
                </wp:positionV>
                <wp:extent cx="1950720" cy="201295"/>
                <wp:wrapTopAndBottom/>
                <wp:docPr id="74" name="Shape 74"/>
                <a:graphic xmlns:a="http://schemas.openxmlformats.org/drawingml/2006/main">
                  <a:graphicData uri="http://schemas.microsoft.com/office/word/2010/wordprocessingShape">
                    <wps:wsp>
                      <wps:cNvSpPr txBox="1"/>
                      <wps:spPr>
                        <a:xfrm>
                          <a:ext cx="1950720" cy="20129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取得或处置子公司及业务</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p>
                        </w:txbxContent>
                      </wps:txbx>
                      <wps:bodyPr wrap="none" lIns="0" tIns="0" rIns="0" bIns="0">
                        <a:noAutoFit/>
                      </wps:bodyPr>
                    </wps:wsp>
                  </a:graphicData>
                </a:graphic>
              </wp:anchor>
            </w:drawing>
          </mc:Choice>
          <mc:Fallback>
            <w:pict>
              <v:shape id="_x0000_s1100" type="#_x0000_t202" style="position:absolute;margin-left:121.45pt;margin-top:36.75pt;width:153.59999999999999pt;height:15.85pt;z-index:-125829327;mso-wrap-distance-left:0;mso-wrap-distance-top:36.75pt;mso-wrap-distance-right:0;mso-wrap-distance-bottom:30.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取得或处置子公司及业务</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p>
                  </w:txbxContent>
                </v:textbox>
                <w10:wrap type="topAndBottom" anchorx="page"/>
              </v:shape>
            </w:pict>
          </mc:Fallback>
        </mc:AlternateContent>
      </w:r>
      <w:r>
        <mc:AlternateContent>
          <mc:Choice Requires="wps">
            <w:drawing>
              <wp:anchor distT="844550" distB="0" distL="0" distR="0" simplePos="0" relativeHeight="125829428" behindDoc="0" locked="0" layoutInCell="1" allowOverlap="1">
                <wp:simplePos x="0" y="0"/>
                <wp:positionH relativeFrom="page">
                  <wp:posOffset>1085215</wp:posOffset>
                </wp:positionH>
                <wp:positionV relativeFrom="paragraph">
                  <wp:posOffset>844550</wp:posOffset>
                </wp:positionV>
                <wp:extent cx="189230" cy="204470"/>
                <wp:wrapTopAndBottom/>
                <wp:docPr id="76" name="Shape 76"/>
                <a:graphic xmlns:a="http://schemas.openxmlformats.org/drawingml/2006/main">
                  <a:graphicData uri="http://schemas.microsoft.com/office/word/2010/wordprocessingShape">
                    <wps:wsp>
                      <wps:cNvSpPr txBox="1"/>
                      <wps:spPr>
                        <a:xfrm>
                          <a:ext cx="189230" cy="20447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(ii)</w:t>
                            </w:r>
                          </w:p>
                        </w:txbxContent>
                      </wps:txbx>
                      <wps:bodyPr wrap="none" lIns="0" tIns="0" rIns="0" bIns="0">
                        <a:noAutoFit/>
                      </wps:bodyPr>
                    </wps:wsp>
                  </a:graphicData>
                </a:graphic>
              </wp:anchor>
            </w:drawing>
          </mc:Choice>
          <mc:Fallback>
            <w:pict>
              <v:shape id="_x0000_s1102" type="#_x0000_t202" style="position:absolute;margin-left:85.450000000000003pt;margin-top:66.5pt;width:14.9pt;height:16.100000000000001pt;z-index:-125829325;mso-wrap-distance-left:0;mso-wrap-distance-top:66.5pt;mso-wrap-distance-right:0;mso-position-horizontal-relative:page" filled="f" stroked="f">
                <v:textbox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(ii)</w:t>
                      </w:r>
                    </w:p>
                  </w:txbxContent>
                </v:textbox>
                <w10:wrap type="topAndBottom" anchorx="page"/>
              </v:shape>
            </w:pict>
          </mc:Fallback>
        </mc:AlternateContent>
      </w:r>
      <w:r>
        <mc:AlternateContent>
          <mc:Choice Requires="wps">
            <w:drawing>
              <wp:anchor distT="842010" distB="5715" distL="0" distR="0" simplePos="0" relativeHeight="125829430" behindDoc="0" locked="0" layoutInCell="1" allowOverlap="1">
                <wp:simplePos x="0" y="0"/>
                <wp:positionH relativeFrom="page">
                  <wp:posOffset>1542415</wp:posOffset>
                </wp:positionH>
                <wp:positionV relativeFrom="paragraph">
                  <wp:posOffset>842010</wp:posOffset>
                </wp:positionV>
                <wp:extent cx="1036320" cy="201295"/>
                <wp:wrapTopAndBottom/>
                <wp:docPr id="78" name="Shape 78"/>
                <a:graphic xmlns:a="http://schemas.openxmlformats.org/drawingml/2006/main">
                  <a:graphicData uri="http://schemas.microsoft.com/office/word/2010/wordprocessingShape">
                    <wps:wsp>
                      <wps:cNvSpPr txBox="1"/>
                      <wps:spPr>
                        <a:xfrm>
                          <a:ext cx="1036320" cy="20129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处置子公司</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p>
                        </w:txbxContent>
                      </wps:txbx>
                      <wps:bodyPr wrap="none" lIns="0" tIns="0" rIns="0" bIns="0">
                        <a:noAutoFit/>
                      </wps:bodyPr>
                    </wps:wsp>
                  </a:graphicData>
                </a:graphic>
              </wp:anchor>
            </w:drawing>
          </mc:Choice>
          <mc:Fallback>
            <w:pict>
              <v:shape id="_x0000_s1104" type="#_x0000_t202" style="position:absolute;margin-left:121.45pt;margin-top:66.299999999999997pt;width:81.600000000000009pt;height:15.85pt;z-index:-125829323;mso-wrap-distance-left:0;mso-wrap-distance-top:66.299999999999997pt;mso-wrap-distance-right:0;mso-wrap-distance-bottom:0.45000000000000001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处置子公司</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p>
                  </w:txbxContent>
                </v:textbox>
                <w10:wrap type="topAndBottom" anchorx="page"/>
              </v:shape>
            </w:pict>
          </mc:Fallback>
        </mc:AlternateContent>
      </w:r>
    </w:p>
    <w:p>
      <w:pPr>
        <w:widowControl w:val="0"/>
        <w:spacing w:line="1" w:lineRule="exact"/>
      </w:pPr>
      <w:r>
        <mc:AlternateContent>
          <mc:Choice Requires="wps">
            <w:drawing>
              <wp:anchor distT="101600" distB="0" distL="0" distR="0" simplePos="0" relativeHeight="125829432" behindDoc="0" locked="0" layoutInCell="1" allowOverlap="1">
                <wp:simplePos x="0" y="0"/>
                <wp:positionH relativeFrom="page">
                  <wp:posOffset>1536065</wp:posOffset>
                </wp:positionH>
                <wp:positionV relativeFrom="paragraph">
                  <wp:posOffset>101600</wp:posOffset>
                </wp:positionV>
                <wp:extent cx="1776730" cy="198120"/>
                <wp:wrapTopAndBottom/>
                <wp:docPr id="80" name="Shape 80"/>
                <a:graphic xmlns:a="http://schemas.openxmlformats.org/drawingml/2006/main">
                  <a:graphicData uri="http://schemas.microsoft.com/office/word/2010/wordprocessingShape">
                    <wps:wsp>
                      <wps:cNvSpPr txBox="1"/>
                      <wps:spPr>
                        <a:xfrm>
                          <a:ext cx="1776730" cy="19812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sz w:val="24"/>
                                <w:szCs w:val="24"/>
                              </w:rPr>
                              <w:t>年处置子公司的价格</w:t>
                            </w:r>
                          </w:p>
                        </w:txbxContent>
                      </wps:txbx>
                      <wps:bodyPr wrap="none" lIns="0" tIns="0" rIns="0" bIns="0">
                        <a:noAutoFit/>
                      </wps:bodyPr>
                    </wps:wsp>
                  </a:graphicData>
                </a:graphic>
              </wp:anchor>
            </w:drawing>
          </mc:Choice>
          <mc:Fallback>
            <w:pict>
              <v:shape id="_x0000_s1106" type="#_x0000_t202" style="position:absolute;margin-left:120.95pt;margin-top:8.pt;width:139.90000000000001pt;height:15.6pt;z-index:-125829321;mso-wrap-distance-left:0;mso-wrap-distance-top:8.pt;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sz w:val="24"/>
                          <w:szCs w:val="24"/>
                        </w:rPr>
                        <w:t>年处置子公司的价格</w:t>
                      </w:r>
                    </w:p>
                  </w:txbxContent>
                </v:textbox>
                <w10:wrap type="topAndBottom" anchorx="page"/>
              </v:shape>
            </w:pict>
          </mc:Fallback>
        </mc:AlternateContent>
      </w:r>
    </w:p>
    <w:p>
      <w:pPr>
        <w:widowControl w:val="0"/>
        <w:spacing w:line="1" w:lineRule="exact"/>
      </w:pPr>
      <w:r>
        <mc:AlternateContent>
          <mc:Choice Requires="wps">
            <w:drawing>
              <wp:anchor distT="165100" distB="0" distL="0" distR="0" simplePos="0" relativeHeight="125829434" behindDoc="0" locked="0" layoutInCell="1" allowOverlap="1">
                <wp:simplePos x="0" y="0"/>
                <wp:positionH relativeFrom="page">
                  <wp:posOffset>5870575</wp:posOffset>
                </wp:positionH>
                <wp:positionV relativeFrom="paragraph">
                  <wp:posOffset>165100</wp:posOffset>
                </wp:positionV>
                <wp:extent cx="709930" cy="198120"/>
                <wp:wrapTopAndBottom/>
                <wp:docPr id="82" name="Shape 82"/>
                <a:graphic xmlns:a="http://schemas.openxmlformats.org/drawingml/2006/main">
                  <a:graphicData uri="http://schemas.microsoft.com/office/word/2010/wordprocessingShape">
                    <wps:wsp>
                      <wps:cNvSpPr txBox="1"/>
                      <wps:spPr>
                        <a:xfrm>
                          <a:ext cx="709930" cy="19812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w:t>
                            </w:r>
                            <w:r>
                              <w:rPr>
                                <w:rFonts w:ascii="SimSun" w:eastAsia="SimSun" w:hAnsi="SimSun" w:cs="SimSun"/>
                                <w:color w:val="000000"/>
                                <w:spacing w:val="0"/>
                                <w:w w:val="100"/>
                                <w:position w:val="0"/>
                                <w:sz w:val="24"/>
                                <w:szCs w:val="24"/>
                              </w:rPr>
                              <w:t>年度</w:t>
                            </w:r>
                          </w:p>
                        </w:txbxContent>
                      </wps:txbx>
                      <wps:bodyPr wrap="none" lIns="0" tIns="0" rIns="0" bIns="0">
                        <a:noAutoFit/>
                      </wps:bodyPr>
                    </wps:wsp>
                  </a:graphicData>
                </a:graphic>
              </wp:anchor>
            </w:drawing>
          </mc:Choice>
          <mc:Fallback>
            <w:pict>
              <v:shape id="_x0000_s1108" type="#_x0000_t202" style="position:absolute;margin-left:462.25pt;margin-top:13.pt;width:55.899999999999999pt;height:15.6pt;z-index:-125829319;mso-wrap-distance-left:0;mso-wrap-distance-top:13.pt;mso-wrap-distance-right:0;mso-position-horizontal-relative:page" filled="f" stroked="f">
                <v:textbox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w:t>
                      </w:r>
                      <w:r>
                        <w:rPr>
                          <w:rFonts w:ascii="SimSun" w:eastAsia="SimSun" w:hAnsi="SimSun" w:cs="SimSun"/>
                          <w:color w:val="000000"/>
                          <w:spacing w:val="0"/>
                          <w:w w:val="100"/>
                          <w:position w:val="0"/>
                          <w:sz w:val="24"/>
                          <w:szCs w:val="24"/>
                        </w:rPr>
                        <w:t>年度</w:t>
                      </w:r>
                    </w:p>
                  </w:txbxContent>
                </v:textbox>
                <w10:wrap type="topAndBottom" anchorx="page"/>
              </v:shape>
            </w:pict>
          </mc:Fallback>
        </mc:AlternateContent>
      </w:r>
    </w:p>
    <w:p>
      <w:pPr>
        <w:widowControl w:val="0"/>
        <w:spacing w:line="1" w:lineRule="exact"/>
      </w:pPr>
      <w:r>
        <mc:AlternateContent>
          <mc:Choice Requires="wps">
            <w:drawing>
              <wp:anchor distT="165100" distB="530225" distL="0" distR="0" simplePos="0" relativeHeight="125829436" behindDoc="0" locked="0" layoutInCell="1" allowOverlap="1">
                <wp:simplePos x="0" y="0"/>
                <wp:positionH relativeFrom="page">
                  <wp:posOffset>1542415</wp:posOffset>
                </wp:positionH>
                <wp:positionV relativeFrom="paragraph">
                  <wp:posOffset>165100</wp:posOffset>
                </wp:positionV>
                <wp:extent cx="1298575" cy="792480"/>
                <wp:wrapTopAndBottom/>
                <wp:docPr id="84" name="Shape 84"/>
                <a:graphic xmlns:a="http://schemas.openxmlformats.org/drawingml/2006/main">
                  <a:graphicData uri="http://schemas.microsoft.com/office/word/2010/wordprocessingShape">
                    <wps:wsp>
                      <wps:cNvSpPr txBox="1"/>
                      <wps:spPr>
                        <a:xfrm>
                          <a:ext cx="1298575" cy="7924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18</w:t>
                            </w:r>
                            <w:r>
                              <w:rPr>
                                <w:color w:val="000000"/>
                                <w:spacing w:val="0"/>
                                <w:w w:val="100"/>
                                <w:position w:val="0"/>
                                <w:sz w:val="24"/>
                                <w:szCs w:val="24"/>
                              </w:rPr>
                              <w:t>家仓储物流公司</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苏宁悦城置业</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南京悦百家</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苏宁深创投</w:t>
                            </w:r>
                          </w:p>
                        </w:txbxContent>
                      </wps:txbx>
                      <wps:bodyPr lIns="0" tIns="0" rIns="0" bIns="0">
                        <a:noAutoFit/>
                      </wps:bodyPr>
                    </wps:wsp>
                  </a:graphicData>
                </a:graphic>
              </wp:anchor>
            </w:drawing>
          </mc:Choice>
          <mc:Fallback>
            <w:pict>
              <v:shape id="_x0000_s1110" type="#_x0000_t202" style="position:absolute;margin-left:121.45pt;margin-top:13.pt;width:102.25pt;height:62.399999999999999pt;z-index:-125829317;mso-wrap-distance-left:0;mso-wrap-distance-top:13.pt;mso-wrap-distance-right:0;mso-wrap-distance-bottom:41.75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18</w:t>
                      </w:r>
                      <w:r>
                        <w:rPr>
                          <w:color w:val="000000"/>
                          <w:spacing w:val="0"/>
                          <w:w w:val="100"/>
                          <w:position w:val="0"/>
                          <w:sz w:val="24"/>
                          <w:szCs w:val="24"/>
                        </w:rPr>
                        <w:t>家仓储物流公司</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苏宁悦城置业</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南京悦百家</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苏宁深创投</w:t>
                      </w:r>
                    </w:p>
                  </w:txbxContent>
                </v:textbox>
                <w10:wrap type="topAndBottom" anchorx="page"/>
              </v:shape>
            </w:pict>
          </mc:Fallback>
        </mc:AlternateContent>
      </w:r>
      <w:r>
        <mc:AlternateContent>
          <mc:Choice Requires="wps">
            <w:drawing>
              <wp:anchor distT="186690" distB="322580" distL="0" distR="0" simplePos="0" relativeHeight="125829438" behindDoc="0" locked="0" layoutInCell="1" allowOverlap="1">
                <wp:simplePos x="0" y="0"/>
                <wp:positionH relativeFrom="page">
                  <wp:posOffset>5852160</wp:posOffset>
                </wp:positionH>
                <wp:positionV relativeFrom="paragraph">
                  <wp:posOffset>186690</wp:posOffset>
                </wp:positionV>
                <wp:extent cx="704215" cy="978535"/>
                <wp:wrapTopAndBottom/>
                <wp:docPr id="86" name="Shape 86"/>
                <a:graphic xmlns:a="http://schemas.openxmlformats.org/drawingml/2006/main">
                  <a:graphicData uri="http://schemas.microsoft.com/office/word/2010/wordprocessingShape">
                    <wps:wsp>
                      <wps:cNvSpPr txBox="1"/>
                      <wps:spPr>
                        <a:xfrm>
                          <a:ext cx="704215" cy="978535"/>
                        </a:xfrm>
                        <a:prstGeom prst="rect"/>
                        <a:noFill/>
                      </wps:spPr>
                      <wps:txbx>
                        <w:txbxContent>
                          <w:p>
                            <w:pPr>
                              <w:pStyle w:val="Style92"/>
                              <w:keepNext w:val="0"/>
                              <w:keepLines w:val="0"/>
                              <w:widowControl w:val="0"/>
                              <w:shd w:val="clear" w:color="auto" w:fill="auto"/>
                              <w:bidi w:val="0"/>
                              <w:spacing w:before="0" w:after="0" w:line="262" w:lineRule="auto"/>
                              <w:ind w:left="0" w:right="0" w:firstLine="0"/>
                              <w:jc w:val="left"/>
                            </w:pPr>
                            <w:r>
                              <w:rPr>
                                <w:color w:val="000000"/>
                                <w:spacing w:val="0"/>
                                <w:w w:val="100"/>
                                <w:position w:val="0"/>
                                <w:sz w:val="24"/>
                                <w:szCs w:val="24"/>
                              </w:rPr>
                              <w:t>5,078,180</w:t>
                            </w:r>
                          </w:p>
                          <w:p>
                            <w:pPr>
                              <w:pStyle w:val="Style92"/>
                              <w:keepNext w:val="0"/>
                              <w:keepLines w:val="0"/>
                              <w:widowControl w:val="0"/>
                              <w:shd w:val="clear" w:color="auto" w:fill="auto"/>
                              <w:bidi w:val="0"/>
                              <w:spacing w:before="0" w:after="0" w:line="262" w:lineRule="auto"/>
                              <w:ind w:left="0" w:right="0" w:firstLine="0"/>
                              <w:jc w:val="right"/>
                            </w:pPr>
                            <w:r>
                              <w:rPr>
                                <w:color w:val="000000"/>
                                <w:spacing w:val="0"/>
                                <w:w w:val="100"/>
                                <w:position w:val="0"/>
                                <w:sz w:val="24"/>
                                <w:szCs w:val="24"/>
                              </w:rPr>
                              <w:t>628,500</w:t>
                            </w:r>
                          </w:p>
                          <w:p>
                            <w:pPr>
                              <w:pStyle w:val="Style92"/>
                              <w:keepNext w:val="0"/>
                              <w:keepLines w:val="0"/>
                              <w:widowControl w:val="0"/>
                              <w:pBdr>
                                <w:top w:val="single" w:sz="4" w:space="0" w:color="auto"/>
                                <w:bottom w:val="single" w:sz="4" w:space="0" w:color="auto"/>
                              </w:pBdr>
                              <w:shd w:val="clear" w:color="auto" w:fill="auto"/>
                              <w:bidi w:val="0"/>
                              <w:spacing w:before="0" w:after="0" w:line="262" w:lineRule="auto"/>
                              <w:ind w:left="0" w:right="0" w:firstLine="0"/>
                              <w:jc w:val="right"/>
                            </w:pPr>
                            <w:r>
                              <w:rPr>
                                <w:color w:val="000000"/>
                                <w:spacing w:val="0"/>
                                <w:w w:val="100"/>
                                <w:position w:val="0"/>
                                <w:sz w:val="24"/>
                                <w:szCs w:val="24"/>
                              </w:rPr>
                              <w:t xml:space="preserve">24,000 </w:t>
                            </w:r>
                            <w:r>
                              <w:rPr>
                                <w:color w:val="000000"/>
                                <w:spacing w:val="0"/>
                                <w:w w:val="100"/>
                                <w:position w:val="0"/>
                                <w:sz w:val="24"/>
                                <w:szCs w:val="24"/>
                                <w:u w:val="single"/>
                              </w:rPr>
                              <w:t xml:space="preserve">5,023 </w:t>
                            </w:r>
                            <w:r>
                              <w:rPr>
                                <w:color w:val="000000"/>
                                <w:spacing w:val="0"/>
                                <w:w w:val="100"/>
                                <w:position w:val="0"/>
                                <w:sz w:val="24"/>
                                <w:szCs w:val="24"/>
                              </w:rPr>
                              <w:t>5,735,703</w:t>
                            </w:r>
                          </w:p>
                        </w:txbxContent>
                      </wps:txbx>
                      <wps:bodyPr lIns="0" tIns="0" rIns="0" bIns="0">
                        <a:noAutoFit/>
                      </wps:bodyPr>
                    </wps:wsp>
                  </a:graphicData>
                </a:graphic>
              </wp:anchor>
            </w:drawing>
          </mc:Choice>
          <mc:Fallback>
            <w:pict>
              <v:shape id="_x0000_s1112" type="#_x0000_t202" style="position:absolute;margin-left:460.80000000000001pt;margin-top:14.700000000000001pt;width:55.450000000000003pt;height:77.049999999999997pt;z-index:-125829315;mso-wrap-distance-left:0;mso-wrap-distance-top:14.700000000000001pt;mso-wrap-distance-right:0;mso-wrap-distance-bottom:25.400000000000002pt;mso-position-horizontal-relative:page" filled="f" stroked="f">
                <v:textbox inset="0,0,0,0">
                  <w:txbxContent>
                    <w:p>
                      <w:pPr>
                        <w:pStyle w:val="Style92"/>
                        <w:keepNext w:val="0"/>
                        <w:keepLines w:val="0"/>
                        <w:widowControl w:val="0"/>
                        <w:shd w:val="clear" w:color="auto" w:fill="auto"/>
                        <w:bidi w:val="0"/>
                        <w:spacing w:before="0" w:after="0" w:line="262" w:lineRule="auto"/>
                        <w:ind w:left="0" w:right="0" w:firstLine="0"/>
                        <w:jc w:val="left"/>
                      </w:pPr>
                      <w:r>
                        <w:rPr>
                          <w:color w:val="000000"/>
                          <w:spacing w:val="0"/>
                          <w:w w:val="100"/>
                          <w:position w:val="0"/>
                          <w:sz w:val="24"/>
                          <w:szCs w:val="24"/>
                        </w:rPr>
                        <w:t>5,078,180</w:t>
                      </w:r>
                    </w:p>
                    <w:p>
                      <w:pPr>
                        <w:pStyle w:val="Style92"/>
                        <w:keepNext w:val="0"/>
                        <w:keepLines w:val="0"/>
                        <w:widowControl w:val="0"/>
                        <w:shd w:val="clear" w:color="auto" w:fill="auto"/>
                        <w:bidi w:val="0"/>
                        <w:spacing w:before="0" w:after="0" w:line="262" w:lineRule="auto"/>
                        <w:ind w:left="0" w:right="0" w:firstLine="0"/>
                        <w:jc w:val="right"/>
                      </w:pPr>
                      <w:r>
                        <w:rPr>
                          <w:color w:val="000000"/>
                          <w:spacing w:val="0"/>
                          <w:w w:val="100"/>
                          <w:position w:val="0"/>
                          <w:sz w:val="24"/>
                          <w:szCs w:val="24"/>
                        </w:rPr>
                        <w:t>628,500</w:t>
                      </w:r>
                    </w:p>
                    <w:p>
                      <w:pPr>
                        <w:pStyle w:val="Style92"/>
                        <w:keepNext w:val="0"/>
                        <w:keepLines w:val="0"/>
                        <w:widowControl w:val="0"/>
                        <w:pBdr>
                          <w:top w:val="single" w:sz="4" w:space="0" w:color="auto"/>
                          <w:bottom w:val="single" w:sz="4" w:space="0" w:color="auto"/>
                        </w:pBdr>
                        <w:shd w:val="clear" w:color="auto" w:fill="auto"/>
                        <w:bidi w:val="0"/>
                        <w:spacing w:before="0" w:after="0" w:line="262" w:lineRule="auto"/>
                        <w:ind w:left="0" w:right="0" w:firstLine="0"/>
                        <w:jc w:val="right"/>
                      </w:pPr>
                      <w:r>
                        <w:rPr>
                          <w:color w:val="000000"/>
                          <w:spacing w:val="0"/>
                          <w:w w:val="100"/>
                          <w:position w:val="0"/>
                          <w:sz w:val="24"/>
                          <w:szCs w:val="24"/>
                        </w:rPr>
                        <w:t xml:space="preserve">24,000 </w:t>
                      </w:r>
                      <w:r>
                        <w:rPr>
                          <w:color w:val="000000"/>
                          <w:spacing w:val="0"/>
                          <w:w w:val="100"/>
                          <w:position w:val="0"/>
                          <w:sz w:val="24"/>
                          <w:szCs w:val="24"/>
                          <w:u w:val="single"/>
                        </w:rPr>
                        <w:t xml:space="preserve">5,023 </w:t>
                      </w:r>
                      <w:r>
                        <w:rPr>
                          <w:color w:val="000000"/>
                          <w:spacing w:val="0"/>
                          <w:w w:val="100"/>
                          <w:position w:val="0"/>
                          <w:sz w:val="24"/>
                          <w:szCs w:val="24"/>
                        </w:rPr>
                        <w:t>5,735,703</w:t>
                      </w:r>
                    </w:p>
                  </w:txbxContent>
                </v:textbox>
                <w10:wrap type="topAndBottom" anchorx="page"/>
              </v:shape>
            </w:pict>
          </mc:Fallback>
        </mc:AlternateContent>
      </w:r>
      <w:r>
        <mc:AlternateContent>
          <mc:Choice Requires="wps">
            <w:drawing>
              <wp:anchor distT="1299210" distB="0" distL="0" distR="0" simplePos="0" relativeHeight="125829440" behindDoc="0" locked="0" layoutInCell="1" allowOverlap="1">
                <wp:simplePos x="0" y="0"/>
                <wp:positionH relativeFrom="page">
                  <wp:posOffset>1542415</wp:posOffset>
                </wp:positionH>
                <wp:positionV relativeFrom="paragraph">
                  <wp:posOffset>1299210</wp:posOffset>
                </wp:positionV>
                <wp:extent cx="1545590" cy="189230"/>
                <wp:wrapTopAndBottom/>
                <wp:docPr id="88" name="Shape 88"/>
                <a:graphic xmlns:a="http://schemas.openxmlformats.org/drawingml/2006/main">
                  <a:graphicData uri="http://schemas.microsoft.com/office/word/2010/wordprocessingShape">
                    <wps:wsp>
                      <wps:cNvSpPr txBox="1"/>
                      <wps:spPr>
                        <a:xfrm>
                          <a:ext cx="1545590" cy="18923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前期处置子公司的价格</w:t>
                            </w:r>
                          </w:p>
                        </w:txbxContent>
                      </wps:txbx>
                      <wps:bodyPr wrap="none" lIns="0" tIns="0" rIns="0" bIns="0">
                        <a:noAutoFit/>
                      </wps:bodyPr>
                    </wps:wsp>
                  </a:graphicData>
                </a:graphic>
              </wp:anchor>
            </w:drawing>
          </mc:Choice>
          <mc:Fallback>
            <w:pict>
              <v:shape id="_x0000_s1114" type="#_x0000_t202" style="position:absolute;margin-left:121.45pt;margin-top:102.3pt;width:121.7pt;height:14.9pt;z-index:-125829313;mso-wrap-distance-left:0;mso-wrap-distance-top:102.3pt;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前期处置子公司的价格</w:t>
                      </w:r>
                    </w:p>
                  </w:txbxContent>
                </v:textbox>
                <w10:wrap type="topAndBottom" anchorx="page"/>
              </v:shape>
            </w:pict>
          </mc:Fallback>
        </mc:AlternateContent>
      </w:r>
    </w:p>
    <w:p>
      <w:pPr>
        <w:widowControl w:val="0"/>
        <w:spacing w:line="1" w:lineRule="exact"/>
      </w:pPr>
      <w:r>
        <mc:AlternateContent>
          <mc:Choice Requires="wps">
            <w:drawing>
              <wp:anchor distT="165100" distB="0" distL="0" distR="0" simplePos="0" relativeHeight="125829442" behindDoc="0" locked="0" layoutInCell="1" allowOverlap="1">
                <wp:simplePos x="0" y="0"/>
                <wp:positionH relativeFrom="page">
                  <wp:posOffset>5870575</wp:posOffset>
                </wp:positionH>
                <wp:positionV relativeFrom="paragraph">
                  <wp:posOffset>165100</wp:posOffset>
                </wp:positionV>
                <wp:extent cx="709930" cy="198120"/>
                <wp:wrapTopAndBottom/>
                <wp:docPr id="90" name="Shape 90"/>
                <a:graphic xmlns:a="http://schemas.openxmlformats.org/drawingml/2006/main">
                  <a:graphicData uri="http://schemas.microsoft.com/office/word/2010/wordprocessingShape">
                    <wps:wsp>
                      <wps:cNvSpPr txBox="1"/>
                      <wps:spPr>
                        <a:xfrm>
                          <a:ext cx="709930" cy="19812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rFonts w:ascii="SimSun" w:eastAsia="SimSun" w:hAnsi="SimSun" w:cs="SimSun"/>
                                <w:color w:val="000000"/>
                                <w:spacing w:val="0"/>
                                <w:w w:val="100"/>
                                <w:position w:val="0"/>
                                <w:sz w:val="24"/>
                                <w:szCs w:val="24"/>
                              </w:rPr>
                              <w:t>年度</w:t>
                            </w:r>
                          </w:p>
                        </w:txbxContent>
                      </wps:txbx>
                      <wps:bodyPr wrap="none" lIns="0" tIns="0" rIns="0" bIns="0">
                        <a:noAutoFit/>
                      </wps:bodyPr>
                    </wps:wsp>
                  </a:graphicData>
                </a:graphic>
              </wp:anchor>
            </w:drawing>
          </mc:Choice>
          <mc:Fallback>
            <w:pict>
              <v:shape id="_x0000_s1116" type="#_x0000_t202" style="position:absolute;margin-left:462.25pt;margin-top:13.pt;width:55.899999999999999pt;height:15.6pt;z-index:-125829311;mso-wrap-distance-left:0;mso-wrap-distance-top:13.pt;mso-wrap-distance-right:0;mso-position-horizontal-relative:page" filled="f" stroked="f">
                <v:textbox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rFonts w:ascii="SimSun" w:eastAsia="SimSun" w:hAnsi="SimSun" w:cs="SimSun"/>
                          <w:color w:val="000000"/>
                          <w:spacing w:val="0"/>
                          <w:w w:val="100"/>
                          <w:position w:val="0"/>
                          <w:sz w:val="24"/>
                          <w:szCs w:val="24"/>
                        </w:rPr>
                        <w:t>年度</w:t>
                      </w:r>
                    </w:p>
                  </w:txbxContent>
                </v:textbox>
                <w10:wrap type="topAndBottom" anchorx="page"/>
              </v:shape>
            </w:pict>
          </mc:Fallback>
        </mc:AlternateContent>
      </w:r>
    </w:p>
    <w:p>
      <w:pPr>
        <w:widowControl w:val="0"/>
        <w:spacing w:line="1" w:lineRule="exact"/>
      </w:pPr>
      <w:r>
        <mc:AlternateContent>
          <mc:Choice Requires="wps">
            <w:drawing>
              <wp:anchor distT="152400" distB="579120" distL="0" distR="0" simplePos="0" relativeHeight="125829444" behindDoc="0" locked="0" layoutInCell="1" allowOverlap="1">
                <wp:simplePos x="0" y="0"/>
                <wp:positionH relativeFrom="page">
                  <wp:posOffset>1539240</wp:posOffset>
                </wp:positionH>
                <wp:positionV relativeFrom="paragraph">
                  <wp:posOffset>152400</wp:posOffset>
                </wp:positionV>
                <wp:extent cx="1216025" cy="414655"/>
                <wp:wrapTopAndBottom/>
                <wp:docPr id="92" name="Shape 92"/>
                <a:graphic xmlns:a="http://schemas.openxmlformats.org/drawingml/2006/main">
                  <a:graphicData uri="http://schemas.microsoft.com/office/word/2010/wordprocessingShape">
                    <wps:wsp>
                      <wps:cNvSpPr txBox="1"/>
                      <wps:spPr>
                        <a:xfrm>
                          <a:ext cx="1216025" cy="414655"/>
                        </a:xfrm>
                        <a:prstGeom prst="rect"/>
                        <a:noFill/>
                      </wps:spPr>
                      <wps:txbx>
                        <w:txbxContent>
                          <w:p>
                            <w:pPr>
                              <w:pStyle w:val="Style72"/>
                              <w:keepNext w:val="0"/>
                              <w:keepLines w:val="0"/>
                              <w:widowControl w:val="0"/>
                              <w:shd w:val="clear" w:color="auto" w:fill="auto"/>
                              <w:bidi w:val="0"/>
                              <w:spacing w:before="0" w:after="0" w:line="326" w:lineRule="exact"/>
                              <w:ind w:left="0" w:right="0" w:firstLine="0"/>
                              <w:jc w:val="left"/>
                            </w:pPr>
                            <w:r>
                              <w:rPr>
                                <w:rFonts w:ascii="Arial" w:eastAsia="Arial" w:hAnsi="Arial" w:cs="Arial"/>
                                <w:color w:val="000000"/>
                                <w:spacing w:val="0"/>
                                <w:w w:val="100"/>
                                <w:position w:val="0"/>
                                <w:sz w:val="24"/>
                                <w:szCs w:val="24"/>
                              </w:rPr>
                              <w:t>5</w:t>
                            </w:r>
                            <w:r>
                              <w:rPr>
                                <w:color w:val="000000"/>
                                <w:spacing w:val="0"/>
                                <w:w w:val="100"/>
                                <w:position w:val="0"/>
                                <w:sz w:val="24"/>
                                <w:szCs w:val="24"/>
                              </w:rPr>
                              <w:t>家仓储物流公司 中山苏宁物流</w:t>
                            </w:r>
                          </w:p>
                        </w:txbxContent>
                      </wps:txbx>
                      <wps:bodyPr lIns="0" tIns="0" rIns="0" bIns="0">
                        <a:noAutoFit/>
                      </wps:bodyPr>
                    </wps:wsp>
                  </a:graphicData>
                </a:graphic>
              </wp:anchor>
            </w:drawing>
          </mc:Choice>
          <mc:Fallback>
            <w:pict>
              <v:shape id="_x0000_s1118" type="#_x0000_t202" style="position:absolute;margin-left:121.2pt;margin-top:12.pt;width:95.75pt;height:32.649999999999999pt;z-index:-125829309;mso-wrap-distance-left:0;mso-wrap-distance-top:12.pt;mso-wrap-distance-right:0;mso-wrap-distance-bottom:45.600000000000001pt;mso-position-horizontal-relative:page" filled="f" stroked="f">
                <v:textbox inset="0,0,0,0">
                  <w:txbxContent>
                    <w:p>
                      <w:pPr>
                        <w:pStyle w:val="Style72"/>
                        <w:keepNext w:val="0"/>
                        <w:keepLines w:val="0"/>
                        <w:widowControl w:val="0"/>
                        <w:shd w:val="clear" w:color="auto" w:fill="auto"/>
                        <w:bidi w:val="0"/>
                        <w:spacing w:before="0" w:after="0" w:line="326" w:lineRule="exact"/>
                        <w:ind w:left="0" w:right="0" w:firstLine="0"/>
                        <w:jc w:val="left"/>
                      </w:pPr>
                      <w:r>
                        <w:rPr>
                          <w:rFonts w:ascii="Arial" w:eastAsia="Arial" w:hAnsi="Arial" w:cs="Arial"/>
                          <w:color w:val="000000"/>
                          <w:spacing w:val="0"/>
                          <w:w w:val="100"/>
                          <w:position w:val="0"/>
                          <w:sz w:val="24"/>
                          <w:szCs w:val="24"/>
                        </w:rPr>
                        <w:t>5</w:t>
                      </w:r>
                      <w:r>
                        <w:rPr>
                          <w:color w:val="000000"/>
                          <w:spacing w:val="0"/>
                          <w:w w:val="100"/>
                          <w:position w:val="0"/>
                          <w:sz w:val="24"/>
                          <w:szCs w:val="24"/>
                        </w:rPr>
                        <w:t>家仓储物流公司 中山苏宁物流</w:t>
                      </w:r>
                    </w:p>
                  </w:txbxContent>
                </v:textbox>
                <w10:wrap type="topAndBottom" anchorx="page"/>
              </v:shape>
            </w:pict>
          </mc:Fallback>
        </mc:AlternateContent>
      </w:r>
      <w:r>
        <mc:AlternateContent>
          <mc:Choice Requires="wps">
            <w:drawing>
              <wp:anchor distT="194945" distB="384175" distL="0" distR="0" simplePos="0" relativeHeight="125829446" behindDoc="0" locked="0" layoutInCell="1" allowOverlap="1">
                <wp:simplePos x="0" y="0"/>
                <wp:positionH relativeFrom="page">
                  <wp:posOffset>5848985</wp:posOffset>
                </wp:positionH>
                <wp:positionV relativeFrom="paragraph">
                  <wp:posOffset>194945</wp:posOffset>
                </wp:positionV>
                <wp:extent cx="707390" cy="567055"/>
                <wp:wrapTopAndBottom/>
                <wp:docPr id="94" name="Shape 94"/>
                <a:graphic xmlns:a="http://schemas.openxmlformats.org/drawingml/2006/main">
                  <a:graphicData uri="http://schemas.microsoft.com/office/word/2010/wordprocessingShape">
                    <wps:wsp>
                      <wps:cNvSpPr txBox="1"/>
                      <wps:spPr>
                        <a:xfrm>
                          <a:ext cx="707390" cy="567055"/>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2,443,936</w:t>
                            </w:r>
                          </w:p>
                          <w:p>
                            <w:pPr>
                              <w:pStyle w:val="Style92"/>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u w:val="single"/>
                              </w:rPr>
                              <w:t>226,756</w:t>
                            </w:r>
                          </w:p>
                          <w:p>
                            <w:pPr>
                              <w:pStyle w:val="Style9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2,670,692</w:t>
                            </w:r>
                          </w:p>
                        </w:txbxContent>
                      </wps:txbx>
                      <wps:bodyPr lIns="0" tIns="0" rIns="0" bIns="0">
                        <a:noAutoFit/>
                      </wps:bodyPr>
                    </wps:wsp>
                  </a:graphicData>
                </a:graphic>
              </wp:anchor>
            </w:drawing>
          </mc:Choice>
          <mc:Fallback>
            <w:pict>
              <v:shape id="_x0000_s1120" type="#_x0000_t202" style="position:absolute;margin-left:460.55000000000001pt;margin-top:15.35pt;width:55.700000000000003pt;height:44.649999999999999pt;z-index:-125829307;mso-wrap-distance-left:0;mso-wrap-distance-top:15.35pt;mso-wrap-distance-right:0;mso-wrap-distance-bottom:30.25pt;mso-position-horizontal-relative:page" filled="f" stroked="f">
                <v:textbox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2,443,936</w:t>
                      </w:r>
                    </w:p>
                    <w:p>
                      <w:pPr>
                        <w:pStyle w:val="Style92"/>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u w:val="single"/>
                        </w:rPr>
                        <w:t>226,756</w:t>
                      </w:r>
                    </w:p>
                    <w:p>
                      <w:pPr>
                        <w:pStyle w:val="Style9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2,670,692</w:t>
                      </w:r>
                    </w:p>
                  </w:txbxContent>
                </v:textbox>
                <w10:wrap type="topAndBottom" anchorx="page"/>
              </v:shape>
            </w:pict>
          </mc:Fallback>
        </mc:AlternateContent>
      </w:r>
      <w:r>
        <mc:AlternateContent>
          <mc:Choice Requires="wps">
            <w:drawing>
              <wp:anchor distT="948055" distB="0" distL="0" distR="0" simplePos="0" relativeHeight="125829448" behindDoc="0" locked="0" layoutInCell="1" allowOverlap="1">
                <wp:simplePos x="0" y="0"/>
                <wp:positionH relativeFrom="page">
                  <wp:posOffset>1536065</wp:posOffset>
                </wp:positionH>
                <wp:positionV relativeFrom="paragraph">
                  <wp:posOffset>948055</wp:posOffset>
                </wp:positionV>
                <wp:extent cx="2691130" cy="198120"/>
                <wp:wrapTopAndBottom/>
                <wp:docPr id="96" name="Shape 96"/>
                <a:graphic xmlns:a="http://schemas.openxmlformats.org/drawingml/2006/main">
                  <a:graphicData uri="http://schemas.microsoft.com/office/word/2010/wordprocessingShape">
                    <wps:wsp>
                      <wps:cNvSpPr txBox="1"/>
                      <wps:spPr>
                        <a:xfrm>
                          <a:ext cx="2691130" cy="19812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sz w:val="24"/>
                                <w:szCs w:val="24"/>
                              </w:rPr>
                              <w:t>年度处置子公司于处置日的净资产</w:t>
                            </w:r>
                          </w:p>
                        </w:txbxContent>
                      </wps:txbx>
                      <wps:bodyPr wrap="none" lIns="0" tIns="0" rIns="0" bIns="0">
                        <a:noAutoFit/>
                      </wps:bodyPr>
                    </wps:wsp>
                  </a:graphicData>
                </a:graphic>
              </wp:anchor>
            </w:drawing>
          </mc:Choice>
          <mc:Fallback>
            <w:pict>
              <v:shape id="_x0000_s1122" type="#_x0000_t202" style="position:absolute;margin-left:120.95pt;margin-top:74.650000000000006pt;width:211.90000000000001pt;height:15.6pt;z-index:-125829305;mso-wrap-distance-left:0;mso-wrap-distance-top:74.650000000000006pt;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sz w:val="24"/>
                          <w:szCs w:val="24"/>
                        </w:rPr>
                        <w:t>年度处置子公司于处置日的净资产</w:t>
                      </w:r>
                    </w:p>
                  </w:txbxContent>
                </v:textbox>
                <w10:wrap type="topAndBottom" anchorx="page"/>
              </v:shape>
            </w:pict>
          </mc:Fallback>
        </mc:AlternateContent>
      </w:r>
    </w:p>
    <w:p>
      <w:pPr>
        <w:widowControl w:val="0"/>
        <w:spacing w:line="1" w:lineRule="exact"/>
        <w:sectPr>
          <w:footnotePr>
            <w:pos w:val="pageBottom"/>
            <w:numFmt w:val="decimal"/>
            <w:numStart w:val="1"/>
            <w:numRestart w:val="continuous"/>
            <w15:footnoteColumns w:val="1"/>
          </w:footnotePr>
          <w:pgSz w:w="11900" w:h="16840"/>
          <w:pgMar w:top="730" w:right="1407" w:bottom="884" w:left="1709" w:header="0" w:footer="3" w:gutter="0"/>
          <w:cols w:space="720"/>
          <w:noEndnote/>
          <w:rtlGutter w:val="0"/>
          <w:docGrid w:linePitch="360"/>
        </w:sectPr>
      </w:pPr>
      <w:r>
        <mc:AlternateContent>
          <mc:Choice Requires="wps">
            <w:drawing>
              <wp:anchor distT="355600" distB="191770" distL="0" distR="0" simplePos="0" relativeHeight="125829450" behindDoc="0" locked="0" layoutInCell="1" allowOverlap="1">
                <wp:simplePos x="0" y="0"/>
                <wp:positionH relativeFrom="page">
                  <wp:posOffset>1542415</wp:posOffset>
                </wp:positionH>
                <wp:positionV relativeFrom="paragraph">
                  <wp:posOffset>355600</wp:posOffset>
                </wp:positionV>
                <wp:extent cx="783590" cy="783590"/>
                <wp:wrapTopAndBottom/>
                <wp:docPr id="98" name="Shape 98"/>
                <a:graphic xmlns:a="http://schemas.openxmlformats.org/drawingml/2006/main">
                  <a:graphicData uri="http://schemas.microsoft.com/office/word/2010/wordprocessingShape">
                    <wps:wsp>
                      <wps:cNvSpPr txBox="1"/>
                      <wps:spPr>
                        <a:xfrm>
                          <a:ext cx="783590" cy="78359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流动资产</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流动负债</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非流动负债</w:t>
                            </w:r>
                          </w:p>
                        </w:txbxContent>
                      </wps:txbx>
                      <wps:bodyPr lIns="0" tIns="0" rIns="0" bIns="0">
                        <a:noAutoFit/>
                      </wps:bodyPr>
                    </wps:wsp>
                  </a:graphicData>
                </a:graphic>
              </wp:anchor>
            </w:drawing>
          </mc:Choice>
          <mc:Fallback>
            <w:pict>
              <v:shape id="_x0000_s1124" type="#_x0000_t202" style="position:absolute;margin-left:121.45pt;margin-top:28.pt;width:61.700000000000003pt;height:61.700000000000003pt;z-index:-125829303;mso-wrap-distance-left:0;mso-wrap-distance-top:28.pt;mso-wrap-distance-right:0;mso-wrap-distance-bottom:15.1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流动资产</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流动负债</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非流动负债</w:t>
                      </w:r>
                    </w:p>
                  </w:txbxContent>
                </v:textbox>
                <w10:wrap type="topAndBottom" anchorx="page"/>
              </v:shape>
            </w:pict>
          </mc:Fallback>
        </mc:AlternateContent>
      </w:r>
      <w:r>
        <mc:AlternateContent>
          <mc:Choice Requires="wps">
            <w:drawing>
              <wp:anchor distT="364490" distB="0" distL="0" distR="0" simplePos="0" relativeHeight="125829452" behindDoc="0" locked="0" layoutInCell="1" allowOverlap="1">
                <wp:simplePos x="0" y="0"/>
                <wp:positionH relativeFrom="page">
                  <wp:posOffset>5803265</wp:posOffset>
                </wp:positionH>
                <wp:positionV relativeFrom="paragraph">
                  <wp:posOffset>364490</wp:posOffset>
                </wp:positionV>
                <wp:extent cx="801370" cy="966470"/>
                <wp:wrapTopAndBottom/>
                <wp:docPr id="100" name="Shape 100"/>
                <a:graphic xmlns:a="http://schemas.openxmlformats.org/drawingml/2006/main">
                  <a:graphicData uri="http://schemas.microsoft.com/office/word/2010/wordprocessingShape">
                    <wps:wsp>
                      <wps:cNvSpPr txBox="1"/>
                      <wps:spPr>
                        <a:xfrm>
                          <a:ext cx="801370" cy="96647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1,535,130</w:t>
                            </w:r>
                          </w:p>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4,886,171</w:t>
                            </w:r>
                          </w:p>
                          <w:p>
                            <w:pPr>
                              <w:pStyle w:val="Style9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(1,639,015)</w:t>
                            </w:r>
                          </w:p>
                          <w:p>
                            <w:pPr>
                              <w:pStyle w:val="Style92"/>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sz w:val="24"/>
                                <w:szCs w:val="24"/>
                                <w:u w:val="single"/>
                              </w:rPr>
                              <w:t>(376,700)</w:t>
                            </w:r>
                          </w:p>
                          <w:p>
                            <w:pPr>
                              <w:pStyle w:val="Style9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4,405,586</w:t>
                            </w:r>
                          </w:p>
                        </w:txbxContent>
                      </wps:txbx>
                      <wps:bodyPr lIns="0" tIns="0" rIns="0" bIns="0">
                        <a:noAutoFit/>
                      </wps:bodyPr>
                    </wps:wsp>
                  </a:graphicData>
                </a:graphic>
              </wp:anchor>
            </w:drawing>
          </mc:Choice>
          <mc:Fallback>
            <w:pict>
              <v:shape id="_x0000_s1126" type="#_x0000_t202" style="position:absolute;margin-left:456.94999999999999pt;margin-top:28.699999999999999pt;width:63.100000000000001pt;height:76.100000000000009pt;z-index:-125829301;mso-wrap-distance-left:0;mso-wrap-distance-top:28.699999999999999pt;mso-wrap-distance-right:0;mso-position-horizontal-relative:page" filled="f" stroked="f">
                <v:textbox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1,535,130</w:t>
                      </w:r>
                    </w:p>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4,886,171</w:t>
                      </w:r>
                    </w:p>
                    <w:p>
                      <w:pPr>
                        <w:pStyle w:val="Style9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(1,639,015)</w:t>
                      </w:r>
                    </w:p>
                    <w:p>
                      <w:pPr>
                        <w:pStyle w:val="Style92"/>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sz w:val="24"/>
                          <w:szCs w:val="24"/>
                          <w:u w:val="single"/>
                        </w:rPr>
                        <w:t>(376,700)</w:t>
                      </w:r>
                    </w:p>
                    <w:p>
                      <w:pPr>
                        <w:pStyle w:val="Style9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4,405,586</w:t>
                      </w:r>
                    </w:p>
                  </w:txbxContent>
                </v:textbox>
                <w10:wrap type="topAndBottom" anchorx="page"/>
              </v:shape>
            </w:pict>
          </mc:Fallback>
        </mc:AlternateContent>
      </w:r>
    </w:p>
    <w:p>
      <w:pPr>
        <w:pStyle w:val="Style72"/>
        <w:keepNext w:val="0"/>
        <w:keepLines w:val="0"/>
        <w:widowControl w:val="0"/>
        <w:shd w:val="clear" w:color="auto" w:fill="auto"/>
        <w:tabs>
          <w:tab w:pos="696" w:val="left"/>
        </w:tabs>
        <w:bidi w:val="0"/>
        <w:spacing w:before="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rFonts w:ascii="Arial" w:eastAsia="Arial" w:hAnsi="Arial" w:cs="Arial"/>
          <w:color w:val="000000"/>
          <w:spacing w:val="0"/>
          <w:w w:val="100"/>
          <w:position w:val="0"/>
          <w:sz w:val="24"/>
          <w:szCs w:val="24"/>
        </w:rPr>
        <w:t>(64)</w:t>
      </w:r>
      <w:r>
        <w:rPr>
          <w:b/>
          <w:bCs/>
          <w:color w:val="000000"/>
          <w:spacing w:val="0"/>
          <w:w w:val="100"/>
          <w:position w:val="0"/>
          <w:sz w:val="24"/>
          <w:szCs w:val="24"/>
        </w:rPr>
        <w:t>现金流量表补充资料</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113"/>
        </w:numPr>
        <w:shd w:val="clear" w:color="auto" w:fill="auto"/>
        <w:tabs>
          <w:tab w:pos="696" w:val="left"/>
        </w:tabs>
        <w:bidi w:val="0"/>
        <w:spacing w:before="0" w:after="300" w:line="240" w:lineRule="auto"/>
        <w:ind w:left="0" w:right="0" w:firstLine="0"/>
        <w:jc w:val="left"/>
      </w:pPr>
      <w:bookmarkStart w:id="947" w:name="bookmark947"/>
      <w:bookmarkEnd w:id="947"/>
      <w:r>
        <w:rPr>
          <w:color w:val="000000"/>
          <w:spacing w:val="0"/>
          <w:w w:val="100"/>
          <w:position w:val="0"/>
          <w:sz w:val="24"/>
          <w:szCs w:val="24"/>
        </w:rPr>
        <w:t>现金及现金等价物</w:t>
      </w:r>
    </w:p>
    <w:tbl>
      <w:tblPr>
        <w:tblOverlap w:val="never"/>
        <w:jc w:val="right"/>
        <w:tblLayout w:type="fixed"/>
      </w:tblPr>
      <w:tblGrid>
        <w:gridCol w:w="3283"/>
        <w:gridCol w:w="2314"/>
        <w:gridCol w:w="2434"/>
      </w:tblGrid>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4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4,162,258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11,563,877</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其中：库存现金</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22,806</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25,403</w:t>
            </w:r>
          </w:p>
        </w:tc>
      </w:tr>
      <w:tr>
        <w:trPr>
          <w:trHeight w:val="624"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317" w:lineRule="exact"/>
              <w:ind w:left="960" w:right="0" w:hanging="240"/>
              <w:jc w:val="left"/>
              <w:rPr>
                <w:sz w:val="24"/>
                <w:szCs w:val="24"/>
              </w:rPr>
            </w:pPr>
            <w:r>
              <w:rPr>
                <w:rFonts w:ascii="SimSun" w:eastAsia="SimSun" w:hAnsi="SimSun" w:cs="SimSun"/>
                <w:color w:val="000000"/>
                <w:spacing w:val="0"/>
                <w:w w:val="100"/>
                <w:position w:val="0"/>
                <w:sz w:val="24"/>
                <w:szCs w:val="24"/>
              </w:rPr>
              <w:t>可随时用于支付的银行 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3,905,751</w:t>
            </w:r>
          </w:p>
        </w:tc>
        <w:tc>
          <w:tcPr>
            <w:tcBorders>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11,149,090</w:t>
            </w:r>
          </w:p>
        </w:tc>
      </w:tr>
      <w:tr>
        <w:trPr>
          <w:trHeight w:val="629"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960" w:right="0" w:hanging="240"/>
              <w:jc w:val="left"/>
              <w:rPr>
                <w:sz w:val="24"/>
                <w:szCs w:val="24"/>
              </w:rPr>
            </w:pPr>
            <w:r>
              <w:rPr>
                <w:rFonts w:ascii="SimSun" w:eastAsia="SimSun" w:hAnsi="SimSun" w:cs="SimSun"/>
                <w:color w:val="000000"/>
                <w:spacing w:val="0"/>
                <w:w w:val="100"/>
                <w:position w:val="0"/>
                <w:sz w:val="24"/>
                <w:szCs w:val="24"/>
              </w:rPr>
              <w:t>可随时用于支付的其他</w:t>
            </w:r>
          </w:p>
          <w:p>
            <w:pPr>
              <w:pStyle w:val="Style29"/>
              <w:keepNext w:val="0"/>
              <w:keepLines w:val="0"/>
              <w:widowControl w:val="0"/>
              <w:shd w:val="clear" w:color="auto" w:fill="auto"/>
              <w:bidi w:val="0"/>
              <w:spacing w:before="0" w:after="0" w:line="240" w:lineRule="auto"/>
              <w:ind w:left="0" w:right="0" w:firstLine="960"/>
              <w:jc w:val="left"/>
              <w:rPr>
                <w:sz w:val="24"/>
                <w:szCs w:val="24"/>
              </w:rPr>
            </w:pPr>
            <w:r>
              <w:rPr>
                <w:rFonts w:ascii="SimSun" w:eastAsia="SimSun" w:hAnsi="SimSun" w:cs="SimSun"/>
                <w:color w:val="000000"/>
                <w:spacing w:val="0"/>
                <w:w w:val="100"/>
                <w:position w:val="0"/>
                <w:sz w:val="24"/>
                <w:szCs w:val="24"/>
              </w:rPr>
              <w:t>货币资金</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233,701</w:t>
            </w:r>
          </w:p>
        </w:tc>
        <w:tc>
          <w:tcPr>
            <w:tcBorders>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389,384</w:t>
            </w:r>
          </w:p>
        </w:tc>
      </w:tr>
    </w:tbl>
    <w:p>
      <w:pPr>
        <w:widowControl w:val="0"/>
        <w:spacing w:after="299" w:line="1" w:lineRule="exact"/>
      </w:pPr>
    </w:p>
    <w:p>
      <w:pPr>
        <w:pStyle w:val="Style72"/>
        <w:keepNext w:val="0"/>
        <w:keepLines w:val="0"/>
        <w:widowControl w:val="0"/>
        <w:shd w:val="clear" w:color="auto" w:fill="auto"/>
        <w:bidi w:val="0"/>
        <w:spacing w:before="0" w:after="40" w:line="240" w:lineRule="auto"/>
        <w:ind w:left="0" w:right="0" w:firstLine="720"/>
        <w:jc w:val="left"/>
      </w:pPr>
      <w:r>
        <w:rPr>
          <w:color w:val="000000"/>
          <w:spacing w:val="0"/>
          <w:w w:val="100"/>
          <w:position w:val="0"/>
          <w:sz w:val="24"/>
          <w:szCs w:val="24"/>
        </w:rPr>
        <w:t>年末现金及现金等价物余额</w:t>
      </w:r>
    </w:p>
    <w:p>
      <w:pPr>
        <w:pStyle w:val="Style92"/>
        <w:keepNext w:val="0"/>
        <w:keepLines w:val="0"/>
        <w:widowControl w:val="0"/>
        <w:shd w:val="clear" w:color="auto" w:fill="auto"/>
        <w:tabs>
          <w:tab w:pos="3926" w:val="left"/>
          <w:tab w:pos="6432" w:val="left"/>
        </w:tabs>
        <w:bidi w:val="0"/>
        <w:spacing w:before="0" w:after="300" w:line="240" w:lineRule="auto"/>
        <w:ind w:left="1080" w:right="0" w:firstLine="0"/>
        <w:jc w:val="left"/>
        <w:sectPr>
          <w:footnotePr>
            <w:pos w:val="pageBottom"/>
            <w:numFmt w:val="decimal"/>
            <w:numStart w:val="1"/>
            <w:numRestart w:val="continuous"/>
            <w15:footnoteColumns w:val="1"/>
          </w:footnotePr>
          <w:pgSz w:w="11900" w:h="16840"/>
          <w:pgMar w:top="2382" w:right="1431" w:bottom="2382" w:left="1709" w:header="0" w:footer="3" w:gutter="0"/>
          <w:cols w:space="720"/>
          <w:noEndnote/>
          <w:rtlGutter w:val="0"/>
          <w:docGrid w:linePitch="360"/>
        </w:sectPr>
      </w:pPr>
      <w:r>
        <w:rPr>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color w:val="000000"/>
          <w:spacing w:val="0"/>
          <w:w w:val="100"/>
          <w:position w:val="0"/>
          <w:sz w:val="24"/>
          <w:szCs w:val="24"/>
        </w:rPr>
        <w:t>(1))</w:t>
        <w:tab/>
      </w:r>
      <w:r>
        <w:rPr>
          <w:color w:val="000000"/>
          <w:spacing w:val="0"/>
          <w:w w:val="100"/>
          <w:position w:val="0"/>
          <w:sz w:val="24"/>
          <w:szCs w:val="24"/>
          <w:u w:val="single"/>
        </w:rPr>
        <w:t>4,162,258</w:t>
      </w:r>
      <w:r>
        <w:rPr>
          <w:color w:val="000000"/>
          <w:spacing w:val="0"/>
          <w:w w:val="100"/>
          <w:position w:val="0"/>
          <w:sz w:val="24"/>
          <w:szCs w:val="24"/>
        </w:rPr>
        <w:tab/>
      </w:r>
      <w:r>
        <w:rPr>
          <w:color w:val="000000"/>
          <w:spacing w:val="0"/>
          <w:w w:val="100"/>
          <w:position w:val="0"/>
          <w:sz w:val="24"/>
          <w:szCs w:val="24"/>
          <w:u w:val="single"/>
        </w:rPr>
        <w:t>11,563,877</w:t>
      </w:r>
    </w:p>
    <w:p>
      <w:pPr>
        <w:pStyle w:val="Style72"/>
        <w:keepNext w:val="0"/>
        <w:keepLines w:val="0"/>
        <w:widowControl w:val="0"/>
        <w:shd w:val="clear" w:color="auto" w:fill="auto"/>
        <w:tabs>
          <w:tab w:pos="706" w:val="left"/>
        </w:tabs>
        <w:bidi w:val="0"/>
        <w:spacing w:before="220" w:after="300" w:line="240" w:lineRule="auto"/>
        <w:ind w:left="0" w:right="0" w:firstLine="0"/>
        <w:jc w:val="left"/>
        <w:rPr>
          <w:sz w:val="28"/>
          <w:szCs w:val="28"/>
        </w:rPr>
      </w:pPr>
      <w:r>
        <w:rPr>
          <w:b/>
          <w:bCs/>
          <w:color w:val="000000"/>
          <w:spacing w:val="0"/>
          <w:w w:val="100"/>
          <w:position w:val="0"/>
          <w:sz w:val="24"/>
          <w:szCs w:val="24"/>
        </w:rPr>
        <w:t>四</w:t>
        <w:tab/>
        <w:t>合并财务报表项目附注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（65）</w:t>
      </w:r>
      <w:r>
        <w:rPr>
          <w:b/>
          <w:bCs/>
          <w:color w:val="000000"/>
          <w:spacing w:val="0"/>
          <w:w w:val="100"/>
          <w:position w:val="0"/>
          <w:sz w:val="24"/>
          <w:szCs w:val="24"/>
        </w:rPr>
        <w:t>外币货币性项目</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r>
    </w:p>
    <w:tbl>
      <w:tblPr>
        <w:tblOverlap w:val="never"/>
        <w:jc w:val="right"/>
        <w:tblLayout w:type="fixed"/>
      </w:tblPr>
      <w:tblGrid>
        <w:gridCol w:w="2266"/>
        <w:gridCol w:w="2438"/>
        <w:gridCol w:w="1694"/>
        <w:gridCol w:w="1666"/>
      </w:tblGrid>
      <w:tr>
        <w:trPr>
          <w:trHeight w:val="43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外币余额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300" w:firstLine="0"/>
              <w:jc w:val="right"/>
              <w:rPr>
                <w:sz w:val="24"/>
                <w:szCs w:val="24"/>
              </w:rPr>
            </w:pPr>
            <w:r>
              <w:rPr>
                <w:rFonts w:ascii="SimSun" w:eastAsia="SimSun" w:hAnsi="SimSun" w:cs="SimSun"/>
                <w:color w:val="000000"/>
                <w:spacing w:val="0"/>
                <w:w w:val="100"/>
                <w:position w:val="0"/>
                <w:sz w:val="24"/>
                <w:szCs w:val="24"/>
              </w:rPr>
              <w:t>折算汇率</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24"/>
                <w:szCs w:val="24"/>
              </w:rPr>
            </w:pPr>
            <w:r>
              <w:rPr>
                <w:rFonts w:ascii="SimSun" w:eastAsia="SimSun" w:hAnsi="SimSun" w:cs="SimSun"/>
                <w:color w:val="000000"/>
                <w:spacing w:val="0"/>
                <w:w w:val="100"/>
                <w:position w:val="0"/>
                <w:sz w:val="24"/>
                <w:szCs w:val="24"/>
              </w:rPr>
              <w:t>人民币余额</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4"/>
                <w:szCs w:val="24"/>
              </w:rPr>
              <w:t>货币资金</w:t>
            </w:r>
            <w:r>
              <w:rPr>
                <w:rFonts w:ascii="SimSun" w:eastAsia="SimSun" w:hAnsi="SimSun" w:cs="SimSun"/>
                <w:color w:val="000000"/>
                <w:spacing w:val="0"/>
                <w:w w:val="100"/>
                <w:position w:val="0"/>
                <w:sz w:val="28"/>
                <w:szCs w:val="28"/>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美元</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24"/>
                <w:szCs w:val="24"/>
              </w:rPr>
            </w:pPr>
            <w:r>
              <w:rPr>
                <w:rFonts w:ascii="Arial" w:eastAsia="Arial" w:hAnsi="Arial" w:cs="Arial"/>
                <w:color w:val="000000"/>
                <w:spacing w:val="0"/>
                <w:w w:val="100"/>
                <w:position w:val="0"/>
                <w:sz w:val="24"/>
                <w:szCs w:val="24"/>
              </w:rPr>
              <w:t>392,472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24"/>
                <w:szCs w:val="24"/>
              </w:rPr>
            </w:pPr>
            <w:r>
              <w:rPr>
                <w:rFonts w:ascii="Arial" w:eastAsia="Arial" w:hAnsi="Arial" w:cs="Arial"/>
                <w:color w:val="000000"/>
                <w:spacing w:val="0"/>
                <w:w w:val="100"/>
                <w:position w:val="0"/>
                <w:sz w:val="24"/>
                <w:szCs w:val="24"/>
              </w:rPr>
              <w:t>6.3757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4"/>
                <w:szCs w:val="24"/>
              </w:rPr>
            </w:pPr>
            <w:r>
              <w:rPr>
                <w:rFonts w:ascii="Arial" w:eastAsia="Arial" w:hAnsi="Arial" w:cs="Arial"/>
                <w:color w:val="000000"/>
                <w:spacing w:val="0"/>
                <w:w w:val="100"/>
                <w:position w:val="0"/>
                <w:sz w:val="24"/>
                <w:szCs w:val="24"/>
              </w:rPr>
              <w:t>2,502,284</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港元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left"/>
              <w:rPr>
                <w:sz w:val="24"/>
                <w:szCs w:val="24"/>
              </w:rPr>
            </w:pPr>
            <w:r>
              <w:rPr>
                <w:rFonts w:ascii="Arial" w:eastAsia="Arial" w:hAnsi="Arial" w:cs="Arial"/>
                <w:color w:val="000000"/>
                <w:spacing w:val="0"/>
                <w:w w:val="100"/>
                <w:position w:val="0"/>
                <w:sz w:val="24"/>
                <w:szCs w:val="24"/>
              </w:rPr>
              <w:t>158,169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4"/>
                <w:szCs w:val="24"/>
              </w:rPr>
            </w:pPr>
            <w:r>
              <w:rPr>
                <w:rFonts w:ascii="Arial" w:eastAsia="Arial" w:hAnsi="Arial" w:cs="Arial"/>
                <w:color w:val="000000"/>
                <w:spacing w:val="0"/>
                <w:w w:val="100"/>
                <w:position w:val="0"/>
                <w:sz w:val="24"/>
                <w:szCs w:val="24"/>
              </w:rPr>
              <w:t>0.8176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4"/>
                <w:szCs w:val="24"/>
              </w:rPr>
            </w:pPr>
            <w:r>
              <w:rPr>
                <w:rFonts w:ascii="Arial" w:eastAsia="Arial" w:hAnsi="Arial" w:cs="Arial"/>
                <w:color w:val="000000"/>
                <w:spacing w:val="0"/>
                <w:w w:val="100"/>
                <w:position w:val="0"/>
                <w:sz w:val="24"/>
                <w:szCs w:val="24"/>
              </w:rPr>
              <w:t>129,319</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日元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left"/>
              <w:rPr>
                <w:sz w:val="24"/>
                <w:szCs w:val="24"/>
              </w:rPr>
            </w:pPr>
            <w:r>
              <w:rPr>
                <w:rFonts w:ascii="Arial" w:eastAsia="Arial" w:hAnsi="Arial" w:cs="Arial"/>
                <w:color w:val="000000"/>
                <w:spacing w:val="0"/>
                <w:w w:val="100"/>
                <w:position w:val="0"/>
                <w:sz w:val="24"/>
                <w:szCs w:val="24"/>
              </w:rPr>
              <w:t>137,080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4"/>
                <w:szCs w:val="24"/>
              </w:rPr>
            </w:pPr>
            <w:r>
              <w:rPr>
                <w:rFonts w:ascii="Arial" w:eastAsia="Arial" w:hAnsi="Arial" w:cs="Arial"/>
                <w:color w:val="000000"/>
                <w:spacing w:val="0"/>
                <w:w w:val="100"/>
                <w:position w:val="0"/>
                <w:sz w:val="24"/>
                <w:szCs w:val="24"/>
              </w:rPr>
              <w:t>0.0554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left"/>
              <w:rPr>
                <w:sz w:val="24"/>
                <w:szCs w:val="24"/>
              </w:rPr>
            </w:pPr>
            <w:r>
              <w:rPr>
                <w:rFonts w:ascii="Arial" w:eastAsia="Arial" w:hAnsi="Arial" w:cs="Arial"/>
                <w:color w:val="000000"/>
                <w:spacing w:val="0"/>
                <w:w w:val="100"/>
                <w:position w:val="0"/>
                <w:sz w:val="24"/>
                <w:szCs w:val="24"/>
              </w:rPr>
              <w:t>7,594</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欧元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720" w:right="0" w:firstLine="0"/>
              <w:jc w:val="left"/>
              <w:rPr>
                <w:sz w:val="24"/>
                <w:szCs w:val="24"/>
              </w:rPr>
            </w:pPr>
            <w:r>
              <w:rPr>
                <w:rFonts w:ascii="Arial" w:eastAsia="Arial" w:hAnsi="Arial" w:cs="Arial"/>
                <w:color w:val="000000"/>
                <w:spacing w:val="0"/>
                <w:w w:val="100"/>
                <w:position w:val="0"/>
                <w:sz w:val="24"/>
                <w:szCs w:val="24"/>
              </w:rPr>
              <w:t>35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4"/>
                <w:szCs w:val="24"/>
              </w:rPr>
            </w:pPr>
            <w:r>
              <w:rPr>
                <w:rFonts w:ascii="Arial" w:eastAsia="Arial" w:hAnsi="Arial" w:cs="Arial"/>
                <w:color w:val="000000"/>
                <w:spacing w:val="0"/>
                <w:w w:val="100"/>
                <w:position w:val="0"/>
                <w:sz w:val="24"/>
                <w:szCs w:val="24"/>
              </w:rPr>
              <w:t>7.2197</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253</w:t>
            </w:r>
          </w:p>
        </w:tc>
      </w:tr>
    </w:tbl>
    <w:p>
      <w:pPr>
        <w:pStyle w:val="Style26"/>
        <w:keepNext w:val="0"/>
        <w:keepLines w:val="0"/>
        <w:widowControl w:val="0"/>
        <w:shd w:val="clear" w:color="auto" w:fill="auto"/>
        <w:bidi w:val="0"/>
        <w:spacing w:before="0" w:after="0" w:line="240" w:lineRule="auto"/>
        <w:ind w:left="6806" w:right="0" w:firstLine="0"/>
        <w:jc w:val="left"/>
        <w:rPr>
          <w:sz w:val="24"/>
          <w:szCs w:val="24"/>
        </w:rPr>
      </w:pPr>
      <w:r>
        <w:rPr>
          <w:rFonts w:ascii="Arial" w:eastAsia="Arial" w:hAnsi="Arial" w:cs="Arial"/>
          <w:color w:val="000000"/>
          <w:spacing w:val="0"/>
          <w:w w:val="100"/>
          <w:position w:val="0"/>
          <w:sz w:val="24"/>
          <w:szCs w:val="24"/>
        </w:rPr>
        <w:t>2,639,450</w:t>
      </w:r>
    </w:p>
    <w:tbl>
      <w:tblPr>
        <w:tblOverlap w:val="never"/>
        <w:jc w:val="right"/>
        <w:tblLayout w:type="fixed"/>
      </w:tblPr>
      <w:tblGrid>
        <w:gridCol w:w="2333"/>
        <w:gridCol w:w="2477"/>
        <w:gridCol w:w="1646"/>
        <w:gridCol w:w="1613"/>
      </w:tblGrid>
      <w:tr>
        <w:trPr>
          <w:trHeight w:val="922" w:hRule="exact"/>
        </w:trPr>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4"/>
                <w:szCs w:val="24"/>
              </w:rPr>
              <w:t>应收账款</w:t>
            </w:r>
            <w:r>
              <w:rPr>
                <w:rFonts w:ascii="SimSun" w:eastAsia="SimSun" w:hAnsi="SimSun" w:cs="SimSun"/>
                <w:color w:val="000000"/>
                <w:spacing w:val="0"/>
                <w:w w:val="100"/>
                <w:position w:val="0"/>
                <w:sz w:val="28"/>
                <w:szCs w:val="28"/>
              </w:rPr>
              <w:t>一</w:t>
            </w:r>
          </w:p>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港元</w:t>
            </w:r>
          </w:p>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美元</w:t>
            </w:r>
          </w:p>
        </w:tc>
        <w:tc>
          <w:tcPr>
            <w:vMerge w:val="restart"/>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119,744</w:t>
            </w:r>
          </w:p>
          <w:p>
            <w:pPr>
              <w:pStyle w:val="Style29"/>
              <w:keepNext w:val="0"/>
              <w:keepLines w:val="0"/>
              <w:widowControl w:val="0"/>
              <w:shd w:val="clear" w:color="auto" w:fill="auto"/>
              <w:bidi w:val="0"/>
              <w:spacing w:before="0" w:after="0" w:line="240" w:lineRule="auto"/>
              <w:ind w:left="1320" w:right="0" w:firstLine="0"/>
              <w:jc w:val="left"/>
              <w:rPr>
                <w:sz w:val="24"/>
                <w:szCs w:val="24"/>
              </w:rPr>
            </w:pPr>
            <w:r>
              <w:rPr>
                <w:rFonts w:ascii="Arial" w:eastAsia="Arial" w:hAnsi="Arial" w:cs="Arial"/>
                <w:color w:val="000000"/>
                <w:spacing w:val="0"/>
                <w:w w:val="100"/>
                <w:position w:val="0"/>
                <w:sz w:val="24"/>
                <w:szCs w:val="24"/>
              </w:rPr>
              <w:t>5,639</w:t>
            </w:r>
          </w:p>
        </w:tc>
        <w:tc>
          <w:tcPr>
            <w:vMerge w:val="restart"/>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0.8176</w:t>
            </w:r>
          </w:p>
          <w:p>
            <w:pPr>
              <w:pStyle w:val="Style29"/>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6.3757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97,903</w:t>
            </w:r>
          </w:p>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35,953</w:t>
            </w:r>
          </w:p>
        </w:tc>
      </w:tr>
      <w:tr>
        <w:trPr>
          <w:trHeight w:val="298" w:hRule="exact"/>
        </w:trPr>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133,856</w:t>
            </w:r>
          </w:p>
        </w:tc>
      </w:tr>
      <w:tr>
        <w:trPr>
          <w:trHeight w:val="61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4"/>
                <w:szCs w:val="24"/>
              </w:rPr>
              <w:t>应收利息</w:t>
            </w:r>
            <w:r>
              <w:rPr>
                <w:rFonts w:ascii="SimSun" w:eastAsia="SimSun" w:hAnsi="SimSun" w:cs="SimSun"/>
                <w:color w:val="000000"/>
                <w:spacing w:val="0"/>
                <w:w w:val="100"/>
                <w:position w:val="0"/>
                <w:sz w:val="28"/>
                <w:szCs w:val="28"/>
              </w:rPr>
              <w:t>一</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美元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24"/>
                <w:szCs w:val="24"/>
              </w:rPr>
            </w:pPr>
            <w:r>
              <w:rPr>
                <w:rFonts w:ascii="Arial" w:eastAsia="Arial" w:hAnsi="Arial" w:cs="Arial"/>
                <w:color w:val="000000"/>
                <w:spacing w:val="0"/>
                <w:w w:val="100"/>
                <w:position w:val="0"/>
                <w:sz w:val="24"/>
                <w:szCs w:val="24"/>
              </w:rPr>
              <w:t>2,576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6.3757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16,424</w:t>
            </w:r>
          </w:p>
        </w:tc>
      </w:tr>
      <w:tr>
        <w:trPr>
          <w:trHeight w:val="61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4"/>
                <w:szCs w:val="24"/>
              </w:rPr>
              <w:t>其他应收款</w:t>
            </w:r>
            <w:r>
              <w:rPr>
                <w:rFonts w:ascii="SimSun" w:eastAsia="SimSun" w:hAnsi="SimSun" w:cs="SimSun"/>
                <w:color w:val="000000"/>
                <w:spacing w:val="0"/>
                <w:w w:val="100"/>
                <w:position w:val="0"/>
                <w:sz w:val="28"/>
                <w:szCs w:val="28"/>
              </w:rPr>
              <w:t>一</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港元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9,854,462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0.8176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8,057,008</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欧元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24"/>
                <w:szCs w:val="24"/>
              </w:rPr>
            </w:pPr>
            <w:r>
              <w:rPr>
                <w:rFonts w:ascii="Arial" w:eastAsia="Arial" w:hAnsi="Arial" w:cs="Arial"/>
                <w:color w:val="000000"/>
                <w:spacing w:val="0"/>
                <w:w w:val="100"/>
                <w:position w:val="0"/>
                <w:sz w:val="24"/>
                <w:szCs w:val="24"/>
              </w:rPr>
              <w:t>231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24"/>
                <w:szCs w:val="24"/>
              </w:rPr>
            </w:pPr>
            <w:r>
              <w:rPr>
                <w:rFonts w:ascii="Arial" w:eastAsia="Arial" w:hAnsi="Arial" w:cs="Arial"/>
                <w:color w:val="000000"/>
                <w:spacing w:val="0"/>
                <w:w w:val="100"/>
                <w:position w:val="0"/>
                <w:sz w:val="24"/>
                <w:szCs w:val="24"/>
              </w:rPr>
              <w:t>7.2197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1,668</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4"/>
                <w:szCs w:val="24"/>
              </w:rPr>
            </w:pPr>
            <w:r>
              <w:rPr>
                <w:rFonts w:ascii="Arial" w:eastAsia="Arial" w:hAnsi="Arial" w:cs="Arial"/>
                <w:color w:val="000000"/>
                <w:spacing w:val="0"/>
                <w:w w:val="100"/>
                <w:position w:val="0"/>
                <w:sz w:val="24"/>
                <w:szCs w:val="24"/>
              </w:rPr>
              <w:t>8,058,676</w:t>
            </w:r>
          </w:p>
        </w:tc>
      </w:tr>
    </w:tbl>
    <w:p>
      <w:pPr>
        <w:spacing w:lineRule="exact" w:line="1"/>
        <w:rPr>
          <w:sz w:val="2"/>
          <w:szCs w:val="2"/>
        </w:rPr>
      </w:pPr>
      <w:r>
        <w:br w:type="page"/>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b/>
          <w:bCs/>
          <w:color w:val="000000"/>
          <w:spacing w:val="0"/>
          <w:w w:val="100"/>
          <w:position w:val="0"/>
          <w:sz w:val="24"/>
          <w:szCs w:val="24"/>
        </w:rPr>
        <w:t>财务报表附注</w:t>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w:t>
      </w:r>
    </w:p>
    <w:p>
      <w:pPr>
        <w:pStyle w:val="Style26"/>
        <w:keepNext w:val="0"/>
        <w:keepLines w:val="0"/>
        <w:widowControl w:val="0"/>
        <w:shd w:val="clear" w:color="auto" w:fill="auto"/>
        <w:bidi w:val="0"/>
        <w:spacing w:before="0" w:after="60" w:line="240" w:lineRule="auto"/>
        <w:ind w:left="710" w:right="0" w:firstLine="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rFonts w:ascii="Arial" w:eastAsia="Arial" w:hAnsi="Arial" w:cs="Arial"/>
          <w:color w:val="000000"/>
          <w:spacing w:val="0"/>
          <w:w w:val="100"/>
          <w:position w:val="0"/>
          <w:sz w:val="18"/>
          <w:szCs w:val="18"/>
        </w:rPr>
        <w:t>）</w:t>
      </w:r>
    </w:p>
    <w:tbl>
      <w:tblPr>
        <w:tblOverlap w:val="never"/>
        <w:jc w:val="center"/>
        <w:tblLayout w:type="fixed"/>
      </w:tblPr>
      <w:tblGrid>
        <w:gridCol w:w="576"/>
        <w:gridCol w:w="3389"/>
        <w:gridCol w:w="1128"/>
        <w:gridCol w:w="2232"/>
        <w:gridCol w:w="1459"/>
      </w:tblGrid>
      <w:tr>
        <w:trPr>
          <w:trHeight w:val="44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四</w:t>
            </w:r>
          </w:p>
        </w:tc>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b/>
                <w:bCs/>
                <w:color w:val="000000"/>
                <w:spacing w:val="0"/>
                <w:w w:val="100"/>
                <w:position w:val="0"/>
                <w:sz w:val="24"/>
                <w:szCs w:val="24"/>
              </w:rPr>
              <w:t>合并财务报表项目附注</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r>
      <w:tr>
        <w:trPr>
          <w:trHeight w:val="1027"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24"/>
                <w:szCs w:val="24"/>
              </w:rPr>
            </w:pPr>
            <w:r>
              <w:rPr>
                <w:rFonts w:ascii="Arial" w:eastAsia="Arial" w:hAnsi="Arial" w:cs="Arial"/>
                <w:color w:val="000000"/>
                <w:spacing w:val="0"/>
                <w:w w:val="100"/>
                <w:position w:val="0"/>
                <w:sz w:val="24"/>
                <w:szCs w:val="24"/>
              </w:rPr>
              <w:t>(65)</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140"/>
              <w:jc w:val="left"/>
              <w:rPr>
                <w:sz w:val="28"/>
                <w:szCs w:val="28"/>
              </w:rPr>
            </w:pPr>
            <w:r>
              <w:rPr>
                <w:rFonts w:ascii="SimSun" w:eastAsia="SimSun" w:hAnsi="SimSun" w:cs="SimSun"/>
                <w:b/>
                <w:bCs/>
                <w:color w:val="000000"/>
                <w:spacing w:val="0"/>
                <w:w w:val="100"/>
                <w:position w:val="0"/>
                <w:sz w:val="24"/>
                <w:szCs w:val="24"/>
              </w:rPr>
              <w:t>外币货币性项目</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widowControl w:val="0"/>
              <w:rPr>
                <w:sz w:val="10"/>
                <w:szCs w:val="10"/>
              </w:rPr>
            </w:pPr>
          </w:p>
        </w:tc>
      </w:tr>
      <w:tr>
        <w:trPr>
          <w:trHeight w:val="917"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color w:val="000000"/>
                <w:spacing w:val="0"/>
                <w:w w:val="100"/>
                <w:position w:val="0"/>
                <w:sz w:val="24"/>
                <w:szCs w:val="24"/>
              </w:rPr>
              <w:t>长期应收款</w:t>
            </w:r>
            <w:r>
              <w:rPr>
                <w:rFonts w:ascii="SimSun" w:eastAsia="SimSun" w:hAnsi="SimSun" w:cs="SimSun"/>
                <w:color w:val="000000"/>
                <w:spacing w:val="0"/>
                <w:w w:val="100"/>
                <w:position w:val="0"/>
                <w:sz w:val="28"/>
                <w:szCs w:val="28"/>
              </w:rPr>
              <w:t>一</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外币余额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SimSun" w:eastAsia="SimSun" w:hAnsi="SimSun" w:cs="SimSun"/>
                <w:color w:val="000000"/>
                <w:spacing w:val="0"/>
                <w:w w:val="100"/>
                <w:position w:val="0"/>
                <w:sz w:val="24"/>
                <w:szCs w:val="24"/>
              </w:rPr>
              <w:t>折算汇率</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人民币余额</w:t>
            </w:r>
          </w:p>
        </w:tc>
      </w:tr>
      <w:tr>
        <w:trPr>
          <w:trHeight w:val="93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340" w:line="240" w:lineRule="auto"/>
              <w:ind w:left="0" w:right="0" w:firstLine="400"/>
              <w:jc w:val="left"/>
              <w:rPr>
                <w:sz w:val="24"/>
                <w:szCs w:val="24"/>
              </w:rPr>
            </w:pPr>
            <w:r>
              <w:rPr>
                <w:rFonts w:ascii="SimSun" w:eastAsia="SimSun" w:hAnsi="SimSun" w:cs="SimSun"/>
                <w:color w:val="000000"/>
                <w:spacing w:val="0"/>
                <w:w w:val="100"/>
                <w:position w:val="0"/>
                <w:sz w:val="24"/>
                <w:szCs w:val="24"/>
              </w:rPr>
              <w:t>港元</w:t>
            </w:r>
          </w:p>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color w:val="000000"/>
                <w:spacing w:val="0"/>
                <w:w w:val="100"/>
                <w:position w:val="0"/>
                <w:sz w:val="24"/>
                <w:szCs w:val="24"/>
              </w:rPr>
              <w:t>短期借款</w:t>
            </w:r>
            <w:r>
              <w:rPr>
                <w:rFonts w:ascii="SimSun" w:eastAsia="SimSun" w:hAnsi="SimSun" w:cs="SimSun"/>
                <w:color w:val="000000"/>
                <w:spacing w:val="0"/>
                <w:w w:val="100"/>
                <w:position w:val="0"/>
                <w:sz w:val="28"/>
                <w:szCs w:val="28"/>
              </w:rPr>
              <w:t>一</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32,194</w:t>
            </w:r>
          </w:p>
        </w:tc>
        <w:tc>
          <w:tcPr>
            <w:tcBorders/>
            <w:shd w:val="clear" w:color="auto" w:fill="FFFFFF"/>
            <w:vAlign w:val="top"/>
          </w:tcPr>
          <w:p>
            <w:pPr>
              <w:pStyle w:val="Style29"/>
              <w:keepNext w:val="0"/>
              <w:keepLines w:val="0"/>
              <w:widowControl w:val="0"/>
              <w:shd w:val="clear" w:color="auto" w:fill="auto"/>
              <w:tabs>
                <w:tab w:pos="1925" w:val="left"/>
              </w:tabs>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0.8176</w:t>
              <w:tab/>
            </w:r>
            <w:r>
              <w:rPr>
                <w:rFonts w:ascii="Arial" w:eastAsia="Arial" w:hAnsi="Arial" w:cs="Arial"/>
                <w:color w:val="000000"/>
                <w:spacing w:val="0"/>
                <w:w w:val="100"/>
                <w:position w:val="0"/>
                <w:sz w:val="24"/>
                <w:szCs w:val="24"/>
              </w:rPr>
              <w:t>_</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4"/>
                <w:szCs w:val="24"/>
              </w:rPr>
            </w:pPr>
            <w:r>
              <w:rPr>
                <w:rFonts w:ascii="Arial" w:eastAsia="Arial" w:hAnsi="Arial" w:cs="Arial"/>
                <w:color w:val="000000"/>
                <w:spacing w:val="0"/>
                <w:w w:val="100"/>
                <w:position w:val="0"/>
                <w:sz w:val="24"/>
                <w:szCs w:val="24"/>
              </w:rPr>
              <w:t>26,322</w:t>
            </w:r>
          </w:p>
        </w:tc>
      </w:tr>
      <w:tr>
        <w:trPr>
          <w:trHeight w:val="9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320" w:line="240" w:lineRule="auto"/>
              <w:ind w:left="0" w:right="0" w:firstLine="400"/>
              <w:jc w:val="left"/>
              <w:rPr>
                <w:sz w:val="24"/>
                <w:szCs w:val="24"/>
              </w:rPr>
            </w:pPr>
            <w:r>
              <w:rPr>
                <w:rFonts w:ascii="SimSun" w:eastAsia="SimSun" w:hAnsi="SimSun" w:cs="SimSun"/>
                <w:color w:val="000000"/>
                <w:spacing w:val="0"/>
                <w:w w:val="100"/>
                <w:position w:val="0"/>
                <w:sz w:val="24"/>
                <w:szCs w:val="24"/>
              </w:rPr>
              <w:t>美元</w:t>
            </w:r>
          </w:p>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color w:val="000000"/>
                <w:spacing w:val="0"/>
                <w:w w:val="100"/>
                <w:position w:val="0"/>
                <w:sz w:val="24"/>
                <w:szCs w:val="24"/>
              </w:rPr>
              <w:t>应付账款</w:t>
            </w:r>
            <w:r>
              <w:rPr>
                <w:rFonts w:ascii="SimSun" w:eastAsia="SimSun" w:hAnsi="SimSun" w:cs="SimSun"/>
                <w:color w:val="000000"/>
                <w:spacing w:val="0"/>
                <w:w w:val="100"/>
                <w:position w:val="0"/>
                <w:sz w:val="28"/>
                <w:szCs w:val="28"/>
              </w:rPr>
              <w:t>一</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24"/>
                <w:szCs w:val="24"/>
              </w:rPr>
            </w:pPr>
            <w:r>
              <w:rPr>
                <w:rFonts w:ascii="Arial" w:eastAsia="Arial" w:hAnsi="Arial" w:cs="Arial"/>
                <w:color w:val="000000"/>
                <w:spacing w:val="0"/>
                <w:w w:val="100"/>
                <w:position w:val="0"/>
                <w:sz w:val="24"/>
                <w:szCs w:val="24"/>
              </w:rPr>
              <w:t>300,000</w:t>
            </w:r>
          </w:p>
        </w:tc>
        <w:tc>
          <w:tcPr>
            <w:tcBorders/>
            <w:shd w:val="clear" w:color="auto" w:fill="FFFFFF"/>
            <w:vAlign w:val="top"/>
          </w:tcPr>
          <w:p>
            <w:pPr>
              <w:pStyle w:val="Style29"/>
              <w:keepNext w:val="0"/>
              <w:keepLines w:val="0"/>
              <w:widowControl w:val="0"/>
              <w:shd w:val="clear" w:color="auto" w:fill="auto"/>
              <w:tabs>
                <w:tab w:pos="1930" w:val="left"/>
              </w:tabs>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6.3757</w:t>
              <w:tab/>
            </w:r>
            <w:r>
              <w:rPr>
                <w:rFonts w:ascii="Arial" w:eastAsia="Arial" w:hAnsi="Arial" w:cs="Arial"/>
                <w:color w:val="000000"/>
                <w:spacing w:val="0"/>
                <w:w w:val="100"/>
                <w:position w:val="0"/>
                <w:sz w:val="24"/>
                <w:szCs w:val="24"/>
              </w:rPr>
              <w:t>_</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4"/>
                <w:szCs w:val="24"/>
              </w:rPr>
            </w:pPr>
            <w:r>
              <w:rPr>
                <w:rFonts w:ascii="Arial" w:eastAsia="Arial" w:hAnsi="Arial" w:cs="Arial"/>
                <w:color w:val="000000"/>
                <w:spacing w:val="0"/>
                <w:w w:val="100"/>
                <w:position w:val="0"/>
                <w:sz w:val="24"/>
                <w:szCs w:val="24"/>
              </w:rPr>
              <w:t>1,912,710</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SimSun" w:eastAsia="SimSun" w:hAnsi="SimSun" w:cs="SimSun"/>
                <w:color w:val="000000"/>
                <w:spacing w:val="0"/>
                <w:w w:val="100"/>
                <w:position w:val="0"/>
                <w:sz w:val="24"/>
                <w:szCs w:val="24"/>
              </w:rPr>
              <w:t>港元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24"/>
                <w:szCs w:val="24"/>
              </w:rPr>
            </w:pPr>
            <w:r>
              <w:rPr>
                <w:rFonts w:ascii="Arial" w:eastAsia="Arial" w:hAnsi="Arial" w:cs="Arial"/>
                <w:color w:val="000000"/>
                <w:spacing w:val="0"/>
                <w:w w:val="100"/>
                <w:position w:val="0"/>
                <w:sz w:val="24"/>
                <w:szCs w:val="24"/>
              </w:rPr>
              <w:t>307,284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0.8176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4"/>
                <w:szCs w:val="24"/>
              </w:rPr>
            </w:pPr>
            <w:r>
              <w:rPr>
                <w:rFonts w:ascii="Arial" w:eastAsia="Arial" w:hAnsi="Arial" w:cs="Arial"/>
                <w:color w:val="000000"/>
                <w:spacing w:val="0"/>
                <w:w w:val="100"/>
                <w:position w:val="0"/>
                <w:sz w:val="24"/>
                <w:szCs w:val="24"/>
              </w:rPr>
              <w:t>251,235</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SimSun" w:eastAsia="SimSun" w:hAnsi="SimSun" w:cs="SimSun"/>
                <w:color w:val="000000"/>
                <w:spacing w:val="0"/>
                <w:w w:val="100"/>
                <w:position w:val="0"/>
                <w:sz w:val="24"/>
                <w:szCs w:val="24"/>
              </w:rPr>
              <w:t>欧元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173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7.2197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Arial" w:eastAsia="Arial" w:hAnsi="Arial" w:cs="Arial"/>
                <w:color w:val="000000"/>
                <w:spacing w:val="0"/>
                <w:w w:val="100"/>
                <w:position w:val="0"/>
                <w:sz w:val="24"/>
                <w:szCs w:val="24"/>
              </w:rPr>
              <w:t>1,249</w:t>
            </w:r>
          </w:p>
        </w:tc>
      </w:tr>
      <w:tr>
        <w:trPr>
          <w:trHeight w:val="121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620" w:line="240" w:lineRule="auto"/>
              <w:ind w:left="0" w:right="0" w:firstLine="400"/>
              <w:jc w:val="left"/>
              <w:rPr>
                <w:sz w:val="24"/>
                <w:szCs w:val="24"/>
              </w:rPr>
            </w:pPr>
            <w:r>
              <w:rPr>
                <w:rFonts w:ascii="SimSun" w:eastAsia="SimSun" w:hAnsi="SimSun" w:cs="SimSun"/>
                <w:color w:val="000000"/>
                <w:spacing w:val="0"/>
                <w:w w:val="100"/>
                <w:position w:val="0"/>
                <w:sz w:val="24"/>
                <w:szCs w:val="24"/>
              </w:rPr>
              <w:t>澳门元</w:t>
            </w:r>
          </w:p>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color w:val="000000"/>
                <w:spacing w:val="0"/>
                <w:w w:val="100"/>
                <w:position w:val="0"/>
                <w:sz w:val="24"/>
                <w:szCs w:val="24"/>
              </w:rPr>
              <w:t>应付利息</w:t>
            </w:r>
            <w:r>
              <w:rPr>
                <w:rFonts w:ascii="SimSun" w:eastAsia="SimSun" w:hAnsi="SimSun" w:cs="SimSun"/>
                <w:color w:val="000000"/>
                <w:spacing w:val="0"/>
                <w:w w:val="100"/>
                <w:position w:val="0"/>
                <w:sz w:val="28"/>
                <w:szCs w:val="28"/>
              </w:rPr>
              <w:t>一</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left"/>
              <w:rPr>
                <w:sz w:val="24"/>
                <w:szCs w:val="24"/>
              </w:rPr>
            </w:pPr>
            <w:r>
              <w:rPr>
                <w:rFonts w:ascii="Arial" w:eastAsia="Arial" w:hAnsi="Arial" w:cs="Arial"/>
                <w:color w:val="000000"/>
                <w:spacing w:val="0"/>
                <w:w w:val="100"/>
                <w:position w:val="0"/>
                <w:sz w:val="24"/>
                <w:szCs w:val="24"/>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0.7936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4</w:t>
            </w:r>
          </w:p>
          <w:p>
            <w:pPr>
              <w:pStyle w:val="Style29"/>
              <w:keepNext w:val="0"/>
              <w:keepLines w:val="0"/>
              <w:widowControl w:val="0"/>
              <w:shd w:val="clear" w:color="auto" w:fill="auto"/>
              <w:bidi w:val="0"/>
              <w:spacing w:before="0" w:after="0" w:line="240" w:lineRule="auto"/>
              <w:ind w:left="0" w:right="0" w:firstLine="420"/>
              <w:jc w:val="both"/>
              <w:rPr>
                <w:sz w:val="24"/>
                <w:szCs w:val="24"/>
              </w:rPr>
            </w:pPr>
            <w:r>
              <w:rPr>
                <w:rFonts w:ascii="Arial" w:eastAsia="Arial" w:hAnsi="Arial" w:cs="Arial"/>
                <w:color w:val="000000"/>
                <w:spacing w:val="0"/>
                <w:w w:val="100"/>
                <w:position w:val="0"/>
                <w:sz w:val="24"/>
                <w:szCs w:val="24"/>
              </w:rPr>
              <w:t>252,488</w:t>
            </w:r>
          </w:p>
        </w:tc>
      </w:tr>
      <w:tr>
        <w:trPr>
          <w:trHeight w:val="93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320" w:line="240" w:lineRule="auto"/>
              <w:ind w:left="0" w:right="0" w:firstLine="620"/>
              <w:jc w:val="left"/>
              <w:rPr>
                <w:sz w:val="24"/>
                <w:szCs w:val="24"/>
              </w:rPr>
            </w:pPr>
            <w:r>
              <w:rPr>
                <w:rFonts w:ascii="SimSun" w:eastAsia="SimSun" w:hAnsi="SimSun" w:cs="SimSun"/>
                <w:color w:val="000000"/>
                <w:spacing w:val="0"/>
                <w:w w:val="100"/>
                <w:position w:val="0"/>
                <w:sz w:val="24"/>
                <w:szCs w:val="24"/>
              </w:rPr>
              <w:t>美元</w:t>
            </w:r>
          </w:p>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color w:val="000000"/>
                <w:spacing w:val="0"/>
                <w:w w:val="100"/>
                <w:position w:val="0"/>
                <w:sz w:val="24"/>
                <w:szCs w:val="24"/>
              </w:rPr>
              <w:t>其他应付款</w:t>
            </w:r>
            <w:r>
              <w:rPr>
                <w:rFonts w:ascii="SimSun" w:eastAsia="SimSun" w:hAnsi="SimSun" w:cs="SimSun"/>
                <w:color w:val="000000"/>
                <w:spacing w:val="0"/>
                <w:w w:val="100"/>
                <w:position w:val="0"/>
                <w:sz w:val="28"/>
                <w:szCs w:val="28"/>
              </w:rPr>
              <w:t>一</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24"/>
                <w:szCs w:val="24"/>
              </w:rPr>
            </w:pPr>
            <w:r>
              <w:rPr>
                <w:rFonts w:ascii="Arial" w:eastAsia="Arial" w:hAnsi="Arial" w:cs="Arial"/>
                <w:color w:val="000000"/>
                <w:spacing w:val="0"/>
                <w:w w:val="100"/>
                <w:position w:val="0"/>
                <w:sz w:val="24"/>
                <w:szCs w:val="24"/>
              </w:rPr>
              <w:t>10,583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6.3757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4"/>
                <w:szCs w:val="24"/>
              </w:rPr>
            </w:pPr>
            <w:r>
              <w:rPr>
                <w:rFonts w:ascii="Arial" w:eastAsia="Arial" w:hAnsi="Arial" w:cs="Arial"/>
                <w:color w:val="000000"/>
                <w:spacing w:val="0"/>
                <w:w w:val="100"/>
                <w:position w:val="0"/>
                <w:sz w:val="24"/>
                <w:szCs w:val="24"/>
              </w:rPr>
              <w:t>67,474</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24"/>
                <w:szCs w:val="24"/>
              </w:rPr>
            </w:pPr>
            <w:r>
              <w:rPr>
                <w:rFonts w:ascii="SimSun" w:eastAsia="SimSun" w:hAnsi="SimSun" w:cs="SimSun"/>
                <w:color w:val="000000"/>
                <w:spacing w:val="0"/>
                <w:w w:val="100"/>
                <w:position w:val="0"/>
                <w:sz w:val="24"/>
                <w:szCs w:val="24"/>
              </w:rPr>
              <w:t>港币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24"/>
                <w:szCs w:val="24"/>
              </w:rPr>
              <w:t>215,110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0.8176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4"/>
                <w:szCs w:val="24"/>
              </w:rPr>
            </w:pPr>
            <w:r>
              <w:rPr>
                <w:rFonts w:ascii="Arial" w:eastAsia="Arial" w:hAnsi="Arial" w:cs="Arial"/>
                <w:color w:val="000000"/>
                <w:spacing w:val="0"/>
                <w:w w:val="100"/>
                <w:position w:val="0"/>
                <w:sz w:val="24"/>
                <w:szCs w:val="24"/>
              </w:rPr>
              <w:t>175,874</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4"/>
                <w:szCs w:val="24"/>
              </w:rPr>
            </w:pPr>
            <w:r>
              <w:rPr>
                <w:rFonts w:ascii="SimSun" w:eastAsia="SimSun" w:hAnsi="SimSun" w:cs="SimSun"/>
                <w:color w:val="000000"/>
                <w:spacing w:val="0"/>
                <w:w w:val="100"/>
                <w:position w:val="0"/>
                <w:sz w:val="24"/>
                <w:szCs w:val="24"/>
              </w:rPr>
              <w:t>美元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2,773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6.3757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4"/>
                <w:szCs w:val="24"/>
              </w:rPr>
            </w:pPr>
            <w:r>
              <w:rPr>
                <w:rFonts w:ascii="Arial" w:eastAsia="Arial" w:hAnsi="Arial" w:cs="Arial"/>
                <w:color w:val="000000"/>
                <w:spacing w:val="0"/>
                <w:w w:val="100"/>
                <w:position w:val="0"/>
                <w:sz w:val="24"/>
                <w:szCs w:val="24"/>
              </w:rPr>
              <w:t>17,680</w:t>
            </w:r>
          </w:p>
        </w:tc>
      </w:tr>
      <w:tr>
        <w:trPr>
          <w:trHeight w:val="120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620" w:line="240" w:lineRule="auto"/>
              <w:ind w:left="0" w:right="0" w:firstLine="620"/>
              <w:jc w:val="left"/>
              <w:rPr>
                <w:sz w:val="24"/>
                <w:szCs w:val="24"/>
              </w:rPr>
            </w:pPr>
            <w:r>
              <w:rPr>
                <w:rFonts w:ascii="SimSun" w:eastAsia="SimSun" w:hAnsi="SimSun" w:cs="SimSun"/>
                <w:color w:val="000000"/>
                <w:spacing w:val="0"/>
                <w:w w:val="100"/>
                <w:position w:val="0"/>
                <w:sz w:val="24"/>
                <w:szCs w:val="24"/>
              </w:rPr>
              <w:t>欧元</w:t>
            </w:r>
          </w:p>
          <w:p>
            <w:pPr>
              <w:pStyle w:val="Style29"/>
              <w:keepNext w:val="0"/>
              <w:keepLines w:val="0"/>
              <w:widowControl w:val="0"/>
              <w:shd w:val="clear" w:color="auto" w:fill="auto"/>
              <w:bidi w:val="0"/>
              <w:spacing w:before="0" w:after="0" w:line="240" w:lineRule="auto"/>
              <w:ind w:left="0" w:right="0" w:firstLine="140"/>
              <w:jc w:val="left"/>
              <w:rPr>
                <w:sz w:val="28"/>
                <w:szCs w:val="28"/>
              </w:rPr>
            </w:pPr>
            <w:r>
              <w:rPr>
                <w:rFonts w:ascii="SimSun" w:eastAsia="SimSun" w:hAnsi="SimSun" w:cs="SimSun"/>
                <w:color w:val="000000"/>
                <w:spacing w:val="0"/>
                <w:w w:val="100"/>
                <w:position w:val="0"/>
                <w:sz w:val="24"/>
                <w:szCs w:val="24"/>
              </w:rPr>
              <w:t>一年内到期的非流动负债</w:t>
            </w:r>
            <w:r>
              <w:rPr>
                <w:rFonts w:ascii="SimSun" w:eastAsia="SimSun" w:hAnsi="SimSun" w:cs="SimSun"/>
                <w:color w:val="000000"/>
                <w:spacing w:val="0"/>
                <w:w w:val="100"/>
                <w:position w:val="0"/>
                <w:sz w:val="28"/>
                <w:szCs w:val="28"/>
              </w:rPr>
              <w:t>一</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86</w:t>
            </w:r>
          </w:p>
        </w:tc>
        <w:tc>
          <w:tcPr>
            <w:tcBorders/>
            <w:shd w:val="clear" w:color="auto" w:fill="FFFFFF"/>
            <w:vAlign w:val="top"/>
          </w:tcPr>
          <w:p>
            <w:pPr>
              <w:pStyle w:val="Style29"/>
              <w:keepNext w:val="0"/>
              <w:keepLines w:val="0"/>
              <w:widowControl w:val="0"/>
              <w:shd w:val="clear" w:color="auto" w:fill="auto"/>
              <w:tabs>
                <w:tab w:pos="1925" w:val="left"/>
              </w:tabs>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7.2197</w:t>
              <w:tab/>
            </w:r>
            <w:r>
              <w:rPr>
                <w:rFonts w:ascii="Arial" w:eastAsia="Arial" w:hAnsi="Arial" w:cs="Arial"/>
                <w:color w:val="000000"/>
                <w:spacing w:val="0"/>
                <w:w w:val="100"/>
                <w:position w:val="0"/>
                <w:sz w:val="24"/>
                <w:szCs w:val="24"/>
              </w:rPr>
              <w:t>_</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621</w:t>
            </w:r>
          </w:p>
          <w:p>
            <w:pPr>
              <w:pStyle w:val="Style29"/>
              <w:keepNext w:val="0"/>
              <w:keepLines w:val="0"/>
              <w:widowControl w:val="0"/>
              <w:shd w:val="clear" w:color="auto" w:fill="auto"/>
              <w:bidi w:val="0"/>
              <w:spacing w:before="0" w:after="0" w:line="240" w:lineRule="auto"/>
              <w:ind w:left="0" w:right="0" w:firstLine="420"/>
              <w:jc w:val="both"/>
              <w:rPr>
                <w:sz w:val="24"/>
                <w:szCs w:val="24"/>
              </w:rPr>
            </w:pPr>
            <w:r>
              <w:rPr>
                <w:rFonts w:ascii="Arial" w:eastAsia="Arial" w:hAnsi="Arial" w:cs="Arial"/>
                <w:color w:val="000000"/>
                <w:spacing w:val="0"/>
                <w:w w:val="100"/>
                <w:position w:val="0"/>
                <w:sz w:val="24"/>
                <w:szCs w:val="24"/>
              </w:rPr>
              <w:t>194,175</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SimSun" w:eastAsia="SimSun" w:hAnsi="SimSun" w:cs="SimSun"/>
                <w:color w:val="000000"/>
                <w:spacing w:val="0"/>
                <w:w w:val="100"/>
                <w:position w:val="0"/>
                <w:sz w:val="24"/>
                <w:szCs w:val="24"/>
              </w:rPr>
              <w:t>美元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24"/>
                <w:szCs w:val="24"/>
              </w:rPr>
            </w:pPr>
            <w:r>
              <w:rPr>
                <w:rFonts w:ascii="Arial" w:eastAsia="Arial" w:hAnsi="Arial" w:cs="Arial"/>
                <w:color w:val="000000"/>
                <w:spacing w:val="0"/>
                <w:w w:val="100"/>
                <w:position w:val="0"/>
                <w:sz w:val="24"/>
                <w:szCs w:val="24"/>
              </w:rPr>
              <w:t>201,753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4"/>
                <w:szCs w:val="24"/>
              </w:rPr>
            </w:pPr>
            <w:r>
              <w:rPr>
                <w:rFonts w:ascii="Arial" w:eastAsia="Arial" w:hAnsi="Arial" w:cs="Arial"/>
                <w:color w:val="000000"/>
                <w:spacing w:val="0"/>
                <w:w w:val="100"/>
                <w:position w:val="0"/>
                <w:sz w:val="24"/>
                <w:szCs w:val="24"/>
              </w:rPr>
              <w:t>6.3757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4"/>
                <w:szCs w:val="24"/>
              </w:rPr>
            </w:pPr>
            <w:r>
              <w:rPr>
                <w:rFonts w:ascii="Arial" w:eastAsia="Arial" w:hAnsi="Arial" w:cs="Arial"/>
                <w:color w:val="000000"/>
                <w:spacing w:val="0"/>
                <w:w w:val="100"/>
                <w:position w:val="0"/>
                <w:sz w:val="24"/>
                <w:szCs w:val="24"/>
              </w:rPr>
              <w:t>1,286,317</w:t>
            </w:r>
          </w:p>
        </w:tc>
      </w:tr>
      <w:tr>
        <w:trPr>
          <w:trHeight w:val="768" w:hRule="exact"/>
        </w:trPr>
        <w:tc>
          <w:tcPr>
            <w:tcBorders/>
            <w:shd w:val="clear" w:color="auto" w:fill="FFFFFF"/>
            <w:vAlign w:val="top"/>
          </w:tcPr>
          <w:p>
            <w:pPr>
              <w:widowControl w:val="0"/>
              <w:rPr>
                <w:sz w:val="10"/>
                <w:szCs w:val="10"/>
              </w:rPr>
            </w:pPr>
          </w:p>
        </w:tc>
        <w:tc>
          <w:tcPr>
            <w:gridSpan w:val="4"/>
            <w:tcBorders/>
            <w:shd w:val="clear" w:color="auto" w:fill="FFFFFF"/>
            <w:vAlign w:val="bottom"/>
          </w:tcPr>
          <w:p>
            <w:pPr>
              <w:pStyle w:val="Style29"/>
              <w:keepNext w:val="0"/>
              <w:keepLines w:val="0"/>
              <w:widowControl w:val="0"/>
              <w:shd w:val="clear" w:color="auto" w:fill="auto"/>
              <w:bidi w:val="0"/>
              <w:spacing w:before="0" w:after="0" w:line="293" w:lineRule="exact"/>
              <w:ind w:left="140" w:right="0" w:firstLine="0"/>
              <w:jc w:val="left"/>
              <w:rPr>
                <w:sz w:val="24"/>
                <w:szCs w:val="24"/>
              </w:rPr>
            </w:pPr>
            <w:r>
              <w:rPr>
                <w:rFonts w:ascii="SimSun" w:eastAsia="SimSun" w:hAnsi="SimSun" w:cs="SimSun"/>
                <w:color w:val="000000"/>
                <w:spacing w:val="0"/>
                <w:w w:val="100"/>
                <w:position w:val="0"/>
                <w:sz w:val="24"/>
                <w:szCs w:val="24"/>
              </w:rPr>
              <w:t>上述外币货币性项目中的外币是指除人民币之外的所有货币</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其范围与附注 十三</w:t>
            </w:r>
            <w:r>
              <w:rPr>
                <w:rFonts w:ascii="Arial" w:eastAsia="Arial" w:hAnsi="Arial" w:cs="Arial"/>
                <w:color w:val="000000"/>
                <w:spacing w:val="0"/>
                <w:w w:val="100"/>
                <w:position w:val="0"/>
                <w:sz w:val="24"/>
                <w:szCs w:val="24"/>
              </w:rPr>
              <w:t>（1）（a）</w:t>
            </w:r>
            <w:r>
              <w:rPr>
                <w:rFonts w:ascii="SimSun" w:eastAsia="SimSun" w:hAnsi="SimSun" w:cs="SimSun"/>
                <w:color w:val="000000"/>
                <w:spacing w:val="0"/>
                <w:w w:val="100"/>
                <w:position w:val="0"/>
                <w:sz w:val="24"/>
                <w:szCs w:val="24"/>
              </w:rPr>
              <w:t>中的外币项目不同</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w:t>
            </w:r>
          </w:p>
        </w:tc>
      </w:tr>
    </w:tbl>
    <w:p>
      <w:pPr>
        <w:sectPr>
          <w:footnotePr>
            <w:pos w:val="pageBottom"/>
            <w:numFmt w:val="decimal"/>
            <w:numStart w:val="1"/>
            <w:numRestart w:val="continuous"/>
            <w15:footnoteColumns w:val="1"/>
          </w:footnotePr>
          <w:pgSz w:w="11900" w:h="16840"/>
          <w:pgMar w:top="1618" w:right="1407" w:bottom="3947" w:left="1709" w:header="0" w:footer="3" w:gutter="0"/>
          <w:cols w:space="720"/>
          <w:noEndnote/>
          <w:rtlGutter w:val="0"/>
          <w:docGrid w:linePitch="360"/>
        </w:sectPr>
      </w:pPr>
    </w:p>
    <w:p>
      <w:pPr>
        <w:pStyle w:val="Style72"/>
        <w:keepNext w:val="0"/>
        <w:keepLines w:val="0"/>
        <w:widowControl w:val="0"/>
        <w:shd w:val="clear" w:color="auto" w:fill="auto"/>
        <w:bidi w:val="0"/>
        <w:spacing w:before="0" w:after="60" w:line="240" w:lineRule="auto"/>
        <w:ind w:left="0" w:right="0" w:firstLine="70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40" w:line="240" w:lineRule="auto"/>
        <w:ind w:left="0" w:right="0" w:firstLine="70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z w:val="24"/>
          <w:szCs w:val="24"/>
        </w:rPr>
        <w:t>五 合并范围的变更</w:t>
      </w:r>
    </w:p>
    <w:p>
      <w:pPr>
        <w:pStyle w:val="Style72"/>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 xml:space="preserve">(1) </w:t>
      </w:r>
      <w:r>
        <w:rPr>
          <w:b/>
          <w:bCs/>
          <w:color w:val="000000"/>
          <w:spacing w:val="0"/>
          <w:w w:val="100"/>
          <w:position w:val="0"/>
          <w:sz w:val="24"/>
          <w:szCs w:val="24"/>
        </w:rPr>
        <w:t>处置子公司</w:t>
      </w:r>
    </w:p>
    <w:p>
      <w:pPr>
        <w:pStyle w:val="Style72"/>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 xml:space="preserve">(a) </w:t>
      </w:r>
      <w:r>
        <w:rPr>
          <w:color w:val="000000"/>
          <w:spacing w:val="0"/>
          <w:w w:val="100"/>
          <w:position w:val="0"/>
          <w:sz w:val="24"/>
          <w:szCs w:val="24"/>
        </w:rPr>
        <w:t>本年度处置子公司的相关信息汇总如下:</w:t>
      </w:r>
    </w:p>
    <w:tbl>
      <w:tblPr>
        <w:tblOverlap w:val="never"/>
        <w:jc w:val="center"/>
        <w:tblLayout w:type="fixed"/>
      </w:tblPr>
      <w:tblGrid>
        <w:gridCol w:w="4008"/>
        <w:gridCol w:w="1157"/>
        <w:gridCol w:w="917"/>
        <w:gridCol w:w="912"/>
        <w:gridCol w:w="1589"/>
        <w:gridCol w:w="1632"/>
        <w:gridCol w:w="2702"/>
      </w:tblGrid>
      <w:tr>
        <w:trPr>
          <w:trHeight w:val="75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子公司名称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处置价款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处置比例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处置方式</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丧失控制权时点</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丧失控制权时点的判</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断依据</w:t>
            </w:r>
          </w:p>
        </w:tc>
        <w:tc>
          <w:tcPr>
            <w:tcBorders/>
            <w:shd w:val="clear" w:color="auto" w:fill="FFFFFF"/>
            <w:vAlign w:val="top"/>
          </w:tcPr>
          <w:p>
            <w:pPr>
              <w:pStyle w:val="Style29"/>
              <w:keepNext w:val="0"/>
              <w:keepLines w:val="0"/>
              <w:widowControl w:val="0"/>
              <w:shd w:val="clear" w:color="auto" w:fill="auto"/>
              <w:bidi w:val="0"/>
              <w:spacing w:before="0" w:after="0" w:line="211" w:lineRule="exact"/>
              <w:ind w:left="0" w:right="0" w:firstLine="0"/>
              <w:jc w:val="right"/>
              <w:rPr>
                <w:sz w:val="15"/>
                <w:szCs w:val="15"/>
              </w:rPr>
            </w:pPr>
            <w:r>
              <w:rPr>
                <w:rFonts w:ascii="SimSun" w:eastAsia="SimSun" w:hAnsi="SimSun" w:cs="SimSun"/>
                <w:color w:val="000000"/>
                <w:spacing w:val="0"/>
                <w:w w:val="100"/>
                <w:position w:val="0"/>
                <w:sz w:val="15"/>
                <w:szCs w:val="15"/>
              </w:rPr>
              <w:t>处置价款与处置投资对应的合并财务 报表层面享有该子公司 净资产份额的差额</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安庆悦城</w:t>
            </w:r>
            <w:r>
              <w:rPr>
                <w:rFonts w:ascii="Arial" w:eastAsia="Arial" w:hAnsi="Arial" w:cs="Arial"/>
                <w:color w:val="000000"/>
                <w:spacing w:val="0"/>
                <w:w w:val="100"/>
                <w:position w:val="0"/>
                <w:sz w:val="16"/>
                <w:szCs w:val="16"/>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628,500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159,542</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绍兴苏宁云仓物流有限公司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586,028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308,789</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海南苏宁易达物流有限公司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446,547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206,553</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徐州苏宁易达物流有限公司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401,033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90,045</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福州苏宁易购商贸有限公司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397,534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208,305</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哈尔滨苏宁采购有限公司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308,822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81,717</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长春苏宁易达物流有限公司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303,282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(7,607)</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云南苏宁物流有限公司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301,110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100,194</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鄂州苏宁易达物流投资有限公司</w:t>
            </w:r>
            <w:r>
              <w:rPr>
                <w:rFonts w:ascii="Arial" w:eastAsia="Arial" w:hAnsi="Arial" w:cs="Arial"/>
                <w:color w:val="000000"/>
                <w:spacing w:val="0"/>
                <w:w w:val="100"/>
                <w:position w:val="0"/>
                <w:sz w:val="16"/>
                <w:szCs w:val="16"/>
              </w:rPr>
              <w:t>(</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295,521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84,358</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芜湖苏宁易达物流有限公司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294,173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33,292</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南京敬夫资产管理有限公司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291,690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2,174</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江苏智宸资产管理有限公司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289,233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17,037</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贵阳苏宁物流有限公司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280,580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45,939</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石家庄石宁苏宁贸易有限公司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250,500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119,697</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乌鲁木齐苏宁易购物流有限公司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183,219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30,476</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济宁市兖州区苏宁易达物流仓储有限公司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147,288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(38,865)</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盐城盐宁苏宁易购有限公司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101,481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(37,815)</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兰州苏宁采购有限公司</w:t>
            </w:r>
            <w:r>
              <w:rPr>
                <w:rFonts w:ascii="Arial" w:eastAsia="Arial" w:hAnsi="Arial" w:cs="Arial"/>
                <w:color w:val="000000"/>
                <w:spacing w:val="0"/>
                <w:w w:val="100"/>
                <w:position w:val="0"/>
                <w:sz w:val="16"/>
                <w:szCs w:val="16"/>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100,560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(17,179)</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南京钰月资产管理有限公司</w:t>
            </w:r>
            <w:r>
              <w:rPr>
                <w:rFonts w:ascii="Arial" w:eastAsia="Arial" w:hAnsi="Arial" w:cs="Arial"/>
                <w:color w:val="000000"/>
                <w:spacing w:val="0"/>
                <w:w w:val="100"/>
                <w:position w:val="0"/>
                <w:sz w:val="16"/>
                <w:szCs w:val="16"/>
              </w:rPr>
              <w:t>(ii)</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99,579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(61,202)</w:t>
            </w:r>
          </w:p>
        </w:tc>
      </w:tr>
      <w:tr>
        <w:trPr>
          <w:trHeight w:val="2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南京悦百家</w:t>
            </w:r>
            <w:r>
              <w:rPr>
                <w:rFonts w:ascii="Arial" w:eastAsia="Arial" w:hAnsi="Arial" w:cs="Arial"/>
                <w:color w:val="000000"/>
                <w:spacing w:val="0"/>
                <w:w w:val="100"/>
                <w:position w:val="0"/>
                <w:sz w:val="16"/>
                <w:szCs w:val="16"/>
              </w:rPr>
              <w:t>(iii)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24,000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4</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20</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4,661</w:t>
            </w:r>
          </w:p>
        </w:tc>
      </w:tr>
      <w:tr>
        <w:trPr>
          <w:trHeight w:val="21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苏宁深创投</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云仓物流基础设施私募股权投资基金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云仓物流</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r>
              <w:rPr>
                <w:rFonts w:ascii="Arial" w:eastAsia="Arial" w:hAnsi="Arial" w:cs="Arial"/>
                <w:color w:val="000000"/>
                <w:spacing w:val="0"/>
                <w:w w:val="100"/>
                <w:position w:val="0"/>
                <w:sz w:val="16"/>
                <w:szCs w:val="16"/>
              </w:rPr>
              <w:t>(iv)</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5,023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11</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29</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实际失去控制权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w:t>
            </w:r>
          </w:p>
        </w:tc>
      </w:tr>
      <w:tr>
        <w:trPr>
          <w:trHeight w:val="278"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5,735,703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1,330,117</w:t>
            </w:r>
          </w:p>
        </w:tc>
      </w:tr>
    </w:tbl>
    <w:p>
      <w:pPr>
        <w:sectPr>
          <w:footnotePr>
            <w:pos w:val="pageBottom"/>
            <w:numFmt w:val="decimal"/>
            <w:numStart w:val="1"/>
            <w:numRestart w:val="continuous"/>
            <w15:footnoteColumns w:val="1"/>
          </w:footnotePr>
          <w:pgSz w:w="16840" w:h="11900" w:orient="landscape"/>
          <w:pgMar w:top="1152" w:right="1498" w:bottom="1152" w:left="1714" w:header="0" w:footer="3" w:gutter="0"/>
          <w:cols w:space="720"/>
          <w:noEndnote/>
          <w:rtlGutter w:val="0"/>
          <w:docGrid w:linePitch="360"/>
        </w:sectPr>
      </w:pPr>
    </w:p>
    <w:p>
      <w:pPr>
        <w:pStyle w:val="Style72"/>
        <w:keepNext w:val="0"/>
        <w:keepLines w:val="0"/>
        <w:widowControl w:val="0"/>
        <w:shd w:val="clear" w:color="auto" w:fill="auto"/>
        <w:tabs>
          <w:tab w:pos="709" w:val="left"/>
        </w:tabs>
        <w:bidi w:val="0"/>
        <w:spacing w:before="0" w:after="320" w:line="240" w:lineRule="auto"/>
        <w:ind w:left="0" w:right="0" w:firstLine="0"/>
        <w:jc w:val="left"/>
        <w:rPr>
          <w:sz w:val="28"/>
          <w:szCs w:val="28"/>
        </w:rPr>
      </w:pPr>
      <w:r>
        <w:rPr>
          <w:b/>
          <w:bCs/>
          <w:color w:val="000000"/>
          <w:spacing w:val="0"/>
          <w:w w:val="100"/>
          <w:position w:val="0"/>
          <w:sz w:val="24"/>
          <w:szCs w:val="24"/>
        </w:rPr>
        <w:t>五</w:t>
        <w:tab/>
        <w:t>合并范围的变更</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09" w:val="left"/>
        </w:tabs>
        <w:bidi w:val="0"/>
        <w:spacing w:before="0"/>
        <w:ind w:left="0" w:right="0" w:firstLine="0"/>
        <w:jc w:val="left"/>
        <w:rPr>
          <w:sz w:val="28"/>
          <w:szCs w:val="28"/>
        </w:rPr>
      </w:pPr>
      <w:r>
        <w:rPr>
          <w:color w:val="000000"/>
          <w:spacing w:val="0"/>
          <w:w w:val="100"/>
          <w:position w:val="0"/>
          <w:sz w:val="24"/>
          <w:szCs w:val="24"/>
        </w:rPr>
        <w:t>（1）</w:t>
        <w:tab/>
      </w:r>
      <w:r>
        <w:rPr>
          <w:rFonts w:ascii="SimSun" w:eastAsia="SimSun" w:hAnsi="SimSun" w:cs="SimSun"/>
          <w:b/>
          <w:bCs/>
          <w:color w:val="000000"/>
          <w:spacing w:val="0"/>
          <w:w w:val="100"/>
          <w:position w:val="0"/>
          <w:sz w:val="24"/>
          <w:szCs w:val="24"/>
        </w:rPr>
        <w:t>处置子公司</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709" w:val="left"/>
        </w:tabs>
        <w:bidi w:val="0"/>
        <w:spacing w:before="0" w:after="260" w:line="312" w:lineRule="exact"/>
        <w:ind w:left="0" w:right="0" w:firstLine="0"/>
        <w:jc w:val="left"/>
      </w:pPr>
      <w:bookmarkStart w:id="948" w:name="bookmark948"/>
      <w:r>
        <w:rPr>
          <w:rFonts w:ascii="Arial" w:eastAsia="Arial" w:hAnsi="Arial" w:cs="Arial"/>
          <w:color w:val="000000"/>
          <w:spacing w:val="0"/>
          <w:w w:val="100"/>
          <w:position w:val="0"/>
          <w:sz w:val="24"/>
          <w:szCs w:val="24"/>
        </w:rPr>
        <w:t>（</w:t>
      </w:r>
      <w:bookmarkEnd w:id="948"/>
      <w:r>
        <w:rPr>
          <w:rFonts w:ascii="Arial" w:eastAsia="Arial" w:hAnsi="Arial" w:cs="Arial"/>
          <w:color w:val="000000"/>
          <w:spacing w:val="0"/>
          <w:w w:val="100"/>
          <w:position w:val="0"/>
          <w:sz w:val="24"/>
          <w:szCs w:val="24"/>
        </w:rPr>
        <w:t>a）</w:t>
        <w:tab/>
      </w:r>
      <w:r>
        <w:rPr>
          <w:color w:val="000000"/>
          <w:spacing w:val="0"/>
          <w:w w:val="100"/>
          <w:position w:val="0"/>
          <w:sz w:val="24"/>
          <w:szCs w:val="24"/>
        </w:rPr>
        <w:t>本年度处置子公司的相关信息汇总如下</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tabs>
          <w:tab w:pos="709" w:val="left"/>
        </w:tabs>
        <w:bidi w:val="0"/>
        <w:spacing w:before="0" w:after="0" w:line="302" w:lineRule="exact"/>
        <w:ind w:left="0" w:right="0" w:firstLine="0"/>
        <w:jc w:val="both"/>
      </w:pPr>
      <w:r>
        <w:rPr>
          <w:color w:val="000000"/>
          <w:spacing w:val="0"/>
          <w:w w:val="100"/>
          <w:position w:val="0"/>
          <w:sz w:val="24"/>
          <w:szCs w:val="24"/>
        </w:rPr>
        <w:t>⑴</w:t>
        <w:tab/>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月，本集团与苏宁置业集团有限公司</w:t>
      </w:r>
      <w:r>
        <w:rPr>
          <w:color w:val="000000"/>
          <w:spacing w:val="0"/>
          <w:w w:val="100"/>
          <w:position w:val="0"/>
          <w:sz w:val="28"/>
          <w:szCs w:val="28"/>
        </w:rPr>
        <w:t>（</w:t>
      </w:r>
      <w:r>
        <w:rPr>
          <w:color w:val="000000"/>
          <w:spacing w:val="0"/>
          <w:w w:val="100"/>
          <w:position w:val="0"/>
          <w:sz w:val="24"/>
          <w:szCs w:val="24"/>
        </w:rPr>
        <w:t>“苏宁置业”</w:t>
      </w:r>
      <w:r>
        <w:rPr>
          <w:color w:val="000000"/>
          <w:spacing w:val="0"/>
          <w:w w:val="100"/>
          <w:position w:val="0"/>
          <w:sz w:val="28"/>
          <w:szCs w:val="28"/>
        </w:rPr>
        <w:t>）</w:t>
      </w:r>
      <w:r>
        <w:rPr>
          <w:color w:val="000000"/>
          <w:spacing w:val="0"/>
          <w:w w:val="100"/>
          <w:position w:val="0"/>
          <w:sz w:val="24"/>
          <w:szCs w:val="24"/>
        </w:rPr>
        <w:t>签订股权转</w:t>
      </w:r>
    </w:p>
    <w:p>
      <w:pPr>
        <w:pStyle w:val="Style72"/>
        <w:keepNext w:val="0"/>
        <w:keepLines w:val="0"/>
        <w:widowControl w:val="0"/>
        <w:shd w:val="clear" w:color="auto" w:fill="auto"/>
        <w:bidi w:val="0"/>
        <w:spacing w:before="0" w:after="260" w:line="302" w:lineRule="exact"/>
        <w:ind w:right="0" w:firstLine="0"/>
        <w:jc w:val="both"/>
      </w:pPr>
      <w:r>
        <w:rPr>
          <w:color w:val="000000"/>
          <w:spacing w:val="0"/>
          <w:w w:val="100"/>
          <w:position w:val="0"/>
          <w:sz w:val="24"/>
          <w:szCs w:val="24"/>
        </w:rPr>
        <w:t>让协议，将本集团持有的安庆悦城</w:t>
      </w:r>
      <w:r>
        <w:rPr>
          <w:rFonts w:ascii="Arial" w:eastAsia="Arial" w:hAnsi="Arial" w:cs="Arial"/>
          <w:color w:val="000000"/>
          <w:spacing w:val="0"/>
          <w:w w:val="100"/>
          <w:position w:val="0"/>
          <w:sz w:val="24"/>
          <w:szCs w:val="24"/>
        </w:rPr>
        <w:t>100%</w:t>
      </w:r>
      <w:r>
        <w:rPr>
          <w:color w:val="000000"/>
          <w:spacing w:val="0"/>
          <w:w w:val="100"/>
          <w:position w:val="0"/>
          <w:sz w:val="24"/>
          <w:szCs w:val="24"/>
        </w:rPr>
        <w:t>的股权全部转让至苏宁置业。本次交 易的处置日为</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日，系本集团实际失去安庆悦城控制权的日期。</w:t>
      </w:r>
    </w:p>
    <w:p>
      <w:pPr>
        <w:pStyle w:val="Style72"/>
        <w:keepNext w:val="0"/>
        <w:keepLines w:val="0"/>
        <w:widowControl w:val="0"/>
        <w:shd w:val="clear" w:color="auto" w:fill="auto"/>
        <w:tabs>
          <w:tab w:pos="709" w:val="left"/>
        </w:tabs>
        <w:bidi w:val="0"/>
        <w:spacing w:before="0" w:after="260" w:line="312" w:lineRule="exact"/>
        <w:ind w:right="0" w:hanging="720"/>
        <w:jc w:val="both"/>
      </w:pPr>
      <w:bookmarkStart w:id="949" w:name="bookmark949"/>
      <w:r>
        <w:rPr>
          <w:rFonts w:ascii="Arial" w:eastAsia="Arial" w:hAnsi="Arial" w:cs="Arial"/>
          <w:color w:val="000000"/>
          <w:spacing w:val="0"/>
          <w:w w:val="100"/>
          <w:position w:val="0"/>
          <w:sz w:val="24"/>
          <w:szCs w:val="24"/>
        </w:rPr>
        <w:t>（</w:t>
      </w:r>
      <w:bookmarkEnd w:id="949"/>
      <w:r>
        <w:rPr>
          <w:rFonts w:ascii="Arial" w:eastAsia="Arial" w:hAnsi="Arial" w:cs="Arial"/>
          <w:color w:val="000000"/>
          <w:spacing w:val="0"/>
          <w:w w:val="100"/>
          <w:position w:val="0"/>
          <w:sz w:val="24"/>
          <w:szCs w:val="24"/>
        </w:rPr>
        <w:t>ii）</w:t>
        <w:tab/>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 xml:space="preserve">月，本集团与普易物流及其关联方珠海普实商务咨询有限公司 </w:t>
      </w:r>
      <w:r>
        <w:rPr>
          <w:rFonts w:ascii="Arial" w:eastAsia="Arial" w:hAnsi="Arial" w:cs="Arial"/>
          <w:color w:val="000000"/>
          <w:spacing w:val="0"/>
          <w:w w:val="100"/>
          <w:position w:val="0"/>
          <w:sz w:val="24"/>
          <w:szCs w:val="24"/>
        </w:rPr>
        <w:t>（“</w:t>
      </w:r>
      <w:r>
        <w:rPr>
          <w:color w:val="000000"/>
          <w:spacing w:val="0"/>
          <w:w w:val="100"/>
          <w:position w:val="0"/>
          <w:sz w:val="24"/>
          <w:szCs w:val="24"/>
        </w:rPr>
        <w:t>珠海普实</w:t>
      </w:r>
      <w:r>
        <w:rPr>
          <w:rFonts w:ascii="Arial" w:eastAsia="Arial" w:hAnsi="Arial" w:cs="Arial"/>
          <w:color w:val="000000"/>
          <w:spacing w:val="0"/>
          <w:w w:val="100"/>
          <w:position w:val="0"/>
          <w:sz w:val="24"/>
          <w:szCs w:val="24"/>
        </w:rPr>
        <w:t>”）</w:t>
      </w:r>
      <w:r>
        <w:rPr>
          <w:color w:val="000000"/>
          <w:spacing w:val="0"/>
          <w:w w:val="100"/>
          <w:position w:val="0"/>
          <w:sz w:val="24"/>
          <w:szCs w:val="24"/>
        </w:rPr>
        <w:t>签订股权转让协议，将本集团持有的南京钰月资产管理有限公司 等</w:t>
      </w:r>
      <w:r>
        <w:rPr>
          <w:rFonts w:ascii="Arial" w:eastAsia="Arial" w:hAnsi="Arial" w:cs="Arial"/>
          <w:color w:val="000000"/>
          <w:spacing w:val="0"/>
          <w:w w:val="100"/>
          <w:position w:val="0"/>
          <w:sz w:val="24"/>
          <w:szCs w:val="24"/>
        </w:rPr>
        <w:t>18</w:t>
      </w:r>
      <w:r>
        <w:rPr>
          <w:color w:val="000000"/>
          <w:spacing w:val="0"/>
          <w:w w:val="100"/>
          <w:position w:val="0"/>
          <w:sz w:val="24"/>
          <w:szCs w:val="24"/>
        </w:rPr>
        <w:t>家仓储物流公司</w:t>
      </w:r>
      <w:r>
        <w:rPr>
          <w:rFonts w:ascii="Arial" w:eastAsia="Arial" w:hAnsi="Arial" w:cs="Arial"/>
          <w:color w:val="000000"/>
          <w:spacing w:val="0"/>
          <w:w w:val="100"/>
          <w:position w:val="0"/>
          <w:sz w:val="24"/>
          <w:szCs w:val="24"/>
        </w:rPr>
        <w:t>100%</w:t>
      </w:r>
      <w:r>
        <w:rPr>
          <w:color w:val="000000"/>
          <w:spacing w:val="0"/>
          <w:w w:val="100"/>
          <w:position w:val="0"/>
          <w:sz w:val="24"/>
          <w:szCs w:val="24"/>
        </w:rPr>
        <w:t>的股权全部转让至普易物流与珠海普实。本次交 易的处置日为</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日，系本集团失去</w:t>
      </w:r>
      <w:r>
        <w:rPr>
          <w:rFonts w:ascii="Arial" w:eastAsia="Arial" w:hAnsi="Arial" w:cs="Arial"/>
          <w:color w:val="000000"/>
          <w:spacing w:val="0"/>
          <w:w w:val="100"/>
          <w:position w:val="0"/>
          <w:sz w:val="24"/>
          <w:szCs w:val="24"/>
        </w:rPr>
        <w:t>18</w:t>
      </w:r>
      <w:r>
        <w:rPr>
          <w:color w:val="000000"/>
          <w:spacing w:val="0"/>
          <w:w w:val="100"/>
          <w:position w:val="0"/>
          <w:sz w:val="24"/>
          <w:szCs w:val="24"/>
        </w:rPr>
        <w:t>家仓储物流公司控制权 的日期。本集团在转让</w:t>
      </w:r>
      <w:r>
        <w:rPr>
          <w:rFonts w:ascii="Arial" w:eastAsia="Arial" w:hAnsi="Arial" w:cs="Arial"/>
          <w:color w:val="000000"/>
          <w:spacing w:val="0"/>
          <w:w w:val="100"/>
          <w:position w:val="0"/>
          <w:sz w:val="24"/>
          <w:szCs w:val="24"/>
        </w:rPr>
        <w:t>18</w:t>
      </w:r>
      <w:r>
        <w:rPr>
          <w:color w:val="000000"/>
          <w:spacing w:val="0"/>
          <w:w w:val="100"/>
          <w:position w:val="0"/>
          <w:sz w:val="24"/>
          <w:szCs w:val="24"/>
        </w:rPr>
        <w:t xml:space="preserve">家仓储物流公司股权后，后续以稳定的市场租金和 </w:t>
      </w:r>
      <w:r>
        <w:rPr>
          <w:rFonts w:ascii="Arial" w:eastAsia="Arial" w:hAnsi="Arial" w:cs="Arial"/>
          <w:color w:val="000000"/>
          <w:spacing w:val="0"/>
          <w:w w:val="100"/>
          <w:position w:val="0"/>
          <w:sz w:val="24"/>
          <w:szCs w:val="24"/>
        </w:rPr>
        <w:t>3</w:t>
      </w:r>
      <w:r>
        <w:rPr>
          <w:color w:val="000000"/>
          <w:spacing w:val="0"/>
          <w:w w:val="100"/>
          <w:position w:val="0"/>
          <w:sz w:val="24"/>
          <w:szCs w:val="24"/>
        </w:rPr>
        <w:t>至</w:t>
      </w:r>
      <w:r>
        <w:rPr>
          <w:rFonts w:ascii="Arial" w:eastAsia="Arial" w:hAnsi="Arial" w:cs="Arial"/>
          <w:color w:val="000000"/>
          <w:spacing w:val="0"/>
          <w:w w:val="100"/>
          <w:position w:val="0"/>
          <w:sz w:val="24"/>
          <w:szCs w:val="24"/>
        </w:rPr>
        <w:t>5</w:t>
      </w:r>
      <w:r>
        <w:rPr>
          <w:color w:val="000000"/>
          <w:spacing w:val="0"/>
          <w:w w:val="100"/>
          <w:position w:val="0"/>
          <w:sz w:val="24"/>
          <w:szCs w:val="24"/>
        </w:rPr>
        <w:t>年不等租期的租约获得除南京敬夫资产管理有限公司外剩余</w:t>
      </w:r>
      <w:r>
        <w:rPr>
          <w:rFonts w:ascii="Arial" w:eastAsia="Arial" w:hAnsi="Arial" w:cs="Arial"/>
          <w:color w:val="000000"/>
          <w:spacing w:val="0"/>
          <w:w w:val="100"/>
          <w:position w:val="0"/>
          <w:sz w:val="24"/>
          <w:szCs w:val="24"/>
        </w:rPr>
        <w:t>17</w:t>
      </w:r>
      <w:r>
        <w:rPr>
          <w:color w:val="000000"/>
          <w:spacing w:val="0"/>
          <w:w w:val="100"/>
          <w:position w:val="0"/>
          <w:sz w:val="24"/>
          <w:szCs w:val="24"/>
        </w:rPr>
        <w:t>家仓储 物流公司持有的仓储物业的使用权，后续租回的价格参照周边地区类似物业 的市场租金确定，租金在租赁年度按照租赁合同规定逐年上浮。本集团基于 所转让股权的相关资产不具有实质性处理流程判断其不构成业务，故而按在 珠海普易中的持股比例抵销未实现损益约人民币</w:t>
      </w:r>
      <w:r>
        <w:rPr>
          <w:rFonts w:ascii="Arial" w:eastAsia="Arial" w:hAnsi="Arial" w:cs="Arial"/>
          <w:color w:val="000000"/>
          <w:spacing w:val="0"/>
          <w:w w:val="100"/>
          <w:position w:val="0"/>
          <w:sz w:val="24"/>
          <w:szCs w:val="24"/>
        </w:rPr>
        <w:t>2.17</w:t>
      </w:r>
      <w:r>
        <w:rPr>
          <w:color w:val="000000"/>
          <w:spacing w:val="0"/>
          <w:w w:val="100"/>
          <w:position w:val="0"/>
          <w:sz w:val="24"/>
          <w:szCs w:val="24"/>
        </w:rPr>
        <w:t>亿元。本集团按原资产 账面价值中与租回获得的使用权有关的部分，计量售后租回所形成的使用权 资产，并仅就转让至出租人的权利确认相关利得。</w:t>
      </w:r>
    </w:p>
    <w:p>
      <w:pPr>
        <w:pStyle w:val="Style72"/>
        <w:keepNext w:val="0"/>
        <w:keepLines w:val="0"/>
        <w:widowControl w:val="0"/>
        <w:shd w:val="clear" w:color="auto" w:fill="auto"/>
        <w:tabs>
          <w:tab w:pos="709" w:val="left"/>
        </w:tabs>
        <w:bidi w:val="0"/>
        <w:spacing w:before="0" w:after="260" w:line="319" w:lineRule="exact"/>
        <w:ind w:right="0" w:hanging="720"/>
        <w:jc w:val="both"/>
      </w:pPr>
      <w:bookmarkStart w:id="950" w:name="bookmark950"/>
      <w:r>
        <w:rPr>
          <w:rFonts w:ascii="Arial" w:eastAsia="Arial" w:hAnsi="Arial" w:cs="Arial"/>
          <w:color w:val="000000"/>
          <w:spacing w:val="0"/>
          <w:w w:val="100"/>
          <w:position w:val="0"/>
          <w:sz w:val="24"/>
          <w:szCs w:val="24"/>
        </w:rPr>
        <w:t>（</w:t>
      </w:r>
      <w:bookmarkEnd w:id="950"/>
      <w:r>
        <w:rPr>
          <w:rFonts w:ascii="Arial" w:eastAsia="Arial" w:hAnsi="Arial" w:cs="Arial"/>
          <w:color w:val="000000"/>
          <w:spacing w:val="0"/>
          <w:w w:val="100"/>
          <w:position w:val="0"/>
          <w:sz w:val="24"/>
          <w:szCs w:val="24"/>
        </w:rPr>
        <w:t>iii）</w:t>
        <w:tab/>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月，本集团与第三方签订股权转让协议，将本集团持有的南京悦 百家</w:t>
      </w:r>
      <w:r>
        <w:rPr>
          <w:rFonts w:ascii="Arial" w:eastAsia="Arial" w:hAnsi="Arial" w:cs="Arial"/>
          <w:color w:val="000000"/>
          <w:spacing w:val="0"/>
          <w:w w:val="100"/>
          <w:position w:val="0"/>
          <w:sz w:val="24"/>
          <w:szCs w:val="24"/>
        </w:rPr>
        <w:t>100%</w:t>
      </w:r>
      <w:r>
        <w:rPr>
          <w:color w:val="000000"/>
          <w:spacing w:val="0"/>
          <w:w w:val="100"/>
          <w:position w:val="0"/>
          <w:sz w:val="24"/>
          <w:szCs w:val="24"/>
        </w:rPr>
        <w:t>的股权全部转让至第三方。本次交易的处置日为</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 xml:space="preserve">20 </w:t>
      </w:r>
      <w:r>
        <w:rPr>
          <w:color w:val="000000"/>
          <w:spacing w:val="0"/>
          <w:w w:val="100"/>
          <w:position w:val="0"/>
          <w:sz w:val="24"/>
          <w:szCs w:val="24"/>
        </w:rPr>
        <w:t>日，系本集团实际失去南京悦百家控制权的日期。</w:t>
      </w:r>
    </w:p>
    <w:p>
      <w:pPr>
        <w:pStyle w:val="Style72"/>
        <w:keepNext w:val="0"/>
        <w:keepLines w:val="0"/>
        <w:widowControl w:val="0"/>
        <w:shd w:val="clear" w:color="auto" w:fill="auto"/>
        <w:tabs>
          <w:tab w:pos="709" w:val="left"/>
        </w:tabs>
        <w:bidi w:val="0"/>
        <w:spacing w:before="0" w:after="320" w:line="310" w:lineRule="exact"/>
        <w:ind w:right="0" w:hanging="720"/>
        <w:jc w:val="both"/>
      </w:pPr>
      <w:bookmarkStart w:id="951" w:name="bookmark951"/>
      <w:r>
        <w:rPr>
          <w:rFonts w:ascii="Arial" w:eastAsia="Arial" w:hAnsi="Arial" w:cs="Arial"/>
          <w:color w:val="000000"/>
          <w:spacing w:val="0"/>
          <w:w w:val="100"/>
          <w:position w:val="0"/>
          <w:sz w:val="24"/>
          <w:szCs w:val="24"/>
        </w:rPr>
        <w:t>（</w:t>
      </w:r>
      <w:bookmarkEnd w:id="951"/>
      <w:r>
        <w:rPr>
          <w:rFonts w:ascii="Arial" w:eastAsia="Arial" w:hAnsi="Arial" w:cs="Arial"/>
          <w:color w:val="000000"/>
          <w:spacing w:val="0"/>
          <w:w w:val="100"/>
          <w:position w:val="0"/>
          <w:sz w:val="24"/>
          <w:szCs w:val="24"/>
        </w:rPr>
        <w:t>iv）</w:t>
        <w:tab/>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月，根据本集团与招商银行股份有限公司南京分行</w:t>
      </w:r>
      <w:r>
        <w:rPr>
          <w:rFonts w:ascii="Arial" w:eastAsia="Arial" w:hAnsi="Arial" w:cs="Arial"/>
          <w:color w:val="000000"/>
          <w:spacing w:val="0"/>
          <w:w w:val="100"/>
          <w:position w:val="0"/>
          <w:sz w:val="24"/>
          <w:szCs w:val="24"/>
        </w:rPr>
        <w:t>（“</w:t>
      </w:r>
      <w:r>
        <w:rPr>
          <w:color w:val="000000"/>
          <w:spacing w:val="0"/>
          <w:w w:val="100"/>
          <w:position w:val="0"/>
          <w:sz w:val="24"/>
          <w:szCs w:val="24"/>
        </w:rPr>
        <w:t>招商银行 南京分行</w:t>
      </w:r>
      <w:r>
        <w:rPr>
          <w:rFonts w:ascii="Arial" w:eastAsia="Arial" w:hAnsi="Arial" w:cs="Arial"/>
          <w:color w:val="000000"/>
          <w:spacing w:val="0"/>
          <w:w w:val="100"/>
          <w:position w:val="0"/>
          <w:sz w:val="24"/>
          <w:szCs w:val="24"/>
        </w:rPr>
        <w:t>”）</w:t>
      </w:r>
      <w:r>
        <w:rPr>
          <w:color w:val="000000"/>
          <w:spacing w:val="0"/>
          <w:w w:val="100"/>
          <w:position w:val="0"/>
          <w:sz w:val="24"/>
          <w:szCs w:val="24"/>
        </w:rPr>
        <w:t>及苏宁深创投签订的协议约定，因本集团已将持有的对云仓物流全 部的基金份额转让给新基金份额持有人深圳市盐储物流企业</w:t>
      </w:r>
      <w:r>
        <w:rPr>
          <w:rFonts w:ascii="Arial" w:eastAsia="Arial" w:hAnsi="Arial" w:cs="Arial"/>
          <w:color w:val="000000"/>
          <w:spacing w:val="0"/>
          <w:w w:val="100"/>
          <w:position w:val="0"/>
          <w:sz w:val="24"/>
          <w:szCs w:val="24"/>
        </w:rPr>
        <w:t>（</w:t>
      </w:r>
      <w:r>
        <w:rPr>
          <w:color w:val="000000"/>
          <w:spacing w:val="0"/>
          <w:w w:val="100"/>
          <w:position w:val="0"/>
          <w:sz w:val="24"/>
          <w:szCs w:val="24"/>
        </w:rPr>
        <w:t>有限合伙</w:t>
      </w:r>
      <w:r>
        <w:rPr>
          <w:rFonts w:ascii="Arial" w:eastAsia="Arial" w:hAnsi="Arial" w:cs="Arial"/>
          <w:color w:val="000000"/>
          <w:spacing w:val="0"/>
          <w:w w:val="100"/>
          <w:position w:val="0"/>
          <w:sz w:val="24"/>
          <w:szCs w:val="24"/>
        </w:rPr>
        <w:t>）</w:t>
      </w:r>
      <w:r>
        <w:rPr>
          <w:color w:val="000000"/>
          <w:spacing w:val="0"/>
          <w:w w:val="100"/>
          <w:position w:val="0"/>
          <w:sz w:val="24"/>
          <w:szCs w:val="24"/>
        </w:rPr>
        <w:t>。本次 交易的处置日为</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29</w:t>
      </w:r>
      <w:r>
        <w:rPr>
          <w:color w:val="000000"/>
          <w:spacing w:val="0"/>
          <w:w w:val="100"/>
          <w:position w:val="0"/>
          <w:sz w:val="24"/>
          <w:szCs w:val="24"/>
        </w:rPr>
        <w:t>日，系本集团失去云仓物流的控制权的日期。</w:t>
      </w:r>
    </w:p>
    <w:p>
      <w:pPr>
        <w:pStyle w:val="Style72"/>
        <w:keepNext w:val="0"/>
        <w:keepLines w:val="0"/>
        <w:widowControl w:val="0"/>
        <w:shd w:val="clear" w:color="auto" w:fill="auto"/>
        <w:tabs>
          <w:tab w:pos="709" w:val="left"/>
        </w:tabs>
        <w:bidi w:val="0"/>
        <w:spacing w:before="0" w:after="260" w:line="271" w:lineRule="auto"/>
        <w:ind w:left="0" w:right="0" w:firstLine="0"/>
        <w:jc w:val="left"/>
      </w:pPr>
      <w:bookmarkStart w:id="952" w:name="bookmark952"/>
      <w:r>
        <w:rPr>
          <w:rFonts w:ascii="Arial" w:eastAsia="Arial" w:hAnsi="Arial" w:cs="Arial"/>
          <w:color w:val="000000"/>
          <w:spacing w:val="0"/>
          <w:w w:val="100"/>
          <w:position w:val="0"/>
          <w:sz w:val="24"/>
          <w:szCs w:val="24"/>
        </w:rPr>
        <w:t>（</w:t>
      </w:r>
      <w:bookmarkEnd w:id="952"/>
      <w:r>
        <w:rPr>
          <w:rFonts w:ascii="Arial" w:eastAsia="Arial" w:hAnsi="Arial" w:cs="Arial"/>
          <w:color w:val="000000"/>
          <w:spacing w:val="0"/>
          <w:w w:val="100"/>
          <w:position w:val="0"/>
          <w:sz w:val="24"/>
          <w:szCs w:val="24"/>
        </w:rPr>
        <w:t>b）</w:t>
        <w:tab/>
      </w:r>
      <w:r>
        <w:rPr>
          <w:color w:val="000000"/>
          <w:spacing w:val="0"/>
          <w:w w:val="100"/>
          <w:position w:val="0"/>
          <w:sz w:val="24"/>
          <w:szCs w:val="24"/>
        </w:rPr>
        <w:t>处置损益如下：</w:t>
      </w:r>
    </w:p>
    <w:p>
      <w:pPr>
        <w:pStyle w:val="Style72"/>
        <w:keepNext w:val="0"/>
        <w:keepLines w:val="0"/>
        <w:widowControl w:val="0"/>
        <w:shd w:val="clear" w:color="auto" w:fill="auto"/>
        <w:tabs>
          <w:tab w:pos="709" w:val="left"/>
        </w:tabs>
        <w:bidi w:val="0"/>
        <w:spacing w:before="0" w:after="320" w:line="240" w:lineRule="auto"/>
        <w:ind w:left="0" w:right="0" w:firstLine="0"/>
        <w:jc w:val="left"/>
      </w:pPr>
      <w:r>
        <w:rPr>
          <w:color w:val="000000"/>
          <w:spacing w:val="0"/>
          <w:w w:val="100"/>
          <w:position w:val="0"/>
          <w:sz w:val="24"/>
          <w:szCs w:val="24"/>
        </w:rPr>
        <w:t>⑴</w:t>
        <w:tab/>
        <w:t>安庆悦城损益计算如下：</w:t>
      </w:r>
    </w:p>
    <w:p>
      <w:pPr>
        <w:pStyle w:val="Style6"/>
        <w:keepNext w:val="0"/>
        <w:keepLines w:val="0"/>
        <w:widowControl w:val="0"/>
        <w:shd w:val="clear" w:color="auto" w:fill="auto"/>
        <w:bidi w:val="0"/>
        <w:spacing w:before="0" w:after="520" w:line="240" w:lineRule="auto"/>
        <w:ind w:left="0" w:right="200" w:firstLine="0"/>
        <w:jc w:val="right"/>
      </w:pPr>
      <w:r>
        <w:rPr>
          <w:b w:val="0"/>
          <w:bCs w:val="0"/>
          <w:color w:val="000000"/>
          <w:spacing w:val="0"/>
          <w:w w:val="100"/>
          <w:position w:val="0"/>
          <w:vertAlign w:val="subscript"/>
        </w:rPr>
        <w:t>金额</w:t>
      </w:r>
    </w:p>
    <w:p>
      <w:pPr>
        <w:pStyle w:val="Style92"/>
        <w:keepNext w:val="0"/>
        <w:keepLines w:val="0"/>
        <w:widowControl w:val="0"/>
        <w:shd w:val="clear" w:color="auto" w:fill="auto"/>
        <w:tabs>
          <w:tab w:pos="8604" w:val="right"/>
        </w:tabs>
        <w:bidi w:val="0"/>
        <w:spacing w:before="0" w:after="0" w:line="312" w:lineRule="exact"/>
        <w:ind w:left="0" w:right="0" w:firstLine="720"/>
        <w:jc w:val="left"/>
      </w:pPr>
      <w:r>
        <w:rPr>
          <w:rFonts w:ascii="SimSun" w:eastAsia="SimSun" w:hAnsi="SimSun" w:cs="SimSun"/>
          <w:color w:val="000000"/>
          <w:spacing w:val="0"/>
          <w:w w:val="100"/>
          <w:position w:val="0"/>
          <w:sz w:val="24"/>
          <w:szCs w:val="24"/>
        </w:rPr>
        <w:t>处置价格</w:t>
        <w:tab/>
      </w:r>
      <w:r>
        <w:rPr>
          <w:color w:val="000000"/>
          <w:spacing w:val="0"/>
          <w:w w:val="100"/>
          <w:position w:val="0"/>
          <w:sz w:val="24"/>
          <w:szCs w:val="24"/>
        </w:rPr>
        <w:t>628,500</w:t>
      </w:r>
    </w:p>
    <w:p>
      <w:pPr>
        <w:pStyle w:val="Style72"/>
        <w:keepNext w:val="0"/>
        <w:keepLines w:val="0"/>
        <w:widowControl w:val="0"/>
        <w:shd w:val="clear" w:color="auto" w:fill="auto"/>
        <w:tabs>
          <w:tab w:leader="underscore" w:pos="8604" w:val="right"/>
        </w:tabs>
        <w:bidi w:val="0"/>
        <w:spacing w:before="0" w:after="0" w:line="312" w:lineRule="exact"/>
        <w:ind w:left="0" w:right="0" w:firstLine="720"/>
        <w:jc w:val="left"/>
      </w:pPr>
      <w:r>
        <w:rPr>
          <w:color w:val="000000"/>
          <w:spacing w:val="0"/>
          <w:w w:val="100"/>
          <w:position w:val="0"/>
          <w:sz w:val="24"/>
          <w:szCs w:val="24"/>
        </w:rPr>
        <w:t xml:space="preserve">减：合并财务报表层面享有的安庆悦城净资产份额 </w:t>
        <w:tab/>
      </w:r>
      <w:r>
        <w:rPr>
          <w:rFonts w:ascii="Arial" w:eastAsia="Arial" w:hAnsi="Arial" w:cs="Arial"/>
          <w:color w:val="000000"/>
          <w:spacing w:val="0"/>
          <w:w w:val="100"/>
          <w:position w:val="0"/>
          <w:sz w:val="24"/>
          <w:szCs w:val="24"/>
          <w:u w:val="single"/>
        </w:rPr>
        <w:t>（468,958）</w:t>
      </w:r>
    </w:p>
    <w:p>
      <w:pPr>
        <w:pStyle w:val="Style72"/>
        <w:keepNext w:val="0"/>
        <w:keepLines w:val="0"/>
        <w:widowControl w:val="0"/>
        <w:shd w:val="clear" w:color="auto" w:fill="auto"/>
        <w:tabs>
          <w:tab w:pos="8141" w:val="center"/>
        </w:tabs>
        <w:bidi w:val="0"/>
        <w:spacing w:before="0" w:after="700" w:line="312" w:lineRule="exact"/>
        <w:ind w:left="0" w:right="0" w:firstLine="720"/>
        <w:jc w:val="left"/>
      </w:pPr>
      <w:r>
        <w:rPr>
          <w:color w:val="000000"/>
          <w:spacing w:val="0"/>
          <w:w w:val="100"/>
          <w:position w:val="0"/>
          <w:sz w:val="24"/>
          <w:szCs w:val="24"/>
        </w:rPr>
        <w:t>处置产生的投资收益</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（56））</w:t>
        <w:tab/>
      </w:r>
      <w:r>
        <w:rPr>
          <w:rFonts w:ascii="Arial" w:eastAsia="Arial" w:hAnsi="Arial" w:cs="Arial"/>
          <w:color w:val="000000"/>
          <w:spacing w:val="0"/>
          <w:w w:val="100"/>
          <w:position w:val="0"/>
          <w:sz w:val="24"/>
          <w:szCs w:val="24"/>
          <w:u w:val="single"/>
        </w:rPr>
        <w:t>159,542</w:t>
      </w:r>
    </w:p>
    <w:p>
      <w:pPr>
        <w:pStyle w:val="Style72"/>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rPr>
        <w:t>五 合并范围的变更</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92"/>
        <w:keepNext w:val="0"/>
        <w:keepLines w:val="0"/>
        <w:widowControl w:val="0"/>
        <w:shd w:val="clear" w:color="auto" w:fill="auto"/>
        <w:tabs>
          <w:tab w:pos="2249" w:val="right"/>
        </w:tabs>
        <w:bidi w:val="0"/>
        <w:spacing w:before="0" w:after="300" w:line="240" w:lineRule="auto"/>
        <w:ind w:left="0" w:right="0" w:firstLine="0"/>
        <w:jc w:val="both"/>
        <w:rPr>
          <w:sz w:val="28"/>
          <w:szCs w:val="28"/>
        </w:rPr>
      </w:pPr>
      <w:r>
        <w:rPr>
          <w:color w:val="000000"/>
          <w:spacing w:val="0"/>
          <w:w w:val="100"/>
          <w:position w:val="0"/>
          <w:sz w:val="24"/>
          <w:szCs w:val="24"/>
        </w:rPr>
        <w:t>(1)</w:t>
        <w:tab/>
      </w:r>
      <w:r>
        <w:rPr>
          <w:rFonts w:ascii="SimSun" w:eastAsia="SimSun" w:hAnsi="SimSun" w:cs="SimSun"/>
          <w:b/>
          <w:bCs/>
          <w:color w:val="000000"/>
          <w:spacing w:val="0"/>
          <w:w w:val="100"/>
          <w:position w:val="0"/>
          <w:sz w:val="24"/>
          <w:szCs w:val="24"/>
        </w:rPr>
        <w:t>处置子公司</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2249" w:val="right"/>
        </w:tabs>
        <w:bidi w:val="0"/>
        <w:spacing w:before="0" w:after="300" w:line="240" w:lineRule="auto"/>
        <w:ind w:left="0" w:right="0" w:firstLine="0"/>
        <w:jc w:val="both"/>
      </w:pPr>
      <w:r>
        <w:rPr>
          <w:rFonts w:ascii="Arial" w:eastAsia="Arial" w:hAnsi="Arial" w:cs="Arial"/>
          <w:color w:val="000000"/>
          <w:spacing w:val="0"/>
          <w:w w:val="100"/>
          <w:position w:val="0"/>
          <w:sz w:val="24"/>
          <w:szCs w:val="24"/>
        </w:rPr>
        <w:t>(b)</w:t>
        <w:tab/>
      </w:r>
      <w:r>
        <w:rPr>
          <w:color w:val="000000"/>
          <w:spacing w:val="0"/>
          <w:w w:val="100"/>
          <w:position w:val="0"/>
          <w:sz w:val="24"/>
          <w:szCs w:val="24"/>
        </w:rPr>
        <w:t>处置损益如下：</w:t>
      </w:r>
    </w:p>
    <w:p>
      <w:pPr>
        <w:pStyle w:val="Style72"/>
        <w:keepNext w:val="0"/>
        <w:keepLines w:val="0"/>
        <w:widowControl w:val="0"/>
        <w:shd w:val="clear" w:color="auto" w:fill="auto"/>
        <w:tabs>
          <w:tab w:pos="4694" w:val="right"/>
        </w:tabs>
        <w:bidi w:val="0"/>
        <w:spacing w:before="0" w:after="300" w:line="240" w:lineRule="auto"/>
        <w:ind w:left="0" w:right="0" w:firstLine="0"/>
        <w:jc w:val="both"/>
      </w:pPr>
      <w:r>
        <w:rPr>
          <w:rFonts w:ascii="Arial" w:eastAsia="Arial" w:hAnsi="Arial" w:cs="Arial"/>
          <w:color w:val="000000"/>
          <w:spacing w:val="0"/>
          <w:w w:val="100"/>
          <w:position w:val="0"/>
          <w:sz w:val="24"/>
          <w:szCs w:val="24"/>
        </w:rPr>
        <w:t>(ii)</w:t>
        <w:tab/>
      </w:r>
      <w:r>
        <w:rPr>
          <w:rFonts w:ascii="Arial" w:eastAsia="Arial" w:hAnsi="Arial" w:cs="Arial"/>
          <w:color w:val="000000"/>
          <w:spacing w:val="0"/>
          <w:w w:val="100"/>
          <w:position w:val="0"/>
          <w:sz w:val="24"/>
          <w:szCs w:val="24"/>
        </w:rPr>
        <w:t>18</w:t>
      </w:r>
      <w:r>
        <w:rPr>
          <w:color w:val="000000"/>
          <w:spacing w:val="0"/>
          <w:w w:val="100"/>
          <w:position w:val="0"/>
          <w:sz w:val="24"/>
          <w:szCs w:val="24"/>
        </w:rPr>
        <w:t>家仓储物流公司处置损益计算如下：</w:t>
      </w:r>
    </w:p>
    <w:p>
      <w:pPr>
        <w:pStyle w:val="Style72"/>
        <w:keepNext w:val="0"/>
        <w:keepLines w:val="0"/>
        <w:widowControl w:val="0"/>
        <w:shd w:val="clear" w:color="auto" w:fill="auto"/>
        <w:bidi w:val="0"/>
        <w:spacing w:before="0" w:after="300" w:line="240" w:lineRule="auto"/>
        <w:ind w:left="8120" w:right="0" w:firstLine="0"/>
        <w:jc w:val="both"/>
      </w:pPr>
      <w:r>
        <w:rPr>
          <w:color w:val="000000"/>
          <w:spacing w:val="0"/>
          <w:w w:val="100"/>
          <w:position w:val="0"/>
          <w:sz w:val="24"/>
          <w:szCs w:val="24"/>
        </w:rPr>
        <w:t>金额</w:t>
      </w:r>
    </w:p>
    <w:p>
      <w:pPr>
        <w:pStyle w:val="Style92"/>
        <w:keepNext w:val="0"/>
        <w:keepLines w:val="0"/>
        <w:widowControl w:val="0"/>
        <w:shd w:val="clear" w:color="auto" w:fill="auto"/>
        <w:tabs>
          <w:tab w:pos="7474" w:val="left"/>
        </w:tabs>
        <w:bidi w:val="0"/>
        <w:spacing w:before="0" w:after="0" w:line="240" w:lineRule="auto"/>
        <w:ind w:left="0" w:right="0" w:firstLine="720"/>
        <w:jc w:val="both"/>
      </w:pPr>
      <w:r>
        <w:rPr>
          <w:rFonts w:ascii="SimSun" w:eastAsia="SimSun" w:hAnsi="SimSun" w:cs="SimSun"/>
          <w:color w:val="000000"/>
          <w:spacing w:val="0"/>
          <w:w w:val="100"/>
          <w:position w:val="0"/>
          <w:sz w:val="24"/>
          <w:szCs w:val="24"/>
        </w:rPr>
        <w:t>处置价格</w:t>
        <w:tab/>
      </w:r>
      <w:r>
        <w:rPr>
          <w:color w:val="000000"/>
          <w:spacing w:val="0"/>
          <w:w w:val="100"/>
          <w:position w:val="0"/>
          <w:sz w:val="24"/>
          <w:szCs w:val="24"/>
        </w:rPr>
        <w:t>5,078,180</w:t>
      </w:r>
    </w:p>
    <w:p>
      <w:pPr>
        <w:pStyle w:val="Style72"/>
        <w:keepNext w:val="0"/>
        <w:keepLines w:val="0"/>
        <w:widowControl w:val="0"/>
        <w:shd w:val="clear" w:color="auto" w:fill="auto"/>
        <w:bidi w:val="0"/>
        <w:spacing w:before="0" w:after="40" w:line="240" w:lineRule="auto"/>
        <w:ind w:left="0" w:right="0" w:firstLine="720"/>
        <w:jc w:val="both"/>
      </w:pPr>
      <w:r>
        <w:rPr>
          <w:color w:val="000000"/>
          <w:spacing w:val="0"/>
          <w:w w:val="100"/>
          <w:position w:val="0"/>
          <w:sz w:val="24"/>
          <w:szCs w:val="24"/>
        </w:rPr>
        <w:t>减：合并财务报表层面享有的</w:t>
      </w:r>
      <w:r>
        <w:rPr>
          <w:rFonts w:ascii="Arial" w:eastAsia="Arial" w:hAnsi="Arial" w:cs="Arial"/>
          <w:color w:val="000000"/>
          <w:spacing w:val="0"/>
          <w:w w:val="100"/>
          <w:position w:val="0"/>
          <w:sz w:val="24"/>
          <w:szCs w:val="24"/>
        </w:rPr>
        <w:t>18</w:t>
      </w:r>
      <w:r>
        <w:rPr>
          <w:color w:val="000000"/>
          <w:spacing w:val="0"/>
          <w:w w:val="100"/>
          <w:position w:val="0"/>
          <w:sz w:val="24"/>
          <w:szCs w:val="24"/>
        </w:rPr>
        <w:t>家仓储物流公司净资</w:t>
      </w:r>
    </w:p>
    <w:p>
      <w:pPr>
        <w:pStyle w:val="Style92"/>
        <w:keepNext w:val="0"/>
        <w:keepLines w:val="0"/>
        <w:widowControl w:val="0"/>
        <w:shd w:val="clear" w:color="auto" w:fill="auto"/>
        <w:tabs>
          <w:tab w:pos="7190" w:val="right"/>
        </w:tabs>
        <w:bidi w:val="0"/>
        <w:spacing w:before="0" w:after="0" w:line="240" w:lineRule="auto"/>
        <w:ind w:left="0" w:right="0" w:firstLine="0"/>
        <w:jc w:val="right"/>
      </w:pPr>
      <w:r>
        <w:rPr>
          <w:rFonts w:ascii="SimSun" w:eastAsia="SimSun" w:hAnsi="SimSun" w:cs="SimSun"/>
          <w:color w:val="000000"/>
          <w:spacing w:val="0"/>
          <w:w w:val="100"/>
          <w:position w:val="0"/>
          <w:sz w:val="24"/>
          <w:szCs w:val="24"/>
        </w:rPr>
        <w:t>产份额</w:t>
        <w:tab/>
      </w:r>
      <w:r>
        <w:rPr>
          <w:rFonts w:ascii="SimSun" w:eastAsia="SimSun" w:hAnsi="SimSun" w:cs="SimSun"/>
          <w:color w:val="000000"/>
          <w:spacing w:val="0"/>
          <w:w w:val="100"/>
          <w:position w:val="0"/>
          <w:sz w:val="28"/>
          <w:szCs w:val="28"/>
        </w:rPr>
        <w:t>(</w:t>
      </w:r>
      <w:r>
        <w:rPr>
          <w:color w:val="000000"/>
          <w:spacing w:val="0"/>
          <w:w w:val="100"/>
          <w:position w:val="0"/>
          <w:sz w:val="24"/>
          <w:szCs w:val="24"/>
        </w:rPr>
        <w:t>3,912,272)</w:t>
      </w:r>
    </w:p>
    <w:p>
      <w:pPr>
        <w:pStyle w:val="Style72"/>
        <w:keepNext w:val="0"/>
        <w:keepLines w:val="0"/>
        <w:widowControl w:val="0"/>
        <w:shd w:val="clear" w:color="auto" w:fill="auto"/>
        <w:tabs>
          <w:tab w:pos="6965" w:val="right"/>
        </w:tabs>
        <w:bidi w:val="0"/>
        <w:spacing w:before="0" w:after="0" w:line="240" w:lineRule="auto"/>
        <w:ind w:left="0" w:right="0" w:firstLine="0"/>
        <w:jc w:val="right"/>
      </w:pPr>
      <w:r>
        <w:rPr>
          <w:color w:val="000000"/>
          <w:spacing w:val="0"/>
          <w:w w:val="100"/>
          <w:position w:val="0"/>
          <w:sz w:val="24"/>
          <w:szCs w:val="24"/>
        </w:rPr>
        <w:t>售后租回使用权资产抵销相关利得</w:t>
        <w:tab/>
        <w:t xml:space="preserve"> </w:t>
      </w:r>
      <w:r>
        <w:rPr>
          <w:rFonts w:ascii="Arial" w:eastAsia="Arial" w:hAnsi="Arial" w:cs="Arial"/>
          <w:color w:val="000000"/>
          <w:spacing w:val="0"/>
          <w:w w:val="100"/>
          <w:position w:val="0"/>
          <w:sz w:val="24"/>
          <w:szCs w:val="24"/>
          <w:u w:val="single"/>
        </w:rPr>
        <w:t>(80,690)</w:t>
      </w:r>
    </w:p>
    <w:p>
      <w:pPr>
        <w:pStyle w:val="Style92"/>
        <w:keepNext w:val="0"/>
        <w:keepLines w:val="0"/>
        <w:widowControl w:val="0"/>
        <w:shd w:val="clear" w:color="auto" w:fill="auto"/>
        <w:tabs>
          <w:tab w:pos="8669" w:val="right"/>
        </w:tabs>
        <w:bidi w:val="0"/>
        <w:spacing w:before="0" w:after="300" w:line="240" w:lineRule="auto"/>
        <w:ind w:left="0" w:right="0" w:firstLine="720"/>
        <w:jc w:val="both"/>
      </w:pPr>
      <w:r>
        <w:rPr>
          <w:rFonts w:ascii="SimSun" w:eastAsia="SimSun" w:hAnsi="SimSun" w:cs="SimSun"/>
          <w:color w:val="000000"/>
          <w:spacing w:val="0"/>
          <w:w w:val="100"/>
          <w:position w:val="0"/>
          <w:sz w:val="24"/>
          <w:szCs w:val="24"/>
        </w:rPr>
        <w:t>处置产生的投资收益</w:t>
      </w:r>
      <w:r>
        <w:rPr>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color w:val="000000"/>
          <w:spacing w:val="0"/>
          <w:w w:val="100"/>
          <w:position w:val="0"/>
          <w:sz w:val="24"/>
          <w:szCs w:val="24"/>
        </w:rPr>
        <w:t>(56))</w:t>
        <w:tab/>
        <w:t>1,085</w:t>
      </w:r>
      <w:r>
        <w:rPr>
          <w:rFonts w:ascii="SimSun" w:eastAsia="SimSun" w:hAnsi="SimSun" w:cs="SimSun"/>
          <w:color w:val="000000"/>
          <w:spacing w:val="0"/>
          <w:w w:val="100"/>
          <w:position w:val="0"/>
          <w:sz w:val="24"/>
          <w:szCs w:val="24"/>
        </w:rPr>
        <w:t>顶</w:t>
      </w:r>
      <w:r>
        <w:rPr>
          <w:color w:val="000000"/>
          <w:spacing w:val="0"/>
          <w:w w:val="100"/>
          <w:position w:val="0"/>
          <w:sz w:val="24"/>
          <w:szCs w:val="24"/>
        </w:rPr>
        <w:t>8</w:t>
      </w:r>
    </w:p>
    <w:p>
      <w:pPr>
        <w:pStyle w:val="Style72"/>
        <w:keepNext w:val="0"/>
        <w:keepLines w:val="0"/>
        <w:widowControl w:val="0"/>
        <w:shd w:val="clear" w:color="auto" w:fill="auto"/>
        <w:bidi w:val="0"/>
        <w:spacing w:before="0" w:after="300" w:line="307" w:lineRule="exact"/>
        <w:ind w:right="0" w:firstLine="0"/>
        <w:jc w:val="both"/>
      </w:pPr>
      <w:r>
        <w:rPr>
          <w:color w:val="000000"/>
          <w:spacing w:val="0"/>
          <w:w w:val="100"/>
          <w:position w:val="0"/>
          <w:sz w:val="24"/>
          <w:szCs w:val="24"/>
        </w:rPr>
        <w:t>本集团基于所转让股权的相关资产不具有实质性处理流程判断其不构成业 务，故而本年按在权益法确认对珠海普易的投资收益时按照本集团的持股比 例抵销该处置交易的未实现损益约人民币</w:t>
      </w:r>
      <w:r>
        <w:rPr>
          <w:rFonts w:ascii="Arial" w:eastAsia="Arial" w:hAnsi="Arial" w:cs="Arial"/>
          <w:color w:val="000000"/>
          <w:spacing w:val="0"/>
          <w:w w:val="100"/>
          <w:position w:val="0"/>
          <w:sz w:val="24"/>
          <w:szCs w:val="24"/>
        </w:rPr>
        <w:t>2.17</w:t>
      </w:r>
      <w:r>
        <w:rPr>
          <w:color w:val="000000"/>
          <w:spacing w:val="0"/>
          <w:w w:val="100"/>
          <w:position w:val="0"/>
          <w:sz w:val="24"/>
          <w:szCs w:val="24"/>
        </w:rPr>
        <w:t>亿元。</w:t>
      </w:r>
    </w:p>
    <w:p>
      <w:pPr>
        <w:pStyle w:val="Style7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 xml:space="preserve">(iii) </w:t>
      </w:r>
      <w:r>
        <w:rPr>
          <w:color w:val="000000"/>
          <w:spacing w:val="0"/>
          <w:w w:val="100"/>
          <w:position w:val="0"/>
          <w:sz w:val="24"/>
          <w:szCs w:val="24"/>
        </w:rPr>
        <w:t>南京悦百家处置损益计算如下：</w:t>
      </w:r>
    </w:p>
    <w:p>
      <w:pPr>
        <w:pStyle w:val="Style6"/>
        <w:keepNext w:val="0"/>
        <w:keepLines w:val="0"/>
        <w:widowControl w:val="0"/>
        <w:shd w:val="clear" w:color="auto" w:fill="auto"/>
        <w:bidi w:val="0"/>
        <w:spacing w:before="0" w:after="540" w:line="240" w:lineRule="auto"/>
        <w:ind w:left="8120" w:right="0" w:firstLine="0"/>
        <w:jc w:val="left"/>
      </w:pPr>
      <w:r>
        <w:rPr>
          <w:b w:val="0"/>
          <w:bCs w:val="0"/>
          <w:color w:val="000000"/>
          <w:spacing w:val="0"/>
          <w:w w:val="100"/>
          <w:position w:val="0"/>
          <w:vertAlign w:val="subscript"/>
        </w:rPr>
        <w:t>金额</w:t>
      </w:r>
    </w:p>
    <w:p>
      <w:pPr>
        <w:pStyle w:val="Style92"/>
        <w:keepNext w:val="0"/>
        <w:keepLines w:val="0"/>
        <w:widowControl w:val="0"/>
        <w:shd w:val="clear" w:color="auto" w:fill="auto"/>
        <w:tabs>
          <w:tab w:pos="7862" w:val="left"/>
        </w:tabs>
        <w:bidi w:val="0"/>
        <w:spacing w:before="0" w:after="0" w:line="307" w:lineRule="exact"/>
        <w:ind w:left="0" w:right="0" w:firstLine="720"/>
        <w:jc w:val="both"/>
      </w:pPr>
      <w:r>
        <w:rPr>
          <w:rFonts w:ascii="SimSun" w:eastAsia="SimSun" w:hAnsi="SimSun" w:cs="SimSun"/>
          <w:color w:val="000000"/>
          <w:spacing w:val="0"/>
          <w:w w:val="100"/>
          <w:position w:val="0"/>
          <w:sz w:val="24"/>
          <w:szCs w:val="24"/>
        </w:rPr>
        <w:t>处置价格</w:t>
        <w:tab/>
      </w:r>
      <w:r>
        <w:rPr>
          <w:color w:val="000000"/>
          <w:spacing w:val="0"/>
          <w:w w:val="100"/>
          <w:position w:val="0"/>
          <w:sz w:val="24"/>
          <w:szCs w:val="24"/>
        </w:rPr>
        <w:t>24,000</w:t>
      </w:r>
    </w:p>
    <w:p>
      <w:pPr>
        <w:pStyle w:val="Style72"/>
        <w:keepNext w:val="0"/>
        <w:keepLines w:val="0"/>
        <w:widowControl w:val="0"/>
        <w:shd w:val="clear" w:color="auto" w:fill="auto"/>
        <w:tabs>
          <w:tab w:leader="underscore" w:pos="7862" w:val="left"/>
        </w:tabs>
        <w:bidi w:val="0"/>
        <w:spacing w:before="0" w:after="0" w:line="307" w:lineRule="exact"/>
        <w:ind w:left="0" w:right="0" w:firstLine="720"/>
        <w:jc w:val="both"/>
      </w:pPr>
      <w:r>
        <w:rPr>
          <w:color w:val="000000"/>
          <w:spacing w:val="0"/>
          <w:w w:val="100"/>
          <w:position w:val="0"/>
          <w:sz w:val="24"/>
          <w:szCs w:val="24"/>
        </w:rPr>
        <w:t>减：合并财务报表层面享有的南京悦百家净资产份额</w:t>
        <w:tab/>
      </w:r>
      <w:r>
        <w:rPr>
          <w:rFonts w:ascii="Arial" w:eastAsia="Arial" w:hAnsi="Arial" w:cs="Arial"/>
          <w:color w:val="000000"/>
          <w:spacing w:val="0"/>
          <w:w w:val="100"/>
          <w:position w:val="0"/>
          <w:sz w:val="24"/>
          <w:szCs w:val="24"/>
          <w:u w:val="single"/>
        </w:rPr>
        <w:t>(19,339)</w:t>
      </w:r>
    </w:p>
    <w:p>
      <w:pPr>
        <w:pStyle w:val="Style21"/>
        <w:keepNext w:val="0"/>
        <w:keepLines w:val="0"/>
        <w:widowControl w:val="0"/>
        <w:shd w:val="clear" w:color="auto" w:fill="auto"/>
        <w:tabs>
          <w:tab w:pos="6446" w:val="left"/>
        </w:tabs>
        <w:bidi w:val="0"/>
        <w:spacing w:before="0" w:after="300" w:line="307" w:lineRule="exact"/>
        <w:ind w:left="0" w:right="0" w:firstLine="720"/>
        <w:jc w:val="both"/>
      </w:pPr>
      <w:r>
        <w:fldChar w:fldCharType="begin"/>
        <w:instrText xml:space="preserve"> TOC \o "1-5" \h \z </w:instrText>
        <w:fldChar w:fldCharType="separate"/>
      </w:r>
      <w:r>
        <w:rPr>
          <w:color w:val="000000"/>
          <w:spacing w:val="0"/>
          <w:w w:val="100"/>
          <w:position w:val="0"/>
          <w:sz w:val="24"/>
          <w:szCs w:val="24"/>
        </w:rPr>
        <w:t>处置产生的投资收益</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(56))</w:t>
        <w:tab/>
      </w:r>
      <w:r>
        <w:rPr>
          <w:rFonts w:ascii="Arial" w:eastAsia="Arial" w:hAnsi="Arial" w:cs="Arial"/>
          <w:color w:val="000000"/>
          <w:spacing w:val="0"/>
          <w:w w:val="100"/>
          <w:position w:val="0"/>
          <w:sz w:val="24"/>
          <w:szCs w:val="24"/>
          <w:u w:val="single"/>
        </w:rPr>
        <w:t>4,661</w:t>
      </w:r>
    </w:p>
    <w:p>
      <w:pPr>
        <w:pStyle w:val="Style21"/>
        <w:keepNext w:val="0"/>
        <w:keepLines w:val="0"/>
        <w:widowControl w:val="0"/>
        <w:numPr>
          <w:ilvl w:val="0"/>
          <w:numId w:val="107"/>
        </w:numPr>
        <w:shd w:val="clear" w:color="auto" w:fill="auto"/>
        <w:tabs>
          <w:tab w:pos="701" w:val="left"/>
        </w:tabs>
        <w:bidi w:val="0"/>
        <w:spacing w:before="0" w:after="300" w:line="240" w:lineRule="auto"/>
        <w:ind w:left="0" w:right="0" w:firstLine="0"/>
        <w:jc w:val="both"/>
      </w:pPr>
      <w:bookmarkStart w:id="953" w:name="bookmark953"/>
      <w:bookmarkEnd w:id="953"/>
      <w:r>
        <w:rPr>
          <w:color w:val="000000"/>
          <w:spacing w:val="0"/>
          <w:w w:val="100"/>
          <w:position w:val="0"/>
          <w:sz w:val="24"/>
          <w:szCs w:val="24"/>
        </w:rPr>
        <w:t>云仓物流处置损益计算如下：</w:t>
      </w:r>
    </w:p>
    <w:p>
      <w:pPr>
        <w:pStyle w:val="Style21"/>
        <w:keepNext w:val="0"/>
        <w:keepLines w:val="0"/>
        <w:widowControl w:val="0"/>
        <w:shd w:val="clear" w:color="auto" w:fill="auto"/>
        <w:bidi w:val="0"/>
        <w:spacing w:before="0" w:after="540" w:line="240" w:lineRule="auto"/>
        <w:ind w:left="8120" w:right="0" w:firstLine="0"/>
        <w:jc w:val="left"/>
        <w:rPr>
          <w:sz w:val="40"/>
          <w:szCs w:val="40"/>
        </w:rPr>
      </w:pPr>
      <w:r>
        <w:rPr>
          <w:color w:val="000000"/>
          <w:spacing w:val="0"/>
          <w:w w:val="100"/>
          <w:position w:val="0"/>
          <w:sz w:val="40"/>
          <w:szCs w:val="40"/>
          <w:vertAlign w:val="subscript"/>
        </w:rPr>
        <w:t>金额</w:t>
      </w:r>
    </w:p>
    <w:p>
      <w:pPr>
        <w:pStyle w:val="Style21"/>
        <w:keepNext w:val="0"/>
        <w:keepLines w:val="0"/>
        <w:widowControl w:val="0"/>
        <w:shd w:val="clear" w:color="auto" w:fill="auto"/>
        <w:tabs>
          <w:tab w:pos="7862" w:val="left"/>
        </w:tabs>
        <w:bidi w:val="0"/>
        <w:spacing w:before="0" w:after="0" w:line="240" w:lineRule="auto"/>
        <w:ind w:left="0" w:right="0" w:firstLine="720"/>
        <w:jc w:val="both"/>
      </w:pPr>
      <w:r>
        <w:rPr>
          <w:color w:val="000000"/>
          <w:spacing w:val="0"/>
          <w:w w:val="100"/>
          <w:position w:val="0"/>
          <w:sz w:val="24"/>
          <w:szCs w:val="24"/>
        </w:rPr>
        <w:t>处置价格</w:t>
        <w:tab/>
      </w:r>
      <w:r>
        <w:rPr>
          <w:rFonts w:ascii="Arial" w:eastAsia="Arial" w:hAnsi="Arial" w:cs="Arial"/>
          <w:color w:val="000000"/>
          <w:spacing w:val="0"/>
          <w:w w:val="100"/>
          <w:position w:val="0"/>
          <w:sz w:val="24"/>
          <w:szCs w:val="24"/>
        </w:rPr>
        <w:t>5,023</w:t>
      </w:r>
    </w:p>
    <w:p>
      <w:pPr>
        <w:pStyle w:val="Style21"/>
        <w:keepNext w:val="0"/>
        <w:keepLines w:val="0"/>
        <w:widowControl w:val="0"/>
        <w:shd w:val="clear" w:color="auto" w:fill="auto"/>
        <w:tabs>
          <w:tab w:leader="underscore" w:pos="7862" w:val="left"/>
        </w:tabs>
        <w:bidi w:val="0"/>
        <w:spacing w:before="0" w:after="0" w:line="240" w:lineRule="auto"/>
        <w:ind w:left="0" w:right="0" w:firstLine="720"/>
        <w:jc w:val="both"/>
      </w:pPr>
      <w:r>
        <w:rPr>
          <w:color w:val="000000"/>
          <w:spacing w:val="0"/>
          <w:w w:val="100"/>
          <w:position w:val="0"/>
          <w:sz w:val="24"/>
          <w:szCs w:val="24"/>
        </w:rPr>
        <w:t xml:space="preserve">减：合并财务报表层面享有的云仓物流净资产份额 </w:t>
        <w:tab/>
      </w:r>
      <w:r>
        <w:rPr>
          <w:rFonts w:ascii="Arial" w:eastAsia="Arial" w:hAnsi="Arial" w:cs="Arial"/>
          <w:color w:val="000000"/>
          <w:spacing w:val="0"/>
          <w:w w:val="100"/>
          <w:position w:val="0"/>
          <w:sz w:val="24"/>
          <w:szCs w:val="24"/>
          <w:u w:val="single"/>
        </w:rPr>
        <w:t>(5,017)</w:t>
      </w:r>
    </w:p>
    <w:p>
      <w:pPr>
        <w:pStyle w:val="Style21"/>
        <w:keepNext w:val="0"/>
        <w:keepLines w:val="0"/>
        <w:widowControl w:val="0"/>
        <w:shd w:val="clear" w:color="auto" w:fill="auto"/>
        <w:tabs>
          <w:tab w:pos="5726" w:val="left"/>
        </w:tabs>
        <w:bidi w:val="0"/>
        <w:spacing w:before="0" w:after="300" w:line="240" w:lineRule="auto"/>
        <w:ind w:left="0" w:right="0" w:firstLine="720"/>
        <w:jc w:val="both"/>
      </w:pPr>
      <w:r>
        <w:rPr>
          <w:color w:val="000000"/>
          <w:spacing w:val="0"/>
          <w:w w:val="100"/>
          <w:position w:val="0"/>
          <w:sz w:val="24"/>
          <w:szCs w:val="24"/>
        </w:rPr>
        <w:t>处置产生的投资收益</w:t>
      </w:r>
      <w:r>
        <w:rPr>
          <w:rFonts w:ascii="Arial" w:eastAsia="Arial" w:hAnsi="Arial" w:cs="Arial"/>
          <w:color w:val="000000"/>
          <w:spacing w:val="0"/>
          <w:w w:val="100"/>
          <w:position w:val="0"/>
          <w:sz w:val="24"/>
          <w:szCs w:val="24"/>
        </w:rPr>
        <w:t>(</w:t>
      </w:r>
      <w:r>
        <w:rPr>
          <w:color w:val="000000"/>
          <w:spacing w:val="0"/>
          <w:w w:val="100"/>
          <w:position w:val="0"/>
          <w:sz w:val="24"/>
          <w:szCs w:val="24"/>
        </w:rPr>
        <w:t>附注四</w:t>
      </w:r>
      <w:r>
        <w:rPr>
          <w:rFonts w:ascii="Arial" w:eastAsia="Arial" w:hAnsi="Arial" w:cs="Arial"/>
          <w:color w:val="000000"/>
          <w:spacing w:val="0"/>
          <w:w w:val="100"/>
          <w:position w:val="0"/>
          <w:sz w:val="24"/>
          <w:szCs w:val="24"/>
        </w:rPr>
        <w:t>(56))</w:t>
        <w:tab/>
        <w:t>6</w:t>
      </w:r>
      <w:r>
        <w:rPr>
          <w:rFonts w:ascii="Arial" w:eastAsia="Arial" w:hAnsi="Arial" w:cs="Arial"/>
          <w:color w:val="000000"/>
          <w:spacing w:val="0"/>
          <w:w w:val="100"/>
          <w:position w:val="0"/>
          <w:sz w:val="24"/>
          <w:szCs w:val="24"/>
        </w:rPr>
        <w:t xml:space="preserve"> </w:t>
      </w:r>
      <w:r>
        <w:rPr>
          <w:rStyle w:val="CharStyle73"/>
          <w:rFonts w:ascii="Arial" w:eastAsia="Arial" w:hAnsi="Arial" w:cs="Arial"/>
        </w:rPr>
        <w:t xml:space="preserve">(2) </w:t>
      </w:r>
      <w:r>
        <w:rPr>
          <w:rStyle w:val="CharStyle73"/>
          <w:b/>
          <w:bCs/>
        </w:rPr>
        <w:t>其他原因的合并范围变动</w:t>
      </w:r>
      <w:r>
        <w:fldChar w:fldCharType="end"/>
      </w:r>
    </w:p>
    <w:p>
      <w:pPr>
        <w:pStyle w:val="Style72"/>
        <w:keepNext w:val="0"/>
        <w:keepLines w:val="0"/>
        <w:widowControl w:val="0"/>
        <w:shd w:val="clear" w:color="auto" w:fill="auto"/>
        <w:bidi w:val="0"/>
        <w:spacing w:before="0" w:after="300" w:line="317" w:lineRule="exact"/>
        <w:ind w:right="0" w:firstLine="0"/>
        <w:jc w:val="left"/>
        <w:sectPr>
          <w:footnotePr>
            <w:pos w:val="pageBottom"/>
            <w:numFmt w:val="decimal"/>
            <w:numStart w:val="1"/>
            <w:numRestart w:val="continuous"/>
            <w15:footnoteColumns w:val="1"/>
          </w:footnotePr>
          <w:pgSz w:w="11900" w:h="16840"/>
          <w:pgMar w:top="2338" w:right="1315" w:bottom="1085" w:left="1691" w:header="0" w:footer="3" w:gutter="0"/>
          <w:cols w:space="720"/>
          <w:noEndnote/>
          <w:rtlGutter w:val="0"/>
          <w:docGrid w:linePitch="360"/>
        </w:sectPr>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年度，本集团新设子公司</w:t>
      </w:r>
      <w:r>
        <w:rPr>
          <w:rFonts w:ascii="Arial" w:eastAsia="Arial" w:hAnsi="Arial" w:cs="Arial"/>
          <w:color w:val="000000"/>
          <w:spacing w:val="0"/>
          <w:w w:val="100"/>
          <w:position w:val="0"/>
          <w:sz w:val="24"/>
          <w:szCs w:val="24"/>
        </w:rPr>
        <w:t>19</w:t>
      </w:r>
      <w:r>
        <w:rPr>
          <w:color w:val="000000"/>
          <w:spacing w:val="0"/>
          <w:w w:val="100"/>
          <w:position w:val="0"/>
          <w:sz w:val="24"/>
          <w:szCs w:val="24"/>
        </w:rPr>
        <w:t>家，包括江西苏宁易购采购中心有限公 司、重庆苏宁极物电子商务有限公司等，纳入合并范围；注销子公司</w:t>
      </w:r>
      <w:r>
        <w:rPr>
          <w:rFonts w:ascii="Arial" w:eastAsia="Arial" w:hAnsi="Arial" w:cs="Arial"/>
          <w:color w:val="000000"/>
          <w:spacing w:val="0"/>
          <w:w w:val="100"/>
          <w:position w:val="0"/>
          <w:sz w:val="24"/>
          <w:szCs w:val="24"/>
        </w:rPr>
        <w:t>37</w:t>
      </w:r>
      <w:r>
        <w:rPr>
          <w:color w:val="000000"/>
          <w:spacing w:val="0"/>
          <w:w w:val="100"/>
          <w:position w:val="0"/>
          <w:sz w:val="24"/>
          <w:szCs w:val="24"/>
        </w:rPr>
        <w:t>家。</w:t>
      </w:r>
    </w:p>
    <w:p>
      <w:pPr>
        <w:pStyle w:val="Style72"/>
        <w:keepNext w:val="0"/>
        <w:keepLines w:val="0"/>
        <w:widowControl w:val="0"/>
        <w:shd w:val="clear" w:color="auto" w:fill="auto"/>
        <w:bidi w:val="0"/>
        <w:spacing w:before="0" w:after="60" w:line="240" w:lineRule="auto"/>
        <w:ind w:left="0" w:right="0" w:firstLine="70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(除特别注明外，金额单位为人民币千元)</w:t>
      </w:r>
    </w:p>
    <w:p>
      <w:pPr>
        <w:pStyle w:val="Style72"/>
        <w:keepNext w:val="0"/>
        <w:keepLines w:val="0"/>
        <w:widowControl w:val="0"/>
        <w:shd w:val="clear" w:color="auto" w:fill="auto"/>
        <w:tabs>
          <w:tab w:pos="651" w:val="left"/>
        </w:tabs>
        <w:bidi w:val="0"/>
        <w:spacing w:before="0" w:after="300" w:line="240" w:lineRule="auto"/>
        <w:ind w:left="0" w:right="0" w:firstLine="0"/>
        <w:jc w:val="left"/>
      </w:pPr>
      <w:r>
        <w:rPr>
          <w:b/>
          <w:bCs/>
          <w:color w:val="000000"/>
          <w:spacing w:val="0"/>
          <w:w w:val="100"/>
          <w:position w:val="0"/>
          <w:sz w:val="24"/>
          <w:szCs w:val="24"/>
        </w:rPr>
        <w:t>六</w:t>
        <w:tab/>
        <w:t>在其他主体中的权益</w:t>
      </w:r>
    </w:p>
    <w:p>
      <w:pPr>
        <w:pStyle w:val="Style72"/>
        <w:keepNext w:val="0"/>
        <w:keepLines w:val="0"/>
        <w:widowControl w:val="0"/>
        <w:shd w:val="clear" w:color="auto" w:fill="auto"/>
        <w:tabs>
          <w:tab w:pos="651"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在子公司中的权益</w:t>
      </w:r>
    </w:p>
    <w:p>
      <w:pPr>
        <w:pStyle w:val="Style72"/>
        <w:keepNext w:val="0"/>
        <w:keepLines w:val="0"/>
        <w:widowControl w:val="0"/>
        <w:shd w:val="clear" w:color="auto" w:fill="auto"/>
        <w:tabs>
          <w:tab w:pos="651"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(a)</w:t>
        <w:tab/>
      </w:r>
      <w:r>
        <w:rPr>
          <w:color w:val="000000"/>
          <w:spacing w:val="0"/>
          <w:w w:val="100"/>
          <w:position w:val="0"/>
          <w:sz w:val="24"/>
          <w:szCs w:val="24"/>
        </w:rPr>
        <w:t>企业集团的构成</w:t>
      </w:r>
    </w:p>
    <w:p>
      <w:pPr>
        <w:pStyle w:val="Style55"/>
        <w:keepNext w:val="0"/>
        <w:keepLines w:val="0"/>
        <w:widowControl w:val="0"/>
        <w:shd w:val="clear" w:color="auto" w:fill="auto"/>
        <w:tabs>
          <w:tab w:pos="4329" w:val="left"/>
        </w:tabs>
        <w:bidi w:val="0"/>
        <w:spacing w:before="0" w:after="500" w:line="240" w:lineRule="auto"/>
        <w:ind w:left="0" w:right="0" w:firstLine="700"/>
        <w:jc w:val="left"/>
      </w:pPr>
      <w:r>
        <w:rPr>
          <w:color w:val="000000"/>
          <w:spacing w:val="0"/>
          <w:w w:val="100"/>
          <w:position w:val="0"/>
        </w:rPr>
        <w:t>主要子公司名称</w:t>
        <w:tab/>
        <w:t>主要经营地 注册地</w:t>
      </w:r>
    </w:p>
    <w:tbl>
      <w:tblPr>
        <w:tblOverlap w:val="never"/>
        <w:jc w:val="right"/>
        <w:tblLayout w:type="fixed"/>
      </w:tblPr>
      <w:tblGrid>
        <w:gridCol w:w="3293"/>
        <w:gridCol w:w="1618"/>
        <w:gridCol w:w="859"/>
      </w:tblGrid>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北京苏宁易购销售有限公司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北京市</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北京市</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广州市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广州市</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深圳市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深圳市</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江苏苏宁易购电子商务有限公司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南京市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南京市</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南京苏宁易购电子商务有限公司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南京市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南京市</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重庆猫宁电子商务有限公司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重庆市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重庆市</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南昌苏宁易购商业管理有限公司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南昌市</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南昌市</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南京苏宁商业管理有限公司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南京市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南京市</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江苏苏宁易达物流投资有限公司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南京市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南京市</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苏宁帮客科技服务有限公司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合肥市</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合肥市</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江苏苏宁物流有限公司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南京市</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南京市</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Shiny Lion Limited</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SimSun" w:eastAsia="SimSun" w:hAnsi="SimSun" w:cs="SimSun"/>
                <w:color w:val="000000"/>
                <w:spacing w:val="0"/>
                <w:w w:val="100"/>
                <w:position w:val="0"/>
                <w:sz w:val="18"/>
                <w:szCs w:val="18"/>
              </w:rPr>
              <w:t>香港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开曼</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南京红孩子企业管理有限公司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南京市</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南京市</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南京苏宁百货有限公司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南京市</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南京市</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深圳市云网万店科技有限公司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深圳市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深圳市</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成都市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成都市</w:t>
            </w:r>
          </w:p>
        </w:tc>
      </w:tr>
    </w:tbl>
    <w:p>
      <w:pPr>
        <w:sectPr>
          <w:footnotePr>
            <w:pos w:val="pageBottom"/>
            <w:numFmt w:val="decimal"/>
            <w:numStart w:val="1"/>
            <w:numRestart w:val="continuous"/>
            <w15:footnoteColumns w:val="1"/>
          </w:footnotePr>
          <w:pgSz w:w="8400" w:h="11900"/>
          <w:pgMar w:top="1155" w:right="205" w:bottom="1155" w:left="1709" w:header="0" w:footer="3" w:gutter="0"/>
          <w:cols w:space="720"/>
          <w:noEndnote/>
          <w:rtlGutter w:val="0"/>
          <w:docGrid w:linePitch="360"/>
        </w:sectPr>
      </w:pPr>
    </w:p>
    <w:p>
      <w:pPr>
        <w:widowControl w:val="0"/>
        <w:spacing w:after="799" w:line="1" w:lineRule="exact"/>
      </w:pPr>
    </w:p>
    <w:tbl>
      <w:tblPr>
        <w:tblOverlap w:val="never"/>
        <w:jc w:val="center"/>
        <w:tblLayout w:type="fixed"/>
      </w:tblPr>
      <w:tblGrid>
        <w:gridCol w:w="2678"/>
        <w:gridCol w:w="1358"/>
        <w:gridCol w:w="1162"/>
        <w:gridCol w:w="1339"/>
      </w:tblGrid>
      <w:tr>
        <w:trPr>
          <w:trHeight w:val="240" w:hRule="exact"/>
        </w:trPr>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rFonts w:ascii="SimSun" w:eastAsia="SimSun" w:hAnsi="SimSun" w:cs="SimSun"/>
                <w:color w:val="000000"/>
                <w:spacing w:val="0"/>
                <w:w w:val="100"/>
                <w:position w:val="0"/>
                <w:sz w:val="18"/>
                <w:szCs w:val="18"/>
              </w:rPr>
              <w:t>业务性质_</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持股比例</w:t>
            </w:r>
          </w:p>
        </w:tc>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取得方式</w:t>
            </w:r>
          </w:p>
        </w:tc>
      </w:tr>
      <w:tr>
        <w:trPr>
          <w:trHeight w:val="360"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直接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间接</w:t>
            </w:r>
          </w:p>
        </w:tc>
        <w:tc>
          <w:tcPr>
            <w:vMerge/>
            <w:tcBorders/>
            <w:shd w:val="clear" w:color="auto" w:fill="FFFFFF"/>
            <w:vAlign w:val="top"/>
          </w:tcPr>
          <w:p>
            <w:pPr/>
          </w:p>
        </w:tc>
      </w:tr>
      <w:tr>
        <w:trPr>
          <w:trHeight w:val="35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电器和电子消费品的连锁销售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电器和电子消费品的连锁销售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电器和电子消费品的连锁销售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电子商务系统开发及关联销售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SimSun" w:eastAsia="SimSun" w:hAnsi="SimSun" w:cs="SimSun"/>
                <w:color w:val="000000"/>
                <w:spacing w:val="0"/>
                <w:w w:val="100"/>
                <w:position w:val="0"/>
                <w:sz w:val="18"/>
                <w:szCs w:val="18"/>
              </w:rPr>
              <w:t>租赁和商务服务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电器和电子消费品的连锁销售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企业管理服务及信息咨询服务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SimSun" w:eastAsia="SimSun" w:hAnsi="SimSun" w:cs="SimSun"/>
                <w:color w:val="000000"/>
                <w:spacing w:val="0"/>
                <w:w w:val="100"/>
                <w:position w:val="0"/>
                <w:sz w:val="18"/>
                <w:szCs w:val="18"/>
              </w:rPr>
              <w:t>租赁和商务服务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物流业投资及物业管理</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电器和电子产品的销售与服务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rFonts w:ascii="SimSun" w:eastAsia="SimSun" w:hAnsi="SimSun" w:cs="SimSun"/>
                <w:color w:val="000000"/>
                <w:spacing w:val="0"/>
                <w:w w:val="100"/>
                <w:position w:val="0"/>
                <w:sz w:val="18"/>
                <w:szCs w:val="18"/>
              </w:rPr>
              <w:t>物流快递运输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rFonts w:ascii="SimSun" w:eastAsia="SimSun" w:hAnsi="SimSun" w:cs="SimSun"/>
                <w:color w:val="000000"/>
                <w:spacing w:val="0"/>
                <w:w w:val="100"/>
                <w:position w:val="0"/>
                <w:sz w:val="18"/>
                <w:szCs w:val="18"/>
              </w:rPr>
              <w:t>对外投资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商务服务业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商务服务业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18"/>
                <w:szCs w:val="18"/>
              </w:rPr>
            </w:pPr>
            <w:r>
              <w:rPr>
                <w:rFonts w:ascii="SimSun" w:eastAsia="SimSun" w:hAnsi="SimSun" w:cs="SimSun"/>
                <w:color w:val="000000"/>
                <w:spacing w:val="0"/>
                <w:w w:val="100"/>
                <w:position w:val="0"/>
                <w:sz w:val="18"/>
                <w:szCs w:val="18"/>
              </w:rPr>
              <w:t>商务服务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电器和电子消费品的连锁销售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投资设立</w:t>
            </w:r>
          </w:p>
        </w:tc>
      </w:tr>
    </w:tbl>
    <w:p>
      <w:pPr>
        <w:pStyle w:val="Style72"/>
        <w:keepNext w:val="0"/>
        <w:keepLines w:val="0"/>
        <w:widowControl w:val="0"/>
        <w:shd w:val="clear" w:color="auto" w:fill="auto"/>
        <w:tabs>
          <w:tab w:pos="2276" w:val="left"/>
        </w:tabs>
        <w:bidi w:val="0"/>
        <w:spacing w:before="0" w:after="320" w:line="240" w:lineRule="auto"/>
        <w:ind w:left="1620" w:right="0" w:firstLine="0"/>
        <w:jc w:val="left"/>
      </w:pPr>
      <w:r>
        <w:rPr>
          <w:b/>
          <w:bCs/>
          <w:color w:val="000000"/>
          <w:spacing w:val="0"/>
          <w:w w:val="100"/>
          <w:position w:val="0"/>
          <w:sz w:val="24"/>
          <w:szCs w:val="24"/>
        </w:rPr>
        <w:t>六</w:t>
        <w:tab/>
        <w:t>在其他主体中的权益（续）</w:t>
      </w:r>
    </w:p>
    <w:p>
      <w:pPr>
        <w:pStyle w:val="Style72"/>
        <w:keepNext w:val="0"/>
        <w:keepLines w:val="0"/>
        <w:widowControl w:val="0"/>
        <w:shd w:val="clear" w:color="auto" w:fill="auto"/>
        <w:tabs>
          <w:tab w:pos="2276" w:val="left"/>
        </w:tabs>
        <w:bidi w:val="0"/>
        <w:spacing w:before="0" w:after="260" w:line="240" w:lineRule="auto"/>
        <w:ind w:left="1620" w:right="0" w:firstLine="0"/>
        <w:jc w:val="left"/>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在子公司中的权益（续）</w:t>
      </w:r>
    </w:p>
    <w:p>
      <w:pPr>
        <w:pStyle w:val="Style72"/>
        <w:keepNext w:val="0"/>
        <w:keepLines w:val="0"/>
        <w:widowControl w:val="0"/>
        <w:shd w:val="clear" w:color="auto" w:fill="auto"/>
        <w:tabs>
          <w:tab w:pos="2276" w:val="left"/>
        </w:tabs>
        <w:bidi w:val="0"/>
        <w:spacing w:before="0" w:after="460" w:line="240" w:lineRule="auto"/>
        <w:ind w:left="1620" w:right="0" w:firstLine="0"/>
        <w:jc w:val="left"/>
      </w:pPr>
      <w:r>
        <w:rPr>
          <w:rFonts w:ascii="Arial" w:eastAsia="Arial" w:hAnsi="Arial" w:cs="Arial"/>
          <w:color w:val="000000"/>
          <w:spacing w:val="0"/>
          <w:w w:val="100"/>
          <w:position w:val="0"/>
          <w:sz w:val="24"/>
          <w:szCs w:val="24"/>
        </w:rPr>
        <w:t>（b）</w:t>
        <w:tab/>
      </w:r>
      <w:r>
        <w:rPr>
          <w:color w:val="000000"/>
          <w:spacing w:val="0"/>
          <w:w w:val="100"/>
          <w:position w:val="0"/>
          <w:sz w:val="24"/>
          <w:szCs w:val="24"/>
        </w:rPr>
        <w:t>存在重要少数股东权益的子公司</w:t>
      </w:r>
    </w:p>
    <w:p>
      <w:pPr>
        <w:pStyle w:val="Style55"/>
        <w:keepNext w:val="0"/>
        <w:keepLines w:val="0"/>
        <w:widowControl w:val="0"/>
        <w:shd w:val="clear" w:color="auto" w:fill="auto"/>
        <w:bidi w:val="0"/>
        <w:spacing w:before="0" w:after="260" w:line="240" w:lineRule="auto"/>
        <w:ind w:left="2340" w:right="0" w:firstLine="0"/>
        <w:jc w:val="left"/>
      </w:pPr>
      <w:r>
        <w:rPr>
          <w:color w:val="000000"/>
          <w:spacing w:val="0"/>
          <w:w w:val="100"/>
          <w:position w:val="0"/>
        </w:rPr>
        <w:t>子公司名称</w:t>
      </w:r>
    </w:p>
    <w:p>
      <w:pPr>
        <w:pStyle w:val="Style5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重庆猫宁电子商务有限公司</w:t>
      </w:r>
    </w:p>
    <w:p>
      <w:pPr>
        <w:pStyle w:val="Style5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家乐福中国</w:t>
      </w:r>
    </w:p>
    <w:p>
      <w:pPr>
        <w:pStyle w:val="Style29"/>
        <w:keepNext w:val="0"/>
        <w:keepLines w:val="0"/>
        <w:widowControl w:val="0"/>
        <w:shd w:val="clear" w:color="auto" w:fill="auto"/>
        <w:bidi w:val="0"/>
        <w:spacing w:before="0" w:after="200" w:line="240" w:lineRule="auto"/>
        <w:ind w:left="2340" w:right="0" w:firstLine="0"/>
        <w:jc w:val="left"/>
        <w:rPr>
          <w:sz w:val="18"/>
          <w:szCs w:val="18"/>
        </w:rPr>
      </w:pPr>
      <w:r>
        <w:rPr>
          <w:rFonts w:ascii="Arial" w:eastAsia="Arial" w:hAnsi="Arial" w:cs="Arial"/>
          <w:color w:val="000000"/>
          <w:spacing w:val="0"/>
          <w:w w:val="100"/>
          <w:position w:val="0"/>
          <w:sz w:val="18"/>
          <w:szCs w:val="18"/>
        </w:rPr>
        <w:t>SUNING TECHNOLOGY GROUP LIMITED</w:t>
      </w:r>
    </w:p>
    <w:p>
      <w:pPr>
        <w:pStyle w:val="Style5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杭州能容物联网科技有限公司</w:t>
      </w:r>
    </w:p>
    <w:p>
      <w:pPr>
        <w:pStyle w:val="Style55"/>
        <w:keepNext w:val="0"/>
        <w:keepLines w:val="0"/>
        <w:widowControl w:val="0"/>
        <w:shd w:val="clear" w:color="auto" w:fill="auto"/>
        <w:bidi w:val="0"/>
        <w:spacing w:before="0" w:after="200" w:line="240" w:lineRule="auto"/>
        <w:ind w:left="2340" w:right="0" w:firstLine="0"/>
        <w:jc w:val="left"/>
      </w:pPr>
      <w:r>
        <w:rPr>
          <w:color w:val="000000"/>
          <w:spacing w:val="0"/>
          <w:w w:val="100"/>
          <w:position w:val="0"/>
        </w:rPr>
        <w:t>苏宁深创投</w:t>
      </w:r>
      <w:r>
        <w:rPr>
          <w:rFonts w:ascii="Arial" w:eastAsia="Arial" w:hAnsi="Arial" w:cs="Arial"/>
          <w:color w:val="000000"/>
          <w:spacing w:val="0"/>
          <w:w w:val="100"/>
          <w:position w:val="0"/>
        </w:rPr>
        <w:t>（i）</w:t>
      </w:r>
    </w:p>
    <w:p>
      <w:pPr>
        <w:pStyle w:val="Style55"/>
        <w:keepNext w:val="0"/>
        <w:keepLines w:val="0"/>
        <w:widowControl w:val="0"/>
        <w:shd w:val="clear" w:color="auto" w:fill="auto"/>
        <w:bidi w:val="0"/>
        <w:spacing w:before="0" w:after="200" w:line="240" w:lineRule="auto"/>
        <w:ind w:left="2340" w:right="0" w:firstLine="0"/>
        <w:jc w:val="left"/>
      </w:pPr>
      <w:r>
        <w:rPr>
          <w:color w:val="000000"/>
          <w:spacing w:val="0"/>
          <w:w w:val="100"/>
          <w:position w:val="0"/>
        </w:rPr>
        <w:t>湖南苏宁先锋电子有限公司</w:t>
      </w:r>
    </w:p>
    <w:p>
      <w:pPr>
        <w:pStyle w:val="Style5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其他（单个子公司少数股东权益小于人民币</w:t>
      </w:r>
      <w:r>
        <w:rPr>
          <w:rFonts w:ascii="Arial" w:eastAsia="Arial" w:hAnsi="Arial" w:cs="Arial"/>
          <w:color w:val="000000"/>
          <w:spacing w:val="0"/>
          <w:w w:val="100"/>
          <w:position w:val="0"/>
        </w:rPr>
        <w:t>1,000</w:t>
      </w:r>
      <w:r>
        <w:rPr>
          <w:color w:val="000000"/>
          <w:spacing w:val="0"/>
          <w:w w:val="100"/>
          <w:position w:val="0"/>
        </w:rPr>
        <w:t>万元）</w:t>
      </w:r>
    </w:p>
    <w:p>
      <w:pPr>
        <w:pStyle w:val="Style55"/>
        <w:keepNext w:val="0"/>
        <w:keepLines w:val="0"/>
        <w:widowControl w:val="0"/>
        <w:shd w:val="clear" w:color="auto" w:fill="auto"/>
        <w:bidi w:val="0"/>
        <w:spacing w:before="0" w:after="260" w:line="240" w:lineRule="auto"/>
        <w:ind w:left="2340" w:right="0" w:firstLine="0"/>
        <w:jc w:val="left"/>
      </w:pPr>
      <w:r>
        <w:rPr>
          <w:color w:val="000000"/>
          <w:spacing w:val="0"/>
          <w:w w:val="100"/>
          <w:position w:val="0"/>
        </w:rPr>
        <w:t>合计</w:t>
      </w:r>
    </w:p>
    <w:p>
      <w:pPr>
        <w:pStyle w:val="Style55"/>
        <w:keepNext w:val="0"/>
        <w:keepLines w:val="0"/>
        <w:widowControl w:val="0"/>
        <w:shd w:val="clear" w:color="auto" w:fill="auto"/>
        <w:bidi w:val="0"/>
        <w:spacing w:before="0" w:after="200" w:line="240" w:lineRule="auto"/>
        <w:ind w:left="1620" w:right="0" w:firstLine="0"/>
        <w:jc w:val="left"/>
        <w:sectPr>
          <w:footnotePr>
            <w:pos w:val="pageBottom"/>
            <w:numFmt w:val="decimal"/>
            <w:numStart w:val="1"/>
            <w:numRestart w:val="continuous"/>
            <w15:footnoteColumns w:val="1"/>
          </w:footnotePr>
          <w:pgSz w:w="8400" w:h="11900"/>
          <w:pgMar w:top="2828" w:right="1047" w:bottom="3745" w:left="143" w:header="0" w:footer="3" w:gutter="0"/>
          <w:cols w:space="720"/>
          <w:noEndnote/>
          <w:rtlGutter w:val="0"/>
          <w:docGrid w:linePitch="360"/>
        </w:sectPr>
      </w:pPr>
      <w:r>
        <w:rPr>
          <w:color w:val="000000"/>
          <w:spacing w:val="0"/>
          <w:w w:val="100"/>
          <w:position w:val="0"/>
        </w:rPr>
        <w:t>⑴ 于</w:t>
      </w:r>
      <w:r>
        <w:rPr>
          <w:rFonts w:ascii="Arial" w:eastAsia="Arial" w:hAnsi="Arial" w:cs="Arial"/>
          <w:color w:val="000000"/>
          <w:spacing w:val="0"/>
          <w:w w:val="100"/>
          <w:position w:val="0"/>
        </w:rPr>
        <w:t>2021</w:t>
      </w:r>
      <w:r>
        <w:rPr>
          <w:color w:val="000000"/>
          <w:spacing w:val="0"/>
          <w:w w:val="100"/>
          <w:position w:val="0"/>
        </w:rPr>
        <w:t>年度，本集团支付少数股东股利人民币</w:t>
      </w:r>
      <w:r>
        <w:rPr>
          <w:rFonts w:ascii="Arial" w:eastAsia="Arial" w:hAnsi="Arial" w:cs="Arial"/>
          <w:color w:val="000000"/>
          <w:spacing w:val="0"/>
          <w:w w:val="100"/>
          <w:position w:val="0"/>
        </w:rPr>
        <w:t>2,450</w:t>
      </w:r>
      <w:r>
        <w:rPr>
          <w:color w:val="000000"/>
          <w:spacing w:val="0"/>
          <w:w w:val="100"/>
          <w:position w:val="0"/>
        </w:rPr>
        <w:t>万元。</w:t>
      </w:r>
    </w:p>
    <w:tbl>
      <w:tblPr>
        <w:tblOverlap w:val="never"/>
        <w:jc w:val="center"/>
        <w:tblLayout w:type="fixed"/>
      </w:tblPr>
      <w:tblGrid>
        <w:gridCol w:w="1219"/>
        <w:gridCol w:w="1930"/>
        <w:gridCol w:w="2122"/>
        <w:gridCol w:w="1939"/>
      </w:tblGrid>
      <w:tr>
        <w:trPr>
          <w:trHeight w:val="60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少数股东的</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持股比例</w:t>
            </w:r>
          </w:p>
        </w:tc>
        <w:tc>
          <w:tcPr>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年度归属于 少数股东的损益</w:t>
            </w:r>
          </w:p>
        </w:tc>
        <w:tc>
          <w:tcPr>
            <w:tcBorders/>
            <w:shd w:val="clear" w:color="auto" w:fill="FFFFFF"/>
            <w:vAlign w:val="top"/>
          </w:tcPr>
          <w:p>
            <w:pPr>
              <w:pStyle w:val="Style29"/>
              <w:keepNext w:val="0"/>
              <w:keepLines w:val="0"/>
              <w:widowControl w:val="0"/>
              <w:shd w:val="clear" w:color="auto" w:fill="auto"/>
              <w:bidi w:val="0"/>
              <w:spacing w:before="0" w:after="0" w:line="245" w:lineRule="exact"/>
              <w:ind w:left="0" w:right="280" w:firstLine="0"/>
              <w:jc w:val="righ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年度向少数 股东宣告分派的股利</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少数股东权益</w:t>
            </w:r>
          </w:p>
        </w:tc>
      </w:tr>
      <w:tr>
        <w:trPr>
          <w:trHeight w:val="3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(57,175)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(593,777)</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(953,694)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(1,650)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(417,117)</w:t>
            </w:r>
          </w:p>
        </w:tc>
      </w:tr>
      <w:tr>
        <w:trPr>
          <w:trHeight w:val="3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(17,504)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w:t>
            </w:r>
          </w:p>
        </w:tc>
      </w:tr>
      <w:tr>
        <w:trPr>
          <w:trHeight w:val="32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54%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rPr>
              <w:t>413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(58,485)</w:t>
            </w:r>
          </w:p>
        </w:tc>
      </w:tr>
      <w:tr>
        <w:trPr>
          <w:trHeight w:val="3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49%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129,147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(127,400)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w:t>
            </w:r>
          </w:p>
        </w:tc>
      </w:tr>
      <w:tr>
        <w:trPr>
          <w:trHeight w:val="41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Arial" w:eastAsia="Arial" w:hAnsi="Arial" w:cs="Arial"/>
                <w:color w:val="000000"/>
                <w:spacing w:val="0"/>
                <w:w w:val="100"/>
                <w:position w:val="0"/>
                <w:sz w:val="18"/>
                <w:szCs w:val="18"/>
              </w:rPr>
              <w:t>(783)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18,162</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(15,156)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11,437</w:t>
            </w:r>
          </w:p>
        </w:tc>
      </w:tr>
      <w:tr>
        <w:trPr>
          <w:trHeight w:val="278"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(914,752)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(129,050)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(1,069,309)</w:t>
            </w:r>
          </w:p>
        </w:tc>
      </w:tr>
    </w:tbl>
    <w:p>
      <w:pPr>
        <w:sectPr>
          <w:footnotePr>
            <w:pos w:val="pageBottom"/>
            <w:numFmt w:val="decimal"/>
            <w:numStart w:val="1"/>
            <w:numRestart w:val="continuous"/>
            <w15:footnoteColumns w:val="1"/>
          </w:footnotePr>
          <w:pgSz w:w="8400" w:h="11900"/>
          <w:pgMar w:top="3981" w:right="1124" w:bottom="3981" w:left="67" w:header="0" w:footer="3" w:gutter="0"/>
          <w:cols w:space="720"/>
          <w:noEndnote/>
          <w:rtlGutter w:val="0"/>
          <w:docGrid w:linePitch="360"/>
        </w:sectPr>
      </w:pPr>
    </w:p>
    <w:p>
      <w:pPr>
        <w:pStyle w:val="Style72"/>
        <w:keepNext w:val="0"/>
        <w:keepLines w:val="0"/>
        <w:widowControl w:val="0"/>
        <w:shd w:val="clear" w:color="auto" w:fill="auto"/>
        <w:tabs>
          <w:tab w:pos="699" w:val="left"/>
        </w:tabs>
        <w:bidi w:val="0"/>
        <w:spacing w:before="0" w:after="320" w:line="240" w:lineRule="auto"/>
        <w:ind w:left="0" w:right="0" w:firstLine="0"/>
        <w:jc w:val="left"/>
        <w:rPr>
          <w:sz w:val="28"/>
          <w:szCs w:val="28"/>
        </w:rPr>
      </w:pPr>
      <w:r>
        <w:rPr>
          <w:b/>
          <w:bCs/>
          <w:color w:val="000000"/>
          <w:spacing w:val="0"/>
          <w:w w:val="100"/>
          <w:position w:val="0"/>
          <w:sz w:val="24"/>
          <w:szCs w:val="24"/>
        </w:rPr>
        <w:t>六</w:t>
        <w:tab/>
        <w:t>在其他主体中的权益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9" w:val="left"/>
        </w:tabs>
        <w:bidi w:val="0"/>
        <w:spacing w:before="0" w:after="220" w:line="240" w:lineRule="auto"/>
        <w:ind w:left="0" w:right="0" w:firstLine="0"/>
        <w:jc w:val="left"/>
        <w:rPr>
          <w:sz w:val="28"/>
          <w:szCs w:val="28"/>
        </w:rPr>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在子公司中的权益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9" w:val="left"/>
        </w:tabs>
        <w:bidi w:val="0"/>
        <w:spacing w:before="0" w:after="320" w:line="240" w:lineRule="auto"/>
        <w:ind w:left="0" w:right="0" w:firstLine="0"/>
        <w:jc w:val="left"/>
        <w:rPr>
          <w:sz w:val="28"/>
          <w:szCs w:val="28"/>
        </w:rPr>
      </w:pPr>
      <w:r>
        <w:rPr>
          <w:rFonts w:ascii="Arial" w:eastAsia="Arial" w:hAnsi="Arial" w:cs="Arial"/>
          <w:color w:val="000000"/>
          <w:spacing w:val="0"/>
          <w:w w:val="100"/>
          <w:position w:val="0"/>
          <w:sz w:val="24"/>
          <w:szCs w:val="24"/>
        </w:rPr>
        <w:t>（b）</w:t>
        <w:tab/>
      </w:r>
      <w:r>
        <w:rPr>
          <w:color w:val="000000"/>
          <w:spacing w:val="0"/>
          <w:w w:val="100"/>
          <w:position w:val="0"/>
          <w:sz w:val="24"/>
          <w:szCs w:val="24"/>
        </w:rPr>
        <w:t>存在重要少数股东权益的子公司</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20" w:line="240" w:lineRule="auto"/>
        <w:ind w:left="0" w:right="0" w:firstLine="700"/>
        <w:jc w:val="left"/>
      </w:pPr>
      <w:r>
        <w:rPr>
          <w:color w:val="000000"/>
          <w:spacing w:val="0"/>
          <w:w w:val="100"/>
          <w:position w:val="0"/>
          <w:sz w:val="24"/>
          <w:szCs w:val="24"/>
        </w:rPr>
        <w:t>上述重要非全资子公司的主要财务信息列示如下:</w:t>
      </w:r>
    </w:p>
    <w:tbl>
      <w:tblPr>
        <w:tblOverlap w:val="never"/>
        <w:jc w:val="center"/>
        <w:tblLayout w:type="fixed"/>
      </w:tblPr>
      <w:tblGrid>
        <w:gridCol w:w="2026"/>
        <w:gridCol w:w="826"/>
        <w:gridCol w:w="926"/>
        <w:gridCol w:w="907"/>
        <w:gridCol w:w="888"/>
        <w:gridCol w:w="912"/>
        <w:gridCol w:w="1003"/>
        <w:gridCol w:w="912"/>
        <w:gridCol w:w="922"/>
        <w:gridCol w:w="898"/>
        <w:gridCol w:w="898"/>
        <w:gridCol w:w="912"/>
        <w:gridCol w:w="955"/>
      </w:tblGrid>
      <w:tr>
        <w:trPr>
          <w:trHeight w:val="211" w:hRule="exact"/>
        </w:trPr>
        <w:tc>
          <w:tcPr>
            <w:vMerge w:val="restart"/>
            <w:tcBorders/>
            <w:shd w:val="clear" w:color="auto" w:fill="FFFFFF"/>
            <w:vAlign w:val="top"/>
          </w:tcPr>
          <w:p>
            <w:pPr>
              <w:widowControl w:val="0"/>
              <w:rPr>
                <w:sz w:val="10"/>
                <w:szCs w:val="10"/>
              </w:rPr>
            </w:pPr>
          </w:p>
        </w:tc>
        <w:tc>
          <w:tcPr>
            <w:gridSpan w:val="6"/>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gridSpan w:val="6"/>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r>
      <w:tr>
        <w:trPr>
          <w:trHeight w:val="384"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流动资产</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非流动资产</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资产合计</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流动负债</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非流动负债</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负债合计</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流动资产</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非流动资产</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资产合计</w:t>
            </w:r>
          </w:p>
        </w:tc>
        <w:tc>
          <w:tcPr>
            <w:gridSpan w:val="2"/>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流动负债非流动负债</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负债合计</w:t>
            </w:r>
          </w:p>
        </w:tc>
      </w:tr>
      <w:tr>
        <w:trPr>
          <w:trHeight w:val="43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重庆猫宁电子商务有限公司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1,820,405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354,455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2,174,860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3,386,650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3,386,650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4,513,941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366,498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4,880,439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5,975,545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5,975,545</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家乐福中国</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4,520,486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13,921,753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18,442,239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13,036,632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8,054,503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21,091,135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5,364,971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8,745,037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14,110,008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12,105,170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1,314,782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13,419,952</w:t>
            </w:r>
          </w:p>
        </w:tc>
      </w:tr>
      <w:tr>
        <w:trPr>
          <w:trHeight w:val="18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Suning Technology Grou</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Limited</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1,925,090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138,309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2,063,399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2,473,750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2,473,750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2,641,104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79,890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2,720,994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2,956,299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2,956,299</w:t>
            </w:r>
          </w:p>
        </w:tc>
      </w:tr>
      <w:tr>
        <w:trPr>
          <w:trHeight w:val="21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杭州能容物联网科技有限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6,283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9,333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15,616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80,311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80,311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6,647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8,205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14,852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80,311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80,311</w:t>
            </w:r>
          </w:p>
        </w:tc>
      </w:tr>
      <w:tr>
        <w:trPr>
          <w:trHeight w:val="23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苏宁深创投</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211,521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10,032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221,553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198,071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198,071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43,336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43,455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23,866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23,866</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湖南苏宁先锋电子有限公司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1,143,205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5,987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1,149,192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967,572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967,572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1,166,092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3,196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1,169,288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979,845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979,845</w:t>
            </w:r>
          </w:p>
        </w:tc>
      </w:tr>
    </w:tbl>
    <w:p>
      <w:pPr>
        <w:sectPr>
          <w:footnotePr>
            <w:pos w:val="pageBottom"/>
            <w:numFmt w:val="decimal"/>
            <w:numStart w:val="1"/>
            <w:numRestart w:val="continuous"/>
            <w15:footnoteColumns w:val="1"/>
          </w:footnotePr>
          <w:pgSz w:w="16840" w:h="11900" w:orient="landscape"/>
          <w:pgMar w:top="2405" w:right="1431" w:bottom="2405" w:left="1714" w:header="0" w:footer="3" w:gutter="0"/>
          <w:cols w:space="720"/>
          <w:noEndnote/>
          <w:rtlGutter w:val="0"/>
          <w:docGrid w:linePitch="360"/>
        </w:sectPr>
      </w:pPr>
    </w:p>
    <w:p>
      <w:pPr>
        <w:pStyle w:val="Style72"/>
        <w:keepNext w:val="0"/>
        <w:keepLines w:val="0"/>
        <w:widowControl w:val="0"/>
        <w:shd w:val="clear" w:color="auto" w:fill="auto"/>
        <w:tabs>
          <w:tab w:pos="637" w:val="left"/>
        </w:tabs>
        <w:bidi w:val="0"/>
        <w:spacing w:before="0" w:after="320" w:line="240" w:lineRule="auto"/>
        <w:ind w:left="0" w:right="0" w:firstLine="0"/>
        <w:jc w:val="left"/>
      </w:pPr>
      <w:r>
        <w:rPr>
          <w:b/>
          <w:bCs/>
          <w:color w:val="000000"/>
          <w:spacing w:val="0"/>
          <w:w w:val="100"/>
          <w:position w:val="0"/>
          <w:sz w:val="24"/>
          <w:szCs w:val="24"/>
        </w:rPr>
        <w:t>六</w:t>
        <w:tab/>
        <w:t>在其他主体中的权益（续）</w:t>
      </w:r>
    </w:p>
    <w:p>
      <w:pPr>
        <w:pStyle w:val="Style72"/>
        <w:keepNext w:val="0"/>
        <w:keepLines w:val="0"/>
        <w:widowControl w:val="0"/>
        <w:shd w:val="clear" w:color="auto" w:fill="auto"/>
        <w:tabs>
          <w:tab w:pos="637" w:val="left"/>
        </w:tabs>
        <w:bidi w:val="0"/>
        <w:spacing w:before="0" w:after="280" w:line="240" w:lineRule="auto"/>
        <w:ind w:left="0" w:right="0" w:firstLine="0"/>
        <w:jc w:val="left"/>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在子公司中的权益（续）</w:t>
      </w:r>
    </w:p>
    <w:p>
      <w:pPr>
        <w:pStyle w:val="Style72"/>
        <w:keepNext w:val="0"/>
        <w:keepLines w:val="0"/>
        <w:widowControl w:val="0"/>
        <w:shd w:val="clear" w:color="auto" w:fill="auto"/>
        <w:tabs>
          <w:tab w:pos="637" w:val="left"/>
        </w:tabs>
        <w:bidi w:val="0"/>
        <w:spacing w:before="0" w:after="280" w:line="240" w:lineRule="auto"/>
        <w:ind w:left="0" w:right="0" w:firstLine="0"/>
        <w:jc w:val="left"/>
      </w:pPr>
      <w:r>
        <w:rPr>
          <w:rFonts w:ascii="Arial" w:eastAsia="Arial" w:hAnsi="Arial" w:cs="Arial"/>
          <w:color w:val="000000"/>
          <w:spacing w:val="0"/>
          <w:w w:val="100"/>
          <w:position w:val="0"/>
          <w:sz w:val="24"/>
          <w:szCs w:val="24"/>
        </w:rPr>
        <w:t>（b）</w:t>
        <w:tab/>
      </w:r>
      <w:r>
        <w:rPr>
          <w:color w:val="000000"/>
          <w:spacing w:val="0"/>
          <w:w w:val="100"/>
          <w:position w:val="0"/>
          <w:sz w:val="24"/>
          <w:szCs w:val="24"/>
        </w:rPr>
        <w:t>存在重要少数股东权益的子公司（续）</w:t>
      </w:r>
    </w:p>
    <w:p>
      <w:pPr>
        <w:pStyle w:val="Style72"/>
        <w:keepNext w:val="0"/>
        <w:keepLines w:val="0"/>
        <w:widowControl w:val="0"/>
        <w:shd w:val="clear" w:color="auto" w:fill="auto"/>
        <w:bidi w:val="0"/>
        <w:spacing w:before="0" w:after="280" w:line="240" w:lineRule="auto"/>
        <w:ind w:left="0" w:right="0" w:firstLine="0"/>
        <w:jc w:val="center"/>
      </w:pPr>
      <w:r>
        <w:rPr>
          <w:color w:val="000000"/>
          <w:spacing w:val="0"/>
          <w:w w:val="100"/>
          <w:position w:val="0"/>
          <w:sz w:val="24"/>
          <w:szCs w:val="24"/>
        </w:rPr>
        <w:t>上述重要非全资子公司的主要财务信息列示如下（续）:</w:t>
      </w:r>
    </w:p>
    <w:p>
      <w:pPr>
        <w:pStyle w:val="Style26"/>
        <w:keepNext w:val="0"/>
        <w:keepLines w:val="0"/>
        <w:widowControl w:val="0"/>
        <w:shd w:val="clear" w:color="auto" w:fill="auto"/>
        <w:bidi w:val="0"/>
        <w:spacing w:before="0" w:after="0" w:line="240" w:lineRule="auto"/>
        <w:ind w:left="0" w:right="0" w:firstLine="0"/>
        <w:jc w:val="distribute"/>
        <w:rPr>
          <w:sz w:val="18"/>
          <w:szCs w:val="18"/>
        </w:rPr>
      </w:pPr>
      <w:r>
        <w:rPr>
          <w:rFonts w:ascii="Arial" w:eastAsia="Arial" w:hAnsi="Arial" w:cs="Arial"/>
          <w:color w:val="000000"/>
          <w:spacing w:val="0"/>
          <w:w w:val="100"/>
          <w:position w:val="0"/>
          <w:sz w:val="18"/>
          <w:szCs w:val="18"/>
        </w:rPr>
        <w:t>2021</w:t>
      </w:r>
      <w:r>
        <w:rPr>
          <w:color w:val="000000"/>
          <w:spacing w:val="0"/>
          <w:w w:val="100"/>
          <w:position w:val="0"/>
          <w:sz w:val="18"/>
          <w:szCs w:val="18"/>
        </w:rPr>
        <w:t>年度</w:t>
      </w:r>
    </w:p>
    <w:tbl>
      <w:tblPr>
        <w:tblOverlap w:val="never"/>
        <w:jc w:val="right"/>
        <w:tblLayout w:type="fixed"/>
      </w:tblPr>
      <w:tblGrid>
        <w:gridCol w:w="2568"/>
        <w:gridCol w:w="1258"/>
        <w:gridCol w:w="1306"/>
        <w:gridCol w:w="1128"/>
      </w:tblGrid>
      <w:tr>
        <w:trPr>
          <w:trHeight w:val="60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营业收入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180" w:firstLine="0"/>
              <w:jc w:val="right"/>
              <w:rPr>
                <w:sz w:val="18"/>
                <w:szCs w:val="18"/>
              </w:rPr>
            </w:pPr>
            <w:r>
              <w:rPr>
                <w:rFonts w:ascii="SimSun" w:eastAsia="SimSun" w:hAnsi="SimSun" w:cs="SimSun"/>
                <w:color w:val="000000"/>
                <w:spacing w:val="0"/>
                <w:w w:val="100"/>
                <w:position w:val="0"/>
                <w:sz w:val="18"/>
                <w:szCs w:val="18"/>
              </w:rPr>
              <w:t>净（亏损）/ 利润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综合收益</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总额</w:t>
            </w:r>
          </w:p>
        </w:tc>
      </w:tr>
      <w:tr>
        <w:trPr>
          <w:trHeight w:val="40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重庆猫宁电子商务有限公司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1,603,201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(116,684)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(116,684)</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家乐福中国</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20,877,869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(3,337,302)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(3,337,302)</w:t>
            </w:r>
          </w:p>
        </w:tc>
      </w:tr>
      <w:tr>
        <w:trPr>
          <w:trHeight w:val="19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SUNING TECHNOLOGY</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GROUP LIMITED</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1,576,089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(175,044)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(175,046)</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杭州能容物联网科技有限公司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764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764</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苏宁深创投</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363,763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263,566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263,566</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湖南苏宁先锋电子有限公司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(7,826)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(7,826)</w:t>
            </w:r>
          </w:p>
        </w:tc>
      </w:tr>
    </w:tbl>
    <w:p>
      <w:pPr>
        <w:sectPr>
          <w:footnotePr>
            <w:pos w:val="pageBottom"/>
            <w:numFmt w:val="decimal"/>
            <w:numStart w:val="1"/>
            <w:numRestart w:val="continuous"/>
            <w15:footnoteColumns w:val="1"/>
          </w:footnotePr>
          <w:pgSz w:w="8400" w:h="11900"/>
          <w:pgMar w:top="2336" w:right="107" w:bottom="2336" w:left="1323"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3226" w:right="0" w:firstLine="0"/>
        <w:jc w:val="left"/>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年度</w:t>
      </w:r>
    </w:p>
    <w:tbl>
      <w:tblPr>
        <w:tblOverlap w:val="never"/>
        <w:jc w:val="center"/>
        <w:tblLayout w:type="fixed"/>
      </w:tblPr>
      <w:tblGrid>
        <w:gridCol w:w="1094"/>
        <w:gridCol w:w="1445"/>
        <w:gridCol w:w="1330"/>
        <w:gridCol w:w="1234"/>
        <w:gridCol w:w="1128"/>
      </w:tblGrid>
      <w:tr>
        <w:trPr>
          <w:trHeight w:val="619"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现金流量</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营业收入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240" w:firstLine="0"/>
              <w:jc w:val="right"/>
              <w:rPr>
                <w:sz w:val="18"/>
                <w:szCs w:val="18"/>
              </w:rPr>
            </w:pPr>
            <w:r>
              <w:rPr>
                <w:rFonts w:ascii="SimSun" w:eastAsia="SimSun" w:hAnsi="SimSun" w:cs="SimSun"/>
                <w:color w:val="000000"/>
                <w:spacing w:val="0"/>
                <w:w w:val="100"/>
                <w:position w:val="0"/>
                <w:sz w:val="18"/>
                <w:szCs w:val="18"/>
              </w:rPr>
              <w:t>净（亏损）/ 利润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综合收益</w:t>
            </w:r>
          </w:p>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总额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经营活动</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现金流量</w:t>
            </w:r>
          </w:p>
        </w:tc>
      </w:tr>
      <w:tr>
        <w:trPr>
          <w:trHeight w:val="40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1,740,511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14,065,942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(550,471)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(550,471)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(1,436,489)</w:t>
            </w:r>
          </w:p>
        </w:tc>
      </w:tr>
      <w:tr>
        <w:trPr>
          <w:trHeight w:val="33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1,850,768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25,574,327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(795,099)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(795,099)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(1,042,058)</w:t>
            </w:r>
          </w:p>
        </w:tc>
      </w:tr>
      <w:tr>
        <w:trPr>
          <w:trHeight w:val="33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(2,536)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2,117,265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(87,938)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(87,952)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12,396</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328</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(6,096)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(6,096)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(1,007)</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455,291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90,644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58,285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58,285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51,438</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(6,377)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547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(4,608)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(4,608)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(945,048)</w:t>
            </w:r>
          </w:p>
        </w:tc>
      </w:tr>
    </w:tbl>
    <w:p>
      <w:pPr>
        <w:sectPr>
          <w:footnotePr>
            <w:pos w:val="pageBottom"/>
            <w:numFmt w:val="decimal"/>
            <w:numStart w:val="1"/>
            <w:numRestart w:val="continuous"/>
            <w15:footnoteColumns w:val="1"/>
          </w:footnotePr>
          <w:pgSz w:w="8400" w:h="11900"/>
          <w:pgMar w:top="4639" w:right="1685" w:bottom="4373" w:left="485" w:header="0" w:footer="3" w:gutter="0"/>
          <w:cols w:space="720"/>
          <w:noEndnote/>
          <w:rtlGutter w:val="0"/>
          <w:docGrid w:linePitch="360"/>
        </w:sectPr>
      </w:pPr>
    </w:p>
    <w:p>
      <w:pPr>
        <w:pStyle w:val="Style72"/>
        <w:keepNext w:val="0"/>
        <w:keepLines w:val="0"/>
        <w:widowControl w:val="0"/>
        <w:shd w:val="clear" w:color="auto" w:fill="auto"/>
        <w:tabs>
          <w:tab w:pos="699" w:val="left"/>
        </w:tabs>
        <w:bidi w:val="0"/>
        <w:spacing w:before="0" w:after="300" w:line="240" w:lineRule="auto"/>
        <w:ind w:left="0" w:right="0" w:firstLine="0"/>
        <w:jc w:val="left"/>
        <w:rPr>
          <w:sz w:val="28"/>
          <w:szCs w:val="28"/>
        </w:rPr>
      </w:pPr>
      <w:r>
        <w:rPr>
          <w:b/>
          <w:bCs/>
          <w:color w:val="000000"/>
          <w:spacing w:val="0"/>
          <w:w w:val="100"/>
          <w:position w:val="0"/>
          <w:sz w:val="24"/>
          <w:szCs w:val="24"/>
        </w:rPr>
        <w:t>六</w:t>
        <w:tab/>
        <w:t>在其他主体中的权益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9"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(2)</w:t>
        <w:tab/>
      </w:r>
      <w:r>
        <w:rPr>
          <w:b/>
          <w:bCs/>
          <w:color w:val="000000"/>
          <w:spacing w:val="0"/>
          <w:w w:val="100"/>
          <w:position w:val="0"/>
          <w:sz w:val="24"/>
          <w:szCs w:val="24"/>
        </w:rPr>
        <w:t>在合营企业和联营企业中的权益</w:t>
      </w:r>
    </w:p>
    <w:p>
      <w:pPr>
        <w:pStyle w:val="Style72"/>
        <w:keepNext w:val="0"/>
        <w:keepLines w:val="0"/>
        <w:widowControl w:val="0"/>
        <w:shd w:val="clear" w:color="auto" w:fill="auto"/>
        <w:bidi w:val="0"/>
        <w:spacing w:before="0" w:after="300" w:line="240" w:lineRule="auto"/>
        <w:ind w:left="0" w:right="0" w:firstLine="700"/>
        <w:jc w:val="left"/>
      </w:pPr>
      <w:r>
        <w:rPr>
          <w:color w:val="000000"/>
          <w:spacing w:val="0"/>
          <w:w w:val="100"/>
          <w:position w:val="0"/>
          <w:sz w:val="24"/>
          <w:szCs w:val="24"/>
        </w:rPr>
        <w:t>本公司列示重要合营企业和联营企业的信息，同时将单体不重大的合营企业和联营企业汇总披露如下:</w:t>
      </w:r>
    </w:p>
    <w:p>
      <w:pPr>
        <w:pStyle w:val="Style72"/>
        <w:keepNext w:val="0"/>
        <w:keepLines w:val="0"/>
        <w:widowControl w:val="0"/>
        <w:shd w:val="clear" w:color="auto" w:fill="auto"/>
        <w:tabs>
          <w:tab w:pos="699"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(a)</w:t>
        <w:tab/>
      </w:r>
      <w:r>
        <w:rPr>
          <w:color w:val="000000"/>
          <w:spacing w:val="0"/>
          <w:w w:val="100"/>
          <w:position w:val="0"/>
          <w:sz w:val="24"/>
          <w:szCs w:val="24"/>
        </w:rPr>
        <w:t>重要合营企业和联营企业的基础信息</w:t>
      </w:r>
    </w:p>
    <w:tbl>
      <w:tblPr>
        <w:tblOverlap w:val="never"/>
        <w:jc w:val="center"/>
        <w:tblLayout w:type="fixed"/>
      </w:tblPr>
      <w:tblGrid>
        <w:gridCol w:w="2218"/>
        <w:gridCol w:w="1435"/>
        <w:gridCol w:w="1176"/>
        <w:gridCol w:w="3158"/>
        <w:gridCol w:w="2899"/>
        <w:gridCol w:w="1733"/>
        <w:gridCol w:w="950"/>
      </w:tblGrid>
      <w:tr>
        <w:trPr>
          <w:trHeight w:val="235"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主要经营地</w:t>
            </w:r>
          </w:p>
        </w:tc>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注册地</w:t>
            </w:r>
          </w:p>
        </w:tc>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2180" w:right="0" w:firstLine="0"/>
              <w:jc w:val="left"/>
              <w:rPr>
                <w:sz w:val="18"/>
                <w:szCs w:val="18"/>
              </w:rPr>
            </w:pPr>
            <w:r>
              <w:rPr>
                <w:rFonts w:ascii="SimSun" w:eastAsia="SimSun" w:hAnsi="SimSun" w:cs="SimSun"/>
                <w:color w:val="000000"/>
                <w:spacing w:val="0"/>
                <w:w w:val="100"/>
                <w:position w:val="0"/>
                <w:sz w:val="18"/>
                <w:szCs w:val="18"/>
              </w:rPr>
              <w:t>业务性质</w:t>
            </w:r>
          </w:p>
        </w:tc>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对集团活动是否具有战略性—</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持股比例</w:t>
            </w:r>
          </w:p>
        </w:tc>
      </w:tr>
      <w:tr>
        <w:trPr>
          <w:trHeight w:val="365"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600" w:firstLine="0"/>
              <w:jc w:val="right"/>
              <w:rPr>
                <w:sz w:val="18"/>
                <w:szCs w:val="18"/>
              </w:rPr>
            </w:pPr>
            <w:r>
              <w:rPr>
                <w:rFonts w:ascii="SimSun" w:eastAsia="SimSun" w:hAnsi="SimSun" w:cs="SimSun"/>
                <w:color w:val="000000"/>
                <w:spacing w:val="0"/>
                <w:w w:val="100"/>
                <w:position w:val="0"/>
                <w:sz w:val="18"/>
                <w:szCs w:val="18"/>
              </w:rPr>
              <w:t>直接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间接</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合营企业</w:t>
            </w:r>
            <w:r>
              <w:rPr>
                <w:rFonts w:ascii="Arial" w:eastAsia="Arial" w:hAnsi="Arial" w:cs="Arial"/>
                <w:color w:val="000000"/>
                <w:spacing w:val="0"/>
                <w:w w:val="100"/>
                <w:position w:val="0"/>
                <w:sz w:val="18"/>
                <w:szCs w:val="18"/>
              </w:rPr>
              <w:t>-</w:t>
            </w:r>
          </w:p>
        </w:tc>
        <w:tc>
          <w:tcPr>
            <w:gridSpan w:val="6"/>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南京合垠</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南京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南京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rFonts w:ascii="SimSun" w:eastAsia="SimSun" w:hAnsi="SimSun" w:cs="SimSun"/>
                <w:color w:val="000000"/>
                <w:spacing w:val="0"/>
                <w:w w:val="100"/>
                <w:position w:val="0"/>
                <w:sz w:val="18"/>
                <w:szCs w:val="18"/>
              </w:rPr>
              <w:t>房地产开发等</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SimSun" w:eastAsia="SimSun" w:hAnsi="SimSun" w:cs="SimSun"/>
                <w:color w:val="000000"/>
                <w:spacing w:val="0"/>
                <w:w w:val="100"/>
                <w:position w:val="0"/>
                <w:sz w:val="18"/>
                <w:szCs w:val="18"/>
              </w:rPr>
              <w:t>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50.98%</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云享仓储物流一期基金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南京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南京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rFonts w:ascii="SimSun" w:eastAsia="SimSun" w:hAnsi="SimSun" w:cs="SimSun"/>
                <w:color w:val="000000"/>
                <w:spacing w:val="0"/>
                <w:w w:val="100"/>
                <w:position w:val="0"/>
                <w:sz w:val="18"/>
                <w:szCs w:val="18"/>
              </w:rPr>
              <w:t>投资业务等</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SimSun" w:eastAsia="SimSun" w:hAnsi="SimSun" w:cs="SimSun"/>
                <w:color w:val="000000"/>
                <w:spacing w:val="0"/>
                <w:w w:val="100"/>
                <w:position w:val="0"/>
                <w:sz w:val="18"/>
                <w:szCs w:val="18"/>
              </w:rPr>
              <w:t>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51.00%</w:t>
            </w:r>
          </w:p>
        </w:tc>
      </w:tr>
      <w:tr>
        <w:trPr>
          <w:trHeight w:val="35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云享仓储物流二期基金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南京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南京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rFonts w:ascii="SimSun" w:eastAsia="SimSun" w:hAnsi="SimSun" w:cs="SimSun"/>
                <w:color w:val="000000"/>
                <w:spacing w:val="0"/>
                <w:w w:val="100"/>
                <w:position w:val="0"/>
                <w:sz w:val="18"/>
                <w:szCs w:val="18"/>
              </w:rPr>
              <w:t>投资业务等</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SimSun" w:eastAsia="SimSun" w:hAnsi="SimSun" w:cs="SimSun"/>
                <w:color w:val="000000"/>
                <w:spacing w:val="0"/>
                <w:w w:val="100"/>
                <w:position w:val="0"/>
                <w:sz w:val="18"/>
                <w:szCs w:val="18"/>
              </w:rPr>
              <w:t>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51.00%</w:t>
            </w:r>
          </w:p>
        </w:tc>
      </w:tr>
      <w:tr>
        <w:trPr>
          <w:trHeight w:val="35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联营企业</w:t>
            </w:r>
            <w:r>
              <w:rPr>
                <w:rFonts w:ascii="Arial" w:eastAsia="Arial" w:hAnsi="Arial" w:cs="Arial"/>
                <w:color w:val="000000"/>
                <w:spacing w:val="0"/>
                <w:w w:val="100"/>
                <w:position w:val="0"/>
                <w:sz w:val="18"/>
                <w:szCs w:val="18"/>
              </w:rPr>
              <w:t>-</w:t>
            </w:r>
          </w:p>
        </w:tc>
        <w:tc>
          <w:tcPr>
            <w:gridSpan w:val="6"/>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丸悦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香港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香港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rPr>
                <w:sz w:val="18"/>
                <w:szCs w:val="18"/>
              </w:rPr>
            </w:pPr>
            <w:r>
              <w:rPr>
                <w:rFonts w:ascii="SimSun" w:eastAsia="SimSun" w:hAnsi="SimSun" w:cs="SimSun"/>
                <w:color w:val="000000"/>
                <w:spacing w:val="0"/>
                <w:w w:val="100"/>
                <w:position w:val="0"/>
                <w:sz w:val="18"/>
                <w:szCs w:val="18"/>
              </w:rPr>
              <w:t>食品连锁</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SimSun" w:eastAsia="SimSun" w:hAnsi="SimSun" w:cs="SimSun"/>
                <w:color w:val="000000"/>
                <w:spacing w:val="0"/>
                <w:w w:val="100"/>
                <w:position w:val="0"/>
                <w:sz w:val="18"/>
                <w:szCs w:val="18"/>
              </w:rPr>
              <w:t>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30.00%</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苏宁消费金融</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南京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南京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rFonts w:ascii="SimSun" w:eastAsia="SimSun" w:hAnsi="SimSun" w:cs="SimSun"/>
                <w:color w:val="000000"/>
                <w:spacing w:val="0"/>
                <w:w w:val="100"/>
                <w:position w:val="0"/>
                <w:sz w:val="18"/>
                <w:szCs w:val="18"/>
              </w:rPr>
              <w:t>发放消费贷款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SimSun" w:eastAsia="SimSun" w:hAnsi="SimSun" w:cs="SimSun"/>
                <w:color w:val="000000"/>
                <w:spacing w:val="0"/>
                <w:w w:val="100"/>
                <w:position w:val="0"/>
                <w:sz w:val="18"/>
                <w:szCs w:val="18"/>
              </w:rPr>
              <w:t>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49.00%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苏宁银行</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南京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南京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180" w:right="0" w:firstLine="0"/>
              <w:jc w:val="left"/>
              <w:rPr>
                <w:sz w:val="18"/>
                <w:szCs w:val="18"/>
              </w:rPr>
            </w:pPr>
            <w:r>
              <w:rPr>
                <w:rFonts w:ascii="SimSun" w:eastAsia="SimSun" w:hAnsi="SimSun" w:cs="SimSun"/>
                <w:color w:val="000000"/>
                <w:spacing w:val="0"/>
                <w:w w:val="100"/>
                <w:position w:val="0"/>
                <w:sz w:val="18"/>
                <w:szCs w:val="18"/>
              </w:rPr>
              <w:t>民营银行</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SimSun" w:eastAsia="SimSun" w:hAnsi="SimSun" w:cs="SimSun"/>
                <w:color w:val="000000"/>
                <w:spacing w:val="0"/>
                <w:w w:val="100"/>
                <w:position w:val="0"/>
                <w:sz w:val="18"/>
                <w:szCs w:val="18"/>
              </w:rPr>
              <w:t>是</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深圳恒宁</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深圳</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深圳</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商业服务设施运营管理</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SimSun" w:eastAsia="SimSun" w:hAnsi="SimSun" w:cs="SimSun"/>
                <w:color w:val="000000"/>
                <w:spacing w:val="0"/>
                <w:w w:val="100"/>
                <w:position w:val="0"/>
                <w:sz w:val="18"/>
                <w:szCs w:val="18"/>
              </w:rPr>
              <w:t>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49.00%</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星图金服</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上海</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上海</w:t>
            </w:r>
          </w:p>
        </w:tc>
        <w:tc>
          <w:tcPr>
            <w:tcBorders/>
            <w:shd w:val="clear" w:color="auto" w:fill="FFFFFF"/>
            <w:vAlign w:val="top"/>
          </w:tcPr>
          <w:p>
            <w:pPr>
              <w:pStyle w:val="Style29"/>
              <w:keepNext w:val="0"/>
              <w:keepLines w:val="0"/>
              <w:widowControl w:val="0"/>
              <w:shd w:val="clear" w:color="auto" w:fill="auto"/>
              <w:bidi w:val="0"/>
              <w:spacing w:before="0" w:after="0" w:line="230" w:lineRule="exact"/>
              <w:ind w:left="0" w:right="240" w:firstLine="0"/>
              <w:jc w:val="right"/>
              <w:rPr>
                <w:sz w:val="18"/>
                <w:szCs w:val="18"/>
              </w:rPr>
            </w:pPr>
            <w:r>
              <w:rPr>
                <w:rFonts w:ascii="SimSun" w:eastAsia="SimSun" w:hAnsi="SimSun" w:cs="SimSun"/>
                <w:color w:val="000000"/>
                <w:spacing w:val="0"/>
                <w:w w:val="100"/>
                <w:position w:val="0"/>
                <w:sz w:val="18"/>
                <w:szCs w:val="18"/>
              </w:rPr>
              <w:t>金融信息技术</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业务流程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知识流程 外包、投资管理</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SimSun" w:eastAsia="SimSun" w:hAnsi="SimSun" w:cs="SimSun"/>
                <w:color w:val="000000"/>
                <w:spacing w:val="0"/>
                <w:w w:val="100"/>
                <w:position w:val="0"/>
                <w:sz w:val="18"/>
                <w:szCs w:val="18"/>
              </w:rPr>
              <w:t>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41.15%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日本</w:t>
            </w:r>
            <w:r>
              <w:rPr>
                <w:rFonts w:ascii="Arial" w:eastAsia="Arial" w:hAnsi="Arial" w:cs="Arial"/>
                <w:color w:val="000000"/>
                <w:spacing w:val="0"/>
                <w:w w:val="100"/>
                <w:position w:val="0"/>
                <w:sz w:val="18"/>
                <w:szCs w:val="18"/>
              </w:rPr>
              <w:t>LAOX</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日本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日本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电器和电子消费品连锁销售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SimSun" w:eastAsia="SimSun" w:hAnsi="SimSun" w:cs="SimSun"/>
                <w:color w:val="000000"/>
                <w:spacing w:val="0"/>
                <w:w w:val="100"/>
                <w:position w:val="0"/>
                <w:sz w:val="18"/>
                <w:szCs w:val="18"/>
              </w:rPr>
              <w:t>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29.77%</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普易物流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珠海市</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珠海市</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rFonts w:ascii="SimSun" w:eastAsia="SimSun" w:hAnsi="SimSun" w:cs="SimSun"/>
                <w:color w:val="000000"/>
                <w:spacing w:val="0"/>
                <w:w w:val="100"/>
                <w:position w:val="0"/>
                <w:sz w:val="18"/>
                <w:szCs w:val="18"/>
              </w:rPr>
              <w:t>物流产业投资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SimSun" w:eastAsia="SimSun" w:hAnsi="SimSun" w:cs="SimSun"/>
                <w:color w:val="000000"/>
                <w:spacing w:val="0"/>
                <w:w w:val="100"/>
                <w:position w:val="0"/>
                <w:sz w:val="18"/>
                <w:szCs w:val="18"/>
              </w:rPr>
              <w:t>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22.78%</w:t>
            </w:r>
          </w:p>
        </w:tc>
      </w:tr>
    </w:tbl>
    <w:p>
      <w:pPr>
        <w:widowControl w:val="0"/>
        <w:spacing w:after="299" w:line="1" w:lineRule="exact"/>
      </w:pPr>
    </w:p>
    <w:p>
      <w:pPr>
        <w:pStyle w:val="Style72"/>
        <w:keepNext w:val="0"/>
        <w:keepLines w:val="0"/>
        <w:widowControl w:val="0"/>
        <w:shd w:val="clear" w:color="auto" w:fill="auto"/>
        <w:bidi w:val="0"/>
        <w:spacing w:before="0" w:after="300" w:line="240" w:lineRule="auto"/>
        <w:ind w:left="0" w:right="0" w:firstLine="700"/>
        <w:jc w:val="left"/>
        <w:sectPr>
          <w:footnotePr>
            <w:pos w:val="pageBottom"/>
            <w:numFmt w:val="decimal"/>
            <w:numStart w:val="1"/>
            <w:numRestart w:val="continuous"/>
            <w15:footnoteColumns w:val="1"/>
          </w:footnotePr>
          <w:pgSz w:w="16840" w:h="11900" w:orient="landscape"/>
          <w:pgMar w:top="2400" w:right="1848" w:bottom="2400" w:left="706" w:header="0" w:footer="3" w:gutter="0"/>
          <w:cols w:space="720"/>
          <w:noEndnote/>
          <w:rtlGutter w:val="0"/>
          <w:docGrid w:linePitch="360"/>
        </w:sectPr>
      </w:pPr>
      <w:r>
        <w:rPr>
          <w:color w:val="000000"/>
          <w:spacing w:val="0"/>
          <w:w w:val="100"/>
          <w:position w:val="0"/>
          <w:sz w:val="24"/>
          <w:szCs w:val="24"/>
        </w:rPr>
        <w:t>本集团对上述股权投资均采用权益法核算。</w:t>
      </w:r>
    </w:p>
    <w:p>
      <w:pPr>
        <w:pStyle w:val="Style72"/>
        <w:keepNext w:val="0"/>
        <w:keepLines w:val="0"/>
        <w:widowControl w:val="0"/>
        <w:shd w:val="clear" w:color="auto" w:fill="auto"/>
        <w:tabs>
          <w:tab w:pos="699" w:val="left"/>
        </w:tabs>
        <w:bidi w:val="0"/>
        <w:spacing w:before="0" w:after="300" w:line="240" w:lineRule="auto"/>
        <w:ind w:left="0" w:right="0" w:firstLine="0"/>
        <w:jc w:val="left"/>
        <w:rPr>
          <w:sz w:val="28"/>
          <w:szCs w:val="28"/>
        </w:rPr>
      </w:pPr>
      <w:r>
        <w:rPr>
          <w:b/>
          <w:bCs/>
          <w:color w:val="000000"/>
          <w:spacing w:val="0"/>
          <w:w w:val="100"/>
          <w:position w:val="0"/>
          <w:sz w:val="24"/>
          <w:szCs w:val="24"/>
        </w:rPr>
        <w:t>六</w:t>
        <w:tab/>
        <w:t>在其他主体中的权益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9"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（2）</w:t>
        <w:tab/>
      </w:r>
      <w:r>
        <w:rPr>
          <w:b/>
          <w:bCs/>
          <w:color w:val="000000"/>
          <w:spacing w:val="0"/>
          <w:w w:val="100"/>
          <w:position w:val="0"/>
          <w:sz w:val="24"/>
          <w:szCs w:val="24"/>
        </w:rPr>
        <w:t>在合营企业和联营企业中的权益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tabs>
          <w:tab w:pos="699"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（b）</w:t>
        <w:tab/>
      </w:r>
      <w:r>
        <w:rPr>
          <w:color w:val="000000"/>
          <w:spacing w:val="0"/>
          <w:w w:val="100"/>
          <w:position w:val="0"/>
          <w:sz w:val="24"/>
          <w:szCs w:val="24"/>
        </w:rPr>
        <w:t>重要合营企业的主要财务信息</w:t>
      </w:r>
    </w:p>
    <w:tbl>
      <w:tblPr>
        <w:tblOverlap w:val="never"/>
        <w:jc w:val="right"/>
        <w:tblLayout w:type="fixed"/>
      </w:tblPr>
      <w:tblGrid>
        <w:gridCol w:w="3235"/>
        <w:gridCol w:w="2414"/>
        <w:gridCol w:w="2419"/>
      </w:tblGrid>
      <w:tr>
        <w:trPr>
          <w:trHeight w:val="76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bidi w:val="0"/>
              <w:spacing w:before="0" w:after="0" w:line="240" w:lineRule="auto"/>
              <w:ind w:left="1080" w:right="0" w:firstLine="0"/>
              <w:jc w:val="left"/>
              <w:rPr>
                <w:sz w:val="24"/>
                <w:szCs w:val="24"/>
              </w:rPr>
            </w:pPr>
            <w:r>
              <w:rPr>
                <w:rFonts w:ascii="SimSun" w:eastAsia="SimSun" w:hAnsi="SimSun" w:cs="SimSun"/>
                <w:color w:val="000000"/>
                <w:spacing w:val="0"/>
                <w:w w:val="100"/>
                <w:position w:val="0"/>
                <w:sz w:val="24"/>
                <w:szCs w:val="24"/>
              </w:rPr>
              <w:t>南京合垠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SimSun" w:eastAsia="SimSun" w:hAnsi="SimSun" w:cs="SimSun"/>
                <w:color w:val="000000"/>
                <w:spacing w:val="0"/>
                <w:w w:val="100"/>
                <w:position w:val="0"/>
                <w:sz w:val="24"/>
                <w:szCs w:val="24"/>
              </w:rPr>
              <w:t>南京合垠</w:t>
            </w:r>
          </w:p>
        </w:tc>
      </w:tr>
      <w:tr>
        <w:trPr>
          <w:trHeight w:val="45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24"/>
                <w:szCs w:val="24"/>
              </w:rPr>
            </w:pPr>
            <w:r>
              <w:rPr>
                <w:rFonts w:ascii="Arial" w:eastAsia="Arial" w:hAnsi="Arial" w:cs="Arial"/>
                <w:color w:val="000000"/>
                <w:spacing w:val="0"/>
                <w:w w:val="100"/>
                <w:position w:val="0"/>
                <w:sz w:val="24"/>
                <w:szCs w:val="24"/>
              </w:rPr>
              <w:t>1,009,264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24"/>
                <w:szCs w:val="24"/>
              </w:rPr>
            </w:pPr>
            <w:r>
              <w:rPr>
                <w:rFonts w:ascii="Arial" w:eastAsia="Arial" w:hAnsi="Arial" w:cs="Arial"/>
                <w:color w:val="000000"/>
                <w:spacing w:val="0"/>
                <w:w w:val="100"/>
                <w:position w:val="0"/>
                <w:sz w:val="24"/>
                <w:szCs w:val="24"/>
              </w:rPr>
              <w:t>1,279,954</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非流动资产</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369</w:t>
            </w:r>
          </w:p>
        </w:tc>
      </w:tr>
      <w:tr>
        <w:trPr>
          <w:trHeight w:val="33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资产合计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24"/>
                <w:szCs w:val="24"/>
              </w:rPr>
            </w:pPr>
            <w:r>
              <w:rPr>
                <w:rFonts w:ascii="Arial" w:eastAsia="Arial" w:hAnsi="Arial" w:cs="Arial"/>
                <w:color w:val="000000"/>
                <w:spacing w:val="0"/>
                <w:w w:val="100"/>
                <w:position w:val="0"/>
                <w:sz w:val="24"/>
                <w:szCs w:val="24"/>
              </w:rPr>
              <w:t>1,009,264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24"/>
                <w:szCs w:val="24"/>
              </w:rPr>
            </w:pPr>
            <w:r>
              <w:rPr>
                <w:rFonts w:ascii="Arial" w:eastAsia="Arial" w:hAnsi="Arial" w:cs="Arial"/>
                <w:color w:val="000000"/>
                <w:spacing w:val="0"/>
                <w:w w:val="100"/>
                <w:position w:val="0"/>
                <w:sz w:val="24"/>
                <w:szCs w:val="24"/>
              </w:rPr>
              <w:t>1,280,323</w:t>
            </w:r>
          </w:p>
        </w:tc>
      </w:tr>
      <w:tr>
        <w:trPr>
          <w:trHeight w:val="61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流动负债</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111,680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31,452</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非流动负债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403,800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24"/>
                <w:szCs w:val="24"/>
              </w:rPr>
            </w:pPr>
            <w:r>
              <w:rPr>
                <w:rFonts w:ascii="Arial" w:eastAsia="Arial" w:hAnsi="Arial" w:cs="Arial"/>
                <w:color w:val="000000"/>
                <w:spacing w:val="0"/>
                <w:w w:val="100"/>
                <w:position w:val="0"/>
                <w:sz w:val="24"/>
                <w:szCs w:val="24"/>
              </w:rPr>
              <w:t>600,000</w:t>
            </w:r>
          </w:p>
        </w:tc>
      </w:tr>
      <w:tr>
        <w:trPr>
          <w:trHeight w:val="33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负债合计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515,480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24"/>
                <w:szCs w:val="24"/>
              </w:rPr>
            </w:pPr>
            <w:r>
              <w:rPr>
                <w:rFonts w:ascii="Arial" w:eastAsia="Arial" w:hAnsi="Arial" w:cs="Arial"/>
                <w:color w:val="000000"/>
                <w:spacing w:val="0"/>
                <w:w w:val="100"/>
                <w:position w:val="0"/>
                <w:sz w:val="24"/>
                <w:szCs w:val="24"/>
              </w:rPr>
              <w:t>631,452</w:t>
            </w:r>
          </w:p>
        </w:tc>
      </w:tr>
      <w:tr>
        <w:trPr>
          <w:trHeight w:val="61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股东权益</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493,784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24"/>
                <w:szCs w:val="24"/>
              </w:rPr>
            </w:pPr>
            <w:r>
              <w:rPr>
                <w:rFonts w:ascii="Arial" w:eastAsia="Arial" w:hAnsi="Arial" w:cs="Arial"/>
                <w:color w:val="000000"/>
                <w:spacing w:val="0"/>
                <w:w w:val="100"/>
                <w:position w:val="0"/>
                <w:sz w:val="24"/>
                <w:szCs w:val="24"/>
              </w:rPr>
              <w:t>648,871</w:t>
            </w:r>
          </w:p>
        </w:tc>
      </w:tr>
      <w:tr>
        <w:trPr>
          <w:trHeight w:val="1061" w:hRule="exact"/>
        </w:trPr>
        <w:tc>
          <w:tcPr>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24"/>
                <w:szCs w:val="24"/>
              </w:rPr>
            </w:pPr>
            <w:r>
              <w:rPr>
                <w:rFonts w:ascii="SimSun" w:eastAsia="SimSun" w:hAnsi="SimSun" w:cs="SimSun"/>
                <w:color w:val="000000"/>
                <w:spacing w:val="0"/>
                <w:w w:val="100"/>
                <w:position w:val="0"/>
                <w:sz w:val="24"/>
                <w:szCs w:val="24"/>
              </w:rPr>
              <w:t>按持股比例计算的净资产</w:t>
            </w:r>
          </w:p>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份额⑴</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251,711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24"/>
                <w:szCs w:val="24"/>
              </w:rPr>
            </w:pPr>
            <w:r>
              <w:rPr>
                <w:rFonts w:ascii="Arial" w:eastAsia="Arial" w:hAnsi="Arial" w:cs="Arial"/>
                <w:color w:val="000000"/>
                <w:spacing w:val="0"/>
                <w:w w:val="100"/>
                <w:position w:val="0"/>
                <w:sz w:val="24"/>
                <w:szCs w:val="24"/>
              </w:rPr>
              <w:t>330,794</w:t>
            </w:r>
          </w:p>
        </w:tc>
      </w:tr>
      <w:tr>
        <w:trPr>
          <w:trHeight w:val="763" w:hRule="exact"/>
        </w:trPr>
        <w:tc>
          <w:tcPr>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24"/>
                <w:szCs w:val="24"/>
              </w:rPr>
            </w:pPr>
            <w:r>
              <w:rPr>
                <w:rFonts w:ascii="SimSun" w:eastAsia="SimSun" w:hAnsi="SimSun" w:cs="SimSun"/>
                <w:color w:val="000000"/>
                <w:spacing w:val="0"/>
                <w:w w:val="100"/>
                <w:position w:val="0"/>
                <w:sz w:val="24"/>
                <w:szCs w:val="24"/>
              </w:rPr>
              <w:t>对合营企业权益投资的账面价</w:t>
            </w:r>
          </w:p>
          <w:p>
            <w:pPr>
              <w:pStyle w:val="Style29"/>
              <w:keepNext w:val="0"/>
              <w:keepLines w:val="0"/>
              <w:widowControl w:val="0"/>
              <w:shd w:val="clear" w:color="auto" w:fill="auto"/>
              <w:bidi w:val="0"/>
              <w:spacing w:before="0" w:after="0" w:line="240" w:lineRule="auto"/>
              <w:ind w:left="0" w:right="0" w:firstLine="240"/>
              <w:jc w:val="left"/>
              <w:rPr>
                <w:sz w:val="24"/>
                <w:szCs w:val="24"/>
              </w:rPr>
            </w:pPr>
            <w:r>
              <w:rPr>
                <w:rFonts w:ascii="SimSun" w:eastAsia="SimSun" w:hAnsi="SimSun" w:cs="SimSun"/>
                <w:color w:val="000000"/>
                <w:spacing w:val="0"/>
                <w:w w:val="100"/>
                <w:position w:val="0"/>
                <w:sz w:val="24"/>
                <w:szCs w:val="24"/>
              </w:rPr>
              <w:t>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251,711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rPr>
                <w:sz w:val="24"/>
                <w:szCs w:val="24"/>
              </w:rPr>
            </w:pPr>
            <w:r>
              <w:rPr>
                <w:rFonts w:ascii="Arial" w:eastAsia="Arial" w:hAnsi="Arial" w:cs="Arial"/>
                <w:color w:val="000000"/>
                <w:spacing w:val="0"/>
                <w:w w:val="100"/>
                <w:position w:val="0"/>
                <w:sz w:val="24"/>
                <w:szCs w:val="24"/>
              </w:rPr>
              <w:t>330,794</w:t>
            </w:r>
          </w:p>
        </w:tc>
      </w:tr>
      <w:tr>
        <w:trPr>
          <w:trHeight w:val="60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5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rPr>
                <w:sz w:val="24"/>
                <w:szCs w:val="24"/>
              </w:rPr>
            </w:pPr>
            <w:r>
              <w:rPr>
                <w:rFonts w:ascii="SimSun" w:eastAsia="SimSun" w:hAnsi="SimSun" w:cs="SimSun"/>
                <w:color w:val="000000"/>
                <w:spacing w:val="0"/>
                <w:w w:val="100"/>
                <w:position w:val="0"/>
                <w:sz w:val="24"/>
                <w:szCs w:val="24"/>
              </w:rPr>
              <w:t>南京合垠</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SimSun" w:eastAsia="SimSun" w:hAnsi="SimSun" w:cs="SimSun"/>
                <w:color w:val="000000"/>
                <w:spacing w:val="0"/>
                <w:w w:val="100"/>
                <w:position w:val="0"/>
                <w:sz w:val="24"/>
                <w:szCs w:val="24"/>
              </w:rPr>
              <w:t>南京合垠</w:t>
            </w:r>
          </w:p>
        </w:tc>
      </w:tr>
      <w:tr>
        <w:trPr>
          <w:trHeight w:val="46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营业收入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净利润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24"/>
                <w:szCs w:val="24"/>
              </w:rPr>
            </w:pPr>
            <w:r>
              <w:rPr>
                <w:rFonts w:ascii="Arial" w:eastAsia="Arial" w:hAnsi="Arial" w:cs="Arial"/>
                <w:color w:val="000000"/>
                <w:spacing w:val="0"/>
                <w:w w:val="100"/>
                <w:position w:val="0"/>
                <w:sz w:val="24"/>
                <w:szCs w:val="24"/>
              </w:rPr>
              <w:t>(155,138)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(1,455)</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其他综合收益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w:t>
            </w:r>
          </w:p>
        </w:tc>
      </w:tr>
      <w:tr>
        <w:trPr>
          <w:trHeight w:val="33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综合收益总额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(155,138)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(1,455)</w:t>
            </w:r>
          </w:p>
        </w:tc>
      </w:tr>
    </w:tbl>
    <w:p>
      <w:pPr>
        <w:widowControl w:val="0"/>
        <w:spacing w:after="239" w:line="1" w:lineRule="exact"/>
      </w:pPr>
    </w:p>
    <w:p>
      <w:pPr>
        <w:pStyle w:val="Style72"/>
        <w:keepNext w:val="0"/>
        <w:keepLines w:val="0"/>
        <w:widowControl w:val="0"/>
        <w:shd w:val="clear" w:color="auto" w:fill="auto"/>
        <w:bidi w:val="0"/>
        <w:spacing w:before="0" w:after="300" w:line="293" w:lineRule="exact"/>
        <w:ind w:left="960" w:right="0" w:hanging="240"/>
        <w:jc w:val="left"/>
      </w:pPr>
      <w:r>
        <w:rPr>
          <w:color w:val="000000"/>
          <w:spacing w:val="0"/>
          <w:w w:val="100"/>
          <w:position w:val="0"/>
          <w:sz w:val="24"/>
          <w:szCs w:val="24"/>
        </w:rPr>
        <w:t>本集团本年度收到的来自合营 企业的股利</w:t>
      </w:r>
      <w:r>
        <w:br w:type="page"/>
      </w:r>
    </w:p>
    <w:p>
      <w:pPr>
        <w:pStyle w:val="Style72"/>
        <w:keepNext w:val="0"/>
        <w:keepLines w:val="0"/>
        <w:widowControl w:val="0"/>
        <w:shd w:val="clear" w:color="auto" w:fill="auto"/>
        <w:tabs>
          <w:tab w:pos="699" w:val="left"/>
        </w:tabs>
        <w:bidi w:val="0"/>
        <w:spacing w:before="0" w:after="300" w:line="240" w:lineRule="auto"/>
        <w:ind w:left="0" w:right="0" w:firstLine="0"/>
        <w:jc w:val="left"/>
        <w:rPr>
          <w:sz w:val="28"/>
          <w:szCs w:val="28"/>
        </w:rPr>
      </w:pPr>
      <w:r>
        <w:rPr>
          <w:b/>
          <w:bCs/>
          <w:color w:val="000000"/>
          <w:spacing w:val="0"/>
          <w:w w:val="100"/>
          <w:position w:val="0"/>
          <w:sz w:val="24"/>
          <w:szCs w:val="24"/>
        </w:rPr>
        <w:t>六</w:t>
        <w:tab/>
        <w:t>在其他主体中的权益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9"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（2）</w:t>
        <w:tab/>
      </w:r>
      <w:r>
        <w:rPr>
          <w:b/>
          <w:bCs/>
          <w:color w:val="000000"/>
          <w:spacing w:val="0"/>
          <w:w w:val="100"/>
          <w:position w:val="0"/>
          <w:sz w:val="24"/>
          <w:szCs w:val="24"/>
        </w:rPr>
        <w:t>在合营企业和联营企业中的权益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tabs>
          <w:tab w:pos="699" w:val="left"/>
        </w:tabs>
        <w:bidi w:val="0"/>
        <w:spacing w:before="0" w:after="300" w:line="240" w:lineRule="auto"/>
        <w:ind w:left="0" w:right="0" w:firstLine="0"/>
        <w:jc w:val="left"/>
        <w:rPr>
          <w:sz w:val="28"/>
          <w:szCs w:val="28"/>
        </w:rPr>
      </w:pPr>
      <w:r>
        <w:rPr>
          <w:rFonts w:ascii="Arial" w:eastAsia="Arial" w:hAnsi="Arial" w:cs="Arial"/>
          <w:color w:val="000000"/>
          <w:spacing w:val="0"/>
          <w:w w:val="100"/>
          <w:position w:val="0"/>
          <w:sz w:val="24"/>
          <w:szCs w:val="24"/>
        </w:rPr>
        <w:t>（b）</w:t>
        <w:tab/>
      </w:r>
      <w:r>
        <w:rPr>
          <w:color w:val="000000"/>
          <w:spacing w:val="0"/>
          <w:w w:val="100"/>
          <w:position w:val="0"/>
          <w:sz w:val="24"/>
          <w:szCs w:val="24"/>
        </w:rPr>
        <w:t>重要合营企业的主要财务信息</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tbl>
      <w:tblPr>
        <w:tblOverlap w:val="never"/>
        <w:jc w:val="right"/>
        <w:tblLayout w:type="fixed"/>
      </w:tblPr>
      <w:tblGrid>
        <w:gridCol w:w="3293"/>
        <w:gridCol w:w="2333"/>
        <w:gridCol w:w="2362"/>
      </w:tblGrid>
      <w:tr>
        <w:trPr>
          <w:trHeight w:val="10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云享仓储物流</w:t>
            </w:r>
          </w:p>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SimSun" w:eastAsia="SimSun" w:hAnsi="SimSun" w:cs="SimSun"/>
                <w:color w:val="000000"/>
                <w:spacing w:val="0"/>
                <w:w w:val="100"/>
                <w:position w:val="0"/>
                <w:sz w:val="24"/>
                <w:szCs w:val="24"/>
              </w:rPr>
              <w:t>一期基金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云享仓储物流</w:t>
            </w:r>
          </w:p>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一期基金</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24"/>
                <w:szCs w:val="24"/>
              </w:rPr>
            </w:pPr>
            <w:r>
              <w:rPr>
                <w:rFonts w:ascii="Arial" w:eastAsia="Arial" w:hAnsi="Arial" w:cs="Arial"/>
                <w:color w:val="000000"/>
                <w:spacing w:val="0"/>
                <w:w w:val="100"/>
                <w:position w:val="0"/>
                <w:sz w:val="24"/>
                <w:szCs w:val="24"/>
              </w:rPr>
              <w:t>6,781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519,776</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非流动资产</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4,799,893</w:t>
            </w:r>
          </w:p>
        </w:tc>
      </w:tr>
      <w:tr>
        <w:trPr>
          <w:trHeight w:val="33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资产合计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24"/>
                <w:szCs w:val="24"/>
              </w:rPr>
            </w:pPr>
            <w:r>
              <w:rPr>
                <w:rFonts w:ascii="Arial" w:eastAsia="Arial" w:hAnsi="Arial" w:cs="Arial"/>
                <w:color w:val="000000"/>
                <w:spacing w:val="0"/>
                <w:w w:val="100"/>
                <w:position w:val="0"/>
                <w:sz w:val="24"/>
                <w:szCs w:val="24"/>
              </w:rPr>
              <w:t>6,781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5,319,669</w:t>
            </w:r>
          </w:p>
        </w:tc>
      </w:tr>
      <w:tr>
        <w:trPr>
          <w:trHeight w:val="61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流动负债</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995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234,042</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非流动负债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2,267,665</w:t>
            </w:r>
          </w:p>
        </w:tc>
      </w:tr>
      <w:tr>
        <w:trPr>
          <w:trHeight w:val="33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负债合计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995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2,501,707</w:t>
            </w:r>
          </w:p>
        </w:tc>
      </w:tr>
      <w:tr>
        <w:trPr>
          <w:trHeight w:val="61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股东权益</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24"/>
                <w:szCs w:val="24"/>
              </w:rPr>
            </w:pPr>
            <w:r>
              <w:rPr>
                <w:rFonts w:ascii="Arial" w:eastAsia="Arial" w:hAnsi="Arial" w:cs="Arial"/>
                <w:color w:val="000000"/>
                <w:spacing w:val="0"/>
                <w:w w:val="100"/>
                <w:position w:val="0"/>
                <w:sz w:val="24"/>
                <w:szCs w:val="24"/>
              </w:rPr>
              <w:t>5,786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2,817,962</w:t>
            </w:r>
          </w:p>
        </w:tc>
      </w:tr>
      <w:tr>
        <w:trPr>
          <w:trHeight w:val="61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按持股比例计算的净资产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份额⑴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24"/>
                <w:szCs w:val="24"/>
              </w:rPr>
            </w:pPr>
            <w:r>
              <w:rPr>
                <w:rFonts w:ascii="Arial" w:eastAsia="Arial" w:hAnsi="Arial" w:cs="Arial"/>
                <w:color w:val="000000"/>
                <w:spacing w:val="0"/>
                <w:w w:val="100"/>
                <w:position w:val="0"/>
                <w:sz w:val="24"/>
                <w:szCs w:val="24"/>
              </w:rPr>
              <w:t>2,951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1,437,161</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调整事项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员工持股计划</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54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49</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对联营企业权益投资的账面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价值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24"/>
                <w:szCs w:val="24"/>
              </w:rPr>
            </w:pPr>
            <w:r>
              <w:rPr>
                <w:rFonts w:ascii="Arial" w:eastAsia="Arial" w:hAnsi="Arial" w:cs="Arial"/>
                <w:color w:val="000000"/>
                <w:spacing w:val="0"/>
                <w:w w:val="100"/>
                <w:position w:val="0"/>
                <w:sz w:val="24"/>
                <w:szCs w:val="24"/>
              </w:rPr>
              <w:t>3,005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1,437,210</w:t>
            </w:r>
          </w:p>
        </w:tc>
      </w:tr>
      <w:tr>
        <w:trPr>
          <w:trHeight w:val="60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317"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SimSun" w:eastAsia="SimSun" w:hAnsi="SimSun" w:cs="SimSun"/>
                <w:color w:val="000000"/>
                <w:spacing w:val="0"/>
                <w:w w:val="100"/>
                <w:position w:val="0"/>
                <w:sz w:val="24"/>
                <w:szCs w:val="24"/>
              </w:rPr>
              <w:t>云享仓储物流</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云享仓储物流</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SimSun" w:eastAsia="SimSun" w:hAnsi="SimSun" w:cs="SimSun"/>
                <w:color w:val="000000"/>
                <w:spacing w:val="0"/>
                <w:w w:val="100"/>
                <w:position w:val="0"/>
                <w:sz w:val="24"/>
                <w:szCs w:val="24"/>
              </w:rPr>
              <w:t>一期基金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一期基金</w:t>
            </w:r>
          </w:p>
        </w:tc>
      </w:tr>
      <w:tr>
        <w:trPr>
          <w:trHeight w:val="45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营业收入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285,546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402,030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4"/>
                <w:szCs w:val="24"/>
              </w:rPr>
              <w:t>净利润</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调整后</w:t>
            </w:r>
            <w:r>
              <w:rPr>
                <w:rFonts w:ascii="SimSun" w:eastAsia="SimSun" w:hAnsi="SimSun" w:cs="SimSun"/>
                <w:color w:val="000000"/>
                <w:spacing w:val="0"/>
                <w:w w:val="100"/>
                <w:position w:val="0"/>
                <w:sz w:val="28"/>
                <w:szCs w:val="2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956,550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191,652</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其他综合收益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45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综合收益总额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956,550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191,652</w:t>
            </w:r>
          </w:p>
        </w:tc>
      </w:tr>
      <w:tr>
        <w:trPr>
          <w:trHeight w:val="44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本集团本年度收到的来自合营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企业的股利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372,691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349,949</w:t>
            </w:r>
          </w:p>
        </w:tc>
      </w:tr>
    </w:tbl>
    <w:p>
      <w:pPr>
        <w:sectPr>
          <w:footnotePr>
            <w:pos w:val="pageBottom"/>
            <w:numFmt w:val="decimal"/>
            <w:numStart w:val="1"/>
            <w:numRestart w:val="continuous"/>
            <w15:footnoteColumns w:val="1"/>
          </w:footnotePr>
          <w:pgSz w:w="11900" w:h="16840"/>
          <w:pgMar w:top="2338" w:right="1716" w:bottom="2554" w:left="1399" w:header="0" w:footer="3" w:gutter="0"/>
          <w:cols w:space="720"/>
          <w:noEndnote/>
          <w:rtlGutter w:val="0"/>
          <w:docGrid w:linePitch="360"/>
        </w:sectPr>
      </w:pPr>
    </w:p>
    <w:p>
      <w:pPr>
        <w:pStyle w:val="Style26"/>
        <w:keepNext w:val="0"/>
        <w:keepLines w:val="0"/>
        <w:widowControl w:val="0"/>
        <w:shd w:val="clear" w:color="auto" w:fill="auto"/>
        <w:bidi w:val="0"/>
        <w:spacing w:before="0" w:after="60" w:line="240" w:lineRule="auto"/>
        <w:ind w:left="710" w:right="0" w:firstLine="0"/>
        <w:jc w:val="left"/>
        <w:rPr>
          <w:sz w:val="24"/>
          <w:szCs w:val="24"/>
        </w:rPr>
      </w:pPr>
      <w:r>
        <w:rPr>
          <w:b/>
          <w:bCs/>
          <w:color w:val="000000"/>
          <w:spacing w:val="0"/>
          <w:w w:val="100"/>
          <w:position w:val="0"/>
          <w:sz w:val="24"/>
          <w:szCs w:val="24"/>
        </w:rPr>
        <w:t>苏宁易购集团股份有限公司</w:t>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b/>
          <w:bCs/>
          <w:color w:val="000000"/>
          <w:spacing w:val="0"/>
          <w:w w:val="100"/>
          <w:position w:val="0"/>
          <w:sz w:val="24"/>
          <w:szCs w:val="24"/>
        </w:rPr>
        <w:t>财务报表附注</w:t>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w:t>
      </w:r>
    </w:p>
    <w:p>
      <w:pPr>
        <w:pStyle w:val="Style26"/>
        <w:keepNext w:val="0"/>
        <w:keepLines w:val="0"/>
        <w:widowControl w:val="0"/>
        <w:shd w:val="clear" w:color="auto" w:fill="auto"/>
        <w:bidi w:val="0"/>
        <w:spacing w:before="0" w:after="60" w:line="240" w:lineRule="auto"/>
        <w:ind w:left="710" w:right="0" w:firstLine="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rFonts w:ascii="Arial" w:eastAsia="Arial" w:hAnsi="Arial" w:cs="Arial"/>
          <w:color w:val="000000"/>
          <w:spacing w:val="0"/>
          <w:w w:val="100"/>
          <w:position w:val="0"/>
          <w:sz w:val="18"/>
          <w:szCs w:val="18"/>
        </w:rPr>
        <w:t>）</w:t>
      </w:r>
    </w:p>
    <w:tbl>
      <w:tblPr>
        <w:tblOverlap w:val="never"/>
        <w:jc w:val="center"/>
        <w:tblLayout w:type="fixed"/>
      </w:tblPr>
      <w:tblGrid>
        <w:gridCol w:w="514"/>
        <w:gridCol w:w="4080"/>
        <w:gridCol w:w="1747"/>
        <w:gridCol w:w="2443"/>
      </w:tblGrid>
      <w:tr>
        <w:trPr>
          <w:trHeight w:val="44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b/>
                <w:bCs/>
                <w:color w:val="000000"/>
                <w:spacing w:val="0"/>
                <w:w w:val="100"/>
                <w:position w:val="0"/>
                <w:sz w:val="24"/>
                <w:szCs w:val="24"/>
              </w:rPr>
              <w:t>六</w:t>
            </w: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8"/>
                <w:szCs w:val="28"/>
              </w:rPr>
            </w:pPr>
            <w:r>
              <w:rPr>
                <w:rFonts w:ascii="SimSun" w:eastAsia="SimSun" w:hAnsi="SimSun" w:cs="SimSun"/>
                <w:b/>
                <w:bCs/>
                <w:color w:val="000000"/>
                <w:spacing w:val="0"/>
                <w:w w:val="100"/>
                <w:position w:val="0"/>
                <w:sz w:val="24"/>
                <w:szCs w:val="24"/>
              </w:rPr>
              <w:t>在其他主体中的权益</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r>
      <w:tr>
        <w:trPr>
          <w:trHeight w:val="58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8"/>
                <w:szCs w:val="28"/>
              </w:rPr>
            </w:pPr>
            <w:r>
              <w:rPr>
                <w:rFonts w:ascii="SimSun" w:eastAsia="SimSun" w:hAnsi="SimSun" w:cs="SimSun"/>
                <w:color w:val="000000"/>
                <w:spacing w:val="0"/>
                <w:w w:val="100"/>
                <w:position w:val="0"/>
                <w:sz w:val="28"/>
                <w:szCs w:val="28"/>
              </w:rPr>
              <w:t>⑵</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8"/>
                <w:szCs w:val="28"/>
              </w:rPr>
            </w:pPr>
            <w:r>
              <w:rPr>
                <w:rFonts w:ascii="SimSun" w:eastAsia="SimSun" w:hAnsi="SimSun" w:cs="SimSun"/>
                <w:b/>
                <w:bCs/>
                <w:color w:val="000000"/>
                <w:spacing w:val="0"/>
                <w:w w:val="100"/>
                <w:position w:val="0"/>
                <w:sz w:val="24"/>
                <w:szCs w:val="24"/>
              </w:rPr>
              <w:t>在合营企业和联营企业中的权益</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(b)</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8"/>
                <w:szCs w:val="28"/>
              </w:rPr>
            </w:pPr>
            <w:r>
              <w:rPr>
                <w:rFonts w:ascii="SimSun" w:eastAsia="SimSun" w:hAnsi="SimSun" w:cs="SimSun"/>
                <w:color w:val="000000"/>
                <w:spacing w:val="0"/>
                <w:w w:val="100"/>
                <w:position w:val="0"/>
                <w:sz w:val="24"/>
                <w:szCs w:val="24"/>
              </w:rPr>
              <w:t>重要合营企业的主要财务信息</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2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3520" w:right="0" w:firstLine="0"/>
              <w:jc w:val="left"/>
              <w:rPr>
                <w:sz w:val="24"/>
                <w:szCs w:val="24"/>
              </w:rPr>
            </w:pPr>
            <w:r>
              <w:rPr>
                <w:rFonts w:ascii="Arial" w:eastAsia="Arial" w:hAnsi="Arial" w:cs="Arial"/>
                <w:color w:val="000000"/>
                <w:spacing w:val="0"/>
                <w:w w:val="100"/>
                <w:position w:val="0"/>
                <w:sz w:val="24"/>
                <w:szCs w:val="24"/>
              </w:rPr>
              <w:t>2021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云享仓储物流</w:t>
            </w:r>
          </w:p>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SimSun" w:eastAsia="SimSun" w:hAnsi="SimSun" w:cs="SimSun"/>
                <w:color w:val="000000"/>
                <w:spacing w:val="0"/>
                <w:w w:val="100"/>
                <w:position w:val="0"/>
                <w:sz w:val="24"/>
                <w:szCs w:val="24"/>
              </w:rPr>
              <w:t>二期基金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SimSun" w:eastAsia="SimSun" w:hAnsi="SimSun" w:cs="SimSun"/>
                <w:color w:val="000000"/>
                <w:spacing w:val="0"/>
                <w:w w:val="100"/>
                <w:position w:val="0"/>
                <w:sz w:val="24"/>
                <w:szCs w:val="24"/>
              </w:rPr>
              <w:t>云享仓储物流</w:t>
            </w:r>
          </w:p>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SimSun" w:eastAsia="SimSun" w:hAnsi="SimSun" w:cs="SimSun"/>
                <w:color w:val="000000"/>
                <w:spacing w:val="0"/>
                <w:w w:val="100"/>
                <w:position w:val="0"/>
                <w:sz w:val="24"/>
                <w:szCs w:val="24"/>
              </w:rPr>
              <w:t>二期基金</w:t>
            </w:r>
          </w:p>
        </w:tc>
      </w:tr>
      <w:tr>
        <w:trPr>
          <w:trHeight w:val="7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流动资产</w:t>
            </w:r>
          </w:p>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非流动资产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374,399</w:t>
            </w:r>
          </w:p>
          <w:p>
            <w:pPr>
              <w:pStyle w:val="Style29"/>
              <w:keepNext w:val="0"/>
              <w:keepLines w:val="0"/>
              <w:widowControl w:val="0"/>
              <w:shd w:val="clear" w:color="auto" w:fill="auto"/>
              <w:bidi w:val="0"/>
              <w:spacing w:before="0" w:after="0" w:line="240" w:lineRule="auto"/>
              <w:ind w:left="0" w:right="0" w:firstLine="440"/>
              <w:jc w:val="both"/>
              <w:rPr>
                <w:sz w:val="24"/>
                <w:szCs w:val="24"/>
              </w:rPr>
            </w:pPr>
            <w:r>
              <w:rPr>
                <w:rFonts w:ascii="Arial" w:eastAsia="Arial" w:hAnsi="Arial" w:cs="Arial"/>
                <w:color w:val="000000"/>
                <w:spacing w:val="0"/>
                <w:w w:val="100"/>
                <w:position w:val="0"/>
                <w:sz w:val="24"/>
                <w:szCs w:val="24"/>
              </w:rPr>
              <w:t>2,083,899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442,640</w:t>
            </w:r>
          </w:p>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2,114,505</w:t>
            </w:r>
          </w:p>
        </w:tc>
      </w:tr>
      <w:tr>
        <w:trPr>
          <w:trHeight w:val="33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资产合计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24"/>
                <w:szCs w:val="24"/>
              </w:rPr>
            </w:pPr>
            <w:r>
              <w:rPr>
                <w:rFonts w:ascii="Arial" w:eastAsia="Arial" w:hAnsi="Arial" w:cs="Arial"/>
                <w:color w:val="000000"/>
                <w:spacing w:val="0"/>
                <w:w w:val="100"/>
                <w:position w:val="0"/>
                <w:sz w:val="24"/>
                <w:szCs w:val="24"/>
              </w:rPr>
              <w:t>2,458,298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2,557,145</w:t>
            </w:r>
          </w:p>
        </w:tc>
      </w:tr>
      <w:tr>
        <w:trPr>
          <w:trHeight w:val="917"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20"/>
              <w:jc w:val="left"/>
              <w:rPr>
                <w:sz w:val="24"/>
                <w:szCs w:val="24"/>
              </w:rPr>
            </w:pPr>
            <w:r>
              <w:rPr>
                <w:rFonts w:ascii="SimSun" w:eastAsia="SimSun" w:hAnsi="SimSun" w:cs="SimSun"/>
                <w:color w:val="000000"/>
                <w:spacing w:val="0"/>
                <w:w w:val="100"/>
                <w:position w:val="0"/>
                <w:sz w:val="24"/>
                <w:szCs w:val="24"/>
              </w:rPr>
              <w:t>流动负债</w:t>
            </w:r>
          </w:p>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非流动负债</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164,759</w:t>
            </w:r>
          </w:p>
          <w:p>
            <w:pPr>
              <w:pStyle w:val="Style29"/>
              <w:keepNext w:val="0"/>
              <w:keepLines w:val="0"/>
              <w:widowControl w:val="0"/>
              <w:shd w:val="clear" w:color="auto" w:fill="auto"/>
              <w:bidi w:val="0"/>
              <w:spacing w:before="0" w:after="0" w:line="240" w:lineRule="auto"/>
              <w:ind w:left="0" w:right="0" w:firstLine="440"/>
              <w:jc w:val="both"/>
              <w:rPr>
                <w:sz w:val="24"/>
                <w:szCs w:val="24"/>
              </w:rPr>
            </w:pPr>
            <w:r>
              <w:rPr>
                <w:rFonts w:ascii="Arial" w:eastAsia="Arial" w:hAnsi="Arial" w:cs="Arial"/>
                <w:color w:val="000000"/>
                <w:spacing w:val="0"/>
                <w:w w:val="100"/>
                <w:position w:val="0"/>
                <w:sz w:val="24"/>
                <w:szCs w:val="24"/>
              </w:rPr>
              <w:t>1,166,763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220,297</w:t>
            </w:r>
          </w:p>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1,192,566</w:t>
            </w:r>
          </w:p>
        </w:tc>
      </w:tr>
      <w:tr>
        <w:trPr>
          <w:trHeight w:val="33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负债合计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24"/>
                <w:szCs w:val="24"/>
              </w:rPr>
            </w:pPr>
            <w:r>
              <w:rPr>
                <w:rFonts w:ascii="Arial" w:eastAsia="Arial" w:hAnsi="Arial" w:cs="Arial"/>
                <w:color w:val="000000"/>
                <w:spacing w:val="0"/>
                <w:w w:val="100"/>
                <w:position w:val="0"/>
                <w:sz w:val="24"/>
                <w:szCs w:val="24"/>
              </w:rPr>
              <w:t>1,331,522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1,412,863</w:t>
            </w:r>
          </w:p>
        </w:tc>
      </w:tr>
      <w:tr>
        <w:trPr>
          <w:trHeight w:val="61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股东权益</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24"/>
                <w:szCs w:val="24"/>
              </w:rPr>
            </w:pPr>
            <w:r>
              <w:rPr>
                <w:rFonts w:ascii="Arial" w:eastAsia="Arial" w:hAnsi="Arial" w:cs="Arial"/>
                <w:color w:val="000000"/>
                <w:spacing w:val="0"/>
                <w:w w:val="100"/>
                <w:position w:val="0"/>
                <w:sz w:val="24"/>
                <w:szCs w:val="24"/>
              </w:rPr>
              <w:t>1,126,776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1,144,282</w:t>
            </w:r>
          </w:p>
        </w:tc>
      </w:tr>
      <w:tr>
        <w:trPr>
          <w:trHeight w:val="92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20"/>
              <w:jc w:val="left"/>
              <w:rPr>
                <w:sz w:val="24"/>
                <w:szCs w:val="24"/>
              </w:rPr>
            </w:pPr>
            <w:r>
              <w:rPr>
                <w:rFonts w:ascii="SimSun" w:eastAsia="SimSun" w:hAnsi="SimSun" w:cs="SimSun"/>
                <w:color w:val="000000"/>
                <w:spacing w:val="0"/>
                <w:w w:val="100"/>
                <w:position w:val="0"/>
                <w:sz w:val="24"/>
                <w:szCs w:val="24"/>
              </w:rPr>
              <w:t>按持股比例计算的净资产</w:t>
            </w:r>
          </w:p>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4"/>
                <w:szCs w:val="24"/>
              </w:rPr>
              <w:t>份额⑴</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574,656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583,584</w:t>
            </w:r>
          </w:p>
        </w:tc>
      </w:tr>
      <w:tr>
        <w:trPr>
          <w:trHeight w:val="138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云享仓储物流</w:t>
            </w:r>
          </w:p>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SimSun" w:eastAsia="SimSun" w:hAnsi="SimSun" w:cs="SimSun"/>
                <w:color w:val="000000"/>
                <w:spacing w:val="0"/>
                <w:w w:val="100"/>
                <w:position w:val="0"/>
                <w:sz w:val="24"/>
                <w:szCs w:val="24"/>
              </w:rPr>
              <w:t>二期基金</w:t>
            </w:r>
          </w:p>
        </w:tc>
        <w:tc>
          <w:tcPr>
            <w:tcBorders>
              <w:top w:val="single" w:sz="4"/>
            </w:tcBorders>
            <w:shd w:val="clear" w:color="auto" w:fill="FFFFFF"/>
            <w:vAlign w:val="center"/>
          </w:tcPr>
          <w:p>
            <w:pPr>
              <w:pStyle w:val="Style29"/>
              <w:keepNext w:val="0"/>
              <w:keepLines w:val="0"/>
              <w:widowControl w:val="0"/>
              <w:shd w:val="clear" w:color="auto" w:fill="auto"/>
              <w:tabs>
                <w:tab w:leader="underscore" w:pos="1080"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2020</w:t>
            </w:r>
            <w:r>
              <w:rPr>
                <w:rFonts w:ascii="SimSun" w:eastAsia="SimSun" w:hAnsi="SimSun" w:cs="SimSun"/>
                <w:color w:val="000000"/>
                <w:spacing w:val="0"/>
                <w:w w:val="100"/>
                <w:position w:val="0"/>
                <w:sz w:val="24"/>
                <w:szCs w:val="24"/>
                <w:u w:val="single"/>
              </w:rPr>
              <w:t>年度</w:t>
            </w:r>
          </w:p>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SimSun" w:eastAsia="SimSun" w:hAnsi="SimSun" w:cs="SimSun"/>
                <w:color w:val="000000"/>
                <w:spacing w:val="0"/>
                <w:w w:val="100"/>
                <w:position w:val="0"/>
                <w:sz w:val="24"/>
                <w:szCs w:val="24"/>
              </w:rPr>
              <w:t>云享仓储物流</w:t>
            </w:r>
          </w:p>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SimSun" w:eastAsia="SimSun" w:hAnsi="SimSun" w:cs="SimSun"/>
                <w:color w:val="000000"/>
                <w:spacing w:val="0"/>
                <w:w w:val="100"/>
                <w:position w:val="0"/>
                <w:sz w:val="24"/>
                <w:szCs w:val="24"/>
              </w:rPr>
              <w:t>二期基金</w:t>
            </w:r>
          </w:p>
        </w:tc>
      </w:tr>
      <w:tr>
        <w:trPr>
          <w:trHeight w:val="151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营业收入</w:t>
            </w:r>
          </w:p>
          <w:p>
            <w:pPr>
              <w:pStyle w:val="Style29"/>
              <w:keepNext w:val="0"/>
              <w:keepLines w:val="0"/>
              <w:widowControl w:val="0"/>
              <w:shd w:val="clear" w:color="auto" w:fill="auto"/>
              <w:bidi w:val="0"/>
              <w:spacing w:before="0" w:after="0" w:line="240" w:lineRule="auto"/>
              <w:ind w:left="0" w:right="0" w:firstLine="220"/>
              <w:jc w:val="left"/>
              <w:rPr>
                <w:sz w:val="28"/>
                <w:szCs w:val="28"/>
              </w:rPr>
            </w:pPr>
            <w:r>
              <w:rPr>
                <w:rFonts w:ascii="SimSun" w:eastAsia="SimSun" w:hAnsi="SimSun" w:cs="SimSun"/>
                <w:color w:val="000000"/>
                <w:spacing w:val="0"/>
                <w:w w:val="100"/>
                <w:position w:val="0"/>
                <w:sz w:val="24"/>
                <w:szCs w:val="24"/>
              </w:rPr>
              <w:t>净利润</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调整后</w:t>
            </w:r>
            <w:r>
              <w:rPr>
                <w:rFonts w:ascii="SimSun" w:eastAsia="SimSun" w:hAnsi="SimSun" w:cs="SimSun"/>
                <w:color w:val="000000"/>
                <w:spacing w:val="0"/>
                <w:w w:val="100"/>
                <w:position w:val="0"/>
                <w:sz w:val="28"/>
                <w:szCs w:val="28"/>
              </w:rPr>
              <w:t>）</w:t>
            </w:r>
          </w:p>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其他综合收益</w:t>
            </w:r>
          </w:p>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综合收益总额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24"/>
                <w:szCs w:val="24"/>
              </w:rPr>
            </w:pPr>
            <w:r>
              <w:rPr>
                <w:rFonts w:ascii="Arial" w:eastAsia="Arial" w:hAnsi="Arial" w:cs="Arial"/>
                <w:color w:val="000000"/>
                <w:spacing w:val="0"/>
                <w:w w:val="100"/>
                <w:position w:val="0"/>
                <w:sz w:val="24"/>
                <w:szCs w:val="24"/>
              </w:rPr>
              <w:t>168,866</w:t>
            </w:r>
          </w:p>
          <w:p>
            <w:pPr>
              <w:pStyle w:val="Style29"/>
              <w:keepNext w:val="0"/>
              <w:keepLines w:val="0"/>
              <w:widowControl w:val="0"/>
              <w:shd w:val="clear" w:color="auto" w:fill="auto"/>
              <w:bidi w:val="0"/>
              <w:spacing w:before="0" w:after="80" w:line="240" w:lineRule="auto"/>
              <w:ind w:left="0" w:right="0" w:firstLine="780"/>
              <w:jc w:val="left"/>
              <w:rPr>
                <w:sz w:val="24"/>
                <w:szCs w:val="24"/>
              </w:rPr>
            </w:pPr>
            <w:r>
              <w:rPr>
                <w:rFonts w:ascii="Arial" w:eastAsia="Arial" w:hAnsi="Arial" w:cs="Arial"/>
                <w:color w:val="000000"/>
                <w:spacing w:val="0"/>
                <w:w w:val="100"/>
                <w:position w:val="0"/>
                <w:sz w:val="24"/>
                <w:szCs w:val="24"/>
              </w:rPr>
              <w:t>41,956</w:t>
            </w:r>
          </w:p>
          <w:p>
            <w:pPr>
              <w:pStyle w:val="Style29"/>
              <w:keepNext w:val="0"/>
              <w:keepLines w:val="0"/>
              <w:widowControl w:val="0"/>
              <w:shd w:val="clear" w:color="auto" w:fill="auto"/>
              <w:bidi w:val="0"/>
              <w:spacing w:before="0" w:after="80" w:line="240" w:lineRule="auto"/>
              <w:ind w:left="0" w:right="200" w:firstLine="0"/>
              <w:jc w:val="right"/>
              <w:rPr>
                <w:sz w:val="24"/>
                <w:szCs w:val="24"/>
              </w:rPr>
            </w:pPr>
            <w:r>
              <w:rPr>
                <w:rFonts w:ascii="Arial" w:eastAsia="Arial" w:hAnsi="Arial" w:cs="Arial"/>
                <w:color w:val="000000"/>
                <w:spacing w:val="0"/>
                <w:w w:val="100"/>
                <w:position w:val="0"/>
                <w:sz w:val="24"/>
                <w:szCs w:val="24"/>
              </w:rPr>
              <w:t>-</w:t>
            </w:r>
          </w:p>
          <w:p>
            <w:pPr>
              <w:pStyle w:val="Style29"/>
              <w:keepNext w:val="0"/>
              <w:keepLines w:val="0"/>
              <w:widowControl w:val="0"/>
              <w:shd w:val="clear" w:color="auto" w:fill="auto"/>
              <w:bidi w:val="0"/>
              <w:spacing w:before="0" w:after="80" w:line="240" w:lineRule="auto"/>
              <w:ind w:left="0" w:right="0" w:firstLine="780"/>
              <w:jc w:val="left"/>
              <w:rPr>
                <w:sz w:val="24"/>
                <w:szCs w:val="24"/>
              </w:rPr>
            </w:pPr>
            <w:r>
              <w:rPr>
                <w:rFonts w:ascii="Arial" w:eastAsia="Arial" w:hAnsi="Arial" w:cs="Arial"/>
                <w:color w:val="000000"/>
                <w:spacing w:val="0"/>
                <w:w w:val="100"/>
                <w:position w:val="0"/>
                <w:sz w:val="24"/>
                <w:szCs w:val="24"/>
              </w:rPr>
              <w:t>41,956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161,796</w:t>
            </w:r>
          </w:p>
          <w:p>
            <w:pPr>
              <w:pStyle w:val="Style29"/>
              <w:keepNext w:val="0"/>
              <w:keepLines w:val="0"/>
              <w:widowControl w:val="0"/>
              <w:shd w:val="clear" w:color="auto" w:fill="auto"/>
              <w:bidi w:val="0"/>
              <w:spacing w:before="0" w:after="80" w:line="240" w:lineRule="auto"/>
              <w:ind w:left="0" w:right="140" w:firstLine="0"/>
              <w:jc w:val="right"/>
              <w:rPr>
                <w:sz w:val="24"/>
                <w:szCs w:val="24"/>
              </w:rPr>
            </w:pPr>
            <w:r>
              <w:rPr>
                <w:rFonts w:ascii="Arial" w:eastAsia="Arial" w:hAnsi="Arial" w:cs="Arial"/>
                <w:color w:val="000000"/>
                <w:spacing w:val="0"/>
                <w:w w:val="100"/>
                <w:position w:val="0"/>
                <w:sz w:val="24"/>
                <w:szCs w:val="24"/>
              </w:rPr>
              <w:t>28,416</w:t>
            </w:r>
          </w:p>
          <w:p>
            <w:pPr>
              <w:pStyle w:val="Style29"/>
              <w:keepNext w:val="0"/>
              <w:keepLines w:val="0"/>
              <w:widowControl w:val="0"/>
              <w:shd w:val="clear" w:color="auto" w:fill="auto"/>
              <w:bidi w:val="0"/>
              <w:spacing w:before="0" w:after="80" w:line="240" w:lineRule="auto"/>
              <w:ind w:left="0" w:right="140" w:firstLine="0"/>
              <w:jc w:val="right"/>
              <w:rPr>
                <w:sz w:val="24"/>
                <w:szCs w:val="24"/>
              </w:rPr>
            </w:pPr>
            <w:r>
              <w:rPr>
                <w:rFonts w:ascii="Arial" w:eastAsia="Arial" w:hAnsi="Arial" w:cs="Arial"/>
                <w:color w:val="000000"/>
                <w:spacing w:val="0"/>
                <w:w w:val="100"/>
                <w:position w:val="0"/>
                <w:sz w:val="24"/>
                <w:szCs w:val="24"/>
              </w:rPr>
              <w:t>-</w:t>
            </w:r>
          </w:p>
          <w:p>
            <w:pPr>
              <w:pStyle w:val="Style29"/>
              <w:keepNext w:val="0"/>
              <w:keepLines w:val="0"/>
              <w:widowControl w:val="0"/>
              <w:shd w:val="clear" w:color="auto" w:fill="auto"/>
              <w:bidi w:val="0"/>
              <w:spacing w:before="0" w:after="80" w:line="240" w:lineRule="auto"/>
              <w:ind w:left="0" w:right="140" w:firstLine="0"/>
              <w:jc w:val="right"/>
              <w:rPr>
                <w:sz w:val="24"/>
                <w:szCs w:val="24"/>
              </w:rPr>
            </w:pPr>
            <w:r>
              <w:rPr>
                <w:rFonts w:ascii="Arial" w:eastAsia="Arial" w:hAnsi="Arial" w:cs="Arial"/>
                <w:color w:val="000000"/>
                <w:spacing w:val="0"/>
                <w:w w:val="100"/>
                <w:position w:val="0"/>
                <w:sz w:val="24"/>
                <w:szCs w:val="24"/>
              </w:rPr>
              <w:t>28,416</w:t>
            </w:r>
          </w:p>
        </w:tc>
      </w:tr>
      <w:tr>
        <w:trPr>
          <w:trHeight w:val="76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88" w:lineRule="exact"/>
              <w:ind w:left="460" w:right="0" w:hanging="240"/>
              <w:jc w:val="left"/>
              <w:rPr>
                <w:sz w:val="24"/>
                <w:szCs w:val="24"/>
              </w:rPr>
            </w:pPr>
            <w:r>
              <w:rPr>
                <w:rFonts w:ascii="SimSun" w:eastAsia="SimSun" w:hAnsi="SimSun" w:cs="SimSun"/>
                <w:color w:val="000000"/>
                <w:spacing w:val="0"/>
                <w:w w:val="100"/>
                <w:position w:val="0"/>
                <w:sz w:val="24"/>
                <w:szCs w:val="24"/>
              </w:rPr>
              <w:t>本集团本年度收到的来自合营 企业的股利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24"/>
                <w:szCs w:val="24"/>
              </w:rPr>
            </w:pPr>
            <w:r>
              <w:rPr>
                <w:rFonts w:ascii="Arial" w:eastAsia="Arial" w:hAnsi="Arial" w:cs="Arial"/>
                <w:color w:val="000000"/>
                <w:spacing w:val="0"/>
                <w:w w:val="100"/>
                <w:position w:val="0"/>
                <w:sz w:val="24"/>
                <w:szCs w:val="24"/>
              </w:rPr>
              <w:t>30,326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rPr>
                <w:sz w:val="24"/>
                <w:szCs w:val="24"/>
              </w:rPr>
            </w:pPr>
            <w:r>
              <w:rPr>
                <w:rFonts w:ascii="Arial" w:eastAsia="Arial" w:hAnsi="Arial" w:cs="Arial"/>
                <w:color w:val="000000"/>
                <w:spacing w:val="0"/>
                <w:w w:val="100"/>
                <w:position w:val="0"/>
                <w:sz w:val="24"/>
                <w:szCs w:val="24"/>
              </w:rPr>
              <w:t>491,509</w:t>
            </w:r>
          </w:p>
        </w:tc>
      </w:tr>
    </w:tbl>
    <w:p>
      <w:pPr>
        <w:widowControl w:val="0"/>
        <w:spacing w:after="239" w:line="1" w:lineRule="exact"/>
      </w:pPr>
    </w:p>
    <w:p>
      <w:pPr>
        <w:pStyle w:val="Style72"/>
        <w:keepNext w:val="0"/>
        <w:keepLines w:val="0"/>
        <w:widowControl w:val="0"/>
        <w:shd w:val="clear" w:color="auto" w:fill="auto"/>
        <w:tabs>
          <w:tab w:pos="710" w:val="left"/>
        </w:tabs>
        <w:bidi w:val="0"/>
        <w:spacing w:before="0" w:after="0" w:line="312" w:lineRule="exact"/>
        <w:ind w:left="0" w:right="0" w:firstLine="0"/>
        <w:jc w:val="left"/>
      </w:pPr>
      <w:r>
        <w:rPr>
          <w:color w:val="000000"/>
          <w:spacing w:val="0"/>
          <w:w w:val="100"/>
          <w:position w:val="0"/>
          <w:sz w:val="24"/>
          <w:szCs w:val="24"/>
        </w:rPr>
        <w:t>⑴</w:t>
        <w:tab/>
        <w:t>本集团以合营企业合并财务报表中归属于母公司的金额为基础，按持股比例</w:t>
      </w:r>
    </w:p>
    <w:p>
      <w:pPr>
        <w:pStyle w:val="Style72"/>
        <w:keepNext w:val="0"/>
        <w:keepLines w:val="0"/>
        <w:widowControl w:val="0"/>
        <w:shd w:val="clear" w:color="auto" w:fill="auto"/>
        <w:bidi w:val="0"/>
        <w:spacing w:before="0" w:after="0" w:line="312" w:lineRule="exact"/>
        <w:ind w:right="0" w:firstLine="0"/>
        <w:jc w:val="left"/>
        <w:sectPr>
          <w:footnotePr>
            <w:pos w:val="pageBottom"/>
            <w:numFmt w:val="decimal"/>
            <w:numStart w:val="1"/>
            <w:numRestart w:val="continuous"/>
            <w15:footnoteColumns w:val="1"/>
          </w:footnotePr>
          <w:pgSz w:w="11900" w:h="16840"/>
          <w:pgMar w:top="778" w:right="1696" w:bottom="884" w:left="1420" w:header="0" w:footer="3" w:gutter="0"/>
          <w:cols w:space="720"/>
          <w:noEndnote/>
          <w:rtlGutter w:val="0"/>
          <w:docGrid w:linePitch="360"/>
        </w:sectPr>
      </w:pPr>
      <w:r>
        <w:rPr>
          <w:color w:val="000000"/>
          <w:spacing w:val="0"/>
          <w:w w:val="100"/>
          <w:position w:val="0"/>
          <w:sz w:val="24"/>
          <w:szCs w:val="24"/>
        </w:rPr>
        <w:t>计算资产份额。合营企业合并财务报表中的金额考虑了取得投资时合营企业 可辨认资产和负债的公允价值以及统一会计政策的影响。</w:t>
      </w:r>
    </w:p>
    <w:p>
      <w:pPr>
        <w:pStyle w:val="Style72"/>
        <w:keepNext w:val="0"/>
        <w:keepLines w:val="0"/>
        <w:widowControl w:val="0"/>
        <w:shd w:val="clear" w:color="auto" w:fill="auto"/>
        <w:tabs>
          <w:tab w:pos="670" w:val="left"/>
        </w:tabs>
        <w:bidi w:val="0"/>
        <w:spacing w:before="0" w:after="280" w:line="240" w:lineRule="auto"/>
        <w:ind w:left="0" w:right="0" w:firstLine="0"/>
        <w:jc w:val="left"/>
      </w:pPr>
      <w:r>
        <w:rPr>
          <w:b/>
          <w:bCs/>
          <w:color w:val="000000"/>
          <w:spacing w:val="0"/>
          <w:w w:val="100"/>
          <w:position w:val="0"/>
          <w:sz w:val="24"/>
          <w:szCs w:val="24"/>
        </w:rPr>
        <w:t>六</w:t>
        <w:tab/>
        <w:t>在其他主体中的权益(续)</w:t>
      </w:r>
    </w:p>
    <w:p>
      <w:pPr>
        <w:pStyle w:val="Style72"/>
        <w:keepNext w:val="0"/>
        <w:keepLines w:val="0"/>
        <w:widowControl w:val="0"/>
        <w:shd w:val="clear" w:color="auto" w:fill="auto"/>
        <w:tabs>
          <w:tab w:pos="670" w:val="left"/>
        </w:tabs>
        <w:bidi w:val="0"/>
        <w:spacing w:before="0" w:after="280" w:line="240" w:lineRule="auto"/>
        <w:ind w:left="0" w:right="0" w:firstLine="0"/>
        <w:jc w:val="left"/>
      </w:pPr>
      <w:r>
        <w:rPr>
          <w:rFonts w:ascii="Arial" w:eastAsia="Arial" w:hAnsi="Arial" w:cs="Arial"/>
          <w:color w:val="000000"/>
          <w:spacing w:val="0"/>
          <w:w w:val="100"/>
          <w:position w:val="0"/>
          <w:sz w:val="24"/>
          <w:szCs w:val="24"/>
        </w:rPr>
        <w:t>(2)</w:t>
        <w:tab/>
      </w:r>
      <w:r>
        <w:rPr>
          <w:b/>
          <w:bCs/>
          <w:color w:val="000000"/>
          <w:spacing w:val="0"/>
          <w:w w:val="100"/>
          <w:position w:val="0"/>
          <w:sz w:val="24"/>
          <w:szCs w:val="24"/>
        </w:rPr>
        <w:t>在合营企业和联营企业中的权益(续)</w:t>
      </w:r>
    </w:p>
    <w:p>
      <w:pPr>
        <w:pStyle w:val="Style72"/>
        <w:keepNext w:val="0"/>
        <w:keepLines w:val="0"/>
        <w:widowControl w:val="0"/>
        <w:numPr>
          <w:ilvl w:val="0"/>
          <w:numId w:val="115"/>
        </w:numPr>
        <w:shd w:val="clear" w:color="auto" w:fill="auto"/>
        <w:tabs>
          <w:tab w:pos="670" w:val="left"/>
        </w:tabs>
        <w:bidi w:val="0"/>
        <w:spacing w:before="0" w:after="460" w:line="240" w:lineRule="auto"/>
        <w:ind w:left="0" w:right="0" w:firstLine="0"/>
        <w:jc w:val="left"/>
      </w:pPr>
      <w:bookmarkStart w:id="954" w:name="bookmark954"/>
      <w:bookmarkEnd w:id="954"/>
      <w:r>
        <w:rPr>
          <w:color w:val="000000"/>
          <w:spacing w:val="0"/>
          <w:w w:val="100"/>
          <w:position w:val="0"/>
          <w:sz w:val="24"/>
          <w:szCs w:val="24"/>
        </w:rPr>
        <w:t>重要联营企业的主要财务信息</w:t>
      </w:r>
    </w:p>
    <w:tbl>
      <w:tblPr>
        <w:tblOverlap w:val="never"/>
        <w:jc w:val="right"/>
        <w:tblLayout w:type="fixed"/>
      </w:tblPr>
      <w:tblGrid>
        <w:gridCol w:w="2280"/>
        <w:gridCol w:w="1214"/>
        <w:gridCol w:w="1454"/>
        <w:gridCol w:w="1286"/>
      </w:tblGrid>
      <w:tr>
        <w:trPr>
          <w:trHeight w:val="38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5"/>
                <w:szCs w:val="15"/>
              </w:rPr>
            </w:pPr>
            <w:r>
              <w:rPr>
                <w:rFonts w:ascii="SimSun" w:eastAsia="SimSun" w:hAnsi="SimSun" w:cs="SimSun"/>
                <w:color w:val="000000"/>
                <w:spacing w:val="0"/>
                <w:w w:val="100"/>
                <w:position w:val="0"/>
                <w:sz w:val="15"/>
                <w:szCs w:val="15"/>
              </w:rPr>
              <w:t>丸悦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苏宁消费金融</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苏宁银行</w:t>
            </w:r>
          </w:p>
        </w:tc>
      </w:tr>
      <w:tr>
        <w:trPr>
          <w:trHeight w:val="4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流动资产</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180,015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15,159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资产合计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195,174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862,132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101,492,760</w:t>
            </w:r>
          </w:p>
        </w:tc>
      </w:tr>
      <w:tr>
        <w:trPr>
          <w:trHeight w:val="71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流动负债</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83,981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5,137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8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负债合计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89,118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382,772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96,353,356</w:t>
            </w:r>
          </w:p>
        </w:tc>
      </w:tr>
      <w:tr>
        <w:trPr>
          <w:trHeight w:val="51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股东权益</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106,056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479,360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5,139,404</w:t>
            </w:r>
          </w:p>
        </w:tc>
      </w:tr>
      <w:tr>
        <w:trPr>
          <w:trHeight w:val="22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少数股东权益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84" w:hRule="exact"/>
        </w:trPr>
        <w:tc>
          <w:tcPr>
            <w:tcBorders>
              <w:top w:val="single" w:sz="4"/>
            </w:tcBorders>
            <w:shd w:val="clear" w:color="auto" w:fill="FFFFFF"/>
            <w:vAlign w:val="top"/>
          </w:tcPr>
          <w:p>
            <w:pPr>
              <w:pStyle w:val="Style29"/>
              <w:keepNext w:val="0"/>
              <w:keepLines w:val="0"/>
              <w:widowControl w:val="0"/>
              <w:shd w:val="clear" w:color="auto" w:fill="auto"/>
              <w:tabs>
                <w:tab w:leader="underscore" w:pos="2232" w:val="lef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归属于母公司股东权益 </w:t>
              <w:tab/>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u w:val="single"/>
              </w:rPr>
              <w:t>106,056</w:t>
            </w:r>
            <w:r>
              <w:rPr>
                <w:rFonts w:ascii="Arial" w:eastAsia="Arial" w:hAnsi="Arial" w:cs="Arial"/>
                <w:color w:val="000000"/>
                <w:spacing w:val="0"/>
                <w:w w:val="100"/>
                <w:position w:val="0"/>
                <w:sz w:val="16"/>
                <w:szCs w:val="16"/>
              </w:rPr>
              <w:t xml:space="preserve"> ,</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u w:val="single"/>
              </w:rPr>
              <w:t>479,360</w:t>
            </w:r>
            <w:r>
              <w:rPr>
                <w:rFonts w:ascii="Arial" w:eastAsia="Arial" w:hAnsi="Arial" w:cs="Arial"/>
                <w:color w:val="000000"/>
                <w:spacing w:val="0"/>
                <w:w w:val="100"/>
                <w:position w:val="0"/>
                <w:sz w:val="16"/>
                <w:szCs w:val="16"/>
              </w:rPr>
              <w:t xml:space="preserve"> _</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5,139,404</w:t>
            </w:r>
          </w:p>
        </w:tc>
      </w:tr>
      <w:tr>
        <w:trPr>
          <w:trHeight w:val="34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按持股比例计算的净资产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5"/>
                <w:szCs w:val="15"/>
              </w:rPr>
              <w:t>份额</w:t>
            </w:r>
            <w:r>
              <w:rPr>
                <w:rFonts w:ascii="Arial" w:eastAsia="Arial" w:hAnsi="Arial" w:cs="Arial"/>
                <w:color w:val="000000"/>
                <w:spacing w:val="0"/>
                <w:w w:val="100"/>
                <w:position w:val="0"/>
                <w:sz w:val="16"/>
                <w:szCs w:val="16"/>
              </w:rPr>
              <w:t>(i)</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31,817</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234,886</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1,541,821</w:t>
            </w:r>
          </w:p>
        </w:tc>
      </w:tr>
    </w:tbl>
    <w:p>
      <w:pPr>
        <w:widowControl w:val="0"/>
        <w:spacing w:after="279" w:line="1" w:lineRule="exact"/>
      </w:pPr>
    </w:p>
    <w:p>
      <w:pPr>
        <w:pStyle w:val="Style29"/>
        <w:keepNext w:val="0"/>
        <w:keepLines w:val="0"/>
        <w:widowControl w:val="0"/>
        <w:shd w:val="clear" w:color="auto" w:fill="auto"/>
        <w:bidi w:val="0"/>
        <w:spacing w:before="0" w:after="40" w:line="240" w:lineRule="auto"/>
        <w:ind w:left="0" w:right="0" w:firstLine="700"/>
        <w:jc w:val="left"/>
        <w:rPr>
          <w:sz w:val="15"/>
          <w:szCs w:val="15"/>
        </w:rPr>
      </w:pPr>
      <w:r>
        <w:rPr>
          <w:rFonts w:ascii="SimSun" w:eastAsia="SimSun" w:hAnsi="SimSun" w:cs="SimSun"/>
          <w:color w:val="000000"/>
          <w:spacing w:val="0"/>
          <w:w w:val="100"/>
          <w:position w:val="0"/>
          <w:sz w:val="15"/>
          <w:szCs w:val="15"/>
        </w:rPr>
        <w:t>调整事项</w:t>
      </w:r>
    </w:p>
    <w:p>
      <w:pPr>
        <w:pStyle w:val="Style21"/>
        <w:keepNext w:val="0"/>
        <w:keepLines w:val="0"/>
        <w:widowControl w:val="0"/>
        <w:shd w:val="clear" w:color="auto" w:fill="auto"/>
        <w:tabs>
          <w:tab w:pos="3927" w:val="left"/>
          <w:tab w:pos="5260" w:val="left"/>
          <w:tab w:pos="6724" w:val="left"/>
        </w:tabs>
        <w:bidi w:val="0"/>
        <w:spacing w:before="0" w:after="40" w:line="240" w:lineRule="auto"/>
        <w:ind w:left="0" w:right="0" w:firstLine="880"/>
        <w:jc w:val="left"/>
        <w:rPr>
          <w:sz w:val="15"/>
          <w:szCs w:val="15"/>
        </w:rPr>
      </w:pPr>
      <w:r>
        <w:fldChar w:fldCharType="begin"/>
        <w:instrText xml:space="preserve"> TOC \o "1-5" \h \z </w:instrText>
        <w:fldChar w:fldCharType="separate"/>
      </w:r>
      <w:r>
        <w:rPr>
          <w:color w:val="000000"/>
          <w:spacing w:val="0"/>
          <w:w w:val="100"/>
          <w:position w:val="0"/>
          <w:sz w:val="15"/>
          <w:szCs w:val="15"/>
        </w:rPr>
        <w:t>—商誉</w:t>
        <w:tab/>
        <w:t>-</w:t>
        <w:tab/>
        <w:t>-</w:t>
        <w:tab/>
        <w:t>-</w:t>
      </w:r>
    </w:p>
    <w:p>
      <w:pPr>
        <w:pStyle w:val="Style21"/>
        <w:keepNext w:val="0"/>
        <w:keepLines w:val="0"/>
        <w:widowControl w:val="0"/>
        <w:shd w:val="clear" w:color="auto" w:fill="auto"/>
        <w:tabs>
          <w:tab w:pos="3927" w:val="left"/>
          <w:tab w:pos="5260" w:val="left"/>
          <w:tab w:pos="6724" w:val="left"/>
        </w:tabs>
        <w:bidi w:val="0"/>
        <w:spacing w:before="0" w:after="40" w:line="240" w:lineRule="auto"/>
        <w:ind w:left="0" w:right="0" w:firstLine="880"/>
        <w:jc w:val="left"/>
        <w:rPr>
          <w:sz w:val="15"/>
          <w:szCs w:val="15"/>
        </w:rPr>
      </w:pPr>
      <w:r>
        <w:rPr>
          <w:color w:val="000000"/>
          <w:spacing w:val="0"/>
          <w:w w:val="100"/>
          <w:position w:val="0"/>
          <w:sz w:val="15"/>
          <w:szCs w:val="15"/>
        </w:rPr>
        <w:t>一员工持股计划</w:t>
        <w:tab/>
        <w:t>-</w:t>
        <w:tab/>
        <w:t>-</w:t>
        <w:tab/>
        <w:t>-</w:t>
      </w:r>
    </w:p>
    <w:p>
      <w:pPr>
        <w:pStyle w:val="Style21"/>
        <w:keepNext w:val="0"/>
        <w:keepLines w:val="0"/>
        <w:widowControl w:val="0"/>
        <w:shd w:val="clear" w:color="auto" w:fill="auto"/>
        <w:bidi w:val="0"/>
        <w:spacing w:before="0" w:after="40" w:line="240" w:lineRule="auto"/>
        <w:ind w:left="0" w:right="0" w:firstLine="880"/>
        <w:jc w:val="left"/>
        <w:rPr>
          <w:sz w:val="15"/>
          <w:szCs w:val="15"/>
        </w:rPr>
      </w:pPr>
      <w:r>
        <w:rPr>
          <w:color w:val="000000"/>
          <w:spacing w:val="0"/>
          <w:w w:val="100"/>
          <w:position w:val="0"/>
          <w:sz w:val="15"/>
          <w:szCs w:val="15"/>
        </w:rPr>
        <w:t>一向联营公司处置资产</w:t>
      </w:r>
    </w:p>
    <w:p>
      <w:pPr>
        <w:pStyle w:val="Style21"/>
        <w:keepNext w:val="0"/>
        <w:keepLines w:val="0"/>
        <w:widowControl w:val="0"/>
        <w:shd w:val="clear" w:color="auto" w:fill="auto"/>
        <w:tabs>
          <w:tab w:pos="3927" w:val="left"/>
          <w:tab w:pos="5260" w:val="left"/>
          <w:tab w:pos="6724" w:val="left"/>
        </w:tabs>
        <w:bidi w:val="0"/>
        <w:spacing w:before="0" w:after="40" w:line="240" w:lineRule="auto"/>
        <w:ind w:left="1200" w:right="0" w:firstLine="0"/>
        <w:jc w:val="left"/>
        <w:rPr>
          <w:sz w:val="15"/>
          <w:szCs w:val="15"/>
        </w:rPr>
      </w:pPr>
      <w:r>
        <w:rPr>
          <w:color w:val="000000"/>
          <w:spacing w:val="0"/>
          <w:w w:val="100"/>
          <w:position w:val="0"/>
          <w:sz w:val="15"/>
          <w:szCs w:val="15"/>
        </w:rPr>
        <w:t>递延的投资收益</w:t>
        <w:tab/>
        <w:t>-</w:t>
        <w:tab/>
        <w:t>-</w:t>
        <w:tab/>
        <w:t>-</w:t>
      </w:r>
      <w:r>
        <w:fldChar w:fldCharType="end"/>
      </w:r>
    </w:p>
    <w:p>
      <w:pPr>
        <w:pStyle w:val="Style29"/>
        <w:keepNext w:val="0"/>
        <w:keepLines w:val="0"/>
        <w:widowControl w:val="0"/>
        <w:shd w:val="clear" w:color="auto" w:fill="auto"/>
        <w:bidi w:val="0"/>
        <w:spacing w:before="0" w:after="40" w:line="240" w:lineRule="auto"/>
        <w:ind w:left="0" w:right="0" w:firstLine="700"/>
        <w:jc w:val="both"/>
        <w:rPr>
          <w:sz w:val="15"/>
          <w:szCs w:val="15"/>
        </w:rPr>
      </w:pPr>
      <w:r>
        <w:rPr>
          <w:rFonts w:ascii="SimSun" w:eastAsia="SimSun" w:hAnsi="SimSun" w:cs="SimSun"/>
          <w:color w:val="000000"/>
          <w:spacing w:val="0"/>
          <w:w w:val="100"/>
          <w:position w:val="0"/>
          <w:sz w:val="15"/>
          <w:szCs w:val="15"/>
        </w:rPr>
        <w:t>对联营企业权益投资的账</w:t>
      </w:r>
    </w:p>
    <w:p>
      <w:pPr>
        <w:pStyle w:val="Style29"/>
        <w:keepNext w:val="0"/>
        <w:keepLines w:val="0"/>
        <w:widowControl w:val="0"/>
        <w:shd w:val="clear" w:color="auto" w:fill="auto"/>
        <w:tabs>
          <w:tab w:pos="3458" w:val="left"/>
          <w:tab w:pos="4710" w:val="left"/>
          <w:tab w:pos="6045" w:val="left"/>
        </w:tabs>
        <w:bidi w:val="0"/>
        <w:spacing w:before="0" w:after="40" w:line="240" w:lineRule="auto"/>
        <w:ind w:left="0" w:right="0" w:firstLine="880"/>
        <w:jc w:val="left"/>
        <w:rPr>
          <w:sz w:val="16"/>
          <w:szCs w:val="16"/>
        </w:rPr>
        <w:sectPr>
          <w:footnotePr>
            <w:pos w:val="pageBottom"/>
            <w:numFmt w:val="decimal"/>
            <w:numStart w:val="1"/>
            <w:numRestart w:val="continuous"/>
            <w15:footnoteColumns w:val="1"/>
          </w:footnotePr>
          <w:pgSz w:w="8400" w:h="11900"/>
          <w:pgMar w:top="2406" w:right="24" w:bottom="1396" w:left="1430" w:header="0" w:footer="3" w:gutter="0"/>
          <w:cols w:space="720"/>
          <w:noEndnote/>
          <w:rtlGutter w:val="0"/>
          <w:docGrid w:linePitch="360"/>
        </w:sectPr>
      </w:pPr>
      <w:r>
        <w:rPr>
          <w:rFonts w:ascii="SimSun" w:eastAsia="SimSun" w:hAnsi="SimSun" w:cs="SimSun"/>
          <w:color w:val="000000"/>
          <w:spacing w:val="0"/>
          <w:w w:val="100"/>
          <w:position w:val="0"/>
          <w:sz w:val="15"/>
          <w:szCs w:val="15"/>
        </w:rPr>
        <w:t>面价值</w:t>
        <w:tab/>
      </w:r>
      <w:r>
        <w:rPr>
          <w:rFonts w:ascii="Arial" w:eastAsia="Arial" w:hAnsi="Arial" w:cs="Arial"/>
          <w:color w:val="000000"/>
          <w:spacing w:val="0"/>
          <w:w w:val="100"/>
          <w:position w:val="0"/>
          <w:sz w:val="16"/>
          <w:szCs w:val="16"/>
        </w:rPr>
        <w:t>31,817</w:t>
        <w:tab/>
        <w:t>234,886</w:t>
        <w:tab/>
        <w:t>1,541,821</w:t>
      </w:r>
    </w:p>
    <w:tbl>
      <w:tblPr>
        <w:tblOverlap w:val="never"/>
        <w:jc w:val="center"/>
        <w:tblLayout w:type="fixed"/>
      </w:tblPr>
      <w:tblGrid>
        <w:gridCol w:w="1862"/>
        <w:gridCol w:w="1694"/>
        <w:gridCol w:w="1810"/>
        <w:gridCol w:w="1334"/>
      </w:tblGrid>
      <w:tr>
        <w:trPr>
          <w:trHeight w:val="394"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深圳恒宁</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普易物流</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5"/>
                <w:szCs w:val="15"/>
              </w:rPr>
            </w:pPr>
            <w:r>
              <w:rPr>
                <w:rFonts w:ascii="SimSun" w:eastAsia="SimSun" w:hAnsi="SimSun" w:cs="SimSun"/>
                <w:color w:val="000000"/>
                <w:spacing w:val="0"/>
                <w:w w:val="100"/>
                <w:position w:val="0"/>
                <w:sz w:val="15"/>
                <w:szCs w:val="15"/>
              </w:rPr>
              <w:t>星图金服</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5"/>
                <w:szCs w:val="15"/>
              </w:rPr>
              <w:t>日本</w:t>
            </w:r>
            <w:r>
              <w:rPr>
                <w:rFonts w:ascii="Arial" w:eastAsia="Arial" w:hAnsi="Arial" w:cs="Arial"/>
                <w:color w:val="000000"/>
                <w:spacing w:val="0"/>
                <w:w w:val="100"/>
                <w:position w:val="0"/>
                <w:sz w:val="16"/>
                <w:szCs w:val="16"/>
              </w:rPr>
              <w:t>LAOX</w:t>
            </w:r>
          </w:p>
        </w:tc>
      </w:tr>
      <w:tr>
        <w:trPr>
          <w:trHeight w:val="43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2,332,470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1,529,546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10,460,022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1,858,102</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5,847,258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13,103,358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6,559</w:t>
            </w:r>
          </w:p>
        </w:tc>
      </w:tr>
      <w:tr>
        <w:trPr>
          <w:trHeight w:val="25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2,332,470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7,376,804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23,563,380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1,864,661</w:t>
            </w:r>
          </w:p>
        </w:tc>
      </w:tr>
      <w:tr>
        <w:trPr>
          <w:trHeight w:val="72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1,148,448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394,206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5,216,274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1,269,911</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4,073,877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578,516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204,037</w:t>
            </w:r>
          </w:p>
        </w:tc>
      </w:tr>
      <w:tr>
        <w:trPr>
          <w:trHeight w:val="38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1,148,448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4,468,083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5,794,790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1,473,948</w:t>
            </w:r>
          </w:p>
        </w:tc>
      </w:tr>
      <w:tr>
        <w:trPr>
          <w:trHeight w:val="52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1,184,022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2,908,721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17,768,590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390,713</w:t>
            </w:r>
          </w:p>
        </w:tc>
      </w:tr>
      <w:tr>
        <w:trPr>
          <w:trHeight w:val="20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(24,782)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2,953</w:t>
            </w:r>
          </w:p>
        </w:tc>
      </w:tr>
      <w:tr>
        <w:trPr>
          <w:trHeight w:val="259"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1,184,022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2,908,721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17,743,808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393,666</w:t>
            </w:r>
          </w:p>
        </w:tc>
      </w:tr>
      <w:tr>
        <w:trPr>
          <w:trHeight w:val="682"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580,171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662,595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7,301,577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117,194</w:t>
            </w:r>
          </w:p>
        </w:tc>
      </w:tr>
      <w:tr>
        <w:trPr>
          <w:trHeight w:val="76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4,161,424</w:t>
            </w: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6,747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(217,043)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26"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580,171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445,552</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11,469,748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117,194</w:t>
            </w:r>
          </w:p>
        </w:tc>
      </w:tr>
    </w:tbl>
    <w:p>
      <w:pPr>
        <w:sectPr>
          <w:footnotePr>
            <w:pos w:val="pageBottom"/>
            <w:numFmt w:val="decimal"/>
            <w:numStart w:val="1"/>
            <w:numRestart w:val="continuous"/>
            <w15:footnoteColumns w:val="1"/>
          </w:footnotePr>
          <w:pgSz w:w="8400" w:h="11900"/>
          <w:pgMar w:top="4284" w:right="1306" w:bottom="1372" w:left="149" w:header="0" w:footer="3" w:gutter="0"/>
          <w:cols w:space="720"/>
          <w:noEndnote/>
          <w:rtlGutter w:val="0"/>
          <w:docGrid w:linePitch="360"/>
        </w:sectPr>
      </w:pPr>
    </w:p>
    <w:p>
      <w:pPr>
        <w:pStyle w:val="Style72"/>
        <w:keepNext w:val="0"/>
        <w:keepLines w:val="0"/>
        <w:widowControl w:val="0"/>
        <w:shd w:val="clear" w:color="auto" w:fill="auto"/>
        <w:tabs>
          <w:tab w:pos="699" w:val="left"/>
        </w:tabs>
        <w:bidi w:val="0"/>
        <w:spacing w:before="0" w:after="300" w:line="240" w:lineRule="auto"/>
        <w:ind w:left="0" w:right="0" w:firstLine="0"/>
        <w:jc w:val="left"/>
        <w:rPr>
          <w:sz w:val="28"/>
          <w:szCs w:val="28"/>
        </w:rPr>
      </w:pPr>
      <w:r>
        <w:rPr>
          <w:b/>
          <w:bCs/>
          <w:color w:val="000000"/>
          <w:spacing w:val="0"/>
          <w:w w:val="100"/>
          <w:position w:val="0"/>
          <w:sz w:val="24"/>
          <w:szCs w:val="24"/>
        </w:rPr>
        <w:t>六</w:t>
        <w:tab/>
        <w:t>在其他主体中的权益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9"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（2）</w:t>
        <w:tab/>
      </w:r>
      <w:r>
        <w:rPr>
          <w:b/>
          <w:bCs/>
          <w:color w:val="000000"/>
          <w:spacing w:val="0"/>
          <w:w w:val="100"/>
          <w:position w:val="0"/>
          <w:sz w:val="24"/>
          <w:szCs w:val="24"/>
        </w:rPr>
        <w:t>在合营企业和联营企业中的权益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tabs>
          <w:tab w:pos="699" w:val="left"/>
        </w:tabs>
        <w:bidi w:val="0"/>
        <w:spacing w:before="0" w:after="240" w:line="240" w:lineRule="auto"/>
        <w:ind w:left="0" w:right="0" w:firstLine="0"/>
        <w:jc w:val="left"/>
        <w:rPr>
          <w:sz w:val="28"/>
          <w:szCs w:val="28"/>
        </w:rPr>
      </w:pPr>
      <w:bookmarkStart w:id="955" w:name="bookmark955"/>
      <w:r>
        <w:rPr>
          <w:rFonts w:ascii="Arial" w:eastAsia="Arial" w:hAnsi="Arial" w:cs="Arial"/>
          <w:color w:val="000000"/>
          <w:spacing w:val="0"/>
          <w:w w:val="100"/>
          <w:position w:val="0"/>
          <w:sz w:val="24"/>
          <w:szCs w:val="24"/>
        </w:rPr>
        <w:t>（</w:t>
      </w:r>
      <w:bookmarkEnd w:id="955"/>
      <w:r>
        <w:rPr>
          <w:rFonts w:ascii="Arial" w:eastAsia="Arial" w:hAnsi="Arial" w:cs="Arial"/>
          <w:color w:val="000000"/>
          <w:spacing w:val="0"/>
          <w:w w:val="100"/>
          <w:position w:val="0"/>
          <w:sz w:val="24"/>
          <w:szCs w:val="24"/>
        </w:rPr>
        <w:t>c）</w:t>
        <w:tab/>
      </w:r>
      <w:r>
        <w:rPr>
          <w:color w:val="000000"/>
          <w:spacing w:val="0"/>
          <w:w w:val="100"/>
          <w:position w:val="0"/>
          <w:sz w:val="24"/>
          <w:szCs w:val="24"/>
        </w:rPr>
        <w:t>重要联营企业的主要财务信息</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26"/>
        <w:keepNext w:val="0"/>
        <w:keepLines w:val="0"/>
        <w:widowControl w:val="0"/>
        <w:shd w:val="clear" w:color="auto" w:fill="auto"/>
        <w:bidi w:val="0"/>
        <w:spacing w:before="0" w:after="0" w:line="240" w:lineRule="auto"/>
        <w:ind w:left="6677" w:right="0" w:firstLine="0"/>
        <w:jc w:val="left"/>
        <w:rPr>
          <w:sz w:val="15"/>
          <w:szCs w:val="15"/>
        </w:rPr>
      </w:pPr>
      <w:r>
        <w:rPr>
          <w:rFonts w:ascii="Arial" w:eastAsia="Arial" w:hAnsi="Arial" w:cs="Arial"/>
          <w:color w:val="000000"/>
          <w:spacing w:val="0"/>
          <w:w w:val="100"/>
          <w:position w:val="0"/>
          <w:sz w:val="16"/>
          <w:szCs w:val="16"/>
        </w:rPr>
        <w:t>2020</w:t>
      </w:r>
      <w:r>
        <w:rPr>
          <w:color w:val="000000"/>
          <w:spacing w:val="0"/>
          <w:w w:val="100"/>
          <w:position w:val="0"/>
          <w:sz w:val="15"/>
          <w:szCs w:val="15"/>
        </w:rPr>
        <w:t>年</w:t>
      </w:r>
      <w:r>
        <w:rPr>
          <w:rFonts w:ascii="Arial" w:eastAsia="Arial" w:hAnsi="Arial" w:cs="Arial"/>
          <w:color w:val="000000"/>
          <w:spacing w:val="0"/>
          <w:w w:val="100"/>
          <w:position w:val="0"/>
          <w:sz w:val="16"/>
          <w:szCs w:val="16"/>
        </w:rPr>
        <w:t>12</w:t>
      </w:r>
      <w:r>
        <w:rPr>
          <w:color w:val="000000"/>
          <w:spacing w:val="0"/>
          <w:w w:val="100"/>
          <w:position w:val="0"/>
          <w:sz w:val="15"/>
          <w:szCs w:val="15"/>
        </w:rPr>
        <w:t>月</w:t>
      </w:r>
      <w:r>
        <w:rPr>
          <w:rFonts w:ascii="Arial" w:eastAsia="Arial" w:hAnsi="Arial" w:cs="Arial"/>
          <w:color w:val="000000"/>
          <w:spacing w:val="0"/>
          <w:w w:val="100"/>
          <w:position w:val="0"/>
          <w:sz w:val="16"/>
          <w:szCs w:val="16"/>
        </w:rPr>
        <w:t>31</w:t>
      </w:r>
      <w:r>
        <w:rPr>
          <w:color w:val="000000"/>
          <w:spacing w:val="0"/>
          <w:w w:val="100"/>
          <w:position w:val="0"/>
          <w:sz w:val="15"/>
          <w:szCs w:val="15"/>
        </w:rPr>
        <w:t>日</w:t>
      </w:r>
    </w:p>
    <w:tbl>
      <w:tblPr>
        <w:tblOverlap w:val="never"/>
        <w:jc w:val="center"/>
        <w:tblLayout w:type="fixed"/>
      </w:tblPr>
      <w:tblGrid>
        <w:gridCol w:w="2270"/>
        <w:gridCol w:w="1205"/>
        <w:gridCol w:w="1478"/>
        <w:gridCol w:w="1517"/>
        <w:gridCol w:w="1392"/>
        <w:gridCol w:w="1978"/>
        <w:gridCol w:w="1800"/>
        <w:gridCol w:w="1296"/>
      </w:tblGrid>
      <w:tr>
        <w:trPr>
          <w:trHeight w:val="39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5"/>
                <w:szCs w:val="15"/>
              </w:rPr>
            </w:pPr>
            <w:r>
              <w:rPr>
                <w:rFonts w:ascii="SimSun" w:eastAsia="SimSun" w:hAnsi="SimSun" w:cs="SimSun"/>
                <w:color w:val="000000"/>
                <w:spacing w:val="0"/>
                <w:w w:val="100"/>
                <w:position w:val="0"/>
                <w:sz w:val="15"/>
                <w:szCs w:val="15"/>
              </w:rPr>
              <w:t>丸悦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SimSun" w:eastAsia="SimSun" w:hAnsi="SimSun" w:cs="SimSun"/>
                <w:color w:val="000000"/>
                <w:spacing w:val="0"/>
                <w:w w:val="100"/>
                <w:position w:val="0"/>
                <w:sz w:val="15"/>
                <w:szCs w:val="15"/>
              </w:rPr>
              <w:t>苏宁消费金融</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苏宁银行</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15"/>
                <w:szCs w:val="15"/>
              </w:rPr>
            </w:pPr>
            <w:r>
              <w:rPr>
                <w:rFonts w:ascii="SimSun" w:eastAsia="SimSun" w:hAnsi="SimSun" w:cs="SimSun"/>
                <w:color w:val="000000"/>
                <w:spacing w:val="0"/>
                <w:w w:val="100"/>
                <w:position w:val="0"/>
                <w:sz w:val="15"/>
                <w:szCs w:val="15"/>
              </w:rPr>
              <w:t>深圳恒宁</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Suning Smart Life</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5"/>
                <w:szCs w:val="15"/>
              </w:rPr>
            </w:pPr>
            <w:r>
              <w:rPr>
                <w:rFonts w:ascii="SimSun" w:eastAsia="SimSun" w:hAnsi="SimSun" w:cs="SimSun"/>
                <w:color w:val="000000"/>
                <w:spacing w:val="0"/>
                <w:w w:val="100"/>
                <w:position w:val="0"/>
                <w:sz w:val="15"/>
                <w:szCs w:val="15"/>
              </w:rPr>
              <w:t>星图金服</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5"/>
                <w:szCs w:val="15"/>
              </w:rPr>
              <w:t>日本</w:t>
            </w:r>
            <w:r>
              <w:rPr>
                <w:rFonts w:ascii="Arial" w:eastAsia="Arial" w:hAnsi="Arial" w:cs="Arial"/>
                <w:color w:val="000000"/>
                <w:spacing w:val="0"/>
                <w:w w:val="100"/>
                <w:position w:val="0"/>
                <w:sz w:val="16"/>
                <w:szCs w:val="16"/>
              </w:rPr>
              <w:t>LAOX</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101,110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23,322,878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6,777,150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43,367,040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2,824,944</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8,714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2,300,455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5,124,111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385,960</w:t>
            </w:r>
          </w:p>
        </w:tc>
      </w:tr>
      <w:tr>
        <w:trPr>
          <w:trHeight w:val="25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资产合计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109,824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2,392,908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72,651,308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23,322,878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9,077,605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48,491,151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3,210,904</w:t>
            </w:r>
          </w:p>
        </w:tc>
      </w:tr>
      <w:tr>
        <w:trPr>
          <w:trHeight w:val="52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流动负债</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60,670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1,148,449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7,662,780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15,470,259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1,854,239</w:t>
            </w: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2,973,223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5,426,533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492,870</w:t>
            </w:r>
          </w:p>
        </w:tc>
      </w:tr>
      <w:tr>
        <w:trPr>
          <w:trHeight w:val="259"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负债合计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60,670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1,821,465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68,148,392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1,148,449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10,636,003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20,896,792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2,347,109</w:t>
            </w:r>
          </w:p>
        </w:tc>
      </w:tr>
      <w:tr>
        <w:trPr>
          <w:trHeight w:val="52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股东权益</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49,154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571,443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4,502,916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22,174,429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(1,558,398)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27,594,359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863,795</w:t>
            </w: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少数股东权益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6"/>
                <w:szCs w:val="16"/>
              </w:rPr>
            </w:pPr>
            <w:r>
              <w:rPr>
                <w:rFonts w:ascii="Arial" w:eastAsia="Arial" w:hAnsi="Arial" w:cs="Arial"/>
                <w:color w:val="000000"/>
                <w:spacing w:val="0"/>
                <w:w w:val="100"/>
                <w:position w:val="0"/>
                <w:sz w:val="16"/>
                <w:szCs w:val="16"/>
              </w:rPr>
              <w:t>2,973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(23,768)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(38,010)</w:t>
            </w:r>
          </w:p>
        </w:tc>
      </w:tr>
      <w:tr>
        <w:trPr>
          <w:trHeight w:val="259"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归属于母公司股东权益</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49,154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571,443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4,502,916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22,174,429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(1,561,371)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27,570,591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825,785</w:t>
            </w:r>
          </w:p>
        </w:tc>
      </w:tr>
      <w:tr>
        <w:trPr>
          <w:trHeight w:val="47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按持股比例计算的净资产</w:t>
            </w:r>
          </w:p>
        </w:tc>
        <w:tc>
          <w:tcPr>
            <w:gridSpan w:val="7"/>
            <w:tcBorders>
              <w:top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5"/>
                <w:szCs w:val="15"/>
              </w:rPr>
              <w:t>份额</w:t>
            </w:r>
            <w:r>
              <w:rPr>
                <w:rFonts w:ascii="Arial" w:eastAsia="Arial" w:hAnsi="Arial" w:cs="Arial"/>
                <w:color w:val="000000"/>
                <w:spacing w:val="0"/>
                <w:w w:val="100"/>
                <w:position w:val="0"/>
                <w:sz w:val="16"/>
                <w:szCs w:val="16"/>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14,746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280,007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1,350,875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10,865,470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000000"/>
                <w:spacing w:val="0"/>
                <w:w w:val="100"/>
                <w:position w:val="0"/>
                <w:sz w:val="16"/>
                <w:szCs w:val="16"/>
              </w:rPr>
              <w:t>(845)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11,345,298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245,816</w:t>
            </w:r>
          </w:p>
        </w:tc>
      </w:tr>
      <w:tr>
        <w:trPr>
          <w:trHeight w:val="51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调整事项</w:t>
            </w:r>
          </w:p>
        </w:tc>
        <w:tc>
          <w:tcPr>
            <w:gridSpan w:val="7"/>
            <w:tcBorders>
              <w:top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商誉</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50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12,779,670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3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员工持股计划</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500" w:firstLine="0"/>
              <w:jc w:val="right"/>
              <w:rPr>
                <w:sz w:val="16"/>
                <w:szCs w:val="16"/>
              </w:rPr>
            </w:pPr>
            <w:r>
              <w:rPr>
                <w:rFonts w:ascii="Arial" w:eastAsia="Arial" w:hAnsi="Arial" w:cs="Arial"/>
                <w:color w:val="000000"/>
                <w:spacing w:val="0"/>
                <w:w w:val="100"/>
                <w:position w:val="0"/>
                <w:sz w:val="16"/>
                <w:szCs w:val="16"/>
              </w:rPr>
              <w:t>845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6"/>
                <w:szCs w:val="16"/>
              </w:rPr>
            </w:pPr>
            <w:r>
              <w:rPr>
                <w:rFonts w:ascii="Arial" w:eastAsia="Arial" w:hAnsi="Arial" w:cs="Arial"/>
                <w:color w:val="000000"/>
                <w:spacing w:val="0"/>
                <w:w w:val="100"/>
                <w:position w:val="0"/>
                <w:sz w:val="16"/>
                <w:szCs w:val="16"/>
              </w:rPr>
              <w:t>5,827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3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对联营企业权益投资的账</w:t>
            </w:r>
          </w:p>
        </w:tc>
        <w:tc>
          <w:tcPr>
            <w:gridSpan w:val="7"/>
            <w:tcBorders/>
            <w:shd w:val="clear" w:color="auto" w:fill="FFFFFF"/>
            <w:vAlign w:val="top"/>
          </w:tcPr>
          <w:p>
            <w:pPr>
              <w:widowControl w:val="0"/>
              <w:rPr>
                <w:sz w:val="10"/>
                <w:szCs w:val="10"/>
              </w:rPr>
            </w:pPr>
          </w:p>
        </w:tc>
      </w:tr>
      <w:tr>
        <w:trPr>
          <w:trHeight w:val="235"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面价值</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14,746</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280,007</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1,350,875</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10,865,470</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500" w:firstLine="0"/>
              <w:jc w:val="right"/>
              <w:rPr>
                <w:sz w:val="16"/>
                <w:szCs w:val="16"/>
              </w:rPr>
            </w:pPr>
            <w:r>
              <w:rPr>
                <w:rFonts w:ascii="Arial" w:eastAsia="Arial" w:hAnsi="Arial" w:cs="Arial"/>
                <w:color w:val="000000"/>
                <w:spacing w:val="0"/>
                <w:w w:val="100"/>
                <w:position w:val="0"/>
                <w:sz w:val="16"/>
                <w:szCs w:val="16"/>
              </w:rPr>
              <w:t>-</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24,130,795</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245,816</w:t>
            </w:r>
          </w:p>
        </w:tc>
      </w:tr>
    </w:tbl>
    <w:p>
      <w:pPr>
        <w:pStyle w:val="Style72"/>
        <w:keepNext w:val="0"/>
        <w:keepLines w:val="0"/>
        <w:widowControl w:val="0"/>
        <w:shd w:val="clear" w:color="auto" w:fill="auto"/>
        <w:tabs>
          <w:tab w:pos="671" w:val="left"/>
        </w:tabs>
        <w:bidi w:val="0"/>
        <w:spacing w:before="0" w:after="260" w:line="240" w:lineRule="auto"/>
        <w:ind w:left="0" w:right="0" w:firstLine="0"/>
        <w:jc w:val="left"/>
        <w:rPr>
          <w:sz w:val="28"/>
          <w:szCs w:val="28"/>
        </w:rPr>
      </w:pPr>
      <w:r>
        <w:rPr>
          <w:b/>
          <w:bCs/>
          <w:color w:val="000000"/>
          <w:spacing w:val="0"/>
          <w:w w:val="100"/>
          <w:position w:val="0"/>
          <w:sz w:val="24"/>
          <w:szCs w:val="24"/>
        </w:rPr>
        <w:t>六</w:t>
        <w:tab/>
        <w:t>在其他主体中的权益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71" w:val="left"/>
        </w:tabs>
        <w:bidi w:val="0"/>
        <w:spacing w:before="0" w:after="300" w:line="240" w:lineRule="auto"/>
        <w:ind w:left="0" w:right="0" w:firstLine="0"/>
        <w:jc w:val="left"/>
        <w:rPr>
          <w:sz w:val="28"/>
          <w:szCs w:val="28"/>
        </w:rPr>
      </w:pPr>
      <w:r>
        <w:rPr>
          <w:rFonts w:ascii="Arial" w:eastAsia="Arial" w:hAnsi="Arial" w:cs="Arial"/>
          <w:color w:val="000000"/>
          <w:spacing w:val="0"/>
          <w:w w:val="100"/>
          <w:position w:val="0"/>
          <w:sz w:val="24"/>
          <w:szCs w:val="24"/>
        </w:rPr>
        <w:t>（2）</w:t>
        <w:tab/>
      </w:r>
      <w:r>
        <w:rPr>
          <w:b/>
          <w:bCs/>
          <w:color w:val="000000"/>
          <w:spacing w:val="0"/>
          <w:w w:val="100"/>
          <w:position w:val="0"/>
          <w:sz w:val="24"/>
          <w:szCs w:val="24"/>
        </w:rPr>
        <w:t>在合营企业和联营企业中的权益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71" w:val="left"/>
        </w:tabs>
        <w:bidi w:val="0"/>
        <w:spacing w:before="0" w:after="300" w:line="240" w:lineRule="auto"/>
        <w:ind w:left="0" w:right="0" w:firstLine="0"/>
        <w:jc w:val="left"/>
        <w:rPr>
          <w:sz w:val="28"/>
          <w:szCs w:val="28"/>
        </w:rPr>
      </w:pPr>
      <w:bookmarkStart w:id="956" w:name="bookmark956"/>
      <w:r>
        <w:rPr>
          <w:rFonts w:ascii="Arial" w:eastAsia="Arial" w:hAnsi="Arial" w:cs="Arial"/>
          <w:color w:val="000000"/>
          <w:spacing w:val="0"/>
          <w:w w:val="100"/>
          <w:position w:val="0"/>
          <w:sz w:val="24"/>
          <w:szCs w:val="24"/>
        </w:rPr>
        <w:t>（</w:t>
      </w:r>
      <w:bookmarkEnd w:id="956"/>
      <w:r>
        <w:rPr>
          <w:rFonts w:ascii="Arial" w:eastAsia="Arial" w:hAnsi="Arial" w:cs="Arial"/>
          <w:color w:val="000000"/>
          <w:spacing w:val="0"/>
          <w:w w:val="100"/>
          <w:position w:val="0"/>
          <w:sz w:val="24"/>
          <w:szCs w:val="24"/>
        </w:rPr>
        <w:t>c）</w:t>
        <w:tab/>
      </w:r>
      <w:r>
        <w:rPr>
          <w:color w:val="000000"/>
          <w:spacing w:val="0"/>
          <w:w w:val="100"/>
          <w:position w:val="0"/>
          <w:sz w:val="24"/>
          <w:szCs w:val="24"/>
        </w:rPr>
        <w:t>重要联营企业的主要财务信息</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71" w:val="left"/>
        </w:tabs>
        <w:bidi w:val="0"/>
        <w:spacing w:before="0" w:after="40" w:line="240" w:lineRule="auto"/>
        <w:ind w:left="0" w:right="0" w:firstLine="0"/>
        <w:jc w:val="left"/>
      </w:pPr>
      <w:r>
        <w:rPr>
          <w:color w:val="000000"/>
          <w:spacing w:val="0"/>
          <w:w w:val="100"/>
          <w:position w:val="0"/>
          <w:sz w:val="24"/>
          <w:szCs w:val="24"/>
        </w:rPr>
        <w:t>⑴</w:t>
        <w:tab/>
        <w:t>本集团以联营企业合并财务报表中归属于母公司的金额为基础，按持股比例计算资产份额。联营企业合并财务报表中的金额</w:t>
      </w:r>
    </w:p>
    <w:p>
      <w:pPr>
        <w:pStyle w:val="Style72"/>
        <w:keepNext w:val="0"/>
        <w:keepLines w:val="0"/>
        <w:widowControl w:val="0"/>
        <w:shd w:val="clear" w:color="auto" w:fill="auto"/>
        <w:bidi w:val="0"/>
        <w:spacing w:before="0" w:after="300" w:line="240" w:lineRule="auto"/>
        <w:ind w:left="0" w:right="0" w:firstLine="700"/>
        <w:jc w:val="left"/>
      </w:pPr>
      <w:r>
        <w:rPr>
          <w:color w:val="000000"/>
          <w:spacing w:val="0"/>
          <w:w w:val="100"/>
          <w:position w:val="0"/>
          <w:sz w:val="24"/>
          <w:szCs w:val="24"/>
        </w:rPr>
        <w:t>考虑了取得投资时联营企业可辨认净资产和负债的公允价值以及统一会计政策的影响。</w:t>
      </w:r>
    </w:p>
    <w:p>
      <w:pPr>
        <w:pStyle w:val="Style26"/>
        <w:keepNext w:val="0"/>
        <w:keepLines w:val="0"/>
        <w:widowControl w:val="0"/>
        <w:shd w:val="clear" w:color="auto" w:fill="auto"/>
        <w:bidi w:val="0"/>
        <w:spacing w:before="0" w:after="0" w:line="240" w:lineRule="auto"/>
        <w:ind w:left="6965" w:right="0" w:firstLine="0"/>
        <w:jc w:val="left"/>
        <w:rPr>
          <w:sz w:val="18"/>
          <w:szCs w:val="18"/>
        </w:rPr>
      </w:pPr>
      <w:r>
        <w:rPr>
          <w:rFonts w:ascii="Arial" w:eastAsia="Arial" w:hAnsi="Arial" w:cs="Arial"/>
          <w:color w:val="000000"/>
          <w:spacing w:val="0"/>
          <w:w w:val="100"/>
          <w:position w:val="0"/>
          <w:sz w:val="18"/>
          <w:szCs w:val="18"/>
        </w:rPr>
        <w:t>2021</w:t>
      </w:r>
      <w:r>
        <w:rPr>
          <w:color w:val="000000"/>
          <w:spacing w:val="0"/>
          <w:w w:val="100"/>
          <w:position w:val="0"/>
          <w:sz w:val="18"/>
          <w:szCs w:val="18"/>
        </w:rPr>
        <w:t>年度</w:t>
      </w:r>
    </w:p>
    <w:tbl>
      <w:tblPr>
        <w:tblOverlap w:val="never"/>
        <w:jc w:val="center"/>
        <w:tblLayout w:type="fixed"/>
      </w:tblPr>
      <w:tblGrid>
        <w:gridCol w:w="2165"/>
        <w:gridCol w:w="1392"/>
        <w:gridCol w:w="1402"/>
        <w:gridCol w:w="1411"/>
        <w:gridCol w:w="1747"/>
        <w:gridCol w:w="1661"/>
        <w:gridCol w:w="1805"/>
        <w:gridCol w:w="1402"/>
      </w:tblGrid>
      <w:tr>
        <w:trPr>
          <w:trHeight w:val="59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丸悦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苏宁消费</w:t>
            </w:r>
          </w:p>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金融</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苏宁银行</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深圳恒宁</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普易物流</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星图金服</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日本</w:t>
            </w:r>
            <w:r>
              <w:rPr>
                <w:rFonts w:ascii="Arial" w:eastAsia="Arial" w:hAnsi="Arial" w:cs="Arial"/>
                <w:color w:val="000000"/>
                <w:spacing w:val="0"/>
                <w:w w:val="100"/>
                <w:position w:val="0"/>
                <w:sz w:val="18"/>
                <w:szCs w:val="18"/>
              </w:rPr>
              <w:t>LAOX</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148,341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126,064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3,388,381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244,582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4,046,355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4,005,352</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净利润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55,399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(92,083)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634,724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(20,990,407)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57,503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(9,826,782)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(289,438)</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其他综合收益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1,504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1,762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4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4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(142,614)</w:t>
            </w:r>
          </w:p>
        </w:tc>
      </w:tr>
      <w:tr>
        <w:trPr>
          <w:trHeight w:val="3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综合收益总额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56,903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(92,083)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636,486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(20,990,407)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57,503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(9,826,782)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(432,052)</w:t>
            </w:r>
          </w:p>
        </w:tc>
      </w:tr>
      <w:tr>
        <w:trPr>
          <w:trHeight w:val="782" w:hRule="exact"/>
        </w:trPr>
        <w:tc>
          <w:tcPr>
            <w:tcBorders/>
            <w:shd w:val="clear" w:color="auto" w:fill="FFFFFF"/>
            <w:vAlign w:val="center"/>
          </w:tcPr>
          <w:p>
            <w:pPr>
              <w:pStyle w:val="Style29"/>
              <w:keepNext w:val="0"/>
              <w:keepLines w:val="0"/>
              <w:widowControl w:val="0"/>
              <w:shd w:val="clear" w:color="auto" w:fill="auto"/>
              <w:bidi w:val="0"/>
              <w:spacing w:before="0" w:after="0" w:line="226" w:lineRule="exact"/>
              <w:ind w:left="200" w:right="0" w:hanging="200"/>
              <w:jc w:val="left"/>
              <w:rPr>
                <w:sz w:val="18"/>
                <w:szCs w:val="18"/>
              </w:rPr>
            </w:pPr>
            <w:r>
              <w:rPr>
                <w:rFonts w:ascii="SimSun" w:eastAsia="SimSun" w:hAnsi="SimSun" w:cs="SimSun"/>
                <w:color w:val="000000"/>
                <w:spacing w:val="0"/>
                <w:w w:val="100"/>
                <w:position w:val="0"/>
                <w:sz w:val="18"/>
                <w:szCs w:val="18"/>
              </w:rPr>
              <w:t>本集团本年度收到的 来自联营企业的股 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4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4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sectPr>
          <w:footnotePr>
            <w:pos w:val="pageBottom"/>
            <w:numFmt w:val="decimal"/>
            <w:numStart w:val="1"/>
            <w:numRestart w:val="continuous"/>
            <w15:footnoteColumns w:val="1"/>
          </w:footnotePr>
          <w:pgSz w:w="16840" w:h="11900" w:orient="landscape"/>
          <w:pgMar w:top="2333" w:right="1439" w:bottom="2065" w:left="1701" w:header="0" w:footer="3" w:gutter="0"/>
          <w:cols w:space="720"/>
          <w:noEndnote/>
          <w:rtlGutter w:val="0"/>
          <w:docGrid w:linePitch="360"/>
        </w:sectPr>
      </w:pPr>
    </w:p>
    <w:p>
      <w:pPr>
        <w:pStyle w:val="Style72"/>
        <w:keepNext w:val="0"/>
        <w:keepLines w:val="0"/>
        <w:widowControl w:val="0"/>
        <w:shd w:val="clear" w:color="auto" w:fill="auto"/>
        <w:tabs>
          <w:tab w:pos="699" w:val="left"/>
        </w:tabs>
        <w:bidi w:val="0"/>
        <w:spacing w:before="0" w:after="300" w:line="240" w:lineRule="auto"/>
        <w:ind w:left="0" w:right="0" w:firstLine="0"/>
        <w:jc w:val="left"/>
        <w:rPr>
          <w:sz w:val="28"/>
          <w:szCs w:val="28"/>
        </w:rPr>
      </w:pPr>
      <w:r>
        <w:rPr>
          <w:b/>
          <w:bCs/>
          <w:color w:val="000000"/>
          <w:spacing w:val="0"/>
          <w:w w:val="100"/>
          <w:position w:val="0"/>
          <w:sz w:val="24"/>
          <w:szCs w:val="24"/>
        </w:rPr>
        <w:t>六</w:t>
        <w:tab/>
        <w:t>在其他主体中的权益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9"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（2）</w:t>
        <w:tab/>
      </w:r>
      <w:r>
        <w:rPr>
          <w:b/>
          <w:bCs/>
          <w:color w:val="000000"/>
          <w:spacing w:val="0"/>
          <w:w w:val="100"/>
          <w:position w:val="0"/>
          <w:sz w:val="24"/>
          <w:szCs w:val="24"/>
        </w:rPr>
        <w:t>在合营企业和联营企业中的权益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tabs>
          <w:tab w:pos="699" w:val="left"/>
        </w:tabs>
        <w:bidi w:val="0"/>
        <w:spacing w:before="0" w:after="220" w:line="240" w:lineRule="auto"/>
        <w:ind w:left="0" w:right="0" w:firstLine="0"/>
        <w:jc w:val="left"/>
        <w:rPr>
          <w:sz w:val="28"/>
          <w:szCs w:val="28"/>
        </w:rPr>
      </w:pPr>
      <w:bookmarkStart w:id="957" w:name="bookmark957"/>
      <w:r>
        <w:rPr>
          <w:rFonts w:ascii="Arial" w:eastAsia="Arial" w:hAnsi="Arial" w:cs="Arial"/>
          <w:color w:val="000000"/>
          <w:spacing w:val="0"/>
          <w:w w:val="100"/>
          <w:position w:val="0"/>
          <w:sz w:val="24"/>
          <w:szCs w:val="24"/>
        </w:rPr>
        <w:t>（</w:t>
      </w:r>
      <w:bookmarkEnd w:id="957"/>
      <w:r>
        <w:rPr>
          <w:rFonts w:ascii="Arial" w:eastAsia="Arial" w:hAnsi="Arial" w:cs="Arial"/>
          <w:color w:val="000000"/>
          <w:spacing w:val="0"/>
          <w:w w:val="100"/>
          <w:position w:val="0"/>
          <w:sz w:val="24"/>
          <w:szCs w:val="24"/>
        </w:rPr>
        <w:t>c）</w:t>
        <w:tab/>
      </w:r>
      <w:r>
        <w:rPr>
          <w:color w:val="000000"/>
          <w:spacing w:val="0"/>
          <w:w w:val="100"/>
          <w:position w:val="0"/>
          <w:sz w:val="24"/>
          <w:szCs w:val="24"/>
        </w:rPr>
        <w:t>重要联营企业的主要财务信息</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26"/>
        <w:keepNext w:val="0"/>
        <w:keepLines w:val="0"/>
        <w:widowControl w:val="0"/>
        <w:shd w:val="clear" w:color="auto" w:fill="auto"/>
        <w:bidi w:val="0"/>
        <w:spacing w:before="0" w:after="0" w:line="240" w:lineRule="auto"/>
        <w:ind w:left="6965" w:right="0" w:firstLine="0"/>
        <w:jc w:val="left"/>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年度</w:t>
      </w:r>
    </w:p>
    <w:tbl>
      <w:tblPr>
        <w:tblOverlap w:val="never"/>
        <w:jc w:val="center"/>
        <w:tblLayout w:type="fixed"/>
      </w:tblPr>
      <w:tblGrid>
        <w:gridCol w:w="2160"/>
        <w:gridCol w:w="1435"/>
        <w:gridCol w:w="1363"/>
        <w:gridCol w:w="1517"/>
        <w:gridCol w:w="1555"/>
        <w:gridCol w:w="1800"/>
        <w:gridCol w:w="1728"/>
        <w:gridCol w:w="1382"/>
      </w:tblGrid>
      <w:tr>
        <w:trPr>
          <w:trHeight w:val="59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丸悦</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苏宁消费</w:t>
            </w:r>
          </w:p>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金融</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苏宁银行</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深圳恒宁</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Suning</w:t>
            </w:r>
          </w:p>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Smart Life</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440" w:firstLine="0"/>
              <w:jc w:val="right"/>
              <w:rPr>
                <w:sz w:val="18"/>
                <w:szCs w:val="18"/>
              </w:rPr>
            </w:pPr>
            <w:r>
              <w:rPr>
                <w:rFonts w:ascii="SimSun" w:eastAsia="SimSun" w:hAnsi="SimSun" w:cs="SimSun"/>
                <w:color w:val="000000"/>
                <w:spacing w:val="0"/>
                <w:w w:val="100"/>
                <w:position w:val="0"/>
                <w:sz w:val="18"/>
                <w:szCs w:val="18"/>
              </w:rPr>
              <w:t>星图金服</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日本</w:t>
            </w:r>
            <w:r>
              <w:rPr>
                <w:rFonts w:ascii="Arial" w:eastAsia="Arial" w:hAnsi="Arial" w:cs="Arial"/>
                <w:color w:val="000000"/>
                <w:spacing w:val="0"/>
                <w:w w:val="100"/>
                <w:position w:val="0"/>
                <w:sz w:val="18"/>
                <w:szCs w:val="18"/>
              </w:rPr>
              <w:t>LAOX</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261,507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429,550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2,802,587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1,513,569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2,681,730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6,901,752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5,283,548</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净利润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(32,804)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(49,718)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406,126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1,127,009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(4,370,569)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1,573,850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(787,389)</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其他综合收益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(60,561)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(345,280)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4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3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综合收益总额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(32,804)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(49,718)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345,565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1,127,009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(4,715,849)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1,573,850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(787,389)</w:t>
            </w:r>
          </w:p>
        </w:tc>
      </w:tr>
      <w:tr>
        <w:trPr>
          <w:trHeight w:val="811" w:hRule="exact"/>
        </w:trPr>
        <w:tc>
          <w:tcPr>
            <w:tcBorders/>
            <w:shd w:val="clear" w:color="auto" w:fill="FFFFFF"/>
            <w:vAlign w:val="bottom"/>
          </w:tcPr>
          <w:p>
            <w:pPr>
              <w:pStyle w:val="Style29"/>
              <w:keepNext w:val="0"/>
              <w:keepLines w:val="0"/>
              <w:widowControl w:val="0"/>
              <w:shd w:val="clear" w:color="auto" w:fill="auto"/>
              <w:bidi w:val="0"/>
              <w:spacing w:before="0" w:after="0" w:line="226" w:lineRule="exact"/>
              <w:ind w:left="200" w:right="0" w:hanging="200"/>
              <w:jc w:val="left"/>
              <w:rPr>
                <w:sz w:val="18"/>
                <w:szCs w:val="18"/>
              </w:rPr>
            </w:pPr>
            <w:r>
              <w:rPr>
                <w:rFonts w:ascii="SimSun" w:eastAsia="SimSun" w:hAnsi="SimSun" w:cs="SimSun"/>
                <w:color w:val="000000"/>
                <w:spacing w:val="0"/>
                <w:w w:val="100"/>
                <w:position w:val="0"/>
                <w:sz w:val="18"/>
                <w:szCs w:val="18"/>
              </w:rPr>
              <w:t>本集团本年度收到的 来自联营企业的股 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400" w:firstLine="0"/>
              <w:jc w:val="right"/>
              <w:rPr>
                <w:sz w:val="18"/>
                <w:szCs w:val="18"/>
              </w:rPr>
            </w:pPr>
            <w:r>
              <w:rPr>
                <w:rFonts w:ascii="Arial" w:eastAsia="Arial" w:hAnsi="Arial" w:cs="Arial"/>
                <w:color w:val="000000"/>
                <w:spacing w:val="0"/>
                <w:w w:val="100"/>
                <w:position w:val="0"/>
                <w:sz w:val="18"/>
                <w:szCs w:val="18"/>
              </w:rPr>
              <w:t>60,194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139,547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widowControl w:val="0"/>
        <w:spacing w:after="219" w:line="1" w:lineRule="exact"/>
      </w:pPr>
    </w:p>
    <w:p>
      <w:pPr>
        <w:pStyle w:val="Style72"/>
        <w:keepNext w:val="0"/>
        <w:keepLines w:val="0"/>
        <w:widowControl w:val="0"/>
        <w:shd w:val="clear" w:color="auto" w:fill="auto"/>
        <w:bidi w:val="0"/>
        <w:spacing w:before="0" w:after="300" w:line="317" w:lineRule="exact"/>
        <w:ind w:left="700" w:right="0" w:firstLine="20"/>
        <w:jc w:val="both"/>
      </w:pPr>
      <w:r>
        <w:rPr>
          <w:color w:val="000000"/>
          <w:spacing w:val="0"/>
          <w:w w:val="100"/>
          <w:position w:val="0"/>
          <w:sz w:val="24"/>
          <w:szCs w:val="24"/>
        </w:rPr>
        <w:t>⑴本集团以联营企业合并财务报表中归属于母公司的金额为基础，按持股比例计算资产份额。联营企业合并财务报表中的金 额考虑了取得投资时联营企业可辨认净资产和负债的公允价值以及统一会计政策的影响。</w:t>
      </w:r>
    </w:p>
    <w:p>
      <w:pPr>
        <w:pStyle w:val="Style72"/>
        <w:keepNext w:val="0"/>
        <w:keepLines w:val="0"/>
        <w:widowControl w:val="0"/>
        <w:shd w:val="clear" w:color="auto" w:fill="auto"/>
        <w:bidi w:val="0"/>
        <w:spacing w:before="0" w:after="300" w:line="276" w:lineRule="auto"/>
        <w:ind w:left="0" w:right="0" w:firstLine="700"/>
        <w:jc w:val="left"/>
        <w:sectPr>
          <w:footnotePr>
            <w:pos w:val="pageBottom"/>
            <w:numFmt w:val="decimal"/>
            <w:numStart w:val="1"/>
            <w:numRestart w:val="continuous"/>
            <w15:footnoteColumns w:val="1"/>
          </w:footnotePr>
          <w:pgSz w:w="16840" w:h="11900" w:orient="landscape"/>
          <w:pgMar w:top="2333" w:right="1440" w:bottom="2333" w:left="1714" w:header="0" w:footer="3" w:gutter="0"/>
          <w:cols w:space="720"/>
          <w:noEndnote/>
          <w:rtlGutter w:val="0"/>
          <w:docGrid w:linePitch="360"/>
        </w:sectPr>
      </w:pPr>
      <w:r>
        <w:rPr>
          <w:rFonts w:ascii="Arial" w:eastAsia="Arial" w:hAnsi="Arial" w:cs="Arial"/>
          <w:color w:val="000000"/>
          <w:spacing w:val="0"/>
          <w:w w:val="100"/>
          <w:position w:val="0"/>
          <w:sz w:val="24"/>
          <w:szCs w:val="24"/>
        </w:rPr>
        <w:t>（ii）</w:t>
      </w:r>
      <w:r>
        <w:rPr>
          <w:color w:val="000000"/>
          <w:spacing w:val="0"/>
          <w:w w:val="100"/>
          <w:position w:val="0"/>
          <w:sz w:val="24"/>
          <w:szCs w:val="24"/>
        </w:rPr>
        <w:t>其他调整事项包括减值准备及未确认的超额亏损等。</w:t>
      </w:r>
    </w:p>
    <w:p>
      <w:pPr>
        <w:pStyle w:val="Style72"/>
        <w:keepNext w:val="0"/>
        <w:keepLines w:val="0"/>
        <w:widowControl w:val="0"/>
        <w:shd w:val="clear" w:color="auto" w:fill="auto"/>
        <w:tabs>
          <w:tab w:pos="670" w:val="left"/>
        </w:tabs>
        <w:bidi w:val="0"/>
        <w:spacing w:before="0" w:after="280" w:line="240" w:lineRule="auto"/>
        <w:ind w:left="0" w:right="0" w:firstLine="0"/>
        <w:jc w:val="left"/>
        <w:rPr>
          <w:sz w:val="28"/>
          <w:szCs w:val="28"/>
        </w:rPr>
      </w:pPr>
      <w:r>
        <w:rPr>
          <w:b/>
          <w:bCs/>
          <w:color w:val="000000"/>
          <w:spacing w:val="0"/>
          <w:w w:val="100"/>
          <w:position w:val="0"/>
          <w:sz w:val="24"/>
          <w:szCs w:val="24"/>
        </w:rPr>
        <w:t>六</w:t>
        <w:tab/>
        <w:t>在其他主体中的权益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70" w:val="left"/>
        </w:tabs>
        <w:bidi w:val="0"/>
        <w:spacing w:before="0" w:after="280" w:line="240" w:lineRule="auto"/>
        <w:ind w:left="0" w:right="0" w:firstLine="0"/>
        <w:jc w:val="left"/>
        <w:rPr>
          <w:sz w:val="28"/>
          <w:szCs w:val="28"/>
        </w:rPr>
      </w:pPr>
      <w:r>
        <w:rPr>
          <w:rFonts w:ascii="Arial" w:eastAsia="Arial" w:hAnsi="Arial" w:cs="Arial"/>
          <w:color w:val="000000"/>
          <w:spacing w:val="0"/>
          <w:w w:val="100"/>
          <w:position w:val="0"/>
          <w:sz w:val="24"/>
          <w:szCs w:val="24"/>
        </w:rPr>
        <w:t>(2)</w:t>
        <w:tab/>
      </w:r>
      <w:r>
        <w:rPr>
          <w:b/>
          <w:bCs/>
          <w:color w:val="000000"/>
          <w:spacing w:val="0"/>
          <w:w w:val="100"/>
          <w:position w:val="0"/>
          <w:sz w:val="24"/>
          <w:szCs w:val="24"/>
        </w:rPr>
        <w:t>在合营企业和联营企业中的权益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117"/>
        </w:numPr>
        <w:shd w:val="clear" w:color="auto" w:fill="auto"/>
        <w:tabs>
          <w:tab w:pos="670" w:val="left"/>
        </w:tabs>
        <w:bidi w:val="0"/>
        <w:spacing w:before="0" w:after="280" w:line="240" w:lineRule="auto"/>
        <w:ind w:left="0" w:right="0" w:firstLine="0"/>
        <w:jc w:val="left"/>
      </w:pPr>
      <w:bookmarkStart w:id="958" w:name="bookmark958"/>
      <w:bookmarkEnd w:id="958"/>
      <w:r>
        <w:rPr>
          <w:color w:val="000000"/>
          <w:spacing w:val="0"/>
          <w:w w:val="100"/>
          <w:position w:val="0"/>
          <w:sz w:val="24"/>
          <w:szCs w:val="24"/>
        </w:rPr>
        <w:t>不重要合营企业和联营企业的汇总信息</w:t>
      </w:r>
    </w:p>
    <w:p>
      <w:pPr>
        <w:pStyle w:val="Style92"/>
        <w:keepNext w:val="0"/>
        <w:keepLines w:val="0"/>
        <w:widowControl w:val="0"/>
        <w:shd w:val="clear" w:color="auto" w:fill="auto"/>
        <w:tabs>
          <w:tab w:pos="2491" w:val="left"/>
        </w:tabs>
        <w:bidi w:val="0"/>
        <w:spacing w:before="0" w:after="280" w:line="240" w:lineRule="auto"/>
        <w:ind w:left="0" w:right="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2020</w:t>
      </w:r>
      <w:r>
        <w:rPr>
          <w:rFonts w:ascii="SimSun" w:eastAsia="SimSun" w:hAnsi="SimSun" w:cs="SimSun"/>
          <w:color w:val="000000"/>
          <w:spacing w:val="0"/>
          <w:w w:val="100"/>
          <w:position w:val="0"/>
          <w:sz w:val="24"/>
          <w:szCs w:val="24"/>
        </w:rPr>
        <w:t>年度</w:t>
      </w:r>
    </w:p>
    <w:p>
      <w:pPr>
        <w:pStyle w:val="Style72"/>
        <w:keepNext w:val="0"/>
        <w:keepLines w:val="0"/>
        <w:widowControl w:val="0"/>
        <w:shd w:val="clear" w:color="auto" w:fill="auto"/>
        <w:bidi w:val="0"/>
        <w:spacing w:before="0" w:after="280" w:line="240" w:lineRule="auto"/>
        <w:ind w:left="0" w:right="0" w:firstLine="700"/>
        <w:jc w:val="left"/>
      </w:pPr>
      <w:r>
        <w:rPr>
          <w:color w:val="000000"/>
          <w:spacing w:val="0"/>
          <w:w w:val="100"/>
          <w:position w:val="0"/>
          <w:sz w:val="24"/>
          <w:szCs w:val="24"/>
        </w:rPr>
        <w:t>合营企业：</w:t>
      </w:r>
    </w:p>
    <w:p>
      <w:pPr>
        <w:pStyle w:val="Style92"/>
        <w:keepNext w:val="0"/>
        <w:keepLines w:val="0"/>
        <w:widowControl w:val="0"/>
        <w:shd w:val="clear" w:color="auto" w:fill="auto"/>
        <w:tabs>
          <w:tab w:pos="5318" w:val="left"/>
          <w:tab w:pos="7913" w:val="left"/>
        </w:tabs>
        <w:bidi w:val="0"/>
        <w:spacing w:before="0" w:after="0" w:line="240" w:lineRule="auto"/>
        <w:ind w:left="0" w:right="0" w:firstLine="700"/>
        <w:jc w:val="left"/>
      </w:pPr>
      <w:r>
        <w:rPr>
          <w:rFonts w:ascii="SimSun" w:eastAsia="SimSun" w:hAnsi="SimSun" w:cs="SimSun"/>
          <w:color w:val="000000"/>
          <w:spacing w:val="0"/>
          <w:w w:val="100"/>
          <w:position w:val="0"/>
          <w:sz w:val="24"/>
          <w:szCs w:val="24"/>
        </w:rPr>
        <w:t>投资账面价值合计</w:t>
        <w:tab/>
      </w:r>
      <w:r>
        <w:rPr>
          <w:color w:val="000000"/>
          <w:spacing w:val="0"/>
          <w:w w:val="100"/>
          <w:position w:val="0"/>
          <w:sz w:val="24"/>
          <w:szCs w:val="24"/>
        </w:rPr>
        <w:t>36,374</w:t>
        <w:tab/>
        <w:t>65,156</w:t>
      </w:r>
    </w:p>
    <w:p>
      <w:pPr>
        <w:pStyle w:val="Style7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下列各项按持股比例计算的合</w:t>
      </w:r>
    </w:p>
    <w:p>
      <w:pPr>
        <w:pStyle w:val="Style26"/>
        <w:keepNext w:val="0"/>
        <w:keepLines w:val="0"/>
        <w:widowControl w:val="0"/>
        <w:shd w:val="clear" w:color="auto" w:fill="auto"/>
        <w:bidi w:val="0"/>
        <w:spacing w:before="0" w:after="0" w:line="240" w:lineRule="auto"/>
        <w:ind w:left="259" w:right="0" w:firstLine="0"/>
        <w:jc w:val="left"/>
        <w:rPr>
          <w:sz w:val="24"/>
          <w:szCs w:val="24"/>
        </w:rPr>
      </w:pPr>
      <w:r>
        <w:rPr>
          <w:color w:val="000000"/>
          <w:spacing w:val="0"/>
          <w:w w:val="100"/>
          <w:position w:val="0"/>
          <w:sz w:val="24"/>
          <w:szCs w:val="24"/>
        </w:rPr>
        <w:t>计数</w:t>
      </w:r>
    </w:p>
    <w:tbl>
      <w:tblPr>
        <w:tblOverlap w:val="never"/>
        <w:jc w:val="right"/>
        <w:tblLayout w:type="fixed"/>
      </w:tblPr>
      <w:tblGrid>
        <w:gridCol w:w="3931"/>
        <w:gridCol w:w="2352"/>
        <w:gridCol w:w="1714"/>
      </w:tblGrid>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净亏损⑴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24"/>
                <w:szCs w:val="24"/>
              </w:rPr>
            </w:pPr>
            <w:r>
              <w:rPr>
                <w:rFonts w:ascii="Arial" w:eastAsia="Arial" w:hAnsi="Arial" w:cs="Arial"/>
                <w:color w:val="000000"/>
                <w:spacing w:val="0"/>
                <w:w w:val="100"/>
                <w:position w:val="0"/>
                <w:sz w:val="24"/>
                <w:szCs w:val="24"/>
              </w:rPr>
              <w:t>(17,086)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(4,254)</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其他综合收益</w:t>
            </w:r>
            <w:r>
              <w:rPr>
                <w:rFonts w:ascii="Arial" w:eastAsia="Arial" w:hAnsi="Arial" w:cs="Arial"/>
                <w:color w:val="000000"/>
                <w:spacing w:val="0"/>
                <w:w w:val="100"/>
                <w:position w:val="0"/>
                <w:sz w:val="24"/>
                <w:szCs w:val="24"/>
              </w:rPr>
              <w:t>(i)</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44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综合收益总额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4"/>
                <w:szCs w:val="24"/>
              </w:rPr>
            </w:pPr>
            <w:r>
              <w:rPr>
                <w:rFonts w:ascii="Arial" w:eastAsia="Arial" w:hAnsi="Arial" w:cs="Arial"/>
                <w:color w:val="000000"/>
                <w:spacing w:val="0"/>
                <w:w w:val="100"/>
                <w:position w:val="0"/>
                <w:sz w:val="24"/>
                <w:szCs w:val="24"/>
              </w:rPr>
              <w:t>(17,086)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(4,254)</w:t>
            </w:r>
          </w:p>
        </w:tc>
      </w:tr>
      <w:tr>
        <w:trPr>
          <w:trHeight w:val="43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本集团本年度收到的来自合营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企业的股利</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(6,835)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5,381</w:t>
            </w:r>
          </w:p>
        </w:tc>
      </w:tr>
      <w:tr>
        <w:trPr>
          <w:trHeight w:val="58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投资账面价值合计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Arial" w:eastAsia="Arial" w:hAnsi="Arial" w:cs="Arial"/>
                <w:color w:val="000000"/>
                <w:spacing w:val="0"/>
                <w:w w:val="100"/>
                <w:position w:val="0"/>
                <w:sz w:val="24"/>
                <w:szCs w:val="24"/>
              </w:rPr>
              <w:t>17,553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47,500</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下列各项按持股比例计算的合</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计数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净亏损</w:t>
            </w:r>
            <w:r>
              <w:rPr>
                <w:rFonts w:ascii="Arial" w:eastAsia="Arial" w:hAnsi="Arial" w:cs="Arial"/>
                <w:color w:val="000000"/>
                <w:spacing w:val="0"/>
                <w:w w:val="100"/>
                <w:position w:val="0"/>
                <w:sz w:val="24"/>
                <w:szCs w:val="24"/>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3,914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24"/>
                <w:szCs w:val="24"/>
              </w:rPr>
            </w:pPr>
            <w:r>
              <w:rPr>
                <w:rFonts w:ascii="Arial" w:eastAsia="Arial" w:hAnsi="Arial" w:cs="Arial"/>
                <w:color w:val="000000"/>
                <w:spacing w:val="0"/>
                <w:w w:val="100"/>
                <w:position w:val="0"/>
                <w:sz w:val="24"/>
                <w:szCs w:val="24"/>
              </w:rPr>
              <w:t>(16,231)</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其他综合收益</w:t>
            </w:r>
            <w:r>
              <w:rPr>
                <w:rFonts w:ascii="Arial" w:eastAsia="Arial" w:hAnsi="Arial" w:cs="Arial"/>
                <w:color w:val="000000"/>
                <w:spacing w:val="0"/>
                <w:w w:val="100"/>
                <w:position w:val="0"/>
                <w:sz w:val="24"/>
                <w:szCs w:val="24"/>
              </w:rPr>
              <w:t>(i)</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86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综合收益总额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3,914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24"/>
                <w:szCs w:val="24"/>
              </w:rPr>
            </w:pPr>
            <w:r>
              <w:rPr>
                <w:rFonts w:ascii="Arial" w:eastAsia="Arial" w:hAnsi="Arial" w:cs="Arial"/>
                <w:color w:val="000000"/>
                <w:spacing w:val="0"/>
                <w:w w:val="100"/>
                <w:position w:val="0"/>
                <w:sz w:val="24"/>
                <w:szCs w:val="24"/>
              </w:rPr>
              <w:t>(16,231)</w:t>
            </w:r>
          </w:p>
        </w:tc>
      </w:tr>
    </w:tbl>
    <w:p>
      <w:pPr>
        <w:widowControl w:val="0"/>
        <w:spacing w:after="279" w:line="1" w:lineRule="exact"/>
      </w:pPr>
    </w:p>
    <w:p>
      <w:pPr>
        <w:pStyle w:val="Style7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本集团本年度收到的来自联营</w:t>
      </w:r>
    </w:p>
    <w:p>
      <w:pPr>
        <w:pStyle w:val="Style92"/>
        <w:keepNext w:val="0"/>
        <w:keepLines w:val="0"/>
        <w:widowControl w:val="0"/>
        <w:shd w:val="clear" w:color="auto" w:fill="auto"/>
        <w:tabs>
          <w:tab w:pos="6016" w:val="left"/>
          <w:tab w:pos="7913" w:val="left"/>
        </w:tabs>
        <w:bidi w:val="0"/>
        <w:spacing w:before="0" w:after="280" w:line="240" w:lineRule="auto"/>
        <w:ind w:left="0" w:right="0" w:firstLine="1000"/>
        <w:jc w:val="left"/>
        <w:sectPr>
          <w:footnotePr>
            <w:pos w:val="pageBottom"/>
            <w:numFmt w:val="decimal"/>
            <w:numStart w:val="1"/>
            <w:numRestart w:val="continuous"/>
            <w15:footnoteColumns w:val="1"/>
          </w:footnotePr>
          <w:pgSz w:w="11900" w:h="16840"/>
          <w:pgMar w:top="2406" w:right="1479" w:bottom="2406" w:left="1709" w:header="0" w:footer="3" w:gutter="0"/>
          <w:cols w:space="720"/>
          <w:noEndnote/>
          <w:rtlGutter w:val="0"/>
          <w:docGrid w:linePitch="360"/>
        </w:sectPr>
      </w:pPr>
      <w:r>
        <w:rPr>
          <w:rFonts w:ascii="SimSun" w:eastAsia="SimSun" w:hAnsi="SimSun" w:cs="SimSun"/>
          <w:color w:val="000000"/>
          <w:spacing w:val="0"/>
          <w:w w:val="100"/>
          <w:position w:val="0"/>
          <w:sz w:val="24"/>
          <w:szCs w:val="24"/>
        </w:rPr>
        <w:t>企业的股利</w:t>
        <w:tab/>
      </w:r>
      <w:r>
        <w:rPr>
          <w:color w:val="000000"/>
          <w:spacing w:val="0"/>
          <w:w w:val="100"/>
          <w:position w:val="0"/>
          <w:sz w:val="24"/>
          <w:szCs w:val="24"/>
        </w:rPr>
        <w:t>-</w:t>
        <w:tab/>
        <w:t>1,512</w:t>
      </w:r>
    </w:p>
    <w:p>
      <w:pPr>
        <w:pStyle w:val="Style72"/>
        <w:keepNext w:val="0"/>
        <w:keepLines w:val="0"/>
        <w:widowControl w:val="0"/>
        <w:numPr>
          <w:ilvl w:val="0"/>
          <w:numId w:val="119"/>
        </w:numPr>
        <w:shd w:val="clear" w:color="auto" w:fill="auto"/>
        <w:tabs>
          <w:tab w:pos="704" w:val="left"/>
        </w:tabs>
        <w:bidi w:val="0"/>
        <w:spacing w:before="0" w:after="260" w:line="240" w:lineRule="auto"/>
        <w:ind w:left="0" w:right="0" w:firstLine="0"/>
        <w:jc w:val="left"/>
        <w:rPr>
          <w:sz w:val="28"/>
          <w:szCs w:val="28"/>
        </w:rPr>
      </w:pPr>
      <w:bookmarkStart w:id="959" w:name="bookmark959"/>
      <w:bookmarkEnd w:id="959"/>
      <w:r>
        <w:rPr>
          <w:b/>
          <w:bCs/>
          <w:color w:val="000000"/>
          <w:spacing w:val="0"/>
          <w:w w:val="100"/>
          <w:position w:val="0"/>
          <w:sz w:val="24"/>
          <w:szCs w:val="24"/>
        </w:rPr>
        <w:t>在其他主体中的权益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4" w:val="left"/>
        </w:tabs>
        <w:bidi w:val="0"/>
        <w:spacing w:before="0" w:after="260" w:line="240" w:lineRule="auto"/>
        <w:ind w:left="0" w:right="0" w:firstLine="0"/>
        <w:jc w:val="left"/>
        <w:rPr>
          <w:sz w:val="28"/>
          <w:szCs w:val="28"/>
        </w:rPr>
      </w:pPr>
      <w:r>
        <w:rPr>
          <w:rFonts w:ascii="Arial" w:eastAsia="Arial" w:hAnsi="Arial" w:cs="Arial"/>
          <w:color w:val="000000"/>
          <w:spacing w:val="0"/>
          <w:w w:val="100"/>
          <w:position w:val="0"/>
          <w:sz w:val="24"/>
          <w:szCs w:val="24"/>
        </w:rPr>
        <w:t>（2）</w:t>
        <w:tab/>
      </w:r>
      <w:r>
        <w:rPr>
          <w:b/>
          <w:bCs/>
          <w:color w:val="000000"/>
          <w:spacing w:val="0"/>
          <w:w w:val="100"/>
          <w:position w:val="0"/>
          <w:sz w:val="24"/>
          <w:szCs w:val="24"/>
        </w:rPr>
        <w:t>在合营企业和联营企业中的权益</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4" w:val="left"/>
        </w:tabs>
        <w:bidi w:val="0"/>
        <w:spacing w:before="0" w:after="260" w:line="271" w:lineRule="auto"/>
        <w:ind w:left="0" w:right="0" w:firstLine="0"/>
        <w:jc w:val="left"/>
      </w:pPr>
      <w:bookmarkStart w:id="960" w:name="bookmark960"/>
      <w:r>
        <w:rPr>
          <w:rFonts w:ascii="Arial" w:eastAsia="Arial" w:hAnsi="Arial" w:cs="Arial"/>
          <w:color w:val="000000"/>
          <w:spacing w:val="0"/>
          <w:w w:val="100"/>
          <w:position w:val="0"/>
          <w:sz w:val="24"/>
          <w:szCs w:val="24"/>
        </w:rPr>
        <w:t>（</w:t>
      </w:r>
      <w:bookmarkEnd w:id="960"/>
      <w:r>
        <w:rPr>
          <w:rFonts w:ascii="Arial" w:eastAsia="Arial" w:hAnsi="Arial" w:cs="Arial"/>
          <w:color w:val="000000"/>
          <w:spacing w:val="0"/>
          <w:w w:val="100"/>
          <w:position w:val="0"/>
          <w:sz w:val="24"/>
          <w:szCs w:val="24"/>
        </w:rPr>
        <w:t>e）</w:t>
        <w:tab/>
      </w:r>
      <w:r>
        <w:rPr>
          <w:color w:val="000000"/>
          <w:spacing w:val="0"/>
          <w:w w:val="100"/>
          <w:position w:val="0"/>
          <w:sz w:val="24"/>
          <w:szCs w:val="24"/>
        </w:rPr>
        <w:t>联营公司发生的超额亏损</w:t>
      </w:r>
    </w:p>
    <w:p>
      <w:pPr>
        <w:pStyle w:val="Style72"/>
        <w:keepNext w:val="0"/>
        <w:keepLines w:val="0"/>
        <w:widowControl w:val="0"/>
        <w:shd w:val="clear" w:color="auto" w:fill="auto"/>
        <w:tabs>
          <w:tab w:pos="2078" w:val="left"/>
          <w:tab w:pos="4267" w:val="left"/>
        </w:tabs>
        <w:bidi w:val="0"/>
        <w:spacing w:before="0" w:after="0" w:line="312" w:lineRule="exact"/>
        <w:ind w:left="0" w:right="160" w:firstLine="0"/>
        <w:jc w:val="right"/>
      </w:pPr>
      <w:r>
        <w:rPr>
          <w:color w:val="000000"/>
          <w:spacing w:val="0"/>
          <w:w w:val="100"/>
          <w:position w:val="0"/>
          <w:sz w:val="24"/>
          <w:szCs w:val="24"/>
        </w:rPr>
        <w:t>年末累积未确认</w:t>
        <w:tab/>
        <w:t>本年度未确认的</w:t>
        <w:tab/>
        <w:t>年末累积未确</w:t>
      </w:r>
    </w:p>
    <w:p>
      <w:pPr>
        <w:pStyle w:val="Style72"/>
        <w:keepNext w:val="0"/>
        <w:keepLines w:val="0"/>
        <w:widowControl w:val="0"/>
        <w:shd w:val="clear" w:color="auto" w:fill="auto"/>
        <w:tabs>
          <w:tab w:pos="2342" w:val="left"/>
          <w:tab w:pos="3727" w:val="left"/>
        </w:tabs>
        <w:bidi w:val="0"/>
        <w:spacing w:before="0" w:after="260" w:line="312" w:lineRule="exact"/>
        <w:ind w:left="0" w:right="160" w:firstLine="0"/>
        <w:jc w:val="right"/>
      </w:pPr>
      <w:r>
        <w:rPr>
          <w:color w:val="000000"/>
          <w:spacing w:val="0"/>
          <w:w w:val="100"/>
          <w:position w:val="0"/>
          <w:sz w:val="24"/>
          <w:szCs w:val="24"/>
        </w:rPr>
        <w:t>的损失</w:t>
        <w:tab/>
        <w:t>损失</w:t>
        <w:tab/>
        <w:t>认的损失</w:t>
      </w:r>
    </w:p>
    <w:p>
      <w:pPr>
        <w:pStyle w:val="Style92"/>
        <w:keepNext w:val="0"/>
        <w:keepLines w:val="0"/>
        <w:widowControl w:val="0"/>
        <w:shd w:val="clear" w:color="auto" w:fill="auto"/>
        <w:tabs>
          <w:tab w:pos="3727" w:val="left"/>
          <w:tab w:pos="5779" w:val="left"/>
          <w:tab w:pos="7714" w:val="left"/>
        </w:tabs>
        <w:bidi w:val="0"/>
        <w:spacing w:before="0"/>
        <w:ind w:left="0" w:right="0" w:firstLine="720"/>
        <w:jc w:val="left"/>
      </w:pPr>
      <w:r>
        <w:rPr>
          <w:color w:val="000000"/>
          <w:spacing w:val="0"/>
          <w:w w:val="100"/>
          <w:position w:val="0"/>
          <w:sz w:val="24"/>
          <w:szCs w:val="24"/>
        </w:rPr>
        <w:t>Suning Smart Life</w:t>
        <w:tab/>
      </w:r>
      <w:r>
        <w:rPr>
          <w:color w:val="000000"/>
          <w:spacing w:val="0"/>
          <w:w w:val="100"/>
          <w:position w:val="0"/>
          <w:sz w:val="24"/>
          <w:szCs w:val="24"/>
        </w:rPr>
        <w:t>546,480</w:t>
        <w:tab/>
        <w:t>250,032</w:t>
        <w:tab/>
        <w:t>796,512</w:t>
      </w:r>
    </w:p>
    <w:p>
      <w:pPr>
        <w:pStyle w:val="Style72"/>
        <w:keepNext w:val="0"/>
        <w:keepLines w:val="0"/>
        <w:widowControl w:val="0"/>
        <w:numPr>
          <w:ilvl w:val="0"/>
          <w:numId w:val="119"/>
        </w:numPr>
        <w:shd w:val="clear" w:color="auto" w:fill="auto"/>
        <w:tabs>
          <w:tab w:pos="704" w:val="left"/>
        </w:tabs>
        <w:bidi w:val="0"/>
        <w:spacing w:before="0" w:after="260" w:line="240" w:lineRule="auto"/>
        <w:ind w:left="0" w:right="0" w:firstLine="0"/>
        <w:jc w:val="left"/>
      </w:pPr>
      <w:bookmarkStart w:id="961" w:name="bookmark961"/>
      <w:bookmarkEnd w:id="961"/>
      <w:r>
        <w:rPr>
          <w:b/>
          <w:bCs/>
          <w:color w:val="000000"/>
          <w:spacing w:val="0"/>
          <w:w w:val="100"/>
          <w:position w:val="0"/>
          <w:sz w:val="24"/>
          <w:szCs w:val="24"/>
        </w:rPr>
        <w:t>分部信息</w:t>
      </w:r>
    </w:p>
    <w:p>
      <w:pPr>
        <w:pStyle w:val="Style72"/>
        <w:keepNext w:val="0"/>
        <w:keepLines w:val="0"/>
        <w:widowControl w:val="0"/>
        <w:shd w:val="clear" w:color="auto" w:fill="auto"/>
        <w:bidi w:val="0"/>
        <w:spacing w:before="0" w:after="0" w:line="312" w:lineRule="exact"/>
        <w:ind w:left="0" w:right="0" w:firstLine="720"/>
        <w:jc w:val="both"/>
      </w:pPr>
      <w:r>
        <w:rPr>
          <w:color w:val="000000"/>
          <w:spacing w:val="0"/>
          <w:w w:val="100"/>
          <w:position w:val="0"/>
          <w:sz w:val="24"/>
          <w:szCs w:val="24"/>
        </w:rPr>
        <w:t>本集团的报告分部是提供不同产品或服务、或在不同地区经营的业务单元。</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本集团业务主要来源于中国和日本，由于不同地区需要不同的技术和市场战 略，因此，本集团分别独立管理各个报告分部的生产经营活动，分别评价其 经营成果，以决定向其配置资源并评价其业绩。</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年度，本集团有</w:t>
      </w:r>
      <w:r>
        <w:rPr>
          <w:rFonts w:ascii="Arial" w:eastAsia="Arial" w:hAnsi="Arial" w:cs="Arial"/>
          <w:color w:val="000000"/>
          <w:spacing w:val="0"/>
          <w:w w:val="100"/>
          <w:position w:val="0"/>
          <w:sz w:val="24"/>
          <w:szCs w:val="24"/>
        </w:rPr>
        <w:t>3</w:t>
      </w:r>
      <w:r>
        <w:rPr>
          <w:color w:val="000000"/>
          <w:spacing w:val="0"/>
          <w:w w:val="100"/>
          <w:position w:val="0"/>
          <w:sz w:val="24"/>
          <w:szCs w:val="24"/>
        </w:rPr>
        <w:t>个报告分部，分别为：</w:t>
      </w:r>
    </w:p>
    <w:p>
      <w:pPr>
        <w:pStyle w:val="Style72"/>
        <w:keepNext w:val="0"/>
        <w:keepLines w:val="0"/>
        <w:widowControl w:val="0"/>
        <w:shd w:val="clear" w:color="auto" w:fill="auto"/>
        <w:bidi w:val="0"/>
        <w:spacing w:before="0" w:after="260" w:line="312" w:lineRule="exact"/>
        <w:ind w:left="1120" w:right="0" w:hanging="40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中国零售分部，负责中国大陆地区家用电器、消费类电子产品及日用百货 等的销售和服务以及其他服务</w:t>
      </w:r>
    </w:p>
    <w:p>
      <w:pPr>
        <w:pStyle w:val="Style72"/>
        <w:keepNext w:val="0"/>
        <w:keepLines w:val="0"/>
        <w:widowControl w:val="0"/>
        <w:shd w:val="clear" w:color="auto" w:fill="auto"/>
        <w:bidi w:val="0"/>
        <w:spacing w:before="0" w:after="260" w:line="307" w:lineRule="exact"/>
        <w:ind w:left="0" w:right="0" w:firstLine="72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中国物流分部，负责中国地区相关物流业务的服务</w:t>
      </w:r>
    </w:p>
    <w:p>
      <w:pPr>
        <w:pStyle w:val="Style72"/>
        <w:keepNext w:val="0"/>
        <w:keepLines w:val="0"/>
        <w:widowControl w:val="0"/>
        <w:shd w:val="clear" w:color="auto" w:fill="auto"/>
        <w:bidi w:val="0"/>
        <w:spacing w:before="0" w:after="260" w:line="307" w:lineRule="exact"/>
        <w:ind w:left="0" w:right="0" w:firstLine="72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海外分部，负责中国香港及其他地区销售、对外投资以及其他服务</w:t>
      </w:r>
    </w:p>
    <w:p>
      <w:pPr>
        <w:pStyle w:val="Style72"/>
        <w:keepNext w:val="0"/>
        <w:keepLines w:val="0"/>
        <w:widowControl w:val="0"/>
        <w:shd w:val="clear" w:color="auto" w:fill="auto"/>
        <w:bidi w:val="0"/>
        <w:spacing w:before="0" w:after="260" w:line="307" w:lineRule="exact"/>
        <w:ind w:left="0" w:right="0" w:firstLine="720"/>
        <w:jc w:val="both"/>
      </w:pPr>
      <w:r>
        <w:rPr>
          <w:color w:val="000000"/>
          <w:spacing w:val="0"/>
          <w:w w:val="100"/>
          <w:position w:val="0"/>
          <w:sz w:val="24"/>
          <w:szCs w:val="24"/>
        </w:rPr>
        <w:t>分部间转移价格参照向第三方销售所采用的价格确定。</w:t>
      </w:r>
    </w:p>
    <w:p>
      <w:pPr>
        <w:pStyle w:val="Style72"/>
        <w:keepNext w:val="0"/>
        <w:keepLines w:val="0"/>
        <w:widowControl w:val="0"/>
        <w:shd w:val="clear" w:color="auto" w:fill="auto"/>
        <w:bidi w:val="0"/>
        <w:spacing w:before="0" w:after="260" w:line="307" w:lineRule="exact"/>
        <w:ind w:right="0" w:firstLine="0"/>
        <w:jc w:val="both"/>
        <w:sectPr>
          <w:footnotePr>
            <w:pos w:val="pageBottom"/>
            <w:numFmt w:val="decimal"/>
            <w:numStart w:val="1"/>
            <w:numRestart w:val="continuous"/>
            <w15:footnoteColumns w:val="1"/>
          </w:footnotePr>
          <w:pgSz w:w="11900" w:h="16840"/>
          <w:pgMar w:top="2406" w:right="1422" w:bottom="2406" w:left="1704" w:header="0" w:footer="3" w:gutter="0"/>
          <w:cols w:space="720"/>
          <w:noEndnote/>
          <w:rtlGutter w:val="0"/>
          <w:docGrid w:linePitch="360"/>
        </w:sectPr>
      </w:pPr>
      <w:r>
        <w:rPr>
          <w:color w:val="000000"/>
          <w:spacing w:val="0"/>
          <w:w w:val="100"/>
          <w:position w:val="0"/>
          <w:sz w:val="24"/>
          <w:szCs w:val="24"/>
        </w:rPr>
        <w:t>资产根据分部的经营以及资产的所在位置进行分配，负债根据分部的经营进 行分配，间接归属于各分部的费用按照收入比例在分部之间进行分配。</w:t>
      </w:r>
    </w:p>
    <w:p>
      <w:pPr>
        <w:pStyle w:val="Style72"/>
        <w:keepNext w:val="0"/>
        <w:keepLines w:val="0"/>
        <w:widowControl w:val="0"/>
        <w:shd w:val="clear" w:color="auto" w:fill="auto"/>
        <w:bidi w:val="0"/>
        <w:spacing w:before="0" w:after="60" w:line="240" w:lineRule="auto"/>
        <w:ind w:left="0" w:right="0" w:firstLine="700"/>
        <w:jc w:val="left"/>
      </w:pPr>
      <w:r>
        <w:rPr>
          <w:b/>
          <w:bCs/>
          <w:color w:val="000000"/>
          <w:spacing w:val="0"/>
          <w:w w:val="100"/>
          <w:position w:val="0"/>
          <w:sz w:val="24"/>
          <w:szCs w:val="24"/>
        </w:rPr>
        <w:t>苏宁易购集团股份有限公司</w:t>
      </w:r>
    </w:p>
    <w:p>
      <w:pPr>
        <w:pStyle w:val="Style72"/>
        <w:keepNext w:val="0"/>
        <w:keepLines w:val="0"/>
        <w:widowControl w:val="0"/>
        <w:shd w:val="clear" w:color="auto" w:fill="auto"/>
        <w:bidi w:val="0"/>
        <w:spacing w:before="0" w:after="60" w:line="240" w:lineRule="auto"/>
        <w:ind w:left="0" w:right="0" w:firstLine="70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20" w:line="240" w:lineRule="auto"/>
        <w:ind w:left="0" w:right="0" w:firstLine="70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tabs>
          <w:tab w:pos="710" w:val="left"/>
        </w:tabs>
        <w:bidi w:val="0"/>
        <w:spacing w:before="0" w:after="260" w:line="240" w:lineRule="auto"/>
        <w:ind w:left="0" w:right="0" w:firstLine="0"/>
        <w:jc w:val="left"/>
      </w:pPr>
      <w:r>
        <w:rPr>
          <w:b/>
          <w:bCs/>
          <w:color w:val="000000"/>
          <w:spacing w:val="0"/>
          <w:w w:val="100"/>
          <w:position w:val="0"/>
          <w:sz w:val="24"/>
          <w:szCs w:val="24"/>
        </w:rPr>
        <w:t>七</w:t>
        <w:tab/>
        <w:t>分部信息</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tabs>
          <w:tab w:pos="710" w:val="left"/>
        </w:tabs>
        <w:bidi w:val="0"/>
        <w:spacing w:before="0" w:after="220" w:line="240" w:lineRule="auto"/>
        <w:ind w:left="0" w:right="0" w:firstLine="0"/>
        <w:jc w:val="left"/>
      </w:pPr>
      <w:r>
        <w:rPr>
          <w:rFonts w:ascii="Arial" w:eastAsia="Arial" w:hAnsi="Arial" w:cs="Arial"/>
          <w:color w:val="000000"/>
          <w:spacing w:val="0"/>
          <w:w w:val="100"/>
          <w:position w:val="0"/>
          <w:sz w:val="24"/>
          <w:szCs w:val="24"/>
        </w:rPr>
        <w:t>（a）</w:t>
        <w:tab/>
      </w:r>
      <w:r>
        <w:rPr>
          <w:rFonts w:ascii="Arial" w:eastAsia="Arial" w:hAnsi="Arial" w:cs="Arial"/>
          <w:color w:val="000000"/>
          <w:spacing w:val="0"/>
          <w:w w:val="100"/>
          <w:position w:val="0"/>
          <w:sz w:val="24"/>
          <w:szCs w:val="24"/>
        </w:rPr>
        <w:t>2021</w:t>
      </w:r>
      <w:r>
        <w:rPr>
          <w:color w:val="000000"/>
          <w:spacing w:val="0"/>
          <w:w w:val="100"/>
          <w:position w:val="0"/>
          <w:sz w:val="24"/>
          <w:szCs w:val="24"/>
        </w:rPr>
        <w:t>年度及</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日分部信息列示如下:</w:t>
      </w:r>
    </w:p>
    <w:tbl>
      <w:tblPr>
        <w:tblOverlap w:val="never"/>
        <w:jc w:val="right"/>
        <w:tblLayout w:type="fixed"/>
      </w:tblPr>
      <w:tblGrid>
        <w:gridCol w:w="2141"/>
        <w:gridCol w:w="1301"/>
        <w:gridCol w:w="1186"/>
        <w:gridCol w:w="1152"/>
        <w:gridCol w:w="1142"/>
        <w:gridCol w:w="1109"/>
      </w:tblGrid>
      <w:tr>
        <w:trPr>
          <w:trHeight w:val="55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中国</w:t>
            </w:r>
          </w:p>
          <w:p>
            <w:pPr>
              <w:pStyle w:val="Style29"/>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零售分部</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640"/>
              <w:jc w:val="left"/>
              <w:rPr>
                <w:sz w:val="15"/>
                <w:szCs w:val="15"/>
              </w:rPr>
            </w:pPr>
            <w:r>
              <w:rPr>
                <w:rFonts w:ascii="SimSun" w:eastAsia="SimSun" w:hAnsi="SimSun" w:cs="SimSun"/>
                <w:color w:val="000000"/>
                <w:spacing w:val="0"/>
                <w:w w:val="100"/>
                <w:position w:val="0"/>
                <w:sz w:val="15"/>
                <w:szCs w:val="15"/>
              </w:rPr>
              <w:t>中国</w:t>
            </w:r>
          </w:p>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物流分部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海外分部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分部间抵销</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合计</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131,195,827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6,330,806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4,429,194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(3,051,490)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138,904,337</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其中：对外交易收入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130,938,706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3,554,469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4,411,162</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138,904,337</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营业成本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(126,556,842)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(5,539,819)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(4,060,454)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6,418,958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(129,738,157)</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税金及附加</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(470,461)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(118,348)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(69,789)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(658,598)</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销售费用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(15,214,385)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(955,040)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(263,524)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(3,486,764)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(19,919,713)</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管理费用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(3,625,217)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(470,810)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(119,517)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63,705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(4,151,839)</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研发费用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(1,837,863)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(126,111)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52,414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(1,911,560)</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财务费用</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净额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(3,107,608)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(150,827)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(368,540)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4,813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(3,622,162)</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资产减值损失</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(13,009,002)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(3,325,696)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(50,611)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(16,385,309)</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信用减值损失</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(2,653,447)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(35,258)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(142,731)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(2,831,436)</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公允价值变动</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损失</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(292,983)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65,699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102,921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(124,363)</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5"/>
                <w:szCs w:val="15"/>
              </w:rPr>
              <w:t>投资收益</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损失</w:t>
            </w:r>
            <w:r>
              <w:rPr>
                <w:rFonts w:ascii="SimSun" w:eastAsia="SimSun" w:hAnsi="SimSun" w:cs="SimSun"/>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(12,767,090)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1,390,438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(309,966)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(11,686,618)</w:t>
            </w:r>
          </w:p>
        </w:tc>
      </w:tr>
      <w:tr>
        <w:trPr>
          <w:trHeight w:val="19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其中：对合营企业及联营企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业的投资收益</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5"/>
                <w:szCs w:val="15"/>
              </w:rPr>
              <w:t>失</w:t>
            </w: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(14,230,484)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305,295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(107,923)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(14,033,112)</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资产处置</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亏损</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214,858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(115,673)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(24)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99,161</w:t>
            </w:r>
          </w:p>
        </w:tc>
      </w:tr>
      <w:tr>
        <w:trPr>
          <w:trHeight w:val="35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其他收益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270,994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80,229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351,223</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(47,853,219)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(2,970,410)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(853,041)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1,636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(51,675,034)</w:t>
            </w:r>
          </w:p>
        </w:tc>
      </w:tr>
      <w:tr>
        <w:trPr>
          <w:trHeight w:val="23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营业外收入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409,345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33,652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117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443,114</w:t>
            </w:r>
          </w:p>
        </w:tc>
      </w:tr>
      <w:tr>
        <w:trPr>
          <w:trHeight w:val="2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营业外支出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(764,483)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(75,199)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(1,809)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6"/>
                <w:szCs w:val="16"/>
              </w:rPr>
            </w:pPr>
            <w:r>
              <w:rPr>
                <w:rFonts w:ascii="Arial" w:eastAsia="Arial" w:hAnsi="Arial" w:cs="Arial"/>
                <w:color w:val="000000"/>
                <w:spacing w:val="0"/>
                <w:w w:val="100"/>
                <w:position w:val="0"/>
                <w:sz w:val="16"/>
                <w:szCs w:val="16"/>
              </w:rPr>
              <w:t>(841,491)</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亏损总额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(48,208,357)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(3,011,957)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(854,733)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1,636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(52,073,411)</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所得税费用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8,263,918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(369,863)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7,894,050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净亏损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(39,944,439)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(3,381,820)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(854,738)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1,636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(44,179,361)</w:t>
            </w:r>
          </w:p>
        </w:tc>
      </w:tr>
      <w:tr>
        <w:trPr>
          <w:trHeight w:val="47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资产总额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160,056,312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21,707,944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38,976,632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(50,002,802)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170,738,086</w:t>
            </w:r>
          </w:p>
        </w:tc>
      </w:tr>
      <w:tr>
        <w:trPr>
          <w:trHeight w:val="45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负债总额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144,680,081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22,664,342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22,369,350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(50,004,438)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139,709,335</w:t>
            </w: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对联营企业和合营企业的长</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期股权投资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14,009,706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1,023,213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271,569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15,304,488</w:t>
            </w:r>
          </w:p>
        </w:tc>
      </w:tr>
      <w:tr>
        <w:trPr>
          <w:trHeight w:val="35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非流动资产增加</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减少</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额</w:t>
            </w:r>
            <w:r>
              <w:rPr>
                <w:rFonts w:ascii="Arial" w:eastAsia="Arial" w:hAnsi="Arial" w:cs="Arial"/>
                <w:color w:val="000000"/>
                <w:spacing w:val="0"/>
                <w:w w:val="100"/>
                <w:position w:val="0"/>
                <w:sz w:val="16"/>
                <w:szCs w:val="16"/>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16,828,235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(3,800,274)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57,525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(101,057)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12,984,429</w:t>
            </w:r>
          </w:p>
        </w:tc>
      </w:tr>
    </w:tbl>
    <w:p>
      <w:pPr>
        <w:widowControl w:val="0"/>
        <w:spacing w:after="219" w:line="1" w:lineRule="exact"/>
      </w:pPr>
    </w:p>
    <w:p>
      <w:pPr>
        <w:pStyle w:val="Style72"/>
        <w:keepNext w:val="0"/>
        <w:keepLines w:val="0"/>
        <w:widowControl w:val="0"/>
        <w:shd w:val="clear" w:color="auto" w:fill="auto"/>
        <w:tabs>
          <w:tab w:pos="710" w:val="left"/>
        </w:tabs>
        <w:bidi w:val="0"/>
        <w:spacing w:before="0" w:after="220" w:line="240" w:lineRule="auto"/>
        <w:ind w:left="0" w:right="0" w:firstLine="0"/>
        <w:jc w:val="left"/>
      </w:pPr>
      <w:r>
        <w:rPr>
          <w:color w:val="000000"/>
          <w:spacing w:val="0"/>
          <w:w w:val="100"/>
          <w:position w:val="0"/>
          <w:sz w:val="24"/>
          <w:szCs w:val="24"/>
        </w:rPr>
        <w:t>⑴</w:t>
        <w:tab/>
        <w:t>非流动资产不包括金融资产、长期股权投资和递延所得税资产。</w:t>
      </w:r>
      <w:r>
        <w:br w:type="page"/>
      </w:r>
    </w:p>
    <w:p>
      <w:pPr>
        <w:pStyle w:val="Style72"/>
        <w:keepNext w:val="0"/>
        <w:keepLines w:val="0"/>
        <w:widowControl w:val="0"/>
        <w:shd w:val="clear" w:color="auto" w:fill="auto"/>
        <w:bidi w:val="0"/>
        <w:spacing w:before="0" w:after="60" w:line="240" w:lineRule="auto"/>
        <w:ind w:left="0" w:right="0" w:firstLine="700"/>
        <w:jc w:val="left"/>
      </w:pPr>
      <w:r>
        <w:rPr>
          <w:b/>
          <w:bCs/>
          <w:color w:val="000000"/>
          <w:spacing w:val="0"/>
          <w:w w:val="100"/>
          <w:position w:val="0"/>
          <w:sz w:val="24"/>
          <w:szCs w:val="24"/>
        </w:rPr>
        <w:t>苏宁易购集团股份有限公司</w:t>
      </w:r>
    </w:p>
    <w:p>
      <w:pPr>
        <w:pStyle w:val="Style72"/>
        <w:keepNext w:val="0"/>
        <w:keepLines w:val="0"/>
        <w:widowControl w:val="0"/>
        <w:shd w:val="clear" w:color="auto" w:fill="auto"/>
        <w:bidi w:val="0"/>
        <w:spacing w:before="0" w:after="60" w:line="240" w:lineRule="auto"/>
        <w:ind w:left="0" w:right="0" w:firstLine="70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280" w:line="240" w:lineRule="auto"/>
        <w:ind w:left="0" w:right="0" w:firstLine="70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tabs>
          <w:tab w:pos="685" w:val="left"/>
        </w:tabs>
        <w:bidi w:val="0"/>
        <w:spacing w:before="0" w:after="280" w:line="240" w:lineRule="auto"/>
        <w:ind w:left="0" w:right="0" w:firstLine="0"/>
        <w:jc w:val="left"/>
        <w:rPr>
          <w:sz w:val="28"/>
          <w:szCs w:val="28"/>
        </w:rPr>
      </w:pPr>
      <w:r>
        <w:rPr>
          <w:b/>
          <w:bCs/>
          <w:color w:val="000000"/>
          <w:spacing w:val="0"/>
          <w:w w:val="100"/>
          <w:position w:val="0"/>
          <w:sz w:val="24"/>
          <w:szCs w:val="24"/>
        </w:rPr>
        <w:t>七</w:t>
        <w:tab/>
        <w:t>分部信息</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85" w:val="left"/>
        </w:tabs>
        <w:bidi w:val="0"/>
        <w:spacing w:before="0" w:after="200" w:line="240" w:lineRule="auto"/>
        <w:ind w:left="0" w:right="0" w:firstLine="0"/>
        <w:jc w:val="left"/>
      </w:pPr>
      <w:r>
        <w:rPr>
          <w:rFonts w:ascii="Arial" w:eastAsia="Arial" w:hAnsi="Arial" w:cs="Arial"/>
          <w:color w:val="000000"/>
          <w:spacing w:val="0"/>
          <w:w w:val="100"/>
          <w:position w:val="0"/>
          <w:sz w:val="24"/>
          <w:szCs w:val="24"/>
        </w:rPr>
        <w:t>（b）</w:t>
        <w:tab/>
      </w:r>
      <w:r>
        <w:rPr>
          <w:rFonts w:ascii="Arial" w:eastAsia="Arial" w:hAnsi="Arial" w:cs="Arial"/>
          <w:color w:val="000000"/>
          <w:spacing w:val="0"/>
          <w:w w:val="100"/>
          <w:position w:val="0"/>
          <w:sz w:val="24"/>
          <w:szCs w:val="24"/>
        </w:rPr>
        <w:t>2020</w:t>
      </w:r>
      <w:r>
        <w:rPr>
          <w:color w:val="000000"/>
          <w:spacing w:val="0"/>
          <w:w w:val="100"/>
          <w:position w:val="0"/>
          <w:sz w:val="24"/>
          <w:szCs w:val="24"/>
        </w:rPr>
        <w:t>年度及</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日分部信息列示如下:</w:t>
      </w:r>
    </w:p>
    <w:tbl>
      <w:tblPr>
        <w:tblOverlap w:val="never"/>
        <w:jc w:val="right"/>
        <w:tblLayout w:type="fixed"/>
      </w:tblPr>
      <w:tblGrid>
        <w:gridCol w:w="2136"/>
        <w:gridCol w:w="1277"/>
        <w:gridCol w:w="1205"/>
        <w:gridCol w:w="1157"/>
        <w:gridCol w:w="1142"/>
        <w:gridCol w:w="1099"/>
      </w:tblGrid>
      <w:tr>
        <w:trPr>
          <w:trHeight w:val="55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中国</w:t>
            </w:r>
          </w:p>
          <w:p>
            <w:pPr>
              <w:pStyle w:val="Style29"/>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零售分部</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680"/>
              <w:jc w:val="left"/>
              <w:rPr>
                <w:sz w:val="15"/>
                <w:szCs w:val="15"/>
              </w:rPr>
            </w:pPr>
            <w:r>
              <w:rPr>
                <w:rFonts w:ascii="SimSun" w:eastAsia="SimSun" w:hAnsi="SimSun" w:cs="SimSun"/>
                <w:color w:val="000000"/>
                <w:spacing w:val="0"/>
                <w:w w:val="100"/>
                <w:position w:val="0"/>
                <w:sz w:val="15"/>
                <w:szCs w:val="15"/>
              </w:rPr>
              <w:t>中国</w:t>
            </w:r>
          </w:p>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物流分部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海外分部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5"/>
                <w:szCs w:val="15"/>
              </w:rPr>
            </w:pPr>
            <w:r>
              <w:rPr>
                <w:rFonts w:ascii="SimSun" w:eastAsia="SimSun" w:hAnsi="SimSun" w:cs="SimSun"/>
                <w:color w:val="000000"/>
                <w:spacing w:val="0"/>
                <w:w w:val="100"/>
                <w:position w:val="0"/>
                <w:sz w:val="15"/>
                <w:szCs w:val="15"/>
              </w:rPr>
              <w:t>分部间抵销</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合计</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240,914,849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12,287,820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7,830,214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(8,737,217)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252,295,666</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其中：对外交易收入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238,704,204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5,809,909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7,781,553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252,295,666</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营业成本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(216,290,718)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(11,828,327)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(7,401,637)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10,943,285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(224,577,397)</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税金及附加</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(617,356)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(164,214)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(191,205)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(972,775)</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销售费用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(21,654,305)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(1,234,464)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(349,308)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(2,438,434)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(25,676,511)</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管理费用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(4,040,226)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(514,308)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(133,894)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28,708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(4,659,720)</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研发费用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(2,236,559)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(206,540)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(24,127)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203,293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(2,263,933)</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财务费用</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净额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(2,179,209)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53,398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160,387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(1,965,424)</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资产减值损失</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(430,378)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(1,727,551)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(30,032)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(2,187,961)</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信用减值</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损失</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转回</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(411,208)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1,685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(2,115)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(411,638)</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公允价值变动</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损失</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(102,045)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9,934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559,391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467,280</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5"/>
                <w:szCs w:val="15"/>
              </w:rPr>
              <w:t>投资收益</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损失</w:t>
            </w:r>
            <w:r>
              <w:rPr>
                <w:rFonts w:ascii="SimSun" w:eastAsia="SimSun" w:hAnsi="SimSun" w:cs="SimSun"/>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2,110,066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931,847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(828,251)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2,213,662</w:t>
            </w:r>
          </w:p>
        </w:tc>
      </w:tr>
      <w:tr>
        <w:trPr>
          <w:trHeight w:val="19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其中：对合营企业及联营企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业的投资收益</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5"/>
                <w:szCs w:val="15"/>
              </w:rPr>
              <w:t>失</w:t>
            </w: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1,289,280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112,235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(1,387,397)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14,118</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资产处置</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亏损</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45,920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(10,274)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35,646</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其他收益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579,527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251,644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8,126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839,297</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(4,311,642)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(2,149,350)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(402,451)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(365)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(6,863,808)</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营业外收入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325,570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85,344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14,161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425,075</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营业外支出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(430,944)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(27,464)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(3,500)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(461,908)</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亏损总额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(4,417,016)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(2,091,470)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(391,790)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(365)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(6,900,641)</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所得税费用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1,282,450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260,331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1,542,775</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净亏损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(3,134,566)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(1,831,139)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(391,796)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(365)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(5,357,866)</w:t>
            </w:r>
          </w:p>
        </w:tc>
      </w:tr>
      <w:tr>
        <w:trPr>
          <w:trHeight w:val="47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资产总额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182,904,058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26,734,519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48,078,804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(45,642,181)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212,075,200</w:t>
            </w:r>
          </w:p>
        </w:tc>
      </w:tr>
      <w:tr>
        <w:trPr>
          <w:trHeight w:val="45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负债总额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134,016,131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24,052,731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22,816,350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(45,641,815)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135,243,397</w:t>
            </w: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对联营企业和合营企业的长</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期股权投资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36,909,662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2,020,794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421,497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39,351,953</w:t>
            </w:r>
          </w:p>
        </w:tc>
      </w:tr>
      <w:tr>
        <w:trPr>
          <w:trHeight w:val="35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非流动资产减少额</w:t>
            </w:r>
            <w:r>
              <w:rPr>
                <w:rFonts w:ascii="Arial" w:eastAsia="Arial" w:hAnsi="Arial" w:cs="Arial"/>
                <w:color w:val="000000"/>
                <w:spacing w:val="0"/>
                <w:w w:val="100"/>
                <w:position w:val="0"/>
                <w:sz w:val="16"/>
                <w:szCs w:val="16"/>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(1,841,123)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(609,773)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(61,515)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(216,963)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(2,729,374)</w:t>
            </w:r>
          </w:p>
        </w:tc>
      </w:tr>
    </w:tbl>
    <w:p>
      <w:pPr>
        <w:widowControl w:val="0"/>
        <w:spacing w:after="199" w:line="1" w:lineRule="exact"/>
      </w:pPr>
    </w:p>
    <w:p>
      <w:pPr>
        <w:pStyle w:val="Style72"/>
        <w:keepNext w:val="0"/>
        <w:keepLines w:val="0"/>
        <w:widowControl w:val="0"/>
        <w:shd w:val="clear" w:color="auto" w:fill="auto"/>
        <w:tabs>
          <w:tab w:pos="685" w:val="left"/>
        </w:tabs>
        <w:bidi w:val="0"/>
        <w:spacing w:before="0" w:after="200" w:line="240" w:lineRule="auto"/>
        <w:ind w:left="0" w:right="0" w:firstLine="0"/>
        <w:jc w:val="left"/>
        <w:sectPr>
          <w:footnotePr>
            <w:pos w:val="pageBottom"/>
            <w:numFmt w:val="decimal"/>
            <w:numStart w:val="1"/>
            <w:numRestart w:val="continuous"/>
            <w15:footnoteColumns w:val="1"/>
          </w:footnotePr>
          <w:pgSz w:w="11900" w:h="16840"/>
          <w:pgMar w:top="778" w:right="1431" w:bottom="4269" w:left="1694" w:header="0" w:footer="3" w:gutter="0"/>
          <w:cols w:space="720"/>
          <w:noEndnote/>
          <w:rtlGutter w:val="0"/>
          <w:docGrid w:linePitch="360"/>
        </w:sectPr>
      </w:pPr>
      <w:r>
        <w:rPr>
          <w:color w:val="000000"/>
          <w:spacing w:val="0"/>
          <w:w w:val="100"/>
          <w:position w:val="0"/>
          <w:sz w:val="24"/>
          <w:szCs w:val="24"/>
        </w:rPr>
        <w:t>⑴</w:t>
        <w:tab/>
        <w:t>非流动资产不包括金融资产、长期股权投资和递延所得税资产。</w:t>
      </w:r>
    </w:p>
    <w:p>
      <w:pPr>
        <w:pStyle w:val="Style72"/>
        <w:keepNext w:val="0"/>
        <w:keepLines w:val="0"/>
        <w:widowControl w:val="0"/>
        <w:shd w:val="clear" w:color="auto" w:fill="auto"/>
        <w:tabs>
          <w:tab w:pos="665" w:val="left"/>
        </w:tabs>
        <w:bidi w:val="0"/>
        <w:spacing w:before="0" w:after="280" w:line="240" w:lineRule="auto"/>
        <w:ind w:left="0" w:right="0" w:firstLine="0"/>
        <w:jc w:val="both"/>
        <w:rPr>
          <w:sz w:val="28"/>
          <w:szCs w:val="28"/>
        </w:rPr>
      </w:pPr>
      <w:r>
        <w:rPr>
          <w:b/>
          <w:bCs/>
          <w:color w:val="000000"/>
          <w:spacing w:val="0"/>
          <w:w w:val="100"/>
          <w:position w:val="0"/>
          <w:sz w:val="24"/>
          <w:szCs w:val="24"/>
        </w:rPr>
        <w:t>七</w:t>
        <w:tab/>
        <w:t>分部信息</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65" w:val="left"/>
        </w:tabs>
        <w:bidi w:val="0"/>
        <w:spacing w:before="0" w:after="0" w:line="317" w:lineRule="exact"/>
        <w:ind w:left="0" w:right="0" w:firstLine="0"/>
        <w:jc w:val="both"/>
      </w:pPr>
      <w:bookmarkStart w:id="962" w:name="bookmark962"/>
      <w:r>
        <w:rPr>
          <w:rFonts w:ascii="Arial" w:eastAsia="Arial" w:hAnsi="Arial" w:cs="Arial"/>
          <w:color w:val="000000"/>
          <w:spacing w:val="0"/>
          <w:w w:val="100"/>
          <w:position w:val="0"/>
          <w:sz w:val="24"/>
          <w:szCs w:val="24"/>
        </w:rPr>
        <w:t>（</w:t>
      </w:r>
      <w:bookmarkEnd w:id="962"/>
      <w:r>
        <w:rPr>
          <w:rFonts w:ascii="Arial" w:eastAsia="Arial" w:hAnsi="Arial" w:cs="Arial"/>
          <w:color w:val="000000"/>
          <w:spacing w:val="0"/>
          <w:w w:val="100"/>
          <w:position w:val="0"/>
          <w:sz w:val="24"/>
          <w:szCs w:val="24"/>
        </w:rPr>
        <w:t>c）</w:t>
        <w:tab/>
      </w:r>
      <w:r>
        <w:rPr>
          <w:color w:val="000000"/>
          <w:spacing w:val="0"/>
          <w:w w:val="100"/>
          <w:position w:val="0"/>
          <w:sz w:val="24"/>
          <w:szCs w:val="24"/>
        </w:rPr>
        <w:t>本集团在国内及其他国家和地区的对外交易收入总额，以及本集团位于国内</w:t>
      </w:r>
    </w:p>
    <w:p>
      <w:pPr>
        <w:pStyle w:val="Style72"/>
        <w:keepNext w:val="0"/>
        <w:keepLines w:val="0"/>
        <w:widowControl w:val="0"/>
        <w:shd w:val="clear" w:color="auto" w:fill="auto"/>
        <w:bidi w:val="0"/>
        <w:spacing w:before="0" w:after="280" w:line="317" w:lineRule="exact"/>
        <w:ind w:right="0" w:firstLine="0"/>
        <w:jc w:val="both"/>
      </w:pPr>
      <w:r>
        <w:rPr>
          <w:color w:val="000000"/>
          <w:spacing w:val="0"/>
          <w:w w:val="100"/>
          <w:position w:val="0"/>
          <w:sz w:val="24"/>
          <w:szCs w:val="24"/>
        </w:rPr>
        <w:t>及其他国家和地区的除金融资产、长期应收款、长期股权投资及递延所得税 资产之外的非流动产总额列示如下：</w:t>
      </w:r>
    </w:p>
    <w:p>
      <w:pPr>
        <w:pStyle w:val="Style72"/>
        <w:keepNext w:val="0"/>
        <w:keepLines w:val="0"/>
        <w:widowControl w:val="0"/>
        <w:shd w:val="clear" w:color="auto" w:fill="auto"/>
        <w:tabs>
          <w:tab w:pos="6107" w:val="right"/>
          <w:tab w:pos="8578" w:val="right"/>
        </w:tabs>
        <w:bidi w:val="0"/>
        <w:spacing w:before="0" w:after="280" w:line="317" w:lineRule="exact"/>
        <w:ind w:right="0" w:firstLine="0"/>
        <w:jc w:val="both"/>
      </w:pPr>
      <w:r>
        <w:rPr>
          <w:color w:val="000000"/>
          <w:spacing w:val="0"/>
          <w:w w:val="100"/>
          <w:position w:val="0"/>
          <w:sz w:val="24"/>
          <w:szCs w:val="24"/>
        </w:rPr>
        <w:t>对外交易收入</w:t>
        <w:tab/>
      </w:r>
      <w:r>
        <w:rPr>
          <w:rFonts w:ascii="Arial" w:eastAsia="Arial" w:hAnsi="Arial" w:cs="Arial"/>
          <w:color w:val="000000"/>
          <w:spacing w:val="0"/>
          <w:w w:val="100"/>
          <w:position w:val="0"/>
          <w:sz w:val="24"/>
          <w:szCs w:val="24"/>
        </w:rPr>
        <w:t>2021</w:t>
      </w:r>
      <w:r>
        <w:rPr>
          <w:color w:val="000000"/>
          <w:spacing w:val="0"/>
          <w:w w:val="100"/>
          <w:position w:val="0"/>
          <w:sz w:val="24"/>
          <w:szCs w:val="24"/>
        </w:rPr>
        <w:t>年度</w:t>
        <w:tab/>
      </w:r>
      <w:r>
        <w:rPr>
          <w:rFonts w:ascii="Arial" w:eastAsia="Arial" w:hAnsi="Arial" w:cs="Arial"/>
          <w:color w:val="000000"/>
          <w:spacing w:val="0"/>
          <w:w w:val="100"/>
          <w:position w:val="0"/>
          <w:sz w:val="24"/>
          <w:szCs w:val="24"/>
        </w:rPr>
        <w:t>2020</w:t>
      </w:r>
      <w:r>
        <w:rPr>
          <w:color w:val="000000"/>
          <w:spacing w:val="0"/>
          <w:w w:val="100"/>
          <w:position w:val="0"/>
          <w:sz w:val="24"/>
          <w:szCs w:val="24"/>
        </w:rPr>
        <w:t>年度</w:t>
      </w:r>
    </w:p>
    <w:p>
      <w:pPr>
        <w:pStyle w:val="Style92"/>
        <w:keepNext w:val="0"/>
        <w:keepLines w:val="0"/>
        <w:widowControl w:val="0"/>
        <w:shd w:val="clear" w:color="auto" w:fill="auto"/>
        <w:tabs>
          <w:tab w:pos="6107" w:val="right"/>
          <w:tab w:pos="8578" w:val="right"/>
        </w:tabs>
        <w:bidi w:val="0"/>
        <w:spacing w:before="0" w:after="0" w:line="317" w:lineRule="exact"/>
        <w:ind w:left="720" w:right="0" w:firstLine="0"/>
        <w:jc w:val="both"/>
      </w:pPr>
      <w:r>
        <w:rPr>
          <w:rFonts w:ascii="SimSun" w:eastAsia="SimSun" w:hAnsi="SimSun" w:cs="SimSun"/>
          <w:color w:val="000000"/>
          <w:spacing w:val="0"/>
          <w:w w:val="100"/>
          <w:position w:val="0"/>
          <w:sz w:val="24"/>
          <w:szCs w:val="24"/>
        </w:rPr>
        <w:t>中国</w:t>
        <w:tab/>
      </w:r>
      <w:r>
        <w:rPr>
          <w:color w:val="000000"/>
          <w:spacing w:val="0"/>
          <w:w w:val="100"/>
          <w:position w:val="0"/>
          <w:sz w:val="24"/>
          <w:szCs w:val="24"/>
        </w:rPr>
        <w:t>134,493,175</w:t>
        <w:tab/>
        <w:t>244,514,113</w:t>
      </w:r>
    </w:p>
    <w:p>
      <w:pPr>
        <w:pStyle w:val="Style92"/>
        <w:keepNext w:val="0"/>
        <w:keepLines w:val="0"/>
        <w:widowControl w:val="0"/>
        <w:shd w:val="clear" w:color="auto" w:fill="auto"/>
        <w:tabs>
          <w:tab w:pos="6107" w:val="right"/>
          <w:tab w:pos="8578" w:val="right"/>
        </w:tabs>
        <w:bidi w:val="0"/>
        <w:spacing w:before="0" w:after="0" w:line="317" w:lineRule="exact"/>
        <w:ind w:left="720" w:right="0" w:firstLine="0"/>
        <w:jc w:val="both"/>
      </w:pPr>
      <w:r>
        <w:rPr>
          <w:rFonts w:ascii="SimSun" w:eastAsia="SimSun" w:hAnsi="SimSun" w:cs="SimSun"/>
          <w:color w:val="000000"/>
          <w:spacing w:val="0"/>
          <w:w w:val="100"/>
          <w:position w:val="0"/>
          <w:sz w:val="24"/>
          <w:szCs w:val="24"/>
        </w:rPr>
        <w:t>海外</w:t>
        <w:tab/>
      </w:r>
      <w:r>
        <w:rPr>
          <w:color w:val="000000"/>
          <w:spacing w:val="0"/>
          <w:w w:val="100"/>
          <w:position w:val="0"/>
          <w:sz w:val="24"/>
          <w:szCs w:val="24"/>
          <w:u w:val="single"/>
        </w:rPr>
        <w:t>4,411,162</w:t>
      </w:r>
      <w:r>
        <w:rPr>
          <w:color w:val="000000"/>
          <w:spacing w:val="0"/>
          <w:w w:val="100"/>
          <w:position w:val="0"/>
          <w:sz w:val="24"/>
          <w:szCs w:val="24"/>
        </w:rPr>
        <w:tab/>
      </w:r>
      <w:r>
        <w:rPr>
          <w:color w:val="000000"/>
          <w:spacing w:val="0"/>
          <w:w w:val="100"/>
          <w:position w:val="0"/>
          <w:sz w:val="24"/>
          <w:szCs w:val="24"/>
          <w:u w:val="single"/>
        </w:rPr>
        <w:t>7,781,553</w:t>
      </w:r>
    </w:p>
    <w:p>
      <w:pPr>
        <w:pStyle w:val="Style92"/>
        <w:keepNext w:val="0"/>
        <w:keepLines w:val="0"/>
        <w:widowControl w:val="0"/>
        <w:shd w:val="clear" w:color="auto" w:fill="auto"/>
        <w:tabs>
          <w:tab w:pos="2472" w:val="left"/>
        </w:tabs>
        <w:bidi w:val="0"/>
        <w:spacing w:before="0" w:after="280" w:line="276" w:lineRule="auto"/>
        <w:ind w:left="0" w:right="0" w:firstLine="0"/>
        <w:jc w:val="right"/>
      </w:pPr>
      <w:r>
        <w:rPr>
          <w:color w:val="000000"/>
          <w:spacing w:val="0"/>
          <w:w w:val="100"/>
          <w:position w:val="0"/>
          <w:sz w:val="24"/>
          <w:szCs w:val="24"/>
        </w:rPr>
        <w:t>138,904,337</w:t>
        <w:tab/>
        <w:t>252,295,666</w:t>
      </w:r>
    </w:p>
    <w:p>
      <w:pPr>
        <w:pStyle w:val="Style72"/>
        <w:keepNext w:val="0"/>
        <w:keepLines w:val="0"/>
        <w:widowControl w:val="0"/>
        <w:shd w:val="clear" w:color="auto" w:fill="auto"/>
        <w:bidi w:val="0"/>
        <w:spacing w:before="0" w:after="280" w:line="302"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年度，本集团没有取得营业收入占本集团营业收入的比重超过</w:t>
      </w:r>
      <w:r>
        <w:rPr>
          <w:rFonts w:ascii="Arial" w:eastAsia="Arial" w:hAnsi="Arial" w:cs="Arial"/>
          <w:color w:val="000000"/>
          <w:spacing w:val="0"/>
          <w:w w:val="100"/>
          <w:position w:val="0"/>
          <w:sz w:val="24"/>
          <w:szCs w:val="24"/>
        </w:rPr>
        <w:t xml:space="preserve">10% </w:t>
      </w:r>
      <w:r>
        <w:rPr>
          <w:color w:val="000000"/>
          <w:spacing w:val="0"/>
          <w:w w:val="100"/>
          <w:position w:val="0"/>
          <w:sz w:val="24"/>
          <w:szCs w:val="24"/>
        </w:rPr>
        <w:t>的单一客户</w:t>
      </w:r>
      <w:r>
        <w:rPr>
          <w:rFonts w:ascii="Arial" w:eastAsia="Arial" w:hAnsi="Arial" w:cs="Arial"/>
          <w:color w:val="000000"/>
          <w:spacing w:val="0"/>
          <w:w w:val="100"/>
          <w:position w:val="0"/>
          <w:sz w:val="24"/>
          <w:szCs w:val="24"/>
        </w:rPr>
        <w:t>（2020</w:t>
      </w:r>
      <w:r>
        <w:rPr>
          <w:color w:val="000000"/>
          <w:spacing w:val="0"/>
          <w:w w:val="100"/>
          <w:position w:val="0"/>
          <w:sz w:val="24"/>
          <w:szCs w:val="24"/>
        </w:rPr>
        <w:t>年度：无</w:t>
      </w:r>
      <w:r>
        <w:rPr>
          <w:rFonts w:ascii="Arial" w:eastAsia="Arial" w:hAnsi="Arial" w:cs="Arial"/>
          <w:color w:val="000000"/>
          <w:spacing w:val="0"/>
          <w:w w:val="100"/>
          <w:position w:val="0"/>
          <w:sz w:val="24"/>
          <w:szCs w:val="24"/>
        </w:rPr>
        <w:t>）</w:t>
      </w:r>
      <w:r>
        <w:rPr>
          <w:color w:val="000000"/>
          <w:spacing w:val="0"/>
          <w:w w:val="100"/>
          <w:position w:val="0"/>
          <w:sz w:val="24"/>
          <w:szCs w:val="24"/>
        </w:rPr>
        <w:t>。</w:t>
      </w:r>
    </w:p>
    <w:tbl>
      <w:tblPr>
        <w:tblOverlap w:val="never"/>
        <w:jc w:val="right"/>
        <w:tblLayout w:type="fixed"/>
      </w:tblPr>
      <w:tblGrid>
        <w:gridCol w:w="2515"/>
        <w:gridCol w:w="3110"/>
        <w:gridCol w:w="2304"/>
      </w:tblGrid>
      <w:tr>
        <w:trPr>
          <w:trHeight w:val="44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非流动资产总额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中国</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64,017,388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4"/>
                <w:szCs w:val="24"/>
              </w:rPr>
            </w:pPr>
            <w:r>
              <w:rPr>
                <w:rFonts w:ascii="Arial" w:eastAsia="Arial" w:hAnsi="Arial" w:cs="Arial"/>
                <w:color w:val="000000"/>
                <w:spacing w:val="0"/>
                <w:w w:val="100"/>
                <w:position w:val="0"/>
                <w:sz w:val="24"/>
                <w:szCs w:val="24"/>
              </w:rPr>
              <w:t>51,090,484</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海外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76,216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18,691</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64,093,604</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51,109,175</w:t>
            </w:r>
          </w:p>
        </w:tc>
      </w:tr>
    </w:tbl>
    <w:p>
      <w:pPr>
        <w:sectPr>
          <w:footnotePr>
            <w:pos w:val="pageBottom"/>
            <w:numFmt w:val="decimal"/>
            <w:numStart w:val="1"/>
            <w:numRestart w:val="continuous"/>
            <w15:footnoteColumns w:val="1"/>
          </w:footnotePr>
          <w:pgSz w:w="11900" w:h="16840"/>
          <w:pgMar w:top="2406" w:right="1426" w:bottom="2406" w:left="1704" w:header="0" w:footer="3" w:gutter="0"/>
          <w:cols w:space="720"/>
          <w:noEndnote/>
          <w:rtlGutter w:val="0"/>
          <w:docGrid w:linePitch="360"/>
        </w:sectPr>
      </w:pPr>
    </w:p>
    <w:p>
      <w:pPr>
        <w:pStyle w:val="Style72"/>
        <w:keepNext w:val="0"/>
        <w:keepLines w:val="0"/>
        <w:widowControl w:val="0"/>
        <w:shd w:val="clear" w:color="auto" w:fill="auto"/>
        <w:tabs>
          <w:tab w:pos="715" w:val="left"/>
        </w:tabs>
        <w:bidi w:val="0"/>
        <w:spacing w:before="0" w:after="320" w:line="240" w:lineRule="auto"/>
        <w:ind w:left="0" w:right="0" w:firstLine="0"/>
        <w:jc w:val="left"/>
      </w:pPr>
      <w:r>
        <w:rPr>
          <w:b/>
          <w:bCs/>
          <w:color w:val="000000"/>
          <w:spacing w:val="0"/>
          <w:w w:val="100"/>
          <w:position w:val="0"/>
          <w:sz w:val="24"/>
          <w:szCs w:val="24"/>
        </w:rPr>
        <w:t>八</w:t>
        <w:tab/>
        <w:t>关联方关系及其交易</w:t>
      </w:r>
    </w:p>
    <w:p>
      <w:pPr>
        <w:pStyle w:val="Style72"/>
        <w:keepNext w:val="0"/>
        <w:keepLines w:val="0"/>
        <w:widowControl w:val="0"/>
        <w:numPr>
          <w:ilvl w:val="0"/>
          <w:numId w:val="121"/>
        </w:numPr>
        <w:shd w:val="clear" w:color="auto" w:fill="auto"/>
        <w:tabs>
          <w:tab w:pos="715" w:val="left"/>
        </w:tabs>
        <w:bidi w:val="0"/>
        <w:spacing w:before="0" w:after="240" w:line="240" w:lineRule="auto"/>
        <w:ind w:left="0" w:right="0" w:firstLine="0"/>
        <w:jc w:val="left"/>
      </w:pPr>
      <w:bookmarkStart w:id="963" w:name="bookmark963"/>
      <w:bookmarkEnd w:id="963"/>
      <w:r>
        <w:rPr>
          <w:b/>
          <w:bCs/>
          <w:color w:val="000000"/>
          <w:spacing w:val="0"/>
          <w:w w:val="100"/>
          <w:position w:val="0"/>
          <w:sz w:val="24"/>
          <w:szCs w:val="24"/>
        </w:rPr>
        <w:t>实际控制人情况</w:t>
      </w:r>
    </w:p>
    <w:p>
      <w:pPr>
        <w:pStyle w:val="Style72"/>
        <w:keepNext w:val="0"/>
        <w:keepLines w:val="0"/>
        <w:widowControl w:val="0"/>
        <w:shd w:val="clear" w:color="auto" w:fill="auto"/>
        <w:bidi w:val="0"/>
        <w:spacing w:before="0" w:after="240" w:line="311"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5</w:t>
      </w:r>
      <w:r>
        <w:rPr>
          <w:color w:val="000000"/>
          <w:spacing w:val="0"/>
          <w:w w:val="100"/>
          <w:position w:val="0"/>
          <w:sz w:val="24"/>
          <w:szCs w:val="24"/>
        </w:rPr>
        <w:t>日，本公司原控股股东、实际控制人张近东先生及其一 致行动人苏宁控股集团有限公司</w:t>
      </w:r>
      <w:r>
        <w:rPr>
          <w:rFonts w:ascii="Arial" w:eastAsia="Arial" w:hAnsi="Arial" w:cs="Arial"/>
          <w:color w:val="000000"/>
          <w:spacing w:val="0"/>
          <w:w w:val="100"/>
          <w:position w:val="0"/>
          <w:sz w:val="24"/>
          <w:szCs w:val="24"/>
        </w:rPr>
        <w:t>(</w:t>
      </w:r>
      <w:r>
        <w:rPr>
          <w:color w:val="000000"/>
          <w:spacing w:val="0"/>
          <w:w w:val="100"/>
          <w:position w:val="0"/>
          <w:sz w:val="24"/>
          <w:szCs w:val="24"/>
        </w:rPr>
        <w:t>以下简称</w:t>
      </w:r>
      <w:r>
        <w:rPr>
          <w:rFonts w:ascii="Arial" w:eastAsia="Arial" w:hAnsi="Arial" w:cs="Arial"/>
          <w:color w:val="000000"/>
          <w:spacing w:val="0"/>
          <w:w w:val="100"/>
          <w:position w:val="0"/>
          <w:sz w:val="24"/>
          <w:szCs w:val="24"/>
        </w:rPr>
        <w:t>“</w:t>
      </w:r>
      <w:r>
        <w:rPr>
          <w:color w:val="000000"/>
          <w:spacing w:val="0"/>
          <w:w w:val="100"/>
          <w:position w:val="0"/>
          <w:sz w:val="24"/>
          <w:szCs w:val="24"/>
        </w:rPr>
        <w:t>苏宁控股集团</w:t>
      </w:r>
      <w:r>
        <w:rPr>
          <w:rFonts w:ascii="Arial" w:eastAsia="Arial" w:hAnsi="Arial" w:cs="Arial"/>
          <w:color w:val="000000"/>
          <w:spacing w:val="0"/>
          <w:w w:val="100"/>
          <w:position w:val="0"/>
          <w:sz w:val="24"/>
          <w:szCs w:val="24"/>
        </w:rPr>
        <w:t>”)</w:t>
      </w:r>
      <w:r>
        <w:rPr>
          <w:color w:val="000000"/>
          <w:spacing w:val="0"/>
          <w:w w:val="100"/>
          <w:position w:val="0"/>
          <w:sz w:val="24"/>
          <w:szCs w:val="24"/>
        </w:rPr>
        <w:t>，公司持股</w:t>
      </w:r>
      <w:r>
        <w:rPr>
          <w:rFonts w:ascii="Arial" w:eastAsia="Arial" w:hAnsi="Arial" w:cs="Arial"/>
          <w:color w:val="000000"/>
          <w:spacing w:val="0"/>
          <w:w w:val="100"/>
          <w:position w:val="0"/>
          <w:sz w:val="24"/>
          <w:szCs w:val="24"/>
        </w:rPr>
        <w:t>5%</w:t>
      </w:r>
      <w:r>
        <w:rPr>
          <w:color w:val="000000"/>
          <w:spacing w:val="0"/>
          <w:w w:val="100"/>
          <w:position w:val="0"/>
          <w:sz w:val="24"/>
          <w:szCs w:val="24"/>
        </w:rPr>
        <w:t>以 上股东苏宁电器集团有限公司</w:t>
      </w:r>
      <w:r>
        <w:rPr>
          <w:rFonts w:ascii="Arial" w:eastAsia="Arial" w:hAnsi="Arial" w:cs="Arial"/>
          <w:color w:val="000000"/>
          <w:spacing w:val="0"/>
          <w:w w:val="100"/>
          <w:position w:val="0"/>
          <w:sz w:val="24"/>
          <w:szCs w:val="24"/>
        </w:rPr>
        <w:t>(</w:t>
      </w:r>
      <w:r>
        <w:rPr>
          <w:color w:val="000000"/>
          <w:spacing w:val="0"/>
          <w:w w:val="100"/>
          <w:position w:val="0"/>
          <w:sz w:val="24"/>
          <w:szCs w:val="24"/>
        </w:rPr>
        <w:t>以下简称</w:t>
      </w:r>
      <w:r>
        <w:rPr>
          <w:rFonts w:ascii="Arial" w:eastAsia="Arial" w:hAnsi="Arial" w:cs="Arial"/>
          <w:color w:val="000000"/>
          <w:spacing w:val="0"/>
          <w:w w:val="100"/>
          <w:position w:val="0"/>
          <w:sz w:val="24"/>
          <w:szCs w:val="24"/>
        </w:rPr>
        <w:t>“</w:t>
      </w:r>
      <w:r>
        <w:rPr>
          <w:color w:val="000000"/>
          <w:spacing w:val="0"/>
          <w:w w:val="100"/>
          <w:position w:val="0"/>
          <w:sz w:val="24"/>
          <w:szCs w:val="24"/>
        </w:rPr>
        <w:t>苏宁电器集团</w:t>
      </w:r>
      <w:r>
        <w:rPr>
          <w:rFonts w:ascii="Arial" w:eastAsia="Arial" w:hAnsi="Arial" w:cs="Arial"/>
          <w:color w:val="000000"/>
          <w:spacing w:val="0"/>
          <w:w w:val="100"/>
          <w:position w:val="0"/>
          <w:sz w:val="24"/>
          <w:szCs w:val="24"/>
        </w:rPr>
        <w:t>”)</w:t>
      </w:r>
      <w:r>
        <w:rPr>
          <w:color w:val="000000"/>
          <w:spacing w:val="0"/>
          <w:w w:val="100"/>
          <w:position w:val="0"/>
          <w:sz w:val="24"/>
          <w:szCs w:val="24"/>
        </w:rPr>
        <w:t>及其持有的信托计划 将所持公司合计数量占上市公司总股本</w:t>
      </w:r>
      <w:r>
        <w:rPr>
          <w:rFonts w:ascii="Arial" w:eastAsia="Arial" w:hAnsi="Arial" w:cs="Arial"/>
          <w:color w:val="000000"/>
          <w:spacing w:val="0"/>
          <w:w w:val="100"/>
          <w:position w:val="0"/>
          <w:sz w:val="24"/>
          <w:szCs w:val="24"/>
        </w:rPr>
        <w:t>16.96%</w:t>
      </w:r>
      <w:r>
        <w:rPr>
          <w:color w:val="000000"/>
          <w:spacing w:val="0"/>
          <w:w w:val="100"/>
          <w:position w:val="0"/>
          <w:sz w:val="24"/>
          <w:szCs w:val="24"/>
        </w:rPr>
        <w:t>的股份转让给江苏新新零售 创新基金二期</w:t>
      </w:r>
      <w:r>
        <w:rPr>
          <w:rFonts w:ascii="Arial" w:eastAsia="Arial" w:hAnsi="Arial" w:cs="Arial"/>
          <w:color w:val="000000"/>
          <w:spacing w:val="0"/>
          <w:w w:val="100"/>
          <w:position w:val="0"/>
          <w:sz w:val="24"/>
          <w:szCs w:val="24"/>
        </w:rPr>
        <w:t>(</w:t>
      </w:r>
      <w:r>
        <w:rPr>
          <w:color w:val="000000"/>
          <w:spacing w:val="0"/>
          <w:w w:val="100"/>
          <w:position w:val="0"/>
          <w:sz w:val="24"/>
          <w:szCs w:val="24"/>
        </w:rPr>
        <w:t>有限合伙</w:t>
      </w:r>
      <w:r>
        <w:rPr>
          <w:rFonts w:ascii="Arial" w:eastAsia="Arial" w:hAnsi="Arial" w:cs="Arial"/>
          <w:color w:val="000000"/>
          <w:spacing w:val="0"/>
          <w:w w:val="100"/>
          <w:position w:val="0"/>
          <w:sz w:val="24"/>
          <w:szCs w:val="24"/>
        </w:rPr>
        <w:t>)(</w:t>
      </w:r>
      <w:r>
        <w:rPr>
          <w:color w:val="000000"/>
          <w:spacing w:val="0"/>
          <w:w w:val="100"/>
          <w:position w:val="0"/>
          <w:sz w:val="24"/>
          <w:szCs w:val="24"/>
        </w:rPr>
        <w:t>以下简称</w:t>
      </w:r>
      <w:r>
        <w:rPr>
          <w:rFonts w:ascii="Arial" w:eastAsia="Arial" w:hAnsi="Arial" w:cs="Arial"/>
          <w:color w:val="000000"/>
          <w:spacing w:val="0"/>
          <w:w w:val="100"/>
          <w:position w:val="0"/>
          <w:sz w:val="24"/>
          <w:szCs w:val="24"/>
        </w:rPr>
        <w:t>“</w:t>
      </w:r>
      <w:r>
        <w:rPr>
          <w:color w:val="000000"/>
          <w:spacing w:val="0"/>
          <w:w w:val="100"/>
          <w:position w:val="0"/>
          <w:sz w:val="24"/>
          <w:szCs w:val="24"/>
        </w:rPr>
        <w:t>新新零售基金二期</w:t>
      </w:r>
      <w:r>
        <w:rPr>
          <w:rFonts w:ascii="Arial" w:eastAsia="Arial" w:hAnsi="Arial" w:cs="Arial"/>
          <w:color w:val="000000"/>
          <w:spacing w:val="0"/>
          <w:w w:val="100"/>
          <w:position w:val="0"/>
          <w:sz w:val="24"/>
          <w:szCs w:val="24"/>
        </w:rPr>
        <w:t>”)</w:t>
      </w:r>
      <w:r>
        <w:rPr>
          <w:color w:val="000000"/>
          <w:spacing w:val="0"/>
          <w:w w:val="100"/>
          <w:position w:val="0"/>
          <w:sz w:val="24"/>
          <w:szCs w:val="24"/>
        </w:rPr>
        <w:t>，并于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 xml:space="preserve">月 </w:t>
      </w:r>
      <w:r>
        <w:rPr>
          <w:rFonts w:ascii="Arial" w:eastAsia="Arial" w:hAnsi="Arial" w:cs="Arial"/>
          <w:color w:val="000000"/>
          <w:spacing w:val="0"/>
          <w:w w:val="100"/>
          <w:position w:val="0"/>
          <w:sz w:val="24"/>
          <w:szCs w:val="24"/>
        </w:rPr>
        <w:t>9</w:t>
      </w:r>
      <w:r>
        <w:rPr>
          <w:color w:val="000000"/>
          <w:spacing w:val="0"/>
          <w:w w:val="100"/>
          <w:position w:val="0"/>
          <w:sz w:val="24"/>
          <w:szCs w:val="24"/>
        </w:rPr>
        <w:t>日完成过户登记手续。</w:t>
      </w:r>
    </w:p>
    <w:p>
      <w:pPr>
        <w:pStyle w:val="Style72"/>
        <w:keepNext w:val="0"/>
        <w:keepLines w:val="0"/>
        <w:widowControl w:val="0"/>
        <w:shd w:val="clear" w:color="auto" w:fill="auto"/>
        <w:bidi w:val="0"/>
        <w:spacing w:before="0" w:after="320" w:line="311" w:lineRule="exact"/>
        <w:ind w:left="0" w:right="0" w:firstLine="7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日，本公司无实际控制人。</w:t>
      </w:r>
    </w:p>
    <w:p>
      <w:pPr>
        <w:pStyle w:val="Style72"/>
        <w:keepNext w:val="0"/>
        <w:keepLines w:val="0"/>
        <w:widowControl w:val="0"/>
        <w:numPr>
          <w:ilvl w:val="0"/>
          <w:numId w:val="121"/>
        </w:numPr>
        <w:shd w:val="clear" w:color="auto" w:fill="auto"/>
        <w:tabs>
          <w:tab w:pos="715" w:val="left"/>
        </w:tabs>
        <w:bidi w:val="0"/>
        <w:spacing w:before="0" w:after="240" w:line="240" w:lineRule="auto"/>
        <w:ind w:left="0" w:right="0" w:firstLine="0"/>
        <w:jc w:val="left"/>
      </w:pPr>
      <w:bookmarkStart w:id="964" w:name="bookmark964"/>
      <w:bookmarkEnd w:id="964"/>
      <w:r>
        <w:rPr>
          <w:b/>
          <w:bCs/>
          <w:color w:val="000000"/>
          <w:spacing w:val="0"/>
          <w:w w:val="100"/>
          <w:position w:val="0"/>
          <w:sz w:val="24"/>
          <w:szCs w:val="24"/>
        </w:rPr>
        <w:t>子公司情况</w:t>
      </w:r>
    </w:p>
    <w:p>
      <w:pPr>
        <w:pStyle w:val="Style72"/>
        <w:keepNext w:val="0"/>
        <w:keepLines w:val="0"/>
        <w:widowControl w:val="0"/>
        <w:shd w:val="clear" w:color="auto" w:fill="auto"/>
        <w:bidi w:val="0"/>
        <w:spacing w:before="0" w:after="320" w:line="311" w:lineRule="exact"/>
        <w:ind w:left="0" w:right="0" w:firstLine="720"/>
        <w:jc w:val="left"/>
      </w:pPr>
      <w:r>
        <w:rPr>
          <w:color w:val="000000"/>
          <w:spacing w:val="0"/>
          <w:w w:val="100"/>
          <w:position w:val="0"/>
          <w:sz w:val="24"/>
          <w:szCs w:val="24"/>
        </w:rPr>
        <w:t>子公司的基本情况及相关信息见附注六。</w:t>
      </w:r>
    </w:p>
    <w:p>
      <w:pPr>
        <w:pStyle w:val="Style72"/>
        <w:keepNext w:val="0"/>
        <w:keepLines w:val="0"/>
        <w:widowControl w:val="0"/>
        <w:numPr>
          <w:ilvl w:val="0"/>
          <w:numId w:val="121"/>
        </w:numPr>
        <w:shd w:val="clear" w:color="auto" w:fill="auto"/>
        <w:tabs>
          <w:tab w:pos="715" w:val="left"/>
        </w:tabs>
        <w:bidi w:val="0"/>
        <w:spacing w:before="0" w:after="240" w:line="240" w:lineRule="auto"/>
        <w:ind w:left="0" w:right="0" w:firstLine="0"/>
        <w:jc w:val="left"/>
      </w:pPr>
      <w:bookmarkStart w:id="965" w:name="bookmark965"/>
      <w:bookmarkEnd w:id="965"/>
      <w:r>
        <w:rPr>
          <w:b/>
          <w:bCs/>
          <w:color w:val="000000"/>
          <w:spacing w:val="0"/>
          <w:w w:val="100"/>
          <w:position w:val="0"/>
          <w:sz w:val="24"/>
          <w:szCs w:val="24"/>
        </w:rPr>
        <w:t>合营企业情况</w:t>
      </w:r>
    </w:p>
    <w:p>
      <w:pPr>
        <w:pStyle w:val="Style72"/>
        <w:keepNext w:val="0"/>
        <w:keepLines w:val="0"/>
        <w:widowControl w:val="0"/>
        <w:shd w:val="clear" w:color="auto" w:fill="auto"/>
        <w:bidi w:val="0"/>
        <w:spacing w:before="0" w:after="320" w:line="311" w:lineRule="exact"/>
        <w:ind w:left="0" w:right="0" w:firstLine="720"/>
        <w:jc w:val="both"/>
      </w:pPr>
      <w:r>
        <w:rPr>
          <w:color w:val="000000"/>
          <w:spacing w:val="0"/>
          <w:w w:val="100"/>
          <w:position w:val="0"/>
          <w:sz w:val="24"/>
          <w:szCs w:val="24"/>
        </w:rPr>
        <w:t>合营企业的基本情况见附注六</w:t>
      </w:r>
      <w:r>
        <w:rPr>
          <w:rFonts w:ascii="Arial" w:eastAsia="Arial" w:hAnsi="Arial" w:cs="Arial"/>
          <w:color w:val="000000"/>
          <w:spacing w:val="0"/>
          <w:w w:val="100"/>
          <w:position w:val="0"/>
          <w:sz w:val="24"/>
          <w:szCs w:val="24"/>
        </w:rPr>
        <w:t>(2)(b)</w:t>
      </w:r>
      <w:r>
        <w:rPr>
          <w:color w:val="000000"/>
          <w:spacing w:val="0"/>
          <w:w w:val="100"/>
          <w:position w:val="0"/>
          <w:sz w:val="24"/>
          <w:szCs w:val="24"/>
        </w:rPr>
        <w:t>。</w:t>
      </w:r>
    </w:p>
    <w:p>
      <w:pPr>
        <w:pStyle w:val="Style72"/>
        <w:keepNext w:val="0"/>
        <w:keepLines w:val="0"/>
        <w:widowControl w:val="0"/>
        <w:numPr>
          <w:ilvl w:val="0"/>
          <w:numId w:val="121"/>
        </w:numPr>
        <w:shd w:val="clear" w:color="auto" w:fill="auto"/>
        <w:tabs>
          <w:tab w:pos="715" w:val="left"/>
        </w:tabs>
        <w:bidi w:val="0"/>
        <w:spacing w:before="0" w:after="240" w:line="240" w:lineRule="auto"/>
        <w:ind w:left="0" w:right="0" w:firstLine="0"/>
        <w:jc w:val="left"/>
      </w:pPr>
      <w:bookmarkStart w:id="966" w:name="bookmark966"/>
      <w:bookmarkEnd w:id="966"/>
      <w:r>
        <w:rPr>
          <w:b/>
          <w:bCs/>
          <w:color w:val="000000"/>
          <w:spacing w:val="0"/>
          <w:w w:val="100"/>
          <w:position w:val="0"/>
          <w:sz w:val="24"/>
          <w:szCs w:val="24"/>
        </w:rPr>
        <w:t>联营企业情况</w:t>
      </w:r>
    </w:p>
    <w:p>
      <w:pPr>
        <w:pStyle w:val="Style72"/>
        <w:keepNext w:val="0"/>
        <w:keepLines w:val="0"/>
        <w:widowControl w:val="0"/>
        <w:shd w:val="clear" w:color="auto" w:fill="auto"/>
        <w:bidi w:val="0"/>
        <w:spacing w:before="0" w:after="280" w:line="311" w:lineRule="exact"/>
        <w:ind w:left="0" w:right="0" w:firstLine="720"/>
        <w:jc w:val="both"/>
        <w:sectPr>
          <w:footnotePr>
            <w:pos w:val="pageBottom"/>
            <w:numFmt w:val="decimal"/>
            <w:numStart w:val="1"/>
            <w:numRestart w:val="continuous"/>
            <w15:footnoteColumns w:val="1"/>
          </w:footnotePr>
          <w:pgSz w:w="11900" w:h="16840"/>
          <w:pgMar w:top="2406" w:right="1417" w:bottom="2406" w:left="1704" w:header="0" w:footer="3" w:gutter="0"/>
          <w:cols w:space="720"/>
          <w:noEndnote/>
          <w:rtlGutter w:val="0"/>
          <w:docGrid w:linePitch="360"/>
        </w:sectPr>
      </w:pPr>
      <w:r>
        <w:rPr>
          <w:color w:val="000000"/>
          <w:spacing w:val="0"/>
          <w:w w:val="100"/>
          <w:position w:val="0"/>
          <w:sz w:val="24"/>
          <w:szCs w:val="24"/>
        </w:rPr>
        <w:t>联营企业的基本情况见附注六</w:t>
      </w:r>
      <w:r>
        <w:rPr>
          <w:rFonts w:ascii="Arial" w:eastAsia="Arial" w:hAnsi="Arial" w:cs="Arial"/>
          <w:color w:val="000000"/>
          <w:spacing w:val="0"/>
          <w:w w:val="100"/>
          <w:position w:val="0"/>
          <w:sz w:val="24"/>
          <w:szCs w:val="24"/>
        </w:rPr>
        <w:t>(2)(c)</w:t>
      </w:r>
      <w:r>
        <w:rPr>
          <w:color w:val="000000"/>
          <w:spacing w:val="0"/>
          <w:w w:val="100"/>
          <w:position w:val="0"/>
          <w:sz w:val="24"/>
          <w:szCs w:val="24"/>
        </w:rPr>
        <w:t>。</w:t>
      </w:r>
    </w:p>
    <w:tbl>
      <w:tblPr>
        <w:tblOverlap w:val="never"/>
        <w:jc w:val="center"/>
        <w:tblLayout w:type="fixed"/>
      </w:tblPr>
      <w:tblGrid>
        <w:gridCol w:w="514"/>
        <w:gridCol w:w="4843"/>
        <w:gridCol w:w="3422"/>
      </w:tblGrid>
      <w:tr>
        <w:trPr>
          <w:trHeight w:val="1440" w:hRule="exact"/>
        </w:trPr>
        <w:tc>
          <w:tcPr>
            <w:gridSpan w:val="3"/>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720"/>
              <w:jc w:val="left"/>
              <w:rPr>
                <w:sz w:val="24"/>
                <w:szCs w:val="24"/>
              </w:rPr>
            </w:pPr>
            <w:r>
              <w:rPr>
                <w:rFonts w:ascii="SimSun" w:eastAsia="SimSun" w:hAnsi="SimSun" w:cs="SimSun"/>
                <w:b/>
                <w:bCs/>
                <w:color w:val="000000"/>
                <w:spacing w:val="0"/>
                <w:w w:val="100"/>
                <w:position w:val="0"/>
                <w:sz w:val="24"/>
                <w:szCs w:val="24"/>
              </w:rPr>
              <w:t>苏宁易购集团股份有限公司</w:t>
            </w:r>
          </w:p>
          <w:p>
            <w:pPr>
              <w:pStyle w:val="Style29"/>
              <w:keepNext w:val="0"/>
              <w:keepLines w:val="0"/>
              <w:widowControl w:val="0"/>
              <w:shd w:val="clear" w:color="auto" w:fill="auto"/>
              <w:bidi w:val="0"/>
              <w:spacing w:before="0" w:after="60" w:line="240" w:lineRule="auto"/>
              <w:ind w:left="0" w:right="0" w:firstLine="720"/>
              <w:jc w:val="left"/>
              <w:rPr>
                <w:sz w:val="24"/>
                <w:szCs w:val="24"/>
              </w:rPr>
            </w:pPr>
            <w:r>
              <w:rPr>
                <w:rFonts w:ascii="SimSun" w:eastAsia="SimSun" w:hAnsi="SimSun" w:cs="SimSun"/>
                <w:b/>
                <w:bCs/>
                <w:color w:val="000000"/>
                <w:spacing w:val="0"/>
                <w:w w:val="100"/>
                <w:position w:val="0"/>
                <w:sz w:val="24"/>
                <w:szCs w:val="24"/>
              </w:rPr>
              <w:t>财务报表附注</w:t>
            </w:r>
          </w:p>
          <w:p>
            <w:pPr>
              <w:pStyle w:val="Style29"/>
              <w:keepNext w:val="0"/>
              <w:keepLines w:val="0"/>
              <w:widowControl w:val="0"/>
              <w:shd w:val="clear" w:color="auto" w:fill="auto"/>
              <w:bidi w:val="0"/>
              <w:spacing w:before="0" w:after="60" w:line="240" w:lineRule="auto"/>
              <w:ind w:left="0" w:right="0" w:firstLine="72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29"/>
              <w:keepNext w:val="0"/>
              <w:keepLines w:val="0"/>
              <w:widowControl w:val="0"/>
              <w:shd w:val="clear" w:color="auto" w:fill="auto"/>
              <w:bidi w:val="0"/>
              <w:spacing w:before="0" w:after="60" w:line="240" w:lineRule="auto"/>
              <w:ind w:left="0" w:right="0" w:firstLine="720"/>
              <w:jc w:val="left"/>
            </w:pP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除特别注明外，金额单位为人民币千元</w:t>
            </w:r>
            <w:r>
              <w:rPr>
                <w:rFonts w:ascii="SimSun" w:eastAsia="SimSun" w:hAnsi="SimSun" w:cs="SimSun"/>
                <w:color w:val="000000"/>
                <w:spacing w:val="0"/>
                <w:w w:val="100"/>
                <w:position w:val="0"/>
                <w:sz w:val="22"/>
                <w:szCs w:val="22"/>
              </w:rPr>
              <w:t>）</w:t>
            </w:r>
          </w:p>
        </w:tc>
      </w:tr>
      <w:tr>
        <w:trPr>
          <w:trHeight w:val="60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八</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28"/>
                <w:szCs w:val="28"/>
              </w:rPr>
            </w:pPr>
            <w:r>
              <w:rPr>
                <w:rFonts w:ascii="SimSun" w:eastAsia="SimSun" w:hAnsi="SimSun" w:cs="SimSun"/>
                <w:b/>
                <w:bCs/>
                <w:color w:val="000000"/>
                <w:spacing w:val="0"/>
                <w:w w:val="100"/>
                <w:position w:val="0"/>
                <w:sz w:val="24"/>
                <w:szCs w:val="24"/>
              </w:rPr>
              <w:t>关联方关系及其交易</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24"/>
                <w:szCs w:val="24"/>
              </w:rPr>
            </w:pPr>
            <w:r>
              <w:rPr>
                <w:rFonts w:ascii="SimSun" w:eastAsia="SimSun" w:hAnsi="SimSun" w:cs="SimSun"/>
                <w:b/>
                <w:bCs/>
                <w:color w:val="000000"/>
                <w:spacing w:val="0"/>
                <w:w w:val="100"/>
                <w:position w:val="0"/>
                <w:sz w:val="24"/>
                <w:szCs w:val="24"/>
              </w:rPr>
              <w:t>其他关联方情况</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关联方公司名称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与本集团的关系</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苏宁置业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15"/>
                <w:szCs w:val="15"/>
              </w:rPr>
            </w:pPr>
            <w:r>
              <w:rPr>
                <w:rFonts w:ascii="SimSun" w:eastAsia="SimSun" w:hAnsi="SimSun" w:cs="SimSun"/>
                <w:color w:val="000000"/>
                <w:spacing w:val="0"/>
                <w:w w:val="100"/>
                <w:position w:val="0"/>
                <w:sz w:val="15"/>
                <w:szCs w:val="15"/>
              </w:rPr>
              <w:t>为公司关联股东之控股子公司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苏宁电器集团</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苏宁电器</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5"/>
                <w:szCs w:val="15"/>
              </w:rPr>
            </w:pPr>
            <w:r>
              <w:rPr>
                <w:rFonts w:ascii="SimSun" w:eastAsia="SimSun" w:hAnsi="SimSun" w:cs="SimSun"/>
                <w:color w:val="000000"/>
                <w:spacing w:val="0"/>
                <w:w w:val="100"/>
                <w:position w:val="0"/>
                <w:sz w:val="15"/>
                <w:szCs w:val="15"/>
              </w:rPr>
              <w:t>为公司关联股东之控股子公司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苏宁控股集团</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苏宁控股</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5"/>
                <w:szCs w:val="15"/>
              </w:rPr>
            </w:pPr>
            <w:r>
              <w:rPr>
                <w:rFonts w:ascii="SimSun" w:eastAsia="SimSun" w:hAnsi="SimSun" w:cs="SimSun"/>
                <w:color w:val="000000"/>
                <w:spacing w:val="0"/>
                <w:w w:val="100"/>
                <w:position w:val="0"/>
                <w:sz w:val="15"/>
                <w:szCs w:val="15"/>
              </w:rPr>
              <w:t>为公司关联股东之控股子公司</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苏宁置业集团旗下</w:t>
            </w:r>
            <w:r>
              <w:rPr>
                <w:rFonts w:ascii="Arial" w:eastAsia="Arial" w:hAnsi="Arial" w:cs="Arial"/>
                <w:color w:val="000000"/>
                <w:spacing w:val="0"/>
                <w:w w:val="100"/>
                <w:position w:val="0"/>
                <w:sz w:val="16"/>
                <w:szCs w:val="16"/>
              </w:rPr>
              <w:t>65</w:t>
            </w:r>
            <w:r>
              <w:rPr>
                <w:rFonts w:ascii="SimSun" w:eastAsia="SimSun" w:hAnsi="SimSun" w:cs="SimSun"/>
                <w:color w:val="000000"/>
                <w:spacing w:val="0"/>
                <w:w w:val="100"/>
                <w:position w:val="0"/>
                <w:sz w:val="15"/>
                <w:szCs w:val="15"/>
              </w:rPr>
              <w:t>家银河物业公司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苏宁置业集团之子公司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苏宁置业集团旗下</w:t>
            </w:r>
            <w:r>
              <w:rPr>
                <w:rFonts w:ascii="Arial" w:eastAsia="Arial" w:hAnsi="Arial" w:cs="Arial"/>
                <w:color w:val="000000"/>
                <w:spacing w:val="0"/>
                <w:w w:val="100"/>
                <w:position w:val="0"/>
                <w:sz w:val="16"/>
                <w:szCs w:val="16"/>
              </w:rPr>
              <w:t>43</w:t>
            </w:r>
            <w:r>
              <w:rPr>
                <w:rFonts w:ascii="SimSun" w:eastAsia="SimSun" w:hAnsi="SimSun" w:cs="SimSun"/>
                <w:color w:val="000000"/>
                <w:spacing w:val="0"/>
                <w:w w:val="100"/>
                <w:position w:val="0"/>
                <w:sz w:val="15"/>
                <w:szCs w:val="15"/>
              </w:rPr>
              <w:t>家置业、建材公司及分支机构</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苏宁置业集团之子公司及子公司之分支机构</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苏宁置业集团旗下</w:t>
            </w:r>
            <w:r>
              <w:rPr>
                <w:rFonts w:ascii="Arial" w:eastAsia="Arial" w:hAnsi="Arial" w:cs="Arial"/>
                <w:color w:val="000000"/>
                <w:spacing w:val="0"/>
                <w:w w:val="100"/>
                <w:position w:val="0"/>
                <w:sz w:val="16"/>
                <w:szCs w:val="16"/>
              </w:rPr>
              <w:t>23</w:t>
            </w:r>
            <w:r>
              <w:rPr>
                <w:rFonts w:ascii="SimSun" w:eastAsia="SimSun" w:hAnsi="SimSun" w:cs="SimSun"/>
                <w:color w:val="000000"/>
                <w:spacing w:val="0"/>
                <w:w w:val="100"/>
                <w:position w:val="0"/>
                <w:sz w:val="15"/>
                <w:szCs w:val="15"/>
              </w:rPr>
              <w:t>家酒店、餐饮公司及分支机构</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苏宁置业集团之子公司及子公司之分支机构</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苏宁控股集团旗下</w:t>
            </w:r>
            <w:r>
              <w:rPr>
                <w:rFonts w:ascii="Arial" w:eastAsia="Arial" w:hAnsi="Arial" w:cs="Arial"/>
                <w:color w:val="000000"/>
                <w:spacing w:val="0"/>
                <w:w w:val="100"/>
                <w:position w:val="0"/>
                <w:sz w:val="16"/>
                <w:szCs w:val="16"/>
              </w:rPr>
              <w:t>47</w:t>
            </w:r>
            <w:r>
              <w:rPr>
                <w:rFonts w:ascii="SimSun" w:eastAsia="SimSun" w:hAnsi="SimSun" w:cs="SimSun"/>
                <w:color w:val="000000"/>
                <w:spacing w:val="0"/>
                <w:w w:val="100"/>
                <w:position w:val="0"/>
                <w:sz w:val="15"/>
                <w:szCs w:val="15"/>
              </w:rPr>
              <w:t>家影城、影院公司及分支机构</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苏宁控股集团之子公司及子公司之分支机构</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苏宁电器集团旗下</w:t>
            </w:r>
            <w:r>
              <w:rPr>
                <w:rFonts w:ascii="Arial" w:eastAsia="Arial" w:hAnsi="Arial" w:cs="Arial"/>
                <w:color w:val="000000"/>
                <w:spacing w:val="0"/>
                <w:w w:val="100"/>
                <w:position w:val="0"/>
                <w:sz w:val="16"/>
                <w:szCs w:val="16"/>
              </w:rPr>
              <w:t>25</w:t>
            </w:r>
            <w:r>
              <w:rPr>
                <w:rFonts w:ascii="SimSun" w:eastAsia="SimSun" w:hAnsi="SimSun" w:cs="SimSun"/>
                <w:color w:val="000000"/>
                <w:spacing w:val="0"/>
                <w:w w:val="100"/>
                <w:position w:val="0"/>
                <w:sz w:val="15"/>
                <w:szCs w:val="15"/>
              </w:rPr>
              <w:t>家资产管理公司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苏宁电器集团之子公司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苏宁置业集团旗下</w:t>
            </w:r>
            <w:r>
              <w:rPr>
                <w:rFonts w:ascii="Arial" w:eastAsia="Arial" w:hAnsi="Arial" w:cs="Arial"/>
                <w:color w:val="000000"/>
                <w:spacing w:val="0"/>
                <w:w w:val="100"/>
                <w:position w:val="0"/>
                <w:sz w:val="16"/>
                <w:szCs w:val="16"/>
              </w:rPr>
              <w:t>1</w:t>
            </w:r>
            <w:r>
              <w:rPr>
                <w:rFonts w:ascii="SimSun" w:eastAsia="SimSun" w:hAnsi="SimSun" w:cs="SimSun"/>
                <w:color w:val="000000"/>
                <w:spacing w:val="0"/>
                <w:w w:val="100"/>
                <w:position w:val="0"/>
                <w:sz w:val="15"/>
                <w:szCs w:val="15"/>
              </w:rPr>
              <w:t>家足球俱乐部公司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苏宁置业集团之子公司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苏宁控股集团旗下</w:t>
            </w:r>
            <w:r>
              <w:rPr>
                <w:rFonts w:ascii="Arial" w:eastAsia="Arial" w:hAnsi="Arial" w:cs="Arial"/>
                <w:color w:val="000000"/>
                <w:spacing w:val="0"/>
                <w:w w:val="100"/>
                <w:position w:val="0"/>
                <w:sz w:val="16"/>
                <w:szCs w:val="16"/>
              </w:rPr>
              <w:t>10</w:t>
            </w:r>
            <w:r>
              <w:rPr>
                <w:rFonts w:ascii="SimSun" w:eastAsia="SimSun" w:hAnsi="SimSun" w:cs="SimSun"/>
                <w:color w:val="000000"/>
                <w:spacing w:val="0"/>
                <w:w w:val="100"/>
                <w:position w:val="0"/>
                <w:sz w:val="15"/>
                <w:szCs w:val="15"/>
              </w:rPr>
              <w:t>家文化、院线投资公司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苏宁控股集团旗下其余</w:t>
            </w:r>
            <w:r>
              <w:rPr>
                <w:rFonts w:ascii="Arial" w:eastAsia="Arial" w:hAnsi="Arial" w:cs="Arial"/>
                <w:color w:val="000000"/>
                <w:spacing w:val="0"/>
                <w:w w:val="100"/>
                <w:position w:val="0"/>
                <w:sz w:val="16"/>
                <w:szCs w:val="16"/>
              </w:rPr>
              <w:t>11</w:t>
            </w:r>
            <w:r>
              <w:rPr>
                <w:rFonts w:ascii="SimSun" w:eastAsia="SimSun" w:hAnsi="SimSun" w:cs="SimSun"/>
                <w:color w:val="000000"/>
                <w:spacing w:val="0"/>
                <w:w w:val="100"/>
                <w:position w:val="0"/>
                <w:sz w:val="15"/>
                <w:szCs w:val="15"/>
              </w:rPr>
              <w:t>家体育公司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苏宁控股集团旗下</w:t>
            </w:r>
            <w:r>
              <w:rPr>
                <w:rFonts w:ascii="Arial" w:eastAsia="Arial" w:hAnsi="Arial" w:cs="Arial"/>
                <w:color w:val="000000"/>
                <w:spacing w:val="0"/>
                <w:w w:val="100"/>
                <w:position w:val="0"/>
                <w:sz w:val="16"/>
                <w:szCs w:val="16"/>
              </w:rPr>
              <w:t>3</w:t>
            </w:r>
            <w:r>
              <w:rPr>
                <w:rFonts w:ascii="SimSun" w:eastAsia="SimSun" w:hAnsi="SimSun" w:cs="SimSun"/>
                <w:color w:val="000000"/>
                <w:spacing w:val="0"/>
                <w:w w:val="100"/>
                <w:position w:val="0"/>
                <w:sz w:val="15"/>
                <w:szCs w:val="15"/>
              </w:rPr>
              <w:t>家通视铭泰公司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苏宁控股集团旗下</w:t>
            </w:r>
            <w:r>
              <w:rPr>
                <w:rFonts w:ascii="Arial" w:eastAsia="Arial" w:hAnsi="Arial" w:cs="Arial"/>
                <w:color w:val="000000"/>
                <w:spacing w:val="0"/>
                <w:w w:val="100"/>
                <w:position w:val="0"/>
                <w:sz w:val="16"/>
                <w:szCs w:val="16"/>
              </w:rPr>
              <w:t>6</w:t>
            </w:r>
            <w:r>
              <w:rPr>
                <w:rFonts w:ascii="SimSun" w:eastAsia="SimSun" w:hAnsi="SimSun" w:cs="SimSun"/>
                <w:color w:val="000000"/>
                <w:spacing w:val="0"/>
                <w:w w:val="100"/>
                <w:position w:val="0"/>
                <w:sz w:val="15"/>
                <w:szCs w:val="15"/>
              </w:rPr>
              <w:t>家管理咨询公司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苏宁控股集团旗下</w:t>
            </w:r>
            <w:r>
              <w:rPr>
                <w:rFonts w:ascii="Arial" w:eastAsia="Arial" w:hAnsi="Arial" w:cs="Arial"/>
                <w:color w:val="000000"/>
                <w:spacing w:val="0"/>
                <w:w w:val="100"/>
                <w:position w:val="0"/>
                <w:sz w:val="16"/>
                <w:szCs w:val="16"/>
              </w:rPr>
              <w:t>8</w:t>
            </w:r>
            <w:r>
              <w:rPr>
                <w:rFonts w:ascii="SimSun" w:eastAsia="SimSun" w:hAnsi="SimSun" w:cs="SimSun"/>
                <w:color w:val="000000"/>
                <w:spacing w:val="0"/>
                <w:w w:val="100"/>
                <w:position w:val="0"/>
                <w:sz w:val="15"/>
                <w:szCs w:val="15"/>
              </w:rPr>
              <w:t>家投资公司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苏宁控股集团旗下</w:t>
            </w:r>
            <w:r>
              <w:rPr>
                <w:rFonts w:ascii="Arial" w:eastAsia="Arial" w:hAnsi="Arial" w:cs="Arial"/>
                <w:color w:val="000000"/>
                <w:spacing w:val="0"/>
                <w:w w:val="100"/>
                <w:position w:val="0"/>
                <w:sz w:val="16"/>
                <w:szCs w:val="16"/>
              </w:rPr>
              <w:t>66</w:t>
            </w:r>
            <w:r>
              <w:rPr>
                <w:rFonts w:ascii="SimSun" w:eastAsia="SimSun" w:hAnsi="SimSun" w:cs="SimSun"/>
                <w:color w:val="000000"/>
                <w:spacing w:val="0"/>
                <w:w w:val="100"/>
                <w:position w:val="0"/>
                <w:sz w:val="15"/>
                <w:szCs w:val="15"/>
              </w:rPr>
              <w:t>家苏扶、苏缘公司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上海聚力传媒技术有限公司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上海聚力</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上海聚力传媒技术有限公司北京分公司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上海聚力北京</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5"/>
                <w:szCs w:val="15"/>
              </w:rPr>
            </w:pPr>
            <w:r>
              <w:rPr>
                <w:rFonts w:ascii="SimSun" w:eastAsia="SimSun" w:hAnsi="SimSun" w:cs="SimSun"/>
                <w:color w:val="000000"/>
                <w:spacing w:val="0"/>
                <w:w w:val="100"/>
                <w:position w:val="0"/>
                <w:sz w:val="15"/>
                <w:szCs w:val="15"/>
              </w:rPr>
              <w:t>苏宁控股集团子公司之分支机构</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上海骋娱传媒技术有限公司</w:t>
            </w:r>
            <w:r>
              <w:rPr>
                <w:rFonts w:ascii="SimSun" w:eastAsia="SimSun" w:hAnsi="SimSun" w:cs="SimSun"/>
                <w:color w:val="000000"/>
                <w:spacing w:val="0"/>
                <w:w w:val="100"/>
                <w:position w:val="0"/>
                <w:sz w:val="19"/>
                <w:szCs w:val="19"/>
              </w:rPr>
              <w:t>（</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上海骋娱</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上海聚狮网络科技有限公司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上海聚狮</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上海苏宁足球体育发展有限公司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上海苏宁足球</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上海苏狮信息技术有限公司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上海苏狮</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北京京朝苏宁电器有限公司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北京京朝</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11" w:lineRule="exact"/>
              <w:ind w:left="220" w:right="0" w:firstLine="0"/>
              <w:jc w:val="left"/>
              <w:rPr>
                <w:sz w:val="15"/>
                <w:szCs w:val="15"/>
              </w:rPr>
            </w:pPr>
            <w:r>
              <w:rPr>
                <w:rFonts w:ascii="SimSun" w:eastAsia="SimSun" w:hAnsi="SimSun" w:cs="SimSun"/>
                <w:color w:val="000000"/>
                <w:spacing w:val="0"/>
                <w:w w:val="100"/>
                <w:position w:val="0"/>
                <w:sz w:val="15"/>
                <w:szCs w:val="15"/>
              </w:rPr>
              <w:t>南京聚翼腾网络科技有限公司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南京聚翼腾</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r>
              <w:rPr>
                <w:rFonts w:ascii="Arial" w:eastAsia="Arial" w:hAnsi="Arial" w:cs="Arial"/>
                <w:color w:val="000000"/>
                <w:spacing w:val="0"/>
                <w:w w:val="100"/>
                <w:position w:val="0"/>
                <w:sz w:val="16"/>
                <w:szCs w:val="16"/>
              </w:rPr>
              <w:t xml:space="preserve"> </w:t>
            </w:r>
            <w:r>
              <w:rPr>
                <w:rFonts w:ascii="SimSun" w:eastAsia="SimSun" w:hAnsi="SimSun" w:cs="SimSun"/>
                <w:color w:val="000000"/>
                <w:spacing w:val="0"/>
                <w:w w:val="100"/>
                <w:position w:val="0"/>
                <w:sz w:val="15"/>
                <w:szCs w:val="15"/>
              </w:rPr>
              <w:t>南京苏宁足球运动产业发展有限公司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9"/>
                <w:szCs w:val="19"/>
              </w:rPr>
            </w:pP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南京苏宁足球运动产业发展</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南京雨花苏宁足球运动有限公司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雨花苏宁足球运动</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南京苏宁运动装备有限公司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南京苏宁运动装备</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天津聚力传媒技术有限公司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天津聚力</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太仓聚一堂网络科技有限公司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聚一堂网络</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江苏国信帕尔玛足球发展有限公司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国信帕尔马</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江苏国米商业发展有限公司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江苏国米</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江苏苏宁之星经纪服务有限公司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苏宁之星经纪</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江苏苏宁体育产业有限公司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苏宁体育产业</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江苏苏宁体育用品有限公司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苏宁体育用品</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江苏苏宁广场商业管理有限公司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苏宁广场商管</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11" w:lineRule="exact"/>
              <w:ind w:left="220" w:right="0" w:firstLine="0"/>
              <w:jc w:val="left"/>
              <w:rPr>
                <w:sz w:val="15"/>
                <w:szCs w:val="15"/>
              </w:rPr>
            </w:pPr>
            <w:r>
              <w:rPr>
                <w:rFonts w:ascii="SimSun" w:eastAsia="SimSun" w:hAnsi="SimSun" w:cs="SimSun"/>
                <w:color w:val="000000"/>
                <w:spacing w:val="0"/>
                <w:w w:val="100"/>
                <w:position w:val="0"/>
                <w:sz w:val="15"/>
                <w:szCs w:val="15"/>
              </w:rPr>
              <w:t>突触计算机系统</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上海</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突触计算机</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r>
              <w:rPr>
                <w:rFonts w:ascii="Arial" w:eastAsia="Arial" w:hAnsi="Arial" w:cs="Arial"/>
                <w:color w:val="000000"/>
                <w:spacing w:val="0"/>
                <w:w w:val="100"/>
                <w:position w:val="0"/>
                <w:sz w:val="16"/>
                <w:szCs w:val="16"/>
              </w:rPr>
              <w:t xml:space="preserve"> </w:t>
            </w:r>
            <w:r>
              <w:rPr>
                <w:rFonts w:ascii="SimSun" w:eastAsia="SimSun" w:hAnsi="SimSun" w:cs="SimSun"/>
                <w:color w:val="000000"/>
                <w:spacing w:val="0"/>
                <w:w w:val="100"/>
                <w:position w:val="0"/>
                <w:sz w:val="15"/>
                <w:szCs w:val="15"/>
              </w:rPr>
              <w:t>突触计算机系统</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上海</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有限公司北京分公司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rPr>
                <w:sz w:val="19"/>
                <w:szCs w:val="19"/>
              </w:rPr>
            </w:pP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突触计算机北京</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both"/>
              <w:rPr>
                <w:sz w:val="15"/>
                <w:szCs w:val="15"/>
              </w:rPr>
            </w:pPr>
            <w:r>
              <w:rPr>
                <w:rFonts w:ascii="SimSun" w:eastAsia="SimSun" w:hAnsi="SimSun" w:cs="SimSun"/>
                <w:color w:val="000000"/>
                <w:spacing w:val="0"/>
                <w:w w:val="100"/>
                <w:position w:val="0"/>
                <w:sz w:val="15"/>
                <w:szCs w:val="15"/>
              </w:rPr>
              <w:t>苏宁控股集团子公司之分支机构</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苏宁体育文化传媒</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北京</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苏宁体育文化传媒</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江苏苏宁商业管理有限公司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江苏苏宁商管</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江苏苏宁女子足球俱乐部有限公司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女子足球俱乐部</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06" w:lineRule="exact"/>
              <w:ind w:left="220" w:right="0" w:firstLine="0"/>
              <w:jc w:val="left"/>
              <w:rPr>
                <w:sz w:val="15"/>
                <w:szCs w:val="15"/>
              </w:rPr>
            </w:pPr>
            <w:r>
              <w:rPr>
                <w:rFonts w:ascii="SimSun" w:eastAsia="SimSun" w:hAnsi="SimSun" w:cs="SimSun"/>
                <w:color w:val="000000"/>
                <w:spacing w:val="0"/>
                <w:w w:val="100"/>
                <w:position w:val="0"/>
                <w:sz w:val="15"/>
                <w:szCs w:val="15"/>
              </w:rPr>
              <w:t>中国共产党苏宁控股集团有限公司委员会</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控股集团党委</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r>
              <w:rPr>
                <w:rFonts w:ascii="Arial" w:eastAsia="Arial" w:hAnsi="Arial" w:cs="Arial"/>
                <w:color w:val="000000"/>
                <w:spacing w:val="0"/>
                <w:w w:val="100"/>
                <w:position w:val="0"/>
                <w:sz w:val="16"/>
                <w:szCs w:val="16"/>
              </w:rPr>
              <w:t xml:space="preserve"> </w:t>
            </w:r>
            <w:r>
              <w:rPr>
                <w:rFonts w:ascii="SimSun" w:eastAsia="SimSun" w:hAnsi="SimSun" w:cs="SimSun"/>
                <w:color w:val="000000"/>
                <w:spacing w:val="0"/>
                <w:w w:val="100"/>
                <w:position w:val="0"/>
                <w:sz w:val="15"/>
                <w:szCs w:val="15"/>
              </w:rPr>
              <w:t>苏宁电器集团有限公司南京新街口苏宁诺富特酒店</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新街口苏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9"/>
                <w:szCs w:val="19"/>
              </w:rPr>
            </w:pPr>
            <w:r>
              <w:rPr>
                <w:rFonts w:ascii="SimSun" w:eastAsia="SimSun" w:hAnsi="SimSun" w:cs="SimSun"/>
                <w:color w:val="000000"/>
                <w:spacing w:val="0"/>
                <w:w w:val="100"/>
                <w:position w:val="0"/>
                <w:sz w:val="15"/>
                <w:szCs w:val="15"/>
              </w:rPr>
              <w:t>宁诺富特</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苏宁电器集团之分支机构</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北京华商会会议中心有限公司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华商会议中心</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苏宁电器集团之子公司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无锡苏宁商业管理有限公司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无锡苏宁商管</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苏宁电器集团之子公司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5"/>
                <w:szCs w:val="15"/>
              </w:rPr>
              <w:t>南京苏宁银河国际购物广场有限公司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银河国际广场</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rPr>
                <w:sz w:val="15"/>
                <w:szCs w:val="15"/>
              </w:rPr>
            </w:pPr>
            <w:r>
              <w:rPr>
                <w:rFonts w:ascii="SimSun" w:eastAsia="SimSun" w:hAnsi="SimSun" w:cs="SimSun"/>
                <w:color w:val="000000"/>
                <w:spacing w:val="0"/>
                <w:w w:val="100"/>
                <w:position w:val="0"/>
                <w:sz w:val="15"/>
                <w:szCs w:val="15"/>
              </w:rPr>
              <w:t>苏宁电器集团之子公司</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成都鸿业置业有限公司及分支机构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苏宁控股集团之子公司及子公司之分支机构</w:t>
            </w:r>
          </w:p>
        </w:tc>
      </w:tr>
    </w:tbl>
    <w:p>
      <w:pPr>
        <w:spacing w:lineRule="exact" w:line="1"/>
        <w:rPr>
          <w:sz w:val="2"/>
          <w:szCs w:val="2"/>
        </w:rPr>
      </w:pPr>
      <w:r>
        <w:br w:type="page"/>
      </w:r>
    </w:p>
    <w:tbl>
      <w:tblPr>
        <w:tblOverlap w:val="never"/>
        <w:jc w:val="center"/>
        <w:tblLayout w:type="fixed"/>
      </w:tblPr>
      <w:tblGrid>
        <w:gridCol w:w="514"/>
        <w:gridCol w:w="4982"/>
        <w:gridCol w:w="3288"/>
      </w:tblGrid>
      <w:tr>
        <w:trPr>
          <w:trHeight w:val="1440" w:hRule="exact"/>
        </w:trPr>
        <w:tc>
          <w:tcPr>
            <w:gridSpan w:val="3"/>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720"/>
              <w:jc w:val="left"/>
              <w:rPr>
                <w:sz w:val="24"/>
                <w:szCs w:val="24"/>
              </w:rPr>
            </w:pPr>
            <w:r>
              <w:rPr>
                <w:rFonts w:ascii="SimSun" w:eastAsia="SimSun" w:hAnsi="SimSun" w:cs="SimSun"/>
                <w:b/>
                <w:bCs/>
                <w:color w:val="000000"/>
                <w:spacing w:val="0"/>
                <w:w w:val="100"/>
                <w:position w:val="0"/>
                <w:sz w:val="24"/>
                <w:szCs w:val="24"/>
              </w:rPr>
              <w:t>苏宁易购集团股份有限公司</w:t>
            </w:r>
          </w:p>
          <w:p>
            <w:pPr>
              <w:pStyle w:val="Style29"/>
              <w:keepNext w:val="0"/>
              <w:keepLines w:val="0"/>
              <w:widowControl w:val="0"/>
              <w:shd w:val="clear" w:color="auto" w:fill="auto"/>
              <w:bidi w:val="0"/>
              <w:spacing w:before="0" w:after="60" w:line="240" w:lineRule="auto"/>
              <w:ind w:left="0" w:right="0" w:firstLine="720"/>
              <w:jc w:val="left"/>
              <w:rPr>
                <w:sz w:val="24"/>
                <w:szCs w:val="24"/>
              </w:rPr>
            </w:pPr>
            <w:r>
              <w:rPr>
                <w:rFonts w:ascii="SimSun" w:eastAsia="SimSun" w:hAnsi="SimSun" w:cs="SimSun"/>
                <w:b/>
                <w:bCs/>
                <w:color w:val="000000"/>
                <w:spacing w:val="0"/>
                <w:w w:val="100"/>
                <w:position w:val="0"/>
                <w:sz w:val="24"/>
                <w:szCs w:val="24"/>
              </w:rPr>
              <w:t>财务报表附注</w:t>
            </w:r>
          </w:p>
          <w:p>
            <w:pPr>
              <w:pStyle w:val="Style29"/>
              <w:keepNext w:val="0"/>
              <w:keepLines w:val="0"/>
              <w:widowControl w:val="0"/>
              <w:shd w:val="clear" w:color="auto" w:fill="auto"/>
              <w:bidi w:val="0"/>
              <w:spacing w:before="0" w:after="60" w:line="240" w:lineRule="auto"/>
              <w:ind w:left="0" w:right="0" w:firstLine="72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29"/>
              <w:keepNext w:val="0"/>
              <w:keepLines w:val="0"/>
              <w:widowControl w:val="0"/>
              <w:shd w:val="clear" w:color="auto" w:fill="auto"/>
              <w:bidi w:val="0"/>
              <w:spacing w:before="0" w:after="60" w:line="240" w:lineRule="auto"/>
              <w:ind w:left="0" w:right="0" w:firstLine="720"/>
              <w:jc w:val="left"/>
            </w:pP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8"/>
                <w:szCs w:val="18"/>
              </w:rPr>
              <w:t>除特别注明外，金额单位为人民币千元</w:t>
            </w:r>
            <w:r>
              <w:rPr>
                <w:rFonts w:ascii="SimSun" w:eastAsia="SimSun" w:hAnsi="SimSun" w:cs="SimSun"/>
                <w:color w:val="000000"/>
                <w:spacing w:val="0"/>
                <w:w w:val="100"/>
                <w:position w:val="0"/>
                <w:sz w:val="22"/>
                <w:szCs w:val="22"/>
              </w:rPr>
              <w:t>）</w:t>
            </w:r>
          </w:p>
        </w:tc>
      </w:tr>
      <w:tr>
        <w:trPr>
          <w:trHeight w:val="60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八</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28"/>
                <w:szCs w:val="28"/>
              </w:rPr>
            </w:pPr>
            <w:r>
              <w:rPr>
                <w:rFonts w:ascii="SimSun" w:eastAsia="SimSun" w:hAnsi="SimSun" w:cs="SimSun"/>
                <w:b/>
                <w:bCs/>
                <w:color w:val="000000"/>
                <w:spacing w:val="0"/>
                <w:w w:val="100"/>
                <w:position w:val="0"/>
                <w:sz w:val="24"/>
                <w:szCs w:val="24"/>
              </w:rPr>
              <w:t>关联方关系及其交易</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28"/>
                <w:szCs w:val="28"/>
              </w:rPr>
            </w:pPr>
            <w:r>
              <w:rPr>
                <w:rFonts w:ascii="SimSun" w:eastAsia="SimSun" w:hAnsi="SimSun" w:cs="SimSun"/>
                <w:b/>
                <w:bCs/>
                <w:color w:val="000000"/>
                <w:spacing w:val="0"/>
                <w:w w:val="100"/>
                <w:position w:val="0"/>
                <w:sz w:val="24"/>
                <w:szCs w:val="24"/>
              </w:rPr>
              <w:t>其他关联方情况</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关联方公司名称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与本集团的关系</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苏宁置业集团有限公司清凉门分公司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苏宁置业清凉门</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15"/>
                <w:szCs w:val="15"/>
              </w:rPr>
            </w:pPr>
            <w:r>
              <w:rPr>
                <w:rFonts w:ascii="SimSun" w:eastAsia="SimSun" w:hAnsi="SimSun" w:cs="SimSun"/>
                <w:color w:val="000000"/>
                <w:spacing w:val="0"/>
                <w:w w:val="100"/>
                <w:position w:val="0"/>
                <w:sz w:val="15"/>
                <w:szCs w:val="15"/>
              </w:rPr>
              <w:t>苏宁置业集团之分支机构</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南京鼎辰建筑设计有限责任公司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南京鼎辰</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both"/>
              <w:rPr>
                <w:sz w:val="15"/>
                <w:szCs w:val="15"/>
              </w:rPr>
            </w:pPr>
            <w:r>
              <w:rPr>
                <w:rFonts w:ascii="SimSun" w:eastAsia="SimSun" w:hAnsi="SimSun" w:cs="SimSun"/>
                <w:color w:val="000000"/>
                <w:spacing w:val="0"/>
                <w:w w:val="100"/>
                <w:position w:val="0"/>
                <w:sz w:val="15"/>
                <w:szCs w:val="15"/>
              </w:rPr>
              <w:t>苏宁置业集团之子公司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苏宁消费金融有限公司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消费金融</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5"/>
                <w:szCs w:val="15"/>
              </w:rPr>
            </w:pPr>
            <w:r>
              <w:rPr>
                <w:rFonts w:ascii="SimSun" w:eastAsia="SimSun" w:hAnsi="SimSun" w:cs="SimSun"/>
                <w:color w:val="000000"/>
                <w:spacing w:val="0"/>
                <w:w w:val="100"/>
                <w:position w:val="0"/>
                <w:sz w:val="15"/>
                <w:szCs w:val="15"/>
              </w:rPr>
              <w:t>本集团之联营企业</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星图金服及其子公司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本集团之联营企业及其子公司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珠海普易物流及其子公司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本集团之联营企业及其子公司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江苏苏宁银行股份有限公司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苏宁银行</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5"/>
                <w:szCs w:val="15"/>
              </w:rPr>
            </w:pPr>
            <w:r>
              <w:rPr>
                <w:rFonts w:ascii="SimSun" w:eastAsia="SimSun" w:hAnsi="SimSun" w:cs="SimSun"/>
                <w:color w:val="000000"/>
                <w:spacing w:val="0"/>
                <w:w w:val="100"/>
                <w:position w:val="0"/>
                <w:sz w:val="15"/>
                <w:szCs w:val="15"/>
              </w:rPr>
              <w:t>本集团之联营企业</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苏宁小店及其子公司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本集团之联营企业及其子公司</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苏宁金石</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天津</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基金管理有限公司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苏宁金石</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5"/>
                <w:szCs w:val="15"/>
              </w:rPr>
            </w:pPr>
            <w:r>
              <w:rPr>
                <w:rFonts w:ascii="SimSun" w:eastAsia="SimSun" w:hAnsi="SimSun" w:cs="SimSun"/>
                <w:color w:val="000000"/>
                <w:spacing w:val="0"/>
                <w:w w:val="100"/>
                <w:position w:val="0"/>
                <w:sz w:val="15"/>
                <w:szCs w:val="15"/>
              </w:rPr>
              <w:t>本集团之合营企业</w:t>
            </w: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淘宝</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中国</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软件有限公司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淘宝中国</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持有本集团</w:t>
            </w:r>
            <w:r>
              <w:rPr>
                <w:rFonts w:ascii="Arial" w:eastAsia="Arial" w:hAnsi="Arial" w:cs="Arial"/>
                <w:color w:val="000000"/>
                <w:spacing w:val="0"/>
                <w:w w:val="100"/>
                <w:position w:val="0"/>
                <w:sz w:val="16"/>
                <w:szCs w:val="16"/>
              </w:rPr>
              <w:t>5%</w:t>
            </w:r>
            <w:r>
              <w:rPr>
                <w:rFonts w:ascii="SimSun" w:eastAsia="SimSun" w:hAnsi="SimSun" w:cs="SimSun"/>
                <w:color w:val="000000"/>
                <w:spacing w:val="0"/>
                <w:w w:val="100"/>
                <w:position w:val="0"/>
                <w:sz w:val="15"/>
                <w:szCs w:val="15"/>
              </w:rPr>
              <w:t>以上股份法人股东</w:t>
            </w:r>
          </w:p>
          <w:p>
            <w:pPr>
              <w:pStyle w:val="Style29"/>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持有本集团</w:t>
            </w:r>
            <w:r>
              <w:rPr>
                <w:rFonts w:ascii="Arial" w:eastAsia="Arial" w:hAnsi="Arial" w:cs="Arial"/>
                <w:color w:val="000000"/>
                <w:spacing w:val="0"/>
                <w:w w:val="100"/>
                <w:position w:val="0"/>
                <w:sz w:val="16"/>
                <w:szCs w:val="16"/>
              </w:rPr>
              <w:t>5%</w:t>
            </w:r>
            <w:r>
              <w:rPr>
                <w:rFonts w:ascii="SimSun" w:eastAsia="SimSun" w:hAnsi="SimSun" w:cs="SimSun"/>
                <w:color w:val="000000"/>
                <w:spacing w:val="0"/>
                <w:w w:val="100"/>
                <w:position w:val="0"/>
                <w:sz w:val="15"/>
                <w:szCs w:val="15"/>
              </w:rPr>
              <w:t>以上股份法人股东</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阿里巴巴集团</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阿里巴巴</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both"/>
              <w:rPr>
                <w:sz w:val="15"/>
                <w:szCs w:val="15"/>
              </w:rPr>
            </w:pPr>
            <w:r>
              <w:rPr>
                <w:rFonts w:ascii="SimSun" w:eastAsia="SimSun" w:hAnsi="SimSun" w:cs="SimSun"/>
                <w:color w:val="000000"/>
                <w:spacing w:val="0"/>
                <w:w w:val="100"/>
                <w:position w:val="0"/>
                <w:sz w:val="15"/>
                <w:szCs w:val="15"/>
              </w:rPr>
              <w:t>之最终控股公司及其子公司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Arial" w:eastAsia="Arial" w:hAnsi="Arial" w:cs="Arial"/>
                <w:color w:val="000000"/>
                <w:spacing w:val="0"/>
                <w:w w:val="100"/>
                <w:position w:val="0"/>
                <w:sz w:val="16"/>
                <w:szCs w:val="16"/>
              </w:rPr>
              <w:t>TCL</w:t>
            </w:r>
            <w:r>
              <w:rPr>
                <w:rFonts w:ascii="SimSun" w:eastAsia="SimSun" w:hAnsi="SimSun" w:cs="SimSun"/>
                <w:color w:val="000000"/>
                <w:spacing w:val="0"/>
                <w:w w:val="100"/>
                <w:position w:val="0"/>
                <w:sz w:val="15"/>
                <w:szCs w:val="15"/>
              </w:rPr>
              <w:t>实业控股</w:t>
            </w:r>
            <w:r>
              <w:rPr>
                <w:rFonts w:ascii="Arial" w:eastAsia="Arial" w:hAnsi="Arial" w:cs="Arial"/>
                <w:color w:val="000000"/>
                <w:spacing w:val="0"/>
                <w:w w:val="100"/>
                <w:position w:val="0"/>
                <w:sz w:val="16"/>
                <w:szCs w:val="16"/>
              </w:rPr>
              <w:t>15</w:t>
            </w:r>
            <w:r>
              <w:rPr>
                <w:rFonts w:ascii="SimSun" w:eastAsia="SimSun" w:hAnsi="SimSun" w:cs="SimSun"/>
                <w:color w:val="000000"/>
                <w:spacing w:val="0"/>
                <w:w w:val="100"/>
                <w:position w:val="0"/>
                <w:sz w:val="15"/>
                <w:szCs w:val="15"/>
              </w:rPr>
              <w:t>家子公司</w:t>
            </w:r>
            <w:r>
              <w:rPr>
                <w:rFonts w:ascii="Arial" w:eastAsia="Arial" w:hAnsi="Arial" w:cs="Arial"/>
                <w:color w:val="000000"/>
                <w:spacing w:val="0"/>
                <w:w w:val="100"/>
                <w:position w:val="0"/>
                <w:sz w:val="16"/>
                <w:szCs w:val="16"/>
              </w:rPr>
              <w:t>（</w:t>
            </w:r>
            <w:r>
              <w:rPr>
                <w:rFonts w:ascii="Arial" w:eastAsia="Arial" w:hAnsi="Arial" w:cs="Arial"/>
                <w:color w:val="000000"/>
                <w:spacing w:val="0"/>
                <w:w w:val="100"/>
                <w:position w:val="0"/>
                <w:sz w:val="16"/>
                <w:szCs w:val="16"/>
              </w:rPr>
              <w:t>“TCL</w:t>
            </w:r>
            <w:r>
              <w:rPr>
                <w:rFonts w:ascii="SimSun" w:eastAsia="SimSun" w:hAnsi="SimSun" w:cs="SimSun"/>
                <w:color w:val="000000"/>
                <w:spacing w:val="0"/>
                <w:w w:val="100"/>
                <w:position w:val="0"/>
                <w:sz w:val="15"/>
                <w:szCs w:val="15"/>
              </w:rPr>
              <w:t>实业</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5"/>
                <w:szCs w:val="15"/>
              </w:rPr>
            </w:pPr>
            <w:r>
              <w:rPr>
                <w:rFonts w:ascii="SimSun" w:eastAsia="SimSun" w:hAnsi="SimSun" w:cs="SimSun"/>
                <w:color w:val="000000"/>
                <w:spacing w:val="0"/>
                <w:w w:val="100"/>
                <w:position w:val="0"/>
                <w:sz w:val="15"/>
                <w:szCs w:val="15"/>
              </w:rPr>
              <w:t>本集团曾对其具有重大影响</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16" w:lineRule="exact"/>
              <w:ind w:left="220" w:right="0" w:firstLine="0"/>
              <w:jc w:val="left"/>
              <w:rPr>
                <w:sz w:val="15"/>
                <w:szCs w:val="15"/>
              </w:rPr>
            </w:pPr>
            <w:r>
              <w:rPr>
                <w:rFonts w:ascii="SimSun" w:eastAsia="SimSun" w:hAnsi="SimSun" w:cs="SimSun"/>
                <w:color w:val="000000"/>
                <w:spacing w:val="0"/>
                <w:w w:val="100"/>
                <w:position w:val="0"/>
                <w:sz w:val="15"/>
                <w:szCs w:val="15"/>
              </w:rPr>
              <w:t>日本</w:t>
            </w:r>
            <w:r>
              <w:rPr>
                <w:rFonts w:ascii="Arial" w:eastAsia="Arial" w:hAnsi="Arial" w:cs="Arial"/>
                <w:color w:val="000000"/>
                <w:spacing w:val="0"/>
                <w:w w:val="100"/>
                <w:position w:val="0"/>
                <w:sz w:val="16"/>
                <w:szCs w:val="16"/>
              </w:rPr>
              <w:t>LAOX</w:t>
            </w:r>
            <w:r>
              <w:rPr>
                <w:rFonts w:ascii="SimSun" w:eastAsia="SimSun" w:hAnsi="SimSun" w:cs="SimSun"/>
                <w:color w:val="000000"/>
                <w:spacing w:val="0"/>
                <w:w w:val="100"/>
                <w:position w:val="0"/>
                <w:sz w:val="15"/>
                <w:szCs w:val="15"/>
              </w:rPr>
              <w:t>及其</w:t>
            </w:r>
            <w:r>
              <w:rPr>
                <w:rFonts w:ascii="Arial" w:eastAsia="Arial" w:hAnsi="Arial" w:cs="Arial"/>
                <w:color w:val="000000"/>
                <w:spacing w:val="0"/>
                <w:w w:val="100"/>
                <w:position w:val="0"/>
                <w:sz w:val="16"/>
                <w:szCs w:val="16"/>
              </w:rPr>
              <w:t>7</w:t>
            </w:r>
            <w:r>
              <w:rPr>
                <w:rFonts w:ascii="SimSun" w:eastAsia="SimSun" w:hAnsi="SimSun" w:cs="SimSun"/>
                <w:color w:val="000000"/>
                <w:spacing w:val="0"/>
                <w:w w:val="100"/>
                <w:position w:val="0"/>
                <w:sz w:val="15"/>
                <w:szCs w:val="15"/>
              </w:rPr>
              <w:t>家子公司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日本</w:t>
            </w:r>
            <w:r>
              <w:rPr>
                <w:rFonts w:ascii="Arial" w:eastAsia="Arial" w:hAnsi="Arial" w:cs="Arial"/>
                <w:color w:val="000000"/>
                <w:spacing w:val="0"/>
                <w:w w:val="100"/>
                <w:position w:val="0"/>
                <w:sz w:val="16"/>
                <w:szCs w:val="16"/>
              </w:rPr>
              <w:t>LAOX</w:t>
            </w:r>
            <w:r>
              <w:rPr>
                <w:rFonts w:ascii="SimSun" w:eastAsia="SimSun" w:hAnsi="SimSun" w:cs="SimSun"/>
                <w:color w:val="000000"/>
                <w:spacing w:val="0"/>
                <w:w w:val="100"/>
                <w:position w:val="0"/>
                <w:sz w:val="15"/>
                <w:szCs w:val="15"/>
              </w:rPr>
              <w:t>集团</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r>
              <w:rPr>
                <w:rFonts w:ascii="Arial" w:eastAsia="Arial" w:hAnsi="Arial" w:cs="Arial"/>
                <w:color w:val="000000"/>
                <w:spacing w:val="0"/>
                <w:w w:val="100"/>
                <w:position w:val="0"/>
                <w:sz w:val="16"/>
                <w:szCs w:val="16"/>
              </w:rPr>
              <w:t xml:space="preserve"> </w:t>
            </w:r>
            <w:r>
              <w:rPr>
                <w:rFonts w:ascii="SimSun" w:eastAsia="SimSun" w:hAnsi="SimSun" w:cs="SimSun"/>
                <w:color w:val="000000"/>
                <w:spacing w:val="0"/>
                <w:w w:val="100"/>
                <w:position w:val="0"/>
                <w:sz w:val="15"/>
                <w:szCs w:val="15"/>
              </w:rPr>
              <w:t>大连万达商业管理集团股份有限公司及其子公司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both"/>
              <w:rPr>
                <w:sz w:val="15"/>
                <w:szCs w:val="15"/>
              </w:rPr>
            </w:pPr>
            <w:r>
              <w:rPr>
                <w:rFonts w:ascii="SimSun" w:eastAsia="SimSun" w:hAnsi="SimSun" w:cs="SimSun"/>
                <w:color w:val="000000"/>
                <w:spacing w:val="0"/>
                <w:w w:val="100"/>
                <w:position w:val="0"/>
                <w:sz w:val="15"/>
                <w:szCs w:val="15"/>
              </w:rPr>
              <w:t>本集团对其具有重大影响</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9"/>
                <w:szCs w:val="19"/>
              </w:rPr>
            </w:pP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万达商管</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both"/>
              <w:rPr>
                <w:sz w:val="15"/>
                <w:szCs w:val="15"/>
              </w:rPr>
            </w:pPr>
            <w:r>
              <w:rPr>
                <w:rFonts w:ascii="SimSun" w:eastAsia="SimSun" w:hAnsi="SimSun" w:cs="SimSun"/>
                <w:color w:val="000000"/>
                <w:spacing w:val="0"/>
                <w:w w:val="100"/>
                <w:position w:val="0"/>
                <w:sz w:val="15"/>
                <w:szCs w:val="15"/>
              </w:rPr>
              <w:t>本集团对其具有重大影响</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both"/>
              <w:rPr>
                <w:sz w:val="19"/>
                <w:szCs w:val="19"/>
              </w:rPr>
            </w:pPr>
            <w:r>
              <w:rPr>
                <w:rFonts w:ascii="SimSun" w:eastAsia="SimSun" w:hAnsi="SimSun" w:cs="SimSun"/>
                <w:color w:val="000000"/>
                <w:spacing w:val="0"/>
                <w:w w:val="100"/>
                <w:position w:val="0"/>
                <w:sz w:val="15"/>
                <w:szCs w:val="15"/>
              </w:rPr>
              <w:t>菱重家用空调系统</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上海）有限公司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菱重空调</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5"/>
                <w:szCs w:val="15"/>
              </w:rPr>
            </w:pPr>
            <w:r>
              <w:rPr>
                <w:rFonts w:ascii="SimSun" w:eastAsia="SimSun" w:hAnsi="SimSun" w:cs="SimSun"/>
                <w:color w:val="000000"/>
                <w:spacing w:val="0"/>
                <w:w w:val="100"/>
                <w:position w:val="0"/>
                <w:sz w:val="15"/>
                <w:szCs w:val="15"/>
              </w:rPr>
              <w:t>本集团曾对其具有重大影响</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06" w:lineRule="exact"/>
              <w:ind w:left="220" w:right="0" w:firstLine="0"/>
              <w:jc w:val="both"/>
              <w:rPr>
                <w:sz w:val="15"/>
                <w:szCs w:val="15"/>
              </w:rPr>
            </w:pPr>
            <w:r>
              <w:rPr>
                <w:rFonts w:ascii="SimSun" w:eastAsia="SimSun" w:hAnsi="SimSun" w:cs="SimSun"/>
                <w:color w:val="000000"/>
                <w:spacing w:val="0"/>
                <w:w w:val="100"/>
                <w:position w:val="0"/>
                <w:sz w:val="15"/>
                <w:szCs w:val="15"/>
              </w:rPr>
              <w:t>北京奇立软件技术有限公司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北京奇立</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r>
              <w:rPr>
                <w:rFonts w:ascii="Arial" w:eastAsia="Arial" w:hAnsi="Arial" w:cs="Arial"/>
                <w:color w:val="000000"/>
                <w:spacing w:val="0"/>
                <w:w w:val="100"/>
                <w:position w:val="0"/>
                <w:sz w:val="16"/>
                <w:szCs w:val="16"/>
              </w:rPr>
              <w:t xml:space="preserve"> </w:t>
            </w:r>
            <w:r>
              <w:rPr>
                <w:rFonts w:ascii="SimSun" w:eastAsia="SimSun" w:hAnsi="SimSun" w:cs="SimSun"/>
                <w:color w:val="000000"/>
                <w:spacing w:val="0"/>
                <w:w w:val="100"/>
                <w:position w:val="0"/>
                <w:sz w:val="15"/>
                <w:szCs w:val="15"/>
              </w:rPr>
              <w:t>无锡北塘苏宁环球房地产开发有限公司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both"/>
              <w:rPr>
                <w:sz w:val="15"/>
                <w:szCs w:val="15"/>
              </w:rPr>
            </w:pPr>
            <w:r>
              <w:rPr>
                <w:rFonts w:ascii="SimSun" w:eastAsia="SimSun" w:hAnsi="SimSun" w:cs="SimSun"/>
                <w:color w:val="000000"/>
                <w:spacing w:val="0"/>
                <w:w w:val="100"/>
                <w:position w:val="0"/>
                <w:sz w:val="15"/>
                <w:szCs w:val="15"/>
              </w:rPr>
              <w:t>本集团对其具有重大影响</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9"/>
                <w:szCs w:val="19"/>
              </w:rPr>
            </w:pP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北塘苏宁环球房地产</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实际控制人系张近东先生家庭成员</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陕西苏宁易达物流投资有限公司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陕西苏宁易达</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湖南苏宁易达物流仓储有限公司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湖南苏宁易达</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宁波苏宁易达物流投资有限公司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宁波苏宁易达</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内江苏宁易达商贸有限公司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内江苏宁易达</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佛山市三水苏宁易达物流投资有限公司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三水苏宁易达</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深创投不动产基金管理有限公司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深创投</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深创投不动产基金管理</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深圳</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深创投深圳</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重庆首恒物流有限公司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重庆首恒</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上海沪申苏宁电器有限公司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上海沪申</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南京优荣资产管理有限公司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南京优荣</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南京禄昌资产管理有限公司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南京禄昌</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徐州苏宁云商物流有限公司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徐州苏宁云商</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江苏辰逸资产管理有限公司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江苏辰逸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沈阳苏宁物流有限公司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沈阳苏宁物流</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湖南苏宁采购有限公司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湖南苏宁采购</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9"/>
                <w:szCs w:val="19"/>
              </w:rPr>
            </w:pPr>
            <w:r>
              <w:rPr>
                <w:rFonts w:ascii="SimSun" w:eastAsia="SimSun" w:hAnsi="SimSun" w:cs="SimSun"/>
                <w:color w:val="000000"/>
                <w:spacing w:val="0"/>
                <w:w w:val="100"/>
                <w:position w:val="0"/>
                <w:sz w:val="15"/>
                <w:szCs w:val="15"/>
              </w:rPr>
              <w:t>内江皓杰企业管理有限公司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内江皓杰</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6"/>
                <w:szCs w:val="16"/>
              </w:rPr>
            </w:pPr>
            <w:r>
              <w:rPr>
                <w:rFonts w:ascii="SimSun" w:eastAsia="SimSun" w:hAnsi="SimSun" w:cs="SimSun"/>
                <w:color w:val="000000"/>
                <w:spacing w:val="0"/>
                <w:w w:val="100"/>
                <w:position w:val="0"/>
                <w:sz w:val="15"/>
                <w:szCs w:val="15"/>
              </w:rPr>
              <w:t>中山市苏宁物流有限公司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中山苏宁物流</w:t>
            </w:r>
            <w:r>
              <w:rPr>
                <w:rFonts w:ascii="Arial" w:eastAsia="Arial" w:hAnsi="Arial" w:cs="Arial"/>
                <w:color w:val="000000"/>
                <w:spacing w:val="0"/>
                <w:w w:val="100"/>
                <w:position w:val="0"/>
                <w:sz w:val="16"/>
                <w:szCs w:val="16"/>
              </w:rPr>
              <w:t>”）（i）</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6"/>
                <w:szCs w:val="16"/>
              </w:rPr>
            </w:pPr>
            <w:r>
              <w:rPr>
                <w:rFonts w:ascii="SimSun" w:eastAsia="SimSun" w:hAnsi="SimSun" w:cs="SimSun"/>
                <w:color w:val="000000"/>
                <w:spacing w:val="0"/>
                <w:w w:val="100"/>
                <w:position w:val="0"/>
                <w:sz w:val="15"/>
                <w:szCs w:val="15"/>
              </w:rPr>
              <w:t>山东渤宁苏宁易购商贸有限公司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渤宁苏宁易购</w:t>
            </w:r>
            <w:r>
              <w:rPr>
                <w:rFonts w:ascii="Arial" w:eastAsia="Arial" w:hAnsi="Arial" w:cs="Arial"/>
                <w:color w:val="000000"/>
                <w:spacing w:val="0"/>
                <w:w w:val="100"/>
                <w:position w:val="0"/>
                <w:sz w:val="16"/>
                <w:szCs w:val="16"/>
              </w:rPr>
              <w:t>”）（ii）</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6"/>
                <w:szCs w:val="16"/>
              </w:rPr>
            </w:pPr>
            <w:r>
              <w:rPr>
                <w:rFonts w:ascii="SimSun" w:eastAsia="SimSun" w:hAnsi="SimSun" w:cs="SimSun"/>
                <w:color w:val="000000"/>
                <w:spacing w:val="0"/>
                <w:w w:val="100"/>
                <w:position w:val="0"/>
                <w:sz w:val="15"/>
                <w:szCs w:val="15"/>
              </w:rPr>
              <w:t>天津津宁易达物流有限公司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津宁易达物流</w:t>
            </w:r>
            <w:r>
              <w:rPr>
                <w:rFonts w:ascii="Arial" w:eastAsia="Arial" w:hAnsi="Arial" w:cs="Arial"/>
                <w:color w:val="000000"/>
                <w:spacing w:val="0"/>
                <w:w w:val="100"/>
                <w:position w:val="0"/>
                <w:sz w:val="16"/>
                <w:szCs w:val="16"/>
              </w:rPr>
              <w:t>”）（ii）</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left"/>
              <w:rPr>
                <w:sz w:val="16"/>
                <w:szCs w:val="16"/>
              </w:rPr>
            </w:pPr>
            <w:r>
              <w:rPr>
                <w:rFonts w:ascii="SimSun" w:eastAsia="SimSun" w:hAnsi="SimSun" w:cs="SimSun"/>
                <w:color w:val="000000"/>
                <w:spacing w:val="0"/>
                <w:w w:val="100"/>
                <w:position w:val="0"/>
                <w:sz w:val="15"/>
                <w:szCs w:val="15"/>
              </w:rPr>
              <w:t>温州苏宁采购有限公司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温州苏宁采购</w:t>
            </w:r>
            <w:r>
              <w:rPr>
                <w:rFonts w:ascii="Arial" w:eastAsia="Arial" w:hAnsi="Arial" w:cs="Arial"/>
                <w:color w:val="000000"/>
                <w:spacing w:val="0"/>
                <w:w w:val="100"/>
                <w:position w:val="0"/>
                <w:sz w:val="16"/>
                <w:szCs w:val="16"/>
              </w:rPr>
              <w:t>”）（ii）</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11" w:lineRule="exact"/>
              <w:ind w:left="220" w:right="0" w:firstLine="0"/>
              <w:jc w:val="left"/>
              <w:rPr>
                <w:sz w:val="15"/>
                <w:szCs w:val="15"/>
              </w:rPr>
            </w:pPr>
            <w:r>
              <w:rPr>
                <w:rFonts w:ascii="SimSun" w:eastAsia="SimSun" w:hAnsi="SimSun" w:cs="SimSun"/>
                <w:color w:val="000000"/>
                <w:spacing w:val="0"/>
                <w:w w:val="100"/>
                <w:position w:val="0"/>
                <w:sz w:val="15"/>
                <w:szCs w:val="15"/>
              </w:rPr>
              <w:t>湖北苏宁物流有限公司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湖北苏宁物流</w:t>
            </w:r>
            <w:r>
              <w:rPr>
                <w:rFonts w:ascii="Arial" w:eastAsia="Arial" w:hAnsi="Arial" w:cs="Arial"/>
                <w:color w:val="000000"/>
                <w:spacing w:val="0"/>
                <w:w w:val="100"/>
                <w:position w:val="0"/>
                <w:sz w:val="16"/>
                <w:szCs w:val="16"/>
              </w:rPr>
              <w:t xml:space="preserve">”）（ii） </w:t>
            </w:r>
            <w:r>
              <w:rPr>
                <w:rFonts w:ascii="SimSun" w:eastAsia="SimSun" w:hAnsi="SimSun" w:cs="SimSun"/>
                <w:color w:val="000000"/>
                <w:spacing w:val="0"/>
                <w:w w:val="100"/>
                <w:position w:val="0"/>
                <w:sz w:val="15"/>
                <w:szCs w:val="15"/>
              </w:rPr>
              <w:t>西安市高新区苏宁易达物流仓储有限公司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西安高新区苏宁易达</w:t>
            </w:r>
            <w:r>
              <w:rPr>
                <w:rFonts w:ascii="Arial" w:eastAsia="Arial" w:hAnsi="Arial" w:cs="Arial"/>
                <w:color w:val="000000"/>
                <w:spacing w:val="0"/>
                <w:w w:val="100"/>
                <w:position w:val="0"/>
                <w:sz w:val="16"/>
                <w:szCs w:val="16"/>
              </w:rPr>
              <w:t>”）（ii）</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both"/>
              <w:rPr>
                <w:sz w:val="15"/>
                <w:szCs w:val="15"/>
              </w:rPr>
            </w:pPr>
            <w:r>
              <w:rPr>
                <w:rFonts w:ascii="SimSun" w:eastAsia="SimSun" w:hAnsi="SimSun" w:cs="SimSun"/>
                <w:color w:val="000000"/>
                <w:spacing w:val="0"/>
                <w:w w:val="100"/>
                <w:position w:val="0"/>
                <w:sz w:val="15"/>
                <w:szCs w:val="15"/>
              </w:rPr>
              <w:t>本集团合营公司之全资子公司</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5"/>
                <w:szCs w:val="15"/>
              </w:rPr>
              <w:t>苏宁润东股权投资管理有限公司</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苏宁润东</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9"/>
                <w:szCs w:val="19"/>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5"/>
                <w:szCs w:val="15"/>
              </w:rPr>
            </w:pPr>
            <w:r>
              <w:rPr>
                <w:rFonts w:ascii="SimSun" w:eastAsia="SimSun" w:hAnsi="SimSun" w:cs="SimSun"/>
                <w:color w:val="000000"/>
                <w:spacing w:val="0"/>
                <w:w w:val="100"/>
                <w:position w:val="0"/>
                <w:sz w:val="15"/>
                <w:szCs w:val="15"/>
              </w:rPr>
              <w:t>苏宁控股集团旗下其余体育彩票公司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rPr>
                <w:sz w:val="15"/>
                <w:szCs w:val="15"/>
              </w:rPr>
            </w:pPr>
            <w:r>
              <w:rPr>
                <w:rFonts w:ascii="SimSun" w:eastAsia="SimSun" w:hAnsi="SimSun" w:cs="SimSun"/>
                <w:color w:val="000000"/>
                <w:spacing w:val="0"/>
                <w:w w:val="100"/>
                <w:position w:val="0"/>
                <w:sz w:val="15"/>
                <w:szCs w:val="15"/>
              </w:rPr>
              <w:t>苏宁控股集团之子公司</w:t>
            </w:r>
          </w:p>
        </w:tc>
      </w:tr>
    </w:tbl>
    <w:p>
      <w:pPr>
        <w:sectPr>
          <w:footnotePr>
            <w:pos w:val="pageBottom"/>
            <w:numFmt w:val="decimal"/>
            <w:numStart w:val="1"/>
            <w:numRestart w:val="continuous"/>
            <w15:footnoteColumns w:val="1"/>
          </w:footnotePr>
          <w:pgSz w:w="11900" w:h="16840"/>
          <w:pgMar w:top="778" w:right="1413" w:bottom="1480" w:left="1703" w:header="0" w:footer="3" w:gutter="0"/>
          <w:cols w:space="720"/>
          <w:noEndnote/>
          <w:rtlGutter w:val="0"/>
          <w:docGrid w:linePitch="360"/>
        </w:sectPr>
      </w:pPr>
    </w:p>
    <w:p>
      <w:pPr>
        <w:pStyle w:val="Style72"/>
        <w:keepNext w:val="0"/>
        <w:keepLines w:val="0"/>
        <w:widowControl w:val="0"/>
        <w:shd w:val="clear" w:color="auto" w:fill="auto"/>
        <w:tabs>
          <w:tab w:pos="711" w:val="left"/>
        </w:tabs>
        <w:bidi w:val="0"/>
        <w:spacing w:before="0" w:after="280" w:line="240" w:lineRule="auto"/>
        <w:ind w:left="0" w:right="0" w:firstLine="0"/>
        <w:jc w:val="left"/>
        <w:rPr>
          <w:sz w:val="28"/>
          <w:szCs w:val="28"/>
        </w:rPr>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121"/>
        </w:numPr>
        <w:shd w:val="clear" w:color="auto" w:fill="auto"/>
        <w:tabs>
          <w:tab w:pos="711" w:val="left"/>
        </w:tabs>
        <w:bidi w:val="0"/>
        <w:spacing w:before="0" w:after="280" w:line="240" w:lineRule="auto"/>
        <w:ind w:left="0" w:right="0" w:firstLine="0"/>
        <w:jc w:val="left"/>
        <w:rPr>
          <w:sz w:val="28"/>
          <w:szCs w:val="28"/>
        </w:rPr>
      </w:pPr>
      <w:bookmarkStart w:id="967" w:name="bookmark967"/>
      <w:bookmarkEnd w:id="967"/>
      <w:r>
        <w:rPr>
          <w:b/>
          <w:bCs/>
          <w:color w:val="000000"/>
          <w:spacing w:val="0"/>
          <w:w w:val="100"/>
          <w:position w:val="0"/>
          <w:sz w:val="24"/>
          <w:szCs w:val="24"/>
        </w:rPr>
        <w:t>其他关联方情况</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11" w:val="left"/>
        </w:tabs>
        <w:bidi w:val="0"/>
        <w:spacing w:before="0" w:after="0" w:line="298" w:lineRule="exact"/>
        <w:ind w:left="0" w:right="0" w:firstLine="0"/>
        <w:jc w:val="left"/>
      </w:pPr>
      <w:r>
        <w:rPr>
          <w:color w:val="000000"/>
          <w:spacing w:val="0"/>
          <w:w w:val="100"/>
          <w:position w:val="0"/>
          <w:sz w:val="24"/>
          <w:szCs w:val="24"/>
        </w:rPr>
        <w:t>⑴</w:t>
        <w:tab/>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年度，本集团将安庆悦城</w:t>
      </w:r>
      <w:r>
        <w:rPr>
          <w:rFonts w:ascii="Arial" w:eastAsia="Arial" w:hAnsi="Arial" w:cs="Arial"/>
          <w:color w:val="000000"/>
          <w:spacing w:val="0"/>
          <w:w w:val="100"/>
          <w:position w:val="0"/>
          <w:sz w:val="24"/>
          <w:szCs w:val="24"/>
        </w:rPr>
        <w:t>100%</w:t>
      </w:r>
      <w:r>
        <w:rPr>
          <w:color w:val="000000"/>
          <w:spacing w:val="0"/>
          <w:w w:val="100"/>
          <w:position w:val="0"/>
          <w:sz w:val="24"/>
          <w:szCs w:val="24"/>
        </w:rPr>
        <w:t>的股权转让给本集团之股东苏宁置业</w:t>
      </w:r>
    </w:p>
    <w:p>
      <w:pPr>
        <w:pStyle w:val="Style72"/>
        <w:keepNext w:val="0"/>
        <w:keepLines w:val="0"/>
        <w:widowControl w:val="0"/>
        <w:shd w:val="clear" w:color="auto" w:fill="auto"/>
        <w:bidi w:val="0"/>
        <w:spacing w:before="0" w:after="280" w:line="298" w:lineRule="exact"/>
        <w:ind w:left="800" w:right="0" w:firstLine="2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附注五</w:t>
      </w:r>
      <w:r>
        <w:rPr>
          <w:rFonts w:ascii="Arial" w:eastAsia="Arial" w:hAnsi="Arial" w:cs="Arial"/>
          <w:color w:val="000000"/>
          <w:spacing w:val="0"/>
          <w:w w:val="100"/>
          <w:position w:val="0"/>
          <w:sz w:val="24"/>
          <w:szCs w:val="24"/>
        </w:rPr>
        <w:t>(1))</w:t>
      </w:r>
      <w:r>
        <w:rPr>
          <w:color w:val="000000"/>
          <w:spacing w:val="0"/>
          <w:w w:val="100"/>
          <w:position w:val="0"/>
          <w:sz w:val="24"/>
          <w:szCs w:val="24"/>
        </w:rPr>
        <w:t>，因此安庆悦城构成本集团关联方。本报告期内披露的与安庆悦城 的关联方交易系自</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日至</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日的交易。</w:t>
      </w:r>
    </w:p>
    <w:p>
      <w:pPr>
        <w:pStyle w:val="Style72"/>
        <w:keepNext w:val="0"/>
        <w:keepLines w:val="0"/>
        <w:widowControl w:val="0"/>
        <w:numPr>
          <w:ilvl w:val="0"/>
          <w:numId w:val="123"/>
        </w:numPr>
        <w:shd w:val="clear" w:color="auto" w:fill="auto"/>
        <w:tabs>
          <w:tab w:pos="711" w:val="left"/>
        </w:tabs>
        <w:bidi w:val="0"/>
        <w:spacing w:before="0" w:after="280" w:line="310" w:lineRule="exact"/>
        <w:ind w:left="800" w:right="0" w:hanging="800"/>
        <w:jc w:val="both"/>
      </w:pPr>
      <w:bookmarkStart w:id="968" w:name="bookmark968"/>
      <w:bookmarkEnd w:id="968"/>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年度，本集团将</w:t>
      </w:r>
      <w:r>
        <w:rPr>
          <w:rFonts w:ascii="Arial" w:eastAsia="Arial" w:hAnsi="Arial" w:cs="Arial"/>
          <w:color w:val="000000"/>
          <w:spacing w:val="0"/>
          <w:w w:val="100"/>
          <w:position w:val="0"/>
          <w:sz w:val="24"/>
          <w:szCs w:val="24"/>
        </w:rPr>
        <w:t>18</w:t>
      </w:r>
      <w:r>
        <w:rPr>
          <w:color w:val="000000"/>
          <w:spacing w:val="0"/>
          <w:w w:val="100"/>
          <w:position w:val="0"/>
          <w:sz w:val="24"/>
          <w:szCs w:val="24"/>
        </w:rPr>
        <w:t>家仓储物流公司</w:t>
      </w:r>
      <w:r>
        <w:rPr>
          <w:rFonts w:ascii="Arial" w:eastAsia="Arial" w:hAnsi="Arial" w:cs="Arial"/>
          <w:color w:val="000000"/>
          <w:spacing w:val="0"/>
          <w:w w:val="100"/>
          <w:position w:val="0"/>
          <w:sz w:val="24"/>
          <w:szCs w:val="24"/>
        </w:rPr>
        <w:t>100%</w:t>
      </w:r>
      <w:r>
        <w:rPr>
          <w:color w:val="000000"/>
          <w:spacing w:val="0"/>
          <w:w w:val="100"/>
          <w:position w:val="0"/>
          <w:sz w:val="24"/>
          <w:szCs w:val="24"/>
        </w:rPr>
        <w:t>的股权转让给本集团之联 营公司普易物流及其关联方</w:t>
      </w:r>
      <w:r>
        <w:rPr>
          <w:rFonts w:ascii="Arial" w:eastAsia="Arial" w:hAnsi="Arial" w:cs="Arial"/>
          <w:color w:val="000000"/>
          <w:spacing w:val="0"/>
          <w:w w:val="100"/>
          <w:position w:val="0"/>
          <w:sz w:val="24"/>
          <w:szCs w:val="24"/>
        </w:rPr>
        <w:t>(</w:t>
      </w:r>
      <w:r>
        <w:rPr>
          <w:color w:val="000000"/>
          <w:spacing w:val="0"/>
          <w:w w:val="100"/>
          <w:position w:val="0"/>
          <w:sz w:val="24"/>
          <w:szCs w:val="24"/>
        </w:rPr>
        <w:t>附注五</w:t>
      </w:r>
      <w:r>
        <w:rPr>
          <w:rFonts w:ascii="Arial" w:eastAsia="Arial" w:hAnsi="Arial" w:cs="Arial"/>
          <w:color w:val="000000"/>
          <w:spacing w:val="0"/>
          <w:w w:val="100"/>
          <w:position w:val="0"/>
          <w:sz w:val="24"/>
          <w:szCs w:val="24"/>
        </w:rPr>
        <w:t>(1))</w:t>
      </w:r>
      <w:r>
        <w:rPr>
          <w:color w:val="000000"/>
          <w:spacing w:val="0"/>
          <w:w w:val="100"/>
          <w:position w:val="0"/>
          <w:sz w:val="24"/>
          <w:szCs w:val="24"/>
        </w:rPr>
        <w:t>，因此该</w:t>
      </w:r>
      <w:r>
        <w:rPr>
          <w:rFonts w:ascii="Arial" w:eastAsia="Arial" w:hAnsi="Arial" w:cs="Arial"/>
          <w:color w:val="000000"/>
          <w:spacing w:val="0"/>
          <w:w w:val="100"/>
          <w:position w:val="0"/>
          <w:sz w:val="24"/>
          <w:szCs w:val="24"/>
        </w:rPr>
        <w:t>18</w:t>
      </w:r>
      <w:r>
        <w:rPr>
          <w:color w:val="000000"/>
          <w:spacing w:val="0"/>
          <w:w w:val="100"/>
          <w:position w:val="0"/>
          <w:sz w:val="24"/>
          <w:szCs w:val="24"/>
        </w:rPr>
        <w:t>家仓储物流公司构成本集 团关联方。本报告期内披露的与该</w:t>
      </w:r>
      <w:r>
        <w:rPr>
          <w:rFonts w:ascii="Arial" w:eastAsia="Arial" w:hAnsi="Arial" w:cs="Arial"/>
          <w:color w:val="000000"/>
          <w:spacing w:val="0"/>
          <w:w w:val="100"/>
          <w:position w:val="0"/>
          <w:sz w:val="24"/>
          <w:szCs w:val="24"/>
        </w:rPr>
        <w:t>18</w:t>
      </w:r>
      <w:r>
        <w:rPr>
          <w:color w:val="000000"/>
          <w:spacing w:val="0"/>
          <w:w w:val="100"/>
          <w:position w:val="0"/>
          <w:sz w:val="24"/>
          <w:szCs w:val="24"/>
        </w:rPr>
        <w:t>家仓储物流公司的关联方交易系自</w:t>
      </w:r>
      <w:r>
        <w:rPr>
          <w:rFonts w:ascii="Arial" w:eastAsia="Arial" w:hAnsi="Arial" w:cs="Arial"/>
          <w:color w:val="000000"/>
          <w:spacing w:val="0"/>
          <w:w w:val="100"/>
          <w:position w:val="0"/>
          <w:sz w:val="24"/>
          <w:szCs w:val="24"/>
        </w:rPr>
        <w:t xml:space="preserve">2021 </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日至</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日的交易。</w:t>
      </w:r>
    </w:p>
    <w:p>
      <w:pPr>
        <w:pStyle w:val="Style72"/>
        <w:keepNext w:val="0"/>
        <w:keepLines w:val="0"/>
        <w:widowControl w:val="0"/>
        <w:numPr>
          <w:ilvl w:val="0"/>
          <w:numId w:val="123"/>
        </w:numPr>
        <w:shd w:val="clear" w:color="auto" w:fill="auto"/>
        <w:tabs>
          <w:tab w:pos="711" w:val="left"/>
        </w:tabs>
        <w:bidi w:val="0"/>
        <w:spacing w:before="0" w:after="280" w:line="309" w:lineRule="exact"/>
        <w:ind w:left="800" w:right="0" w:hanging="800"/>
        <w:jc w:val="both"/>
      </w:pPr>
      <w:bookmarkStart w:id="969" w:name="bookmark969"/>
      <w:bookmarkEnd w:id="969"/>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年度，本集团将所持的</w:t>
      </w:r>
      <w:r>
        <w:rPr>
          <w:rFonts w:ascii="Arial" w:eastAsia="Arial" w:hAnsi="Arial" w:cs="Arial"/>
          <w:color w:val="000000"/>
          <w:spacing w:val="0"/>
          <w:w w:val="100"/>
          <w:position w:val="0"/>
          <w:sz w:val="24"/>
          <w:szCs w:val="24"/>
        </w:rPr>
        <w:t>TCL</w:t>
      </w:r>
      <w:r>
        <w:rPr>
          <w:color w:val="000000"/>
          <w:spacing w:val="0"/>
          <w:w w:val="100"/>
          <w:position w:val="0"/>
          <w:sz w:val="24"/>
          <w:szCs w:val="24"/>
        </w:rPr>
        <w:t>实业全部股权转让给宁波砺达致辉企业 管理合伙企业</w:t>
      </w:r>
      <w:r>
        <w:rPr>
          <w:rFonts w:ascii="Arial" w:eastAsia="Arial" w:hAnsi="Arial" w:cs="Arial"/>
          <w:color w:val="000000"/>
          <w:spacing w:val="0"/>
          <w:w w:val="100"/>
          <w:position w:val="0"/>
          <w:sz w:val="24"/>
          <w:szCs w:val="24"/>
        </w:rPr>
        <w:t>(</w:t>
      </w:r>
      <w:r>
        <w:rPr>
          <w:color w:val="000000"/>
          <w:spacing w:val="0"/>
          <w:w w:val="100"/>
          <w:position w:val="0"/>
          <w:sz w:val="24"/>
          <w:szCs w:val="24"/>
        </w:rPr>
        <w:t>有限合伙</w:t>
      </w:r>
      <w:r>
        <w:rPr>
          <w:rFonts w:ascii="Arial" w:eastAsia="Arial" w:hAnsi="Arial" w:cs="Arial"/>
          <w:color w:val="000000"/>
          <w:spacing w:val="0"/>
          <w:w w:val="100"/>
          <w:position w:val="0"/>
          <w:sz w:val="24"/>
          <w:szCs w:val="24"/>
        </w:rPr>
        <w:t>)</w:t>
      </w:r>
      <w:r>
        <w:rPr>
          <w:color w:val="000000"/>
          <w:spacing w:val="0"/>
          <w:w w:val="100"/>
          <w:position w:val="0"/>
          <w:sz w:val="24"/>
          <w:szCs w:val="24"/>
        </w:rPr>
        <w:t>或其指定的关联方，因此</w:t>
      </w:r>
      <w:r>
        <w:rPr>
          <w:rFonts w:ascii="Arial" w:eastAsia="Arial" w:hAnsi="Arial" w:cs="Arial"/>
          <w:color w:val="000000"/>
          <w:spacing w:val="0"/>
          <w:w w:val="100"/>
          <w:position w:val="0"/>
          <w:sz w:val="24"/>
          <w:szCs w:val="24"/>
        </w:rPr>
        <w:t>TCL</w:t>
      </w:r>
      <w:r>
        <w:rPr>
          <w:color w:val="000000"/>
          <w:spacing w:val="0"/>
          <w:w w:val="100"/>
          <w:position w:val="0"/>
          <w:sz w:val="24"/>
          <w:szCs w:val="24"/>
        </w:rPr>
        <w:t>实业不再构成本集团 关联方。本报告期内披露的与</w:t>
      </w:r>
      <w:r>
        <w:rPr>
          <w:rFonts w:ascii="Arial" w:eastAsia="Arial" w:hAnsi="Arial" w:cs="Arial"/>
          <w:color w:val="000000"/>
          <w:spacing w:val="0"/>
          <w:w w:val="100"/>
          <w:position w:val="0"/>
          <w:sz w:val="24"/>
          <w:szCs w:val="24"/>
        </w:rPr>
        <w:t>TCL</w:t>
      </w:r>
      <w:r>
        <w:rPr>
          <w:color w:val="000000"/>
          <w:spacing w:val="0"/>
          <w:w w:val="100"/>
          <w:position w:val="0"/>
          <w:sz w:val="24"/>
          <w:szCs w:val="24"/>
        </w:rPr>
        <w:t>的关联方交易系自</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日至</w:t>
      </w:r>
      <w:r>
        <w:rPr>
          <w:rFonts w:ascii="Arial" w:eastAsia="Arial" w:hAnsi="Arial" w:cs="Arial"/>
          <w:color w:val="000000"/>
          <w:spacing w:val="0"/>
          <w:w w:val="100"/>
          <w:position w:val="0"/>
          <w:sz w:val="24"/>
          <w:szCs w:val="24"/>
        </w:rPr>
        <w:t xml:space="preserve">2021 </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日的交易。</w:t>
      </w:r>
    </w:p>
    <w:p>
      <w:pPr>
        <w:pStyle w:val="Style72"/>
        <w:keepNext w:val="0"/>
        <w:keepLines w:val="0"/>
        <w:widowControl w:val="0"/>
        <w:numPr>
          <w:ilvl w:val="0"/>
          <w:numId w:val="121"/>
        </w:numPr>
        <w:shd w:val="clear" w:color="auto" w:fill="auto"/>
        <w:tabs>
          <w:tab w:pos="711" w:val="left"/>
        </w:tabs>
        <w:bidi w:val="0"/>
        <w:spacing w:before="0" w:after="280" w:line="240" w:lineRule="auto"/>
        <w:ind w:left="0" w:right="0" w:firstLine="0"/>
        <w:jc w:val="left"/>
      </w:pPr>
      <w:bookmarkStart w:id="970" w:name="bookmark970"/>
      <w:bookmarkEnd w:id="970"/>
      <w:r>
        <w:rPr>
          <w:b/>
          <w:bCs/>
          <w:color w:val="000000"/>
          <w:spacing w:val="0"/>
          <w:w w:val="100"/>
          <w:position w:val="0"/>
          <w:sz w:val="24"/>
          <w:szCs w:val="24"/>
        </w:rPr>
        <w:t>关联交易</w:t>
      </w:r>
    </w:p>
    <w:p>
      <w:pPr>
        <w:pStyle w:val="Style72"/>
        <w:keepNext w:val="0"/>
        <w:keepLines w:val="0"/>
        <w:widowControl w:val="0"/>
        <w:shd w:val="clear" w:color="auto" w:fill="auto"/>
        <w:tabs>
          <w:tab w:pos="711" w:val="left"/>
        </w:tabs>
        <w:bidi w:val="0"/>
        <w:spacing w:before="0" w:after="280" w:line="269" w:lineRule="auto"/>
        <w:ind w:left="0" w:right="0" w:firstLine="0"/>
        <w:jc w:val="left"/>
      </w:pPr>
      <w:r>
        <w:rPr>
          <w:rFonts w:ascii="Arial" w:eastAsia="Arial" w:hAnsi="Arial" w:cs="Arial"/>
          <w:color w:val="000000"/>
          <w:spacing w:val="0"/>
          <w:w w:val="100"/>
          <w:position w:val="0"/>
          <w:sz w:val="24"/>
          <w:szCs w:val="24"/>
        </w:rPr>
        <w:t>(a)</w:t>
        <w:tab/>
      </w:r>
      <w:r>
        <w:rPr>
          <w:color w:val="000000"/>
          <w:spacing w:val="0"/>
          <w:w w:val="100"/>
          <w:position w:val="0"/>
          <w:sz w:val="24"/>
          <w:szCs w:val="24"/>
        </w:rPr>
        <w:t>购销商品、提供和接受劳务</w:t>
      </w:r>
    </w:p>
    <w:p>
      <w:pPr>
        <w:pStyle w:val="Style72"/>
        <w:keepNext w:val="0"/>
        <w:keepLines w:val="0"/>
        <w:widowControl w:val="0"/>
        <w:shd w:val="clear" w:color="auto" w:fill="auto"/>
        <w:bidi w:val="0"/>
        <w:spacing w:before="0" w:after="280" w:line="309" w:lineRule="exact"/>
        <w:ind w:left="0" w:right="0" w:firstLine="800"/>
        <w:jc w:val="left"/>
      </w:pPr>
      <w:r>
        <w:rPr>
          <w:color w:val="000000"/>
          <w:spacing w:val="0"/>
          <w:w w:val="100"/>
          <w:position w:val="0"/>
          <w:sz w:val="24"/>
          <w:szCs w:val="24"/>
        </w:rPr>
        <w:t>销售商品及提供相关服务</w:t>
      </w:r>
    </w:p>
    <w:tbl>
      <w:tblPr>
        <w:tblOverlap w:val="never"/>
        <w:jc w:val="right"/>
        <w:tblLayout w:type="fixed"/>
      </w:tblPr>
      <w:tblGrid>
        <w:gridCol w:w="2323"/>
        <w:gridCol w:w="1896"/>
        <w:gridCol w:w="1555"/>
        <w:gridCol w:w="1166"/>
        <w:gridCol w:w="1013"/>
      </w:tblGrid>
      <w:tr>
        <w:trPr>
          <w:trHeight w:val="33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关联方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关联交易内容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关联交易定价政策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年度</w:t>
            </w:r>
          </w:p>
        </w:tc>
      </w:tr>
      <w:tr>
        <w:trPr>
          <w:trHeight w:val="36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苏宁小店及其子公司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销售商品和提供相关服务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市场价格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421,631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1,867,669</w:t>
            </w:r>
          </w:p>
        </w:tc>
      </w:tr>
      <w:tr>
        <w:trPr>
          <w:trHeight w:val="427" w:hRule="exact"/>
        </w:trPr>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苏宁银行</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苏宁置业集团旗下</w:t>
            </w:r>
            <w:r>
              <w:rPr>
                <w:rFonts w:ascii="Arial" w:eastAsia="Arial" w:hAnsi="Arial" w:cs="Arial"/>
                <w:color w:val="000000"/>
                <w:spacing w:val="0"/>
                <w:w w:val="100"/>
                <w:position w:val="0"/>
                <w:sz w:val="16"/>
                <w:szCs w:val="16"/>
              </w:rPr>
              <w:t>65</w:t>
            </w:r>
            <w:r>
              <w:rPr>
                <w:rFonts w:ascii="SimSun" w:eastAsia="SimSun" w:hAnsi="SimSun" w:cs="SimSun"/>
                <w:color w:val="000000"/>
                <w:spacing w:val="0"/>
                <w:w w:val="100"/>
                <w:position w:val="0"/>
                <w:sz w:val="15"/>
                <w:szCs w:val="15"/>
              </w:rPr>
              <w:t>家银河</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销售商品和提供相关服务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市场价格</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5,660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11,258</w:t>
            </w:r>
          </w:p>
        </w:tc>
      </w:tr>
      <w:tr>
        <w:trPr>
          <w:trHeight w:val="4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物业公司</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苏宁置业集团旗下</w:t>
            </w:r>
            <w:r>
              <w:rPr>
                <w:rFonts w:ascii="Arial" w:eastAsia="Arial" w:hAnsi="Arial" w:cs="Arial"/>
                <w:color w:val="000000"/>
                <w:spacing w:val="0"/>
                <w:w w:val="100"/>
                <w:position w:val="0"/>
                <w:sz w:val="16"/>
                <w:szCs w:val="16"/>
              </w:rPr>
              <w:t>23</w:t>
            </w:r>
            <w:r>
              <w:rPr>
                <w:rFonts w:ascii="SimSun" w:eastAsia="SimSun" w:hAnsi="SimSun" w:cs="SimSun"/>
                <w:color w:val="000000"/>
                <w:spacing w:val="0"/>
                <w:w w:val="100"/>
                <w:position w:val="0"/>
                <w:sz w:val="15"/>
                <w:szCs w:val="15"/>
              </w:rPr>
              <w:t>家酒店、餐</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销售商品和提供相关服务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市场价格</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4,022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4,879</w:t>
            </w:r>
          </w:p>
        </w:tc>
      </w:tr>
      <w:tr>
        <w:trPr>
          <w:trHeight w:val="41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饮公司及分支机构</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苏宁控股集团旗下</w:t>
            </w:r>
            <w:r>
              <w:rPr>
                <w:rFonts w:ascii="Arial" w:eastAsia="Arial" w:hAnsi="Arial" w:cs="Arial"/>
                <w:color w:val="000000"/>
                <w:spacing w:val="0"/>
                <w:w w:val="100"/>
                <w:position w:val="0"/>
                <w:sz w:val="16"/>
                <w:szCs w:val="16"/>
              </w:rPr>
              <w:t>66</w:t>
            </w:r>
            <w:r>
              <w:rPr>
                <w:rFonts w:ascii="SimSun" w:eastAsia="SimSun" w:hAnsi="SimSun" w:cs="SimSun"/>
                <w:color w:val="000000"/>
                <w:spacing w:val="0"/>
                <w:w w:val="100"/>
                <w:position w:val="0"/>
                <w:sz w:val="15"/>
                <w:szCs w:val="15"/>
              </w:rPr>
              <w:t>家苏扶、苏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销售商品和提供相关服务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市场价格</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2,114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18,950</w:t>
            </w:r>
          </w:p>
        </w:tc>
      </w:tr>
      <w:tr>
        <w:trPr>
          <w:trHeight w:val="4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缘公司</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苏宁置业集团旗下</w:t>
            </w:r>
            <w:r>
              <w:rPr>
                <w:rFonts w:ascii="Arial" w:eastAsia="Arial" w:hAnsi="Arial" w:cs="Arial"/>
                <w:color w:val="000000"/>
                <w:spacing w:val="0"/>
                <w:w w:val="100"/>
                <w:position w:val="0"/>
                <w:sz w:val="16"/>
                <w:szCs w:val="16"/>
              </w:rPr>
              <w:t>43</w:t>
            </w:r>
            <w:r>
              <w:rPr>
                <w:rFonts w:ascii="SimSun" w:eastAsia="SimSun" w:hAnsi="SimSun" w:cs="SimSun"/>
                <w:color w:val="000000"/>
                <w:spacing w:val="0"/>
                <w:w w:val="100"/>
                <w:position w:val="0"/>
                <w:sz w:val="15"/>
                <w:szCs w:val="15"/>
              </w:rPr>
              <w:t>家置业、建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销售商品和提供相关服务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市场价格</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15,448</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材公司及分支机构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销售商品和提供相关服务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市场价格</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141,491</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苏宁体育文化传媒</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销售商品和提供相关服务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市场价格</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115,163</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销售商品和提供相关服务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5"/>
                <w:szCs w:val="15"/>
              </w:rPr>
            </w:pPr>
            <w:r>
              <w:rPr>
                <w:rFonts w:ascii="SimSun" w:eastAsia="SimSun" w:hAnsi="SimSun" w:cs="SimSun"/>
                <w:color w:val="000000"/>
                <w:spacing w:val="0"/>
                <w:w w:val="100"/>
                <w:position w:val="0"/>
                <w:sz w:val="15"/>
                <w:szCs w:val="15"/>
              </w:rPr>
              <w:t>市场价格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45,704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43,593</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479,138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2,218,451</w:t>
            </w:r>
          </w:p>
        </w:tc>
      </w:tr>
    </w:tbl>
    <w:p>
      <w:pPr>
        <w:sectPr>
          <w:footnotePr>
            <w:pos w:val="pageBottom"/>
            <w:numFmt w:val="decimal"/>
            <w:numStart w:val="1"/>
            <w:numRestart w:val="continuous"/>
            <w15:footnoteColumns w:val="1"/>
          </w:footnotePr>
          <w:pgSz w:w="11900" w:h="16840"/>
          <w:pgMar w:top="2406" w:right="1417" w:bottom="2406" w:left="1704" w:header="0" w:footer="3" w:gutter="0"/>
          <w:cols w:space="720"/>
          <w:noEndnote/>
          <w:rtlGutter w:val="0"/>
          <w:docGrid w:linePitch="360"/>
        </w:sectPr>
      </w:pPr>
    </w:p>
    <w:p>
      <w:pPr>
        <w:pStyle w:val="Style72"/>
        <w:keepNext w:val="0"/>
        <w:keepLines w:val="0"/>
        <w:widowControl w:val="0"/>
        <w:shd w:val="clear" w:color="auto" w:fill="auto"/>
        <w:tabs>
          <w:tab w:pos="698" w:val="left"/>
        </w:tabs>
        <w:bidi w:val="0"/>
        <w:spacing w:before="240" w:after="280" w:line="240" w:lineRule="auto"/>
        <w:ind w:left="0" w:right="0" w:firstLine="0"/>
        <w:jc w:val="left"/>
        <w:rPr>
          <w:sz w:val="28"/>
          <w:szCs w:val="28"/>
        </w:rPr>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8" w:val="left"/>
        </w:tabs>
        <w:bidi w:val="0"/>
        <w:spacing w:before="0" w:after="280" w:line="240" w:lineRule="auto"/>
        <w:ind w:left="0" w:right="0" w:firstLine="0"/>
        <w:jc w:val="left"/>
        <w:rPr>
          <w:sz w:val="28"/>
          <w:szCs w:val="28"/>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98" w:val="left"/>
        </w:tabs>
        <w:bidi w:val="0"/>
        <w:spacing w:before="0" w:after="280" w:line="240" w:lineRule="auto"/>
        <w:ind w:left="0" w:right="0" w:firstLine="0"/>
        <w:jc w:val="left"/>
      </w:pPr>
      <w:r>
        <w:rPr>
          <w:rFonts w:ascii="Arial" w:eastAsia="Arial" w:hAnsi="Arial" w:cs="Arial"/>
          <w:color w:val="000000"/>
          <w:spacing w:val="0"/>
          <w:w w:val="100"/>
          <w:position w:val="0"/>
          <w:sz w:val="24"/>
          <w:szCs w:val="24"/>
        </w:rPr>
        <w:t>(a)</w:t>
        <w:tab/>
      </w:r>
      <w:r>
        <w:rPr>
          <w:color w:val="000000"/>
          <w:spacing w:val="0"/>
          <w:w w:val="100"/>
          <w:position w:val="0"/>
          <w:sz w:val="24"/>
          <w:szCs w:val="24"/>
        </w:rPr>
        <w:t>购销商品、提供和接受劳务</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tabs>
          <w:tab w:pos="698" w:val="left"/>
        </w:tabs>
        <w:bidi w:val="0"/>
        <w:spacing w:before="0" w:after="280" w:line="240" w:lineRule="auto"/>
        <w:ind w:left="0" w:right="0" w:firstLine="0"/>
        <w:jc w:val="left"/>
      </w:pPr>
      <w:r>
        <w:rPr>
          <w:rFonts w:ascii="Arial" w:eastAsia="Arial" w:hAnsi="Arial" w:cs="Arial"/>
          <w:color w:val="000000"/>
          <w:spacing w:val="0"/>
          <w:w w:val="100"/>
          <w:position w:val="0"/>
          <w:sz w:val="24"/>
          <w:szCs w:val="24"/>
        </w:rPr>
        <w:t>(ii)</w:t>
        <w:tab/>
      </w:r>
      <w:r>
        <w:rPr>
          <w:color w:val="000000"/>
          <w:spacing w:val="0"/>
          <w:w w:val="100"/>
          <w:position w:val="0"/>
          <w:sz w:val="24"/>
          <w:szCs w:val="24"/>
        </w:rPr>
        <w:t>销售商品退回</w:t>
      </w:r>
    </w:p>
    <w:tbl>
      <w:tblPr>
        <w:tblOverlap w:val="never"/>
        <w:jc w:val="right"/>
        <w:tblLayout w:type="fixed"/>
      </w:tblPr>
      <w:tblGrid>
        <w:gridCol w:w="1594"/>
        <w:gridCol w:w="2213"/>
        <w:gridCol w:w="1958"/>
        <w:gridCol w:w="1176"/>
        <w:gridCol w:w="1003"/>
      </w:tblGrid>
      <w:tr>
        <w:trPr>
          <w:trHeight w:val="3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关联方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关联交易内容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关联交易定价政策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年度</w:t>
            </w:r>
          </w:p>
        </w:tc>
      </w:tr>
      <w:tr>
        <w:trPr>
          <w:trHeight w:val="744" w:hRule="exact"/>
        </w:trPr>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苏宁置业集团旗下</w:t>
            </w:r>
            <w:r>
              <w:rPr>
                <w:rFonts w:ascii="Arial" w:eastAsia="Arial" w:hAnsi="Arial" w:cs="Arial"/>
                <w:color w:val="000000"/>
                <w:spacing w:val="0"/>
                <w:w w:val="100"/>
                <w:position w:val="0"/>
                <w:sz w:val="16"/>
                <w:szCs w:val="16"/>
              </w:rPr>
              <w:t>43</w:t>
            </w:r>
            <w:r>
              <w:rPr>
                <w:rFonts w:ascii="SimSun" w:eastAsia="SimSun" w:hAnsi="SimSun" w:cs="SimSun"/>
                <w:color w:val="000000"/>
                <w:spacing w:val="0"/>
                <w:w w:val="100"/>
                <w:position w:val="0"/>
                <w:sz w:val="15"/>
                <w:szCs w:val="15"/>
              </w:rPr>
              <w:t>家置业、建</w:t>
            </w:r>
          </w:p>
          <w:p>
            <w:pPr>
              <w:pStyle w:val="Style29"/>
              <w:keepNext w:val="0"/>
              <w:keepLines w:val="0"/>
              <w:widowControl w:val="0"/>
              <w:shd w:val="clear" w:color="auto" w:fill="auto"/>
              <w:tabs>
                <w:tab w:pos="2358" w:val="left"/>
              </w:tabs>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材公司及分支机构</w:t>
              <w:tab/>
              <w:t>销售商品退回</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苏宁控股集团旗下其余</w:t>
            </w:r>
            <w:r>
              <w:rPr>
                <w:rFonts w:ascii="Arial" w:eastAsia="Arial" w:hAnsi="Arial" w:cs="Arial"/>
                <w:color w:val="000000"/>
                <w:spacing w:val="0"/>
                <w:w w:val="100"/>
                <w:position w:val="0"/>
                <w:sz w:val="16"/>
                <w:szCs w:val="16"/>
              </w:rPr>
              <w:t>11</w:t>
            </w:r>
            <w:r>
              <w:rPr>
                <w:rFonts w:ascii="SimSun" w:eastAsia="SimSun" w:hAnsi="SimSun" w:cs="SimSun"/>
                <w:color w:val="000000"/>
                <w:spacing w:val="0"/>
                <w:w w:val="100"/>
                <w:position w:val="0"/>
                <w:sz w:val="15"/>
                <w:szCs w:val="15"/>
              </w:rPr>
              <w:t>家体育</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5"/>
                <w:szCs w:val="15"/>
              </w:rPr>
            </w:pPr>
            <w:r>
              <w:rPr>
                <w:rFonts w:ascii="SimSun" w:eastAsia="SimSun" w:hAnsi="SimSun" w:cs="SimSun"/>
                <w:color w:val="000000"/>
                <w:spacing w:val="0"/>
                <w:w w:val="100"/>
                <w:position w:val="0"/>
                <w:sz w:val="15"/>
                <w:szCs w:val="15"/>
              </w:rPr>
              <w:t>市场价格</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73,566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629</w:t>
            </w:r>
          </w:p>
        </w:tc>
      </w:tr>
      <w:tr>
        <w:trPr>
          <w:trHeight w:val="21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销售商品退回</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213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222</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其他关联方</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销售商品退回</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5"/>
                <w:szCs w:val="15"/>
              </w:rPr>
            </w:pPr>
            <w:r>
              <w:rPr>
                <w:rFonts w:ascii="SimSun" w:eastAsia="SimSun" w:hAnsi="SimSun" w:cs="SimSun"/>
                <w:color w:val="000000"/>
                <w:spacing w:val="0"/>
                <w:w w:val="100"/>
                <w:position w:val="0"/>
                <w:sz w:val="15"/>
                <w:szCs w:val="15"/>
              </w:rPr>
              <w:t>市场价格</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9,704</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468</w:t>
            </w:r>
          </w:p>
        </w:tc>
      </w:tr>
    </w:tbl>
    <w:p>
      <w:pPr>
        <w:pStyle w:val="Style26"/>
        <w:keepNext w:val="0"/>
        <w:keepLines w:val="0"/>
        <w:widowControl w:val="0"/>
        <w:shd w:val="clear" w:color="auto" w:fill="auto"/>
        <w:bidi w:val="0"/>
        <w:spacing w:before="0" w:after="0" w:line="240" w:lineRule="auto"/>
        <w:ind w:left="6149" w:right="0" w:firstLine="0"/>
        <w:jc w:val="left"/>
        <w:rPr>
          <w:sz w:val="16"/>
          <w:szCs w:val="16"/>
        </w:rPr>
      </w:pPr>
      <w:r>
        <w:rPr>
          <w:rFonts w:ascii="Arial" w:eastAsia="Arial" w:hAnsi="Arial" w:cs="Arial"/>
          <w:color w:val="000000"/>
          <w:spacing w:val="0"/>
          <w:w w:val="100"/>
          <w:position w:val="0"/>
          <w:sz w:val="16"/>
          <w:szCs w:val="16"/>
          <w:u w:val="single"/>
        </w:rPr>
        <w:t>83,483</w:t>
      </w:r>
      <w:r>
        <w:rPr>
          <w:rFonts w:ascii="Arial" w:eastAsia="Arial" w:hAnsi="Arial" w:cs="Arial"/>
          <w:color w:val="000000"/>
          <w:spacing w:val="0"/>
          <w:w w:val="100"/>
          <w:position w:val="0"/>
          <w:sz w:val="16"/>
          <w:szCs w:val="16"/>
        </w:rPr>
        <w:t xml:space="preserve"> </w:t>
      </w:r>
      <w:r>
        <w:rPr>
          <w:rFonts w:ascii="Arial" w:eastAsia="Arial" w:hAnsi="Arial" w:cs="Arial"/>
          <w:color w:val="000000"/>
          <w:spacing w:val="0"/>
          <w:w w:val="100"/>
          <w:position w:val="0"/>
          <w:sz w:val="16"/>
          <w:szCs w:val="16"/>
          <w:u w:val="single"/>
        </w:rPr>
        <w:t>1,319</w:t>
      </w:r>
    </w:p>
    <w:p>
      <w:pPr>
        <w:widowControl w:val="0"/>
        <w:spacing w:after="139" w:line="1" w:lineRule="exact"/>
      </w:pPr>
    </w:p>
    <w:p>
      <w:pPr>
        <w:pStyle w:val="Style72"/>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38"/>
          <w:szCs w:val="38"/>
          <w:vertAlign w:val="superscript"/>
        </w:rPr>
        <w:t>(b)</w:t>
      </w:r>
      <w:r>
        <w:rPr>
          <w:rFonts w:ascii="Arial" w:eastAsia="Arial" w:hAnsi="Arial" w:cs="Arial"/>
          <w:color w:val="000000"/>
          <w:spacing w:val="0"/>
          <w:w w:val="100"/>
          <w:position w:val="0"/>
          <w:sz w:val="38"/>
          <w:szCs w:val="38"/>
        </w:rPr>
        <w:t xml:space="preserve"> </w:t>
      </w:r>
      <w:r>
        <w:rPr>
          <w:color w:val="000000"/>
          <w:spacing w:val="0"/>
          <w:w w:val="100"/>
          <w:position w:val="0"/>
          <w:sz w:val="24"/>
          <w:szCs w:val="24"/>
        </w:rPr>
        <w:t>米购商品</w:t>
      </w:r>
    </w:p>
    <w:tbl>
      <w:tblPr>
        <w:tblOverlap w:val="never"/>
        <w:jc w:val="right"/>
        <w:tblLayout w:type="fixed"/>
      </w:tblPr>
      <w:tblGrid>
        <w:gridCol w:w="3384"/>
        <w:gridCol w:w="2746"/>
        <w:gridCol w:w="1805"/>
      </w:tblGrid>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阿里巴巴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24"/>
                <w:szCs w:val="24"/>
              </w:rPr>
            </w:pPr>
            <w:r>
              <w:rPr>
                <w:rFonts w:ascii="Arial" w:eastAsia="Arial" w:hAnsi="Arial" w:cs="Arial"/>
                <w:color w:val="000000"/>
                <w:spacing w:val="0"/>
                <w:w w:val="100"/>
                <w:position w:val="0"/>
                <w:sz w:val="24"/>
                <w:szCs w:val="24"/>
              </w:rPr>
              <w:t>1,077,139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94,323</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TCL</w:t>
            </w:r>
            <w:r>
              <w:rPr>
                <w:rFonts w:ascii="SimSun" w:eastAsia="SimSun" w:hAnsi="SimSun" w:cs="SimSun"/>
                <w:color w:val="000000"/>
                <w:spacing w:val="0"/>
                <w:w w:val="100"/>
                <w:position w:val="0"/>
                <w:sz w:val="24"/>
                <w:szCs w:val="24"/>
              </w:rPr>
              <w:t>实业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195,153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1,828,734</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日本</w:t>
            </w:r>
            <w:r>
              <w:rPr>
                <w:rFonts w:ascii="Arial" w:eastAsia="Arial" w:hAnsi="Arial" w:cs="Arial"/>
                <w:color w:val="000000"/>
                <w:spacing w:val="0"/>
                <w:w w:val="100"/>
                <w:position w:val="0"/>
                <w:sz w:val="24"/>
                <w:szCs w:val="24"/>
              </w:rPr>
              <w:t>LAOX</w:t>
            </w:r>
            <w:r>
              <w:rPr>
                <w:rFonts w:ascii="SimSun" w:eastAsia="SimSun" w:hAnsi="SimSun" w:cs="SimSun"/>
                <w:color w:val="000000"/>
                <w:spacing w:val="0"/>
                <w:w w:val="100"/>
                <w:position w:val="0"/>
                <w:sz w:val="24"/>
                <w:szCs w:val="24"/>
              </w:rPr>
              <w:t>集团</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24"/>
                <w:szCs w:val="24"/>
              </w:rPr>
            </w:pPr>
            <w:r>
              <w:rPr>
                <w:rFonts w:ascii="Arial" w:eastAsia="Arial" w:hAnsi="Arial" w:cs="Arial"/>
                <w:color w:val="000000"/>
                <w:spacing w:val="0"/>
                <w:w w:val="100"/>
                <w:position w:val="0"/>
                <w:sz w:val="24"/>
                <w:szCs w:val="24"/>
              </w:rPr>
              <w:t>120,242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343,526</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苏宁控股集团旗下</w:t>
            </w:r>
            <w:r>
              <w:rPr>
                <w:rFonts w:ascii="Arial" w:eastAsia="Arial" w:hAnsi="Arial" w:cs="Arial"/>
                <w:color w:val="000000"/>
                <w:spacing w:val="0"/>
                <w:w w:val="100"/>
                <w:position w:val="0"/>
                <w:sz w:val="24"/>
                <w:szCs w:val="24"/>
              </w:rPr>
              <w:t>3</w:t>
            </w:r>
            <w:r>
              <w:rPr>
                <w:rFonts w:ascii="SimSun" w:eastAsia="SimSun" w:hAnsi="SimSun" w:cs="SimSun"/>
                <w:color w:val="000000"/>
                <w:spacing w:val="0"/>
                <w:w w:val="100"/>
                <w:position w:val="0"/>
                <w:sz w:val="24"/>
                <w:szCs w:val="24"/>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通视铭泰公司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82,661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330,111</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苏宁小店及其子公司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15,169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13,514</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苏宁体育用品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440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1,810</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上海骋娱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10,870</w:t>
            </w:r>
          </w:p>
        </w:tc>
      </w:tr>
      <w:tr>
        <w:trPr>
          <w:trHeight w:val="317"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其他关联方</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1,200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5,166</w:t>
            </w:r>
          </w:p>
        </w:tc>
      </w:tr>
    </w:tbl>
    <w:p>
      <w:pPr>
        <w:pStyle w:val="Style26"/>
        <w:keepNext w:val="0"/>
        <w:keepLines w:val="0"/>
        <w:widowControl w:val="0"/>
        <w:shd w:val="clear" w:color="auto" w:fill="auto"/>
        <w:tabs>
          <w:tab w:pos="5736" w:val="left"/>
        </w:tabs>
        <w:bidi w:val="0"/>
        <w:spacing w:before="0" w:after="0" w:line="240" w:lineRule="auto"/>
        <w:ind w:left="4330" w:right="0" w:firstLine="0"/>
        <w:jc w:val="left"/>
        <w:rPr>
          <w:sz w:val="24"/>
          <w:szCs w:val="24"/>
        </w:rPr>
      </w:pPr>
      <w:r>
        <w:rPr>
          <w:rFonts w:ascii="Arial" w:eastAsia="Arial" w:hAnsi="Arial" w:cs="Arial"/>
          <w:color w:val="000000"/>
          <w:spacing w:val="0"/>
          <w:w w:val="100"/>
          <w:position w:val="0"/>
          <w:sz w:val="24"/>
          <w:szCs w:val="24"/>
          <w:u w:val="single"/>
        </w:rPr>
        <w:t>1,492,066</w:t>
      </w: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2,628,054</w:t>
      </w:r>
    </w:p>
    <w:p>
      <w:pPr>
        <w:widowControl w:val="0"/>
        <w:spacing w:after="279" w:line="1" w:lineRule="exact"/>
      </w:pPr>
    </w:p>
    <w:p>
      <w:pPr>
        <w:pStyle w:val="Style72"/>
        <w:keepNext w:val="0"/>
        <w:keepLines w:val="0"/>
        <w:widowControl w:val="0"/>
        <w:numPr>
          <w:ilvl w:val="0"/>
          <w:numId w:val="125"/>
        </w:numPr>
        <w:shd w:val="clear" w:color="auto" w:fill="auto"/>
        <w:tabs>
          <w:tab w:pos="698" w:val="left"/>
        </w:tabs>
        <w:bidi w:val="0"/>
        <w:spacing w:before="0" w:after="280" w:line="240" w:lineRule="auto"/>
        <w:ind w:left="0" w:right="0" w:firstLine="0"/>
        <w:jc w:val="left"/>
      </w:pPr>
      <w:bookmarkStart w:id="971" w:name="bookmark971"/>
      <w:bookmarkEnd w:id="971"/>
      <w:r>
        <w:rPr>
          <w:color w:val="000000"/>
          <w:spacing w:val="0"/>
          <w:w w:val="100"/>
          <w:position w:val="0"/>
          <w:sz w:val="24"/>
          <w:szCs w:val="24"/>
        </w:rPr>
        <w:t>提供物流售后、劳务外包服务</w:t>
      </w:r>
    </w:p>
    <w:tbl>
      <w:tblPr>
        <w:tblOverlap w:val="never"/>
        <w:jc w:val="right"/>
        <w:tblLayout w:type="fixed"/>
      </w:tblPr>
      <w:tblGrid>
        <w:gridCol w:w="3379"/>
        <w:gridCol w:w="2741"/>
        <w:gridCol w:w="1858"/>
      </w:tblGrid>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4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阿里巴巴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511,613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403,202</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苏宁小店及其子公司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28,059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123,232</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苏宁控股集团旗下</w:t>
            </w:r>
            <w:r>
              <w:rPr>
                <w:rFonts w:ascii="Arial" w:eastAsia="Arial" w:hAnsi="Arial" w:cs="Arial"/>
                <w:color w:val="000000"/>
                <w:spacing w:val="0"/>
                <w:w w:val="100"/>
                <w:position w:val="0"/>
                <w:sz w:val="24"/>
                <w:szCs w:val="24"/>
              </w:rPr>
              <w:t>3</w:t>
            </w:r>
            <w:r>
              <w:rPr>
                <w:rFonts w:ascii="SimSun" w:eastAsia="SimSun" w:hAnsi="SimSun" w:cs="SimSun"/>
                <w:color w:val="000000"/>
                <w:spacing w:val="0"/>
                <w:w w:val="100"/>
                <w:position w:val="0"/>
                <w:sz w:val="24"/>
                <w:szCs w:val="24"/>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通视铭泰公司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4,066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16,677</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14,856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57,870</w:t>
            </w:r>
          </w:p>
        </w:tc>
      </w:tr>
      <w:tr>
        <w:trPr>
          <w:trHeight w:val="31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558,594</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600,981</w:t>
            </w:r>
          </w:p>
        </w:tc>
      </w:tr>
    </w:tbl>
    <w:p>
      <w:pPr>
        <w:spacing w:lineRule="exact" w:line="1"/>
        <w:rPr>
          <w:sz w:val="2"/>
          <w:szCs w:val="2"/>
        </w:rPr>
      </w:pPr>
      <w:r>
        <w:br w:type="page"/>
      </w:r>
    </w:p>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both"/>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00" w:line="240" w:lineRule="auto"/>
        <w:ind w:left="0" w:right="0" w:firstLine="720"/>
        <w:jc w:val="both"/>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tabs>
          <w:tab w:pos="698" w:val="left"/>
        </w:tabs>
        <w:bidi w:val="0"/>
        <w:spacing w:before="0" w:after="300" w:line="240" w:lineRule="auto"/>
        <w:ind w:left="0" w:right="0" w:firstLine="0"/>
        <w:jc w:val="both"/>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92"/>
        <w:keepNext w:val="0"/>
        <w:keepLines w:val="0"/>
        <w:widowControl w:val="0"/>
        <w:shd w:val="clear" w:color="auto" w:fill="auto"/>
        <w:tabs>
          <w:tab w:pos="698" w:val="left"/>
        </w:tabs>
        <w:bidi w:val="0"/>
        <w:spacing w:before="0" w:after="300" w:line="240" w:lineRule="auto"/>
        <w:ind w:left="0" w:right="0" w:firstLine="0"/>
        <w:jc w:val="both"/>
        <w:rPr>
          <w:sz w:val="28"/>
          <w:szCs w:val="28"/>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numPr>
          <w:ilvl w:val="0"/>
          <w:numId w:val="127"/>
        </w:numPr>
        <w:shd w:val="clear" w:color="auto" w:fill="auto"/>
        <w:tabs>
          <w:tab w:pos="698" w:val="left"/>
        </w:tabs>
        <w:bidi w:val="0"/>
        <w:spacing w:before="0" w:after="300" w:line="240" w:lineRule="auto"/>
        <w:ind w:left="0" w:right="0" w:firstLine="0"/>
        <w:jc w:val="both"/>
      </w:pPr>
      <w:bookmarkStart w:id="972" w:name="bookmark972"/>
      <w:bookmarkEnd w:id="972"/>
      <w:r>
        <w:rPr>
          <w:color w:val="000000"/>
          <w:spacing w:val="0"/>
          <w:w w:val="100"/>
          <w:position w:val="0"/>
          <w:sz w:val="24"/>
          <w:szCs w:val="24"/>
        </w:rPr>
        <w:t>接受工程设计服务</w:t>
      </w:r>
    </w:p>
    <w:tbl>
      <w:tblPr>
        <w:tblOverlap w:val="never"/>
        <w:jc w:val="center"/>
        <w:tblLayout w:type="fixed"/>
      </w:tblPr>
      <w:tblGrid>
        <w:gridCol w:w="4450"/>
        <w:gridCol w:w="2390"/>
        <w:gridCol w:w="1944"/>
      </w:tblGrid>
      <w:tr>
        <w:trPr>
          <w:trHeight w:val="8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南京鼎辰</w:t>
            </w:r>
          </w:p>
        </w:tc>
        <w:tc>
          <w:tcPr>
            <w:tcBorders/>
            <w:shd w:val="clear" w:color="auto" w:fill="FFFFFF"/>
            <w:vAlign w:val="top"/>
          </w:tcPr>
          <w:p>
            <w:pPr>
              <w:pStyle w:val="Style29"/>
              <w:keepNext w:val="0"/>
              <w:keepLines w:val="0"/>
              <w:widowControl w:val="0"/>
              <w:shd w:val="clear" w:color="auto" w:fill="auto"/>
              <w:bidi w:val="0"/>
              <w:spacing w:before="0" w:after="320" w:line="240" w:lineRule="auto"/>
              <w:ind w:left="0" w:right="0" w:firstLine="60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p>
            <w:pPr>
              <w:pStyle w:val="Style29"/>
              <w:keepNext w:val="0"/>
              <w:keepLines w:val="0"/>
              <w:widowControl w:val="0"/>
              <w:shd w:val="clear" w:color="auto" w:fill="auto"/>
              <w:bidi w:val="0"/>
              <w:spacing w:before="0" w:after="0" w:line="240" w:lineRule="auto"/>
              <w:ind w:left="1060" w:right="0" w:firstLine="0"/>
              <w:jc w:val="both"/>
              <w:rPr>
                <w:sz w:val="24"/>
                <w:szCs w:val="24"/>
              </w:rPr>
            </w:pPr>
            <w:r>
              <w:rPr>
                <w:rFonts w:ascii="Arial" w:eastAsia="Arial" w:hAnsi="Arial" w:cs="Arial"/>
                <w:color w:val="000000"/>
                <w:spacing w:val="0"/>
                <w:w w:val="100"/>
                <w:position w:val="0"/>
                <w:sz w:val="24"/>
                <w:szCs w:val="24"/>
              </w:rPr>
              <w:t>1,480</w:t>
            </w:r>
          </w:p>
        </w:tc>
        <w:tc>
          <w:tcPr>
            <w:tcBorders/>
            <w:shd w:val="clear" w:color="auto" w:fill="FFFFFF"/>
            <w:vAlign w:val="top"/>
          </w:tcPr>
          <w:p>
            <w:pPr>
              <w:pStyle w:val="Style29"/>
              <w:keepNext w:val="0"/>
              <w:keepLines w:val="0"/>
              <w:widowControl w:val="0"/>
              <w:shd w:val="clear" w:color="auto" w:fill="auto"/>
              <w:bidi w:val="0"/>
              <w:spacing w:before="0" w:after="32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p>
            <w:pPr>
              <w:pStyle w:val="Style29"/>
              <w:keepNext w:val="0"/>
              <w:keepLines w:val="0"/>
              <w:widowControl w:val="0"/>
              <w:shd w:val="clear" w:color="auto" w:fill="auto"/>
              <w:bidi w:val="0"/>
              <w:spacing w:before="0" w:after="0" w:line="240" w:lineRule="auto"/>
              <w:ind w:left="1160" w:right="0" w:firstLine="0"/>
              <w:jc w:val="both"/>
              <w:rPr>
                <w:sz w:val="24"/>
                <w:szCs w:val="24"/>
              </w:rPr>
            </w:pPr>
            <w:r>
              <w:rPr>
                <w:rFonts w:ascii="Arial" w:eastAsia="Arial" w:hAnsi="Arial" w:cs="Arial"/>
                <w:color w:val="000000"/>
                <w:spacing w:val="0"/>
                <w:w w:val="100"/>
                <w:position w:val="0"/>
                <w:sz w:val="24"/>
                <w:szCs w:val="24"/>
              </w:rPr>
              <w:t>6,690</w:t>
            </w:r>
          </w:p>
        </w:tc>
      </w:tr>
      <w:tr>
        <w:trPr>
          <w:trHeight w:val="739" w:hRule="exact"/>
        </w:trPr>
        <w:tc>
          <w:tcPr>
            <w:tcBorders>
              <w:top w:val="single" w:sz="4"/>
            </w:tcBorders>
            <w:shd w:val="clear" w:color="auto" w:fill="FFFFFF"/>
            <w:vAlign w:val="center"/>
          </w:tcPr>
          <w:p>
            <w:pPr>
              <w:pStyle w:val="Style29"/>
              <w:keepNext w:val="0"/>
              <w:keepLines w:val="0"/>
              <w:widowControl w:val="0"/>
              <w:shd w:val="clear" w:color="auto" w:fill="auto"/>
              <w:tabs>
                <w:tab w:pos="701"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(e)</w:t>
              <w:tab/>
            </w:r>
            <w:r>
              <w:rPr>
                <w:rFonts w:ascii="SimSun" w:eastAsia="SimSun" w:hAnsi="SimSun" w:cs="SimSun"/>
                <w:color w:val="000000"/>
                <w:spacing w:val="0"/>
                <w:w w:val="100"/>
                <w:position w:val="0"/>
                <w:sz w:val="24"/>
                <w:szCs w:val="24"/>
              </w:rPr>
              <w:t>提供信息技术咨询服务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星图金服及其子公司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24"/>
                <w:szCs w:val="24"/>
              </w:rPr>
            </w:pPr>
            <w:r>
              <w:rPr>
                <w:rFonts w:ascii="Arial" w:eastAsia="Arial" w:hAnsi="Arial" w:cs="Arial"/>
                <w:color w:val="000000"/>
                <w:spacing w:val="0"/>
                <w:w w:val="100"/>
                <w:position w:val="0"/>
                <w:sz w:val="24"/>
                <w:szCs w:val="24"/>
              </w:rPr>
              <w:t>64,186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97,750</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苏宁体育文化传媒</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4"/>
                <w:szCs w:val="24"/>
              </w:rPr>
            </w:pPr>
            <w:r>
              <w:rPr>
                <w:rFonts w:ascii="Arial" w:eastAsia="Arial" w:hAnsi="Arial" w:cs="Arial"/>
                <w:color w:val="000000"/>
                <w:spacing w:val="0"/>
                <w:w w:val="100"/>
                <w:position w:val="0"/>
                <w:sz w:val="24"/>
                <w:szCs w:val="24"/>
              </w:rPr>
              <w:t>7,496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苏宁置业集团旗下</w:t>
            </w:r>
            <w:r>
              <w:rPr>
                <w:rFonts w:ascii="Arial" w:eastAsia="Arial" w:hAnsi="Arial" w:cs="Arial"/>
                <w:color w:val="000000"/>
                <w:spacing w:val="0"/>
                <w:w w:val="100"/>
                <w:position w:val="0"/>
                <w:sz w:val="24"/>
                <w:szCs w:val="24"/>
              </w:rPr>
              <w:t>23</w:t>
            </w:r>
            <w:r>
              <w:rPr>
                <w:rFonts w:ascii="SimSun" w:eastAsia="SimSun" w:hAnsi="SimSun" w:cs="SimSun"/>
                <w:color w:val="000000"/>
                <w:spacing w:val="0"/>
                <w:w w:val="100"/>
                <w:position w:val="0"/>
                <w:sz w:val="24"/>
                <w:szCs w:val="24"/>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24"/>
                <w:szCs w:val="24"/>
              </w:rPr>
            </w:pPr>
            <w:r>
              <w:rPr>
                <w:rFonts w:ascii="SimSun" w:eastAsia="SimSun" w:hAnsi="SimSun" w:cs="SimSun"/>
                <w:color w:val="000000"/>
                <w:spacing w:val="0"/>
                <w:w w:val="100"/>
                <w:position w:val="0"/>
                <w:sz w:val="24"/>
                <w:szCs w:val="24"/>
              </w:rPr>
              <w:t>酒店、餐饮公司及分支机构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287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24"/>
                <w:szCs w:val="24"/>
              </w:rPr>
            </w:pPr>
            <w:r>
              <w:rPr>
                <w:rFonts w:ascii="Arial" w:eastAsia="Arial" w:hAnsi="Arial" w:cs="Arial"/>
                <w:color w:val="000000"/>
                <w:spacing w:val="0"/>
                <w:w w:val="100"/>
                <w:position w:val="0"/>
                <w:sz w:val="24"/>
                <w:szCs w:val="24"/>
              </w:rPr>
              <w:t>2,696</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苏宁置业集团旗下</w:t>
            </w:r>
            <w:r>
              <w:rPr>
                <w:rFonts w:ascii="Arial" w:eastAsia="Arial" w:hAnsi="Arial" w:cs="Arial"/>
                <w:color w:val="000000"/>
                <w:spacing w:val="0"/>
                <w:w w:val="100"/>
                <w:position w:val="0"/>
                <w:sz w:val="24"/>
                <w:szCs w:val="24"/>
              </w:rPr>
              <w:t>65</w:t>
            </w:r>
            <w:r>
              <w:rPr>
                <w:rFonts w:ascii="SimSun" w:eastAsia="SimSun" w:hAnsi="SimSun" w:cs="SimSun"/>
                <w:color w:val="000000"/>
                <w:spacing w:val="0"/>
                <w:w w:val="100"/>
                <w:position w:val="0"/>
                <w:sz w:val="24"/>
                <w:szCs w:val="24"/>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24"/>
                <w:szCs w:val="24"/>
              </w:rPr>
            </w:pPr>
            <w:r>
              <w:rPr>
                <w:rFonts w:ascii="SimSun" w:eastAsia="SimSun" w:hAnsi="SimSun" w:cs="SimSun"/>
                <w:color w:val="000000"/>
                <w:spacing w:val="0"/>
                <w:w w:val="100"/>
                <w:position w:val="0"/>
                <w:sz w:val="24"/>
                <w:szCs w:val="24"/>
              </w:rPr>
              <w:t>银河物业公司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24"/>
                <w:szCs w:val="24"/>
              </w:rPr>
            </w:pPr>
            <w:r>
              <w:rPr>
                <w:rFonts w:ascii="Arial" w:eastAsia="Arial" w:hAnsi="Arial" w:cs="Arial"/>
                <w:color w:val="000000"/>
                <w:spacing w:val="0"/>
                <w:w w:val="100"/>
                <w:position w:val="0"/>
                <w:sz w:val="24"/>
                <w:szCs w:val="24"/>
              </w:rPr>
              <w:t>3,077</w:t>
            </w:r>
          </w:p>
        </w:tc>
      </w:tr>
      <w:tr>
        <w:trPr>
          <w:trHeight w:val="31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苏宁小店及其子公司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87,681</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567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18,716</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24"/>
                <w:szCs w:val="24"/>
              </w:rPr>
            </w:pPr>
            <w:r>
              <w:rPr>
                <w:rFonts w:ascii="Arial" w:eastAsia="Arial" w:hAnsi="Arial" w:cs="Arial"/>
                <w:color w:val="000000"/>
                <w:spacing w:val="0"/>
                <w:w w:val="100"/>
                <w:position w:val="0"/>
                <w:sz w:val="24"/>
                <w:szCs w:val="24"/>
              </w:rPr>
              <w:t>72,609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209,920</w:t>
            </w:r>
          </w:p>
        </w:tc>
      </w:tr>
      <w:tr>
        <w:trPr>
          <w:trHeight w:val="744" w:hRule="exact"/>
        </w:trPr>
        <w:tc>
          <w:tcPr>
            <w:tcBorders>
              <w:top w:val="single" w:sz="4"/>
            </w:tcBorders>
            <w:shd w:val="clear" w:color="auto" w:fill="FFFFFF"/>
            <w:vAlign w:val="center"/>
          </w:tcPr>
          <w:p>
            <w:pPr>
              <w:pStyle w:val="Style29"/>
              <w:keepNext w:val="0"/>
              <w:keepLines w:val="0"/>
              <w:widowControl w:val="0"/>
              <w:shd w:val="clear" w:color="auto" w:fill="auto"/>
              <w:tabs>
                <w:tab w:pos="672"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(f)</w:t>
              <w:tab/>
            </w:r>
            <w:r>
              <w:rPr>
                <w:rFonts w:ascii="SimSun" w:eastAsia="SimSun" w:hAnsi="SimSun" w:cs="SimSun"/>
                <w:color w:val="000000"/>
                <w:spacing w:val="0"/>
                <w:w w:val="100"/>
                <w:position w:val="0"/>
                <w:sz w:val="24"/>
                <w:szCs w:val="24"/>
              </w:rPr>
              <w:t>接受招商运营服务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江苏苏宁商管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24"/>
                <w:szCs w:val="24"/>
              </w:rPr>
            </w:pPr>
            <w:r>
              <w:rPr>
                <w:rFonts w:ascii="Arial" w:eastAsia="Arial" w:hAnsi="Arial" w:cs="Arial"/>
                <w:color w:val="000000"/>
                <w:spacing w:val="0"/>
                <w:w w:val="100"/>
                <w:position w:val="0"/>
                <w:sz w:val="24"/>
                <w:szCs w:val="24"/>
              </w:rPr>
              <w:t>23,678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22,941</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苏宁置业</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816</w:t>
            </w:r>
          </w:p>
        </w:tc>
      </w:tr>
      <w:tr>
        <w:trPr>
          <w:trHeight w:val="31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24"/>
                <w:szCs w:val="24"/>
              </w:rPr>
            </w:pPr>
            <w:r>
              <w:rPr>
                <w:rFonts w:ascii="Arial" w:eastAsia="Arial" w:hAnsi="Arial" w:cs="Arial"/>
                <w:color w:val="000000"/>
                <w:spacing w:val="0"/>
                <w:w w:val="100"/>
                <w:position w:val="0"/>
                <w:sz w:val="24"/>
                <w:szCs w:val="24"/>
              </w:rPr>
              <w:t>23,678</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23,757</w:t>
            </w:r>
          </w:p>
        </w:tc>
      </w:tr>
    </w:tbl>
    <w:p>
      <w:pPr>
        <w:spacing w:lineRule="exact" w:line="1"/>
        <w:rPr>
          <w:sz w:val="2"/>
          <w:szCs w:val="2"/>
        </w:rPr>
      </w:pPr>
      <w:r>
        <w:br w:type="page"/>
      </w:r>
    </w:p>
    <w:p>
      <w:pPr>
        <w:pStyle w:val="Style26"/>
        <w:keepNext w:val="0"/>
        <w:keepLines w:val="0"/>
        <w:widowControl w:val="0"/>
        <w:shd w:val="clear" w:color="auto" w:fill="auto"/>
        <w:bidi w:val="0"/>
        <w:spacing w:before="0" w:after="60" w:line="240" w:lineRule="auto"/>
        <w:ind w:left="715" w:right="0" w:firstLine="0"/>
        <w:jc w:val="left"/>
        <w:rPr>
          <w:sz w:val="24"/>
          <w:szCs w:val="24"/>
        </w:rPr>
      </w:pPr>
      <w:r>
        <w:rPr>
          <w:b/>
          <w:bCs/>
          <w:color w:val="000000"/>
          <w:spacing w:val="0"/>
          <w:w w:val="100"/>
          <w:position w:val="0"/>
          <w:sz w:val="24"/>
          <w:szCs w:val="24"/>
        </w:rPr>
        <w:t>财务报表附注</w:t>
      </w:r>
    </w:p>
    <w:p>
      <w:pPr>
        <w:pStyle w:val="Style26"/>
        <w:keepNext w:val="0"/>
        <w:keepLines w:val="0"/>
        <w:widowControl w:val="0"/>
        <w:shd w:val="clear" w:color="auto" w:fill="auto"/>
        <w:bidi w:val="0"/>
        <w:spacing w:before="0" w:after="60" w:line="240" w:lineRule="auto"/>
        <w:ind w:left="715" w:right="0" w:firstLine="0"/>
        <w:jc w:val="left"/>
        <w:rPr>
          <w:sz w:val="24"/>
          <w:szCs w:val="24"/>
        </w:rPr>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w:t>
      </w:r>
    </w:p>
    <w:p>
      <w:pPr>
        <w:pStyle w:val="Style26"/>
        <w:keepNext w:val="0"/>
        <w:keepLines w:val="0"/>
        <w:widowControl w:val="0"/>
        <w:shd w:val="clear" w:color="auto" w:fill="auto"/>
        <w:bidi w:val="0"/>
        <w:spacing w:before="0" w:after="60" w:line="240" w:lineRule="auto"/>
        <w:ind w:left="715" w:right="0" w:firstLine="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rFonts w:ascii="Arial" w:eastAsia="Arial" w:hAnsi="Arial" w:cs="Arial"/>
          <w:color w:val="000000"/>
          <w:spacing w:val="0"/>
          <w:w w:val="100"/>
          <w:position w:val="0"/>
          <w:sz w:val="18"/>
          <w:szCs w:val="18"/>
        </w:rPr>
        <w:t>）</w:t>
      </w:r>
    </w:p>
    <w:tbl>
      <w:tblPr>
        <w:tblOverlap w:val="never"/>
        <w:jc w:val="center"/>
        <w:tblLayout w:type="fixed"/>
      </w:tblPr>
      <w:tblGrid>
        <w:gridCol w:w="518"/>
        <w:gridCol w:w="3998"/>
        <w:gridCol w:w="2323"/>
        <w:gridCol w:w="1814"/>
      </w:tblGrid>
      <w:tr>
        <w:trPr>
          <w:trHeight w:val="44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b/>
                <w:bCs/>
                <w:color w:val="000000"/>
                <w:spacing w:val="0"/>
                <w:w w:val="100"/>
                <w:position w:val="0"/>
                <w:sz w:val="24"/>
                <w:szCs w:val="24"/>
              </w:rPr>
              <w:t>八</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8"/>
                <w:szCs w:val="28"/>
              </w:rPr>
            </w:pPr>
            <w:r>
              <w:rPr>
                <w:rFonts w:ascii="SimSun" w:eastAsia="SimSun" w:hAnsi="SimSun" w:cs="SimSun"/>
                <w:b/>
                <w:bCs/>
                <w:color w:val="000000"/>
                <w:spacing w:val="0"/>
                <w:w w:val="100"/>
                <w:position w:val="0"/>
                <w:sz w:val="24"/>
                <w:szCs w:val="24"/>
              </w:rPr>
              <w:t>关联方关系及其交易</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8"/>
                <w:szCs w:val="28"/>
              </w:rPr>
            </w:pPr>
            <w:r>
              <w:rPr>
                <w:rFonts w:ascii="SimSun" w:eastAsia="SimSun" w:hAnsi="SimSun" w:cs="SimSun"/>
                <w:b/>
                <w:bCs/>
                <w:color w:val="000000"/>
                <w:spacing w:val="0"/>
                <w:w w:val="100"/>
                <w:position w:val="0"/>
                <w:sz w:val="24"/>
                <w:szCs w:val="24"/>
              </w:rPr>
              <w:t>关联交易</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76" w:hRule="exact"/>
        </w:trPr>
        <w:tc>
          <w:tcPr>
            <w:tcBorders/>
            <w:shd w:val="clear" w:color="auto" w:fill="FFFFFF"/>
            <w:vAlign w:val="top"/>
          </w:tcPr>
          <w:p>
            <w:pPr>
              <w:pStyle w:val="Style29"/>
              <w:keepNext w:val="0"/>
              <w:keepLines w:val="0"/>
              <w:widowControl w:val="0"/>
              <w:shd w:val="clear" w:color="auto" w:fill="auto"/>
              <w:bidi w:val="0"/>
              <w:spacing w:before="160" w:after="0" w:line="240" w:lineRule="auto"/>
              <w:ind w:left="0" w:right="0" w:firstLine="0"/>
              <w:jc w:val="both"/>
              <w:rPr>
                <w:sz w:val="24"/>
                <w:szCs w:val="24"/>
              </w:rPr>
            </w:pPr>
            <w:r>
              <w:rPr>
                <w:rFonts w:ascii="Arial" w:eastAsia="Arial" w:hAnsi="Arial" w:cs="Arial"/>
                <w:color w:val="000000"/>
                <w:spacing w:val="0"/>
                <w:w w:val="100"/>
                <w:position w:val="0"/>
                <w:sz w:val="24"/>
                <w:szCs w:val="24"/>
              </w:rPr>
              <w:t>(g)</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220"/>
              <w:jc w:val="left"/>
              <w:rPr>
                <w:sz w:val="24"/>
                <w:szCs w:val="24"/>
              </w:rPr>
            </w:pPr>
            <w:r>
              <w:rPr>
                <w:rFonts w:ascii="SimSun" w:eastAsia="SimSun" w:hAnsi="SimSun" w:cs="SimSun"/>
                <w:color w:val="000000"/>
                <w:spacing w:val="0"/>
                <w:w w:val="100"/>
                <w:position w:val="0"/>
                <w:sz w:val="24"/>
                <w:szCs w:val="24"/>
              </w:rPr>
              <w:t>提供市场推广服务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阿里巴巴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24"/>
                <w:szCs w:val="24"/>
              </w:rPr>
            </w:pPr>
            <w:r>
              <w:rPr>
                <w:rFonts w:ascii="Arial" w:eastAsia="Arial" w:hAnsi="Arial" w:cs="Arial"/>
                <w:color w:val="000000"/>
                <w:spacing w:val="0"/>
                <w:w w:val="100"/>
                <w:position w:val="0"/>
                <w:sz w:val="24"/>
                <w:szCs w:val="24"/>
              </w:rPr>
              <w:t>92,306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499,054</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星图金服及其子公司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24"/>
                <w:szCs w:val="24"/>
              </w:rPr>
            </w:pPr>
            <w:r>
              <w:rPr>
                <w:rFonts w:ascii="Arial" w:eastAsia="Arial" w:hAnsi="Arial" w:cs="Arial"/>
                <w:color w:val="000000"/>
                <w:spacing w:val="0"/>
                <w:w w:val="100"/>
                <w:position w:val="0"/>
                <w:sz w:val="24"/>
                <w:szCs w:val="24"/>
              </w:rPr>
              <w:t>56,587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840,520</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苏宁小店及其子公司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24"/>
                <w:szCs w:val="24"/>
              </w:rPr>
            </w:pPr>
            <w:r>
              <w:rPr>
                <w:rFonts w:ascii="Arial" w:eastAsia="Arial" w:hAnsi="Arial" w:cs="Arial"/>
                <w:color w:val="000000"/>
                <w:spacing w:val="0"/>
                <w:w w:val="100"/>
                <w:position w:val="0"/>
                <w:sz w:val="24"/>
                <w:szCs w:val="24"/>
              </w:rPr>
              <w:t>11,112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62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日本</w:t>
            </w:r>
            <w:r>
              <w:rPr>
                <w:rFonts w:ascii="Arial" w:eastAsia="Arial" w:hAnsi="Arial" w:cs="Arial"/>
                <w:color w:val="000000"/>
                <w:spacing w:val="0"/>
                <w:w w:val="100"/>
                <w:position w:val="0"/>
                <w:sz w:val="24"/>
                <w:szCs w:val="24"/>
              </w:rPr>
              <w:t>LAOX</w:t>
            </w:r>
            <w:r>
              <w:rPr>
                <w:rFonts w:ascii="SimSun" w:eastAsia="SimSun" w:hAnsi="SimSun" w:cs="SimSun"/>
                <w:color w:val="000000"/>
                <w:spacing w:val="0"/>
                <w:w w:val="100"/>
                <w:position w:val="0"/>
                <w:sz w:val="24"/>
                <w:szCs w:val="24"/>
              </w:rPr>
              <w:t>集团</w:t>
            </w:r>
          </w:p>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苏宁置业集团下</w:t>
            </w:r>
            <w:r>
              <w:rPr>
                <w:rFonts w:ascii="Arial" w:eastAsia="Arial" w:hAnsi="Arial" w:cs="Arial"/>
                <w:color w:val="000000"/>
                <w:spacing w:val="0"/>
                <w:w w:val="100"/>
                <w:position w:val="0"/>
                <w:sz w:val="24"/>
                <w:szCs w:val="24"/>
              </w:rPr>
              <w:t>1</w:t>
            </w:r>
            <w:r>
              <w:rPr>
                <w:rFonts w:ascii="SimSun" w:eastAsia="SimSun" w:hAnsi="SimSun" w:cs="SimSun"/>
                <w:color w:val="000000"/>
                <w:spacing w:val="0"/>
                <w:w w:val="100"/>
                <w:position w:val="0"/>
                <w:sz w:val="24"/>
                <w:szCs w:val="24"/>
              </w:rPr>
              <w:t>家足球俱乐</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rPr>
                <w:sz w:val="24"/>
                <w:szCs w:val="24"/>
              </w:rPr>
            </w:pPr>
            <w:r>
              <w:rPr>
                <w:rFonts w:ascii="Arial" w:eastAsia="Arial" w:hAnsi="Arial" w:cs="Arial"/>
                <w:color w:val="000000"/>
                <w:spacing w:val="0"/>
                <w:w w:val="100"/>
                <w:position w:val="0"/>
                <w:sz w:val="24"/>
                <w:szCs w:val="24"/>
              </w:rPr>
              <w:t>5,080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4"/>
                <w:szCs w:val="24"/>
              </w:rPr>
              <w:t>部公司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24"/>
                <w:szCs w:val="24"/>
              </w:rPr>
            </w:pPr>
            <w:r>
              <w:rPr>
                <w:rFonts w:ascii="Arial" w:eastAsia="Arial" w:hAnsi="Arial" w:cs="Arial"/>
                <w:color w:val="000000"/>
                <w:spacing w:val="0"/>
                <w:w w:val="100"/>
                <w:position w:val="0"/>
                <w:sz w:val="24"/>
                <w:szCs w:val="24"/>
              </w:rPr>
              <w:t>4,916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苏宁体育文化传媒</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24"/>
                <w:szCs w:val="24"/>
              </w:rPr>
            </w:pPr>
            <w:r>
              <w:rPr>
                <w:rFonts w:ascii="Arial" w:eastAsia="Arial" w:hAnsi="Arial" w:cs="Arial"/>
                <w:color w:val="000000"/>
                <w:spacing w:val="0"/>
                <w:w w:val="100"/>
                <w:position w:val="0"/>
                <w:sz w:val="24"/>
                <w:szCs w:val="24"/>
              </w:rPr>
              <w:t>2,766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82,870</w:t>
            </w:r>
          </w:p>
        </w:tc>
      </w:tr>
      <w:tr>
        <w:trPr>
          <w:trHeight w:val="61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上海聚力</w:t>
            </w:r>
          </w:p>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苏宁置业集团旗下</w:t>
            </w:r>
            <w:r>
              <w:rPr>
                <w:rFonts w:ascii="Arial" w:eastAsia="Arial" w:hAnsi="Arial" w:cs="Arial"/>
                <w:color w:val="000000"/>
                <w:spacing w:val="0"/>
                <w:w w:val="100"/>
                <w:position w:val="0"/>
                <w:sz w:val="24"/>
                <w:szCs w:val="24"/>
              </w:rPr>
              <w:t>43</w:t>
            </w:r>
            <w:r>
              <w:rPr>
                <w:rFonts w:ascii="SimSun" w:eastAsia="SimSun" w:hAnsi="SimSun" w:cs="SimSun"/>
                <w:color w:val="000000"/>
                <w:spacing w:val="0"/>
                <w:w w:val="100"/>
                <w:position w:val="0"/>
                <w:sz w:val="24"/>
                <w:szCs w:val="24"/>
              </w:rPr>
              <w:t>家置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rPr>
                <w:sz w:val="24"/>
                <w:szCs w:val="24"/>
              </w:rPr>
            </w:pPr>
            <w:r>
              <w:rPr>
                <w:rFonts w:ascii="Arial" w:eastAsia="Arial" w:hAnsi="Arial" w:cs="Arial"/>
                <w:color w:val="000000"/>
                <w:spacing w:val="0"/>
                <w:w w:val="100"/>
                <w:position w:val="0"/>
                <w:sz w:val="24"/>
                <w:szCs w:val="24"/>
              </w:rPr>
              <w:t>1,526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6,799</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4"/>
                <w:szCs w:val="24"/>
              </w:rPr>
              <w:t>业、建材公司及分支机构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784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245,283</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万达商管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146,674</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24"/>
                <w:szCs w:val="24"/>
              </w:rPr>
            </w:pPr>
            <w:r>
              <w:rPr>
                <w:rFonts w:ascii="Arial" w:eastAsia="Arial" w:hAnsi="Arial" w:cs="Arial"/>
                <w:color w:val="000000"/>
                <w:spacing w:val="0"/>
                <w:w w:val="100"/>
                <w:position w:val="0"/>
                <w:sz w:val="24"/>
                <w:szCs w:val="24"/>
              </w:rPr>
              <w:t>7,826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27,854</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182,903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1,849,054</w:t>
            </w:r>
          </w:p>
        </w:tc>
      </w:tr>
      <w:tr>
        <w:trPr>
          <w:trHeight w:val="1334" w:hRule="exact"/>
        </w:trPr>
        <w:tc>
          <w:tcPr>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0"/>
              <w:jc w:val="left"/>
              <w:rPr>
                <w:sz w:val="24"/>
                <w:szCs w:val="24"/>
              </w:rPr>
            </w:pPr>
            <w:r>
              <w:rPr>
                <w:rFonts w:ascii="Arial" w:eastAsia="Arial" w:hAnsi="Arial" w:cs="Arial"/>
                <w:color w:val="000000"/>
                <w:spacing w:val="0"/>
                <w:w w:val="100"/>
                <w:position w:val="0"/>
                <w:sz w:val="24"/>
                <w:szCs w:val="24"/>
              </w:rPr>
              <w:t>(h)</w:t>
            </w:r>
          </w:p>
        </w:tc>
        <w:tc>
          <w:tcPr>
            <w:tcBorders>
              <w:top w:val="single" w:sz="4"/>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220"/>
              <w:jc w:val="left"/>
              <w:rPr>
                <w:sz w:val="24"/>
                <w:szCs w:val="24"/>
              </w:rPr>
            </w:pPr>
            <w:r>
              <w:rPr>
                <w:rFonts w:ascii="SimSun" w:eastAsia="SimSun" w:hAnsi="SimSun" w:cs="SimSun"/>
                <w:color w:val="000000"/>
                <w:spacing w:val="0"/>
                <w:w w:val="100"/>
                <w:position w:val="0"/>
                <w:sz w:val="24"/>
                <w:szCs w:val="24"/>
              </w:rPr>
              <w:t>关联方提供财务资助</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TCL</w:t>
            </w:r>
            <w:r>
              <w:rPr>
                <w:rFonts w:ascii="SimSun" w:eastAsia="SimSun" w:hAnsi="SimSun" w:cs="SimSun"/>
                <w:color w:val="000000"/>
                <w:spacing w:val="0"/>
                <w:w w:val="100"/>
                <w:position w:val="0"/>
                <w:sz w:val="24"/>
                <w:szCs w:val="24"/>
              </w:rPr>
              <w:t>实业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2,000,000</w:t>
            </w:r>
          </w:p>
        </w:tc>
      </w:tr>
      <w:tr>
        <w:trPr>
          <w:trHeight w:val="1339" w:hRule="exact"/>
        </w:trPr>
        <w:tc>
          <w:tcPr>
            <w:tcBorders/>
            <w:shd w:val="clear" w:color="auto" w:fill="FFFFFF"/>
            <w:vAlign w:val="top"/>
          </w:tcPr>
          <w:p>
            <w:pPr>
              <w:pStyle w:val="Style29"/>
              <w:keepNext w:val="0"/>
              <w:keepLines w:val="0"/>
              <w:widowControl w:val="0"/>
              <w:shd w:val="clear" w:color="auto" w:fill="auto"/>
              <w:bidi w:val="0"/>
              <w:spacing w:before="280" w:after="0" w:line="240" w:lineRule="auto"/>
              <w:ind w:left="0" w:right="0" w:firstLine="0"/>
              <w:jc w:val="left"/>
              <w:rPr>
                <w:sz w:val="28"/>
                <w:szCs w:val="28"/>
              </w:rPr>
            </w:pPr>
            <w:r>
              <w:rPr>
                <w:rFonts w:ascii="SimSun" w:eastAsia="SimSun" w:hAnsi="SimSun" w:cs="SimSun"/>
                <w:color w:val="000000"/>
                <w:spacing w:val="0"/>
                <w:w w:val="100"/>
                <w:position w:val="0"/>
                <w:sz w:val="28"/>
                <w:szCs w:val="28"/>
              </w:rPr>
              <w:t>⑴</w:t>
            </w:r>
          </w:p>
        </w:tc>
        <w:tc>
          <w:tcPr>
            <w:tcBorders>
              <w:top w:val="single" w:sz="4"/>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220"/>
              <w:jc w:val="left"/>
              <w:rPr>
                <w:sz w:val="24"/>
                <w:szCs w:val="24"/>
              </w:rPr>
            </w:pPr>
            <w:r>
              <w:rPr>
                <w:rFonts w:ascii="SimSun" w:eastAsia="SimSun" w:hAnsi="SimSun" w:cs="SimSun"/>
                <w:color w:val="000000"/>
                <w:spacing w:val="0"/>
                <w:w w:val="100"/>
                <w:position w:val="0"/>
                <w:sz w:val="24"/>
                <w:szCs w:val="24"/>
              </w:rPr>
              <w:t>确认的利息费用</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color w:val="000000"/>
                <w:spacing w:val="0"/>
                <w:w w:val="100"/>
                <w:position w:val="0"/>
                <w:sz w:val="24"/>
                <w:szCs w:val="24"/>
              </w:rPr>
              <w:t>TCL</w:t>
            </w:r>
            <w:r>
              <w:rPr>
                <w:rFonts w:ascii="SimSun" w:eastAsia="SimSun" w:hAnsi="SimSun" w:cs="SimSun"/>
                <w:color w:val="000000"/>
                <w:spacing w:val="0"/>
                <w:w w:val="100"/>
                <w:position w:val="0"/>
                <w:sz w:val="24"/>
                <w:szCs w:val="24"/>
              </w:rPr>
              <w:t>实业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145,333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19,333</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Fonts w:ascii="SimSun" w:eastAsia="SimSun" w:hAnsi="SimSun" w:cs="SimSun"/>
                <w:color w:val="000000"/>
                <w:spacing w:val="0"/>
                <w:w w:val="100"/>
                <w:position w:val="0"/>
                <w:sz w:val="24"/>
                <w:szCs w:val="24"/>
              </w:rPr>
              <w:t>星图金服及其子公司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113,706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384,281</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4"/>
                <w:szCs w:val="24"/>
              </w:rPr>
            </w:pPr>
            <w:r>
              <w:rPr>
                <w:rFonts w:ascii="Arial" w:eastAsia="Arial" w:hAnsi="Arial" w:cs="Arial"/>
                <w:color w:val="000000"/>
                <w:spacing w:val="0"/>
                <w:w w:val="100"/>
                <w:position w:val="0"/>
                <w:sz w:val="24"/>
                <w:szCs w:val="24"/>
              </w:rPr>
              <w:t>259,039</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403,614</w:t>
            </w:r>
          </w:p>
        </w:tc>
      </w:tr>
    </w:tbl>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00" w:line="240" w:lineRule="auto"/>
        <w:ind w:left="0" w:right="0" w:firstLine="72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tabs>
          <w:tab w:pos="710" w:val="left"/>
        </w:tabs>
        <w:bidi w:val="0"/>
        <w:spacing w:before="0" w:after="300" w:line="240" w:lineRule="auto"/>
        <w:ind w:left="0" w:right="0" w:firstLine="0"/>
        <w:jc w:val="left"/>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92"/>
        <w:keepNext w:val="0"/>
        <w:keepLines w:val="0"/>
        <w:widowControl w:val="0"/>
        <w:shd w:val="clear" w:color="auto" w:fill="auto"/>
        <w:tabs>
          <w:tab w:pos="710" w:val="left"/>
        </w:tabs>
        <w:bidi w:val="0"/>
        <w:spacing w:before="0" w:after="300" w:line="240" w:lineRule="auto"/>
        <w:ind w:left="0" w:right="0" w:firstLine="0"/>
        <w:jc w:val="left"/>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color w:val="000000"/>
          <w:spacing w:val="0"/>
          <w:w w:val="100"/>
          <w:position w:val="0"/>
          <w:sz w:val="24"/>
          <w:szCs w:val="24"/>
        </w:rPr>
        <w:t>）</w:t>
      </w:r>
    </w:p>
    <w:p>
      <w:pPr>
        <w:pStyle w:val="Style72"/>
        <w:keepNext w:val="0"/>
        <w:keepLines w:val="0"/>
        <w:widowControl w:val="0"/>
        <w:shd w:val="clear" w:color="auto" w:fill="auto"/>
        <w:tabs>
          <w:tab w:pos="710" w:val="left"/>
        </w:tabs>
        <w:bidi w:val="0"/>
        <w:spacing w:before="0" w:after="300" w:line="240" w:lineRule="auto"/>
        <w:ind w:left="0" w:right="0" w:firstLine="0"/>
        <w:jc w:val="left"/>
      </w:pPr>
      <w:r>
        <w:rPr>
          <w:color w:val="000000"/>
          <w:spacing w:val="0"/>
          <w:w w:val="100"/>
          <w:position w:val="0"/>
          <w:sz w:val="24"/>
          <w:szCs w:val="24"/>
        </w:rPr>
        <w:t>⑴</w:t>
        <w:tab/>
        <w:t>租赁</w:t>
      </w:r>
    </w:p>
    <w:p>
      <w:pPr>
        <w:pStyle w:val="Style72"/>
        <w:keepNext w:val="0"/>
        <w:keepLines w:val="0"/>
        <w:widowControl w:val="0"/>
        <w:shd w:val="clear" w:color="auto" w:fill="auto"/>
        <w:bidi w:val="0"/>
        <w:spacing w:before="0" w:after="300" w:line="240" w:lineRule="auto"/>
        <w:ind w:left="0" w:right="0" w:firstLine="840"/>
        <w:jc w:val="left"/>
      </w:pPr>
      <w:r>
        <w:rPr>
          <w:color w:val="000000"/>
          <w:spacing w:val="0"/>
          <w:w w:val="100"/>
          <w:position w:val="0"/>
          <w:sz w:val="24"/>
          <w:szCs w:val="24"/>
        </w:rPr>
        <w:t>本集团作为出租方当年确认的租赁收入:</w:t>
      </w:r>
    </w:p>
    <w:p>
      <w:pPr>
        <w:pStyle w:val="Style26"/>
        <w:keepNext w:val="0"/>
        <w:keepLines w:val="0"/>
        <w:widowControl w:val="0"/>
        <w:shd w:val="clear" w:color="auto" w:fill="auto"/>
        <w:tabs>
          <w:tab w:pos="3634" w:val="left"/>
          <w:tab w:pos="5549" w:val="left"/>
          <w:tab w:pos="7080" w:val="left"/>
        </w:tabs>
        <w:bidi w:val="0"/>
        <w:spacing w:before="0" w:after="0" w:line="240" w:lineRule="auto"/>
        <w:ind w:left="0" w:right="0" w:firstLine="0"/>
        <w:jc w:val="left"/>
        <w:rPr>
          <w:sz w:val="18"/>
          <w:szCs w:val="18"/>
        </w:rPr>
      </w:pPr>
      <w:r>
        <w:rPr>
          <w:color w:val="000000"/>
          <w:spacing w:val="0"/>
          <w:w w:val="100"/>
          <w:position w:val="0"/>
          <w:sz w:val="18"/>
          <w:szCs w:val="18"/>
        </w:rPr>
        <w:t>承租方名称</w:t>
        <w:tab/>
        <w:t>主要租赁资产种类</w:t>
        <w:tab/>
      </w:r>
      <w:r>
        <w:rPr>
          <w:rFonts w:ascii="Arial" w:eastAsia="Arial" w:hAnsi="Arial" w:cs="Arial"/>
          <w:color w:val="000000"/>
          <w:spacing w:val="0"/>
          <w:w w:val="100"/>
          <w:position w:val="0"/>
          <w:sz w:val="18"/>
          <w:szCs w:val="18"/>
        </w:rPr>
        <w:t>2021</w:t>
      </w:r>
      <w:r>
        <w:rPr>
          <w:color w:val="000000"/>
          <w:spacing w:val="0"/>
          <w:w w:val="100"/>
          <w:position w:val="0"/>
          <w:sz w:val="18"/>
          <w:szCs w:val="18"/>
        </w:rPr>
        <w:t>年度</w:t>
        <w:tab/>
      </w:r>
      <w:r>
        <w:rPr>
          <w:rFonts w:ascii="Arial" w:eastAsia="Arial" w:hAnsi="Arial" w:cs="Arial"/>
          <w:color w:val="000000"/>
          <w:spacing w:val="0"/>
          <w:w w:val="100"/>
          <w:position w:val="0"/>
          <w:sz w:val="18"/>
          <w:szCs w:val="18"/>
        </w:rPr>
        <w:t>2020</w:t>
      </w:r>
      <w:r>
        <w:rPr>
          <w:color w:val="000000"/>
          <w:spacing w:val="0"/>
          <w:w w:val="100"/>
          <w:position w:val="0"/>
          <w:sz w:val="18"/>
          <w:szCs w:val="18"/>
        </w:rPr>
        <w:t>年度</w:t>
      </w:r>
    </w:p>
    <w:tbl>
      <w:tblPr>
        <w:tblOverlap w:val="never"/>
        <w:jc w:val="right"/>
        <w:tblLayout w:type="fixed"/>
      </w:tblPr>
      <w:tblGrid>
        <w:gridCol w:w="3235"/>
        <w:gridCol w:w="2189"/>
        <w:gridCol w:w="1397"/>
        <w:gridCol w:w="1253"/>
      </w:tblGrid>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星图金服及其子公司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各金服公司办公区域</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17,700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9,012</w:t>
            </w:r>
          </w:p>
        </w:tc>
      </w:tr>
      <w:tr>
        <w:trPr>
          <w:trHeight w:val="475" w:hRule="exact"/>
        </w:trPr>
        <w:tc>
          <w:tcPr>
            <w:tcBorders/>
            <w:shd w:val="clear" w:color="auto" w:fill="FFFFFF"/>
            <w:vAlign w:val="bottom"/>
          </w:tcPr>
          <w:p>
            <w:pPr>
              <w:pStyle w:val="Style29"/>
              <w:keepNext w:val="0"/>
              <w:keepLines w:val="0"/>
              <w:widowControl w:val="0"/>
              <w:shd w:val="clear" w:color="auto" w:fill="auto"/>
              <w:bidi w:val="0"/>
              <w:spacing w:before="0" w:after="0" w:line="240" w:lineRule="exact"/>
              <w:ind w:left="180" w:right="0" w:hanging="180"/>
              <w:jc w:val="left"/>
              <w:rPr>
                <w:sz w:val="18"/>
                <w:szCs w:val="18"/>
              </w:rPr>
            </w:pPr>
            <w:r>
              <w:rPr>
                <w:rFonts w:ascii="SimSun" w:eastAsia="SimSun" w:hAnsi="SimSun" w:cs="SimSun"/>
                <w:color w:val="000000"/>
                <w:spacing w:val="0"/>
                <w:w w:val="100"/>
                <w:position w:val="0"/>
                <w:sz w:val="18"/>
                <w:szCs w:val="18"/>
              </w:rPr>
              <w:t>苏宁置业集团旗下</w:t>
            </w:r>
            <w:r>
              <w:rPr>
                <w:rFonts w:ascii="Arial" w:eastAsia="Arial" w:hAnsi="Arial" w:cs="Arial"/>
                <w:color w:val="000000"/>
                <w:spacing w:val="0"/>
                <w:w w:val="100"/>
                <w:position w:val="0"/>
                <w:sz w:val="18"/>
                <w:szCs w:val="18"/>
              </w:rPr>
              <w:t>23</w:t>
            </w:r>
            <w:r>
              <w:rPr>
                <w:rFonts w:ascii="SimSun" w:eastAsia="SimSun" w:hAnsi="SimSun" w:cs="SimSun"/>
                <w:color w:val="000000"/>
                <w:spacing w:val="0"/>
                <w:w w:val="100"/>
                <w:position w:val="0"/>
                <w:sz w:val="18"/>
                <w:szCs w:val="18"/>
              </w:rPr>
              <w:t>家酒店、餐饮公 司及分支机构</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诺富特酒店大楼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16,298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14,094</w:t>
            </w:r>
          </w:p>
        </w:tc>
      </w:tr>
      <w:tr>
        <w:trPr>
          <w:trHeight w:val="470" w:hRule="exact"/>
        </w:trPr>
        <w:tc>
          <w:tcPr>
            <w:tcBorders/>
            <w:shd w:val="clear" w:color="auto" w:fill="FFFFFF"/>
            <w:vAlign w:val="top"/>
          </w:tcPr>
          <w:p>
            <w:pPr>
              <w:pStyle w:val="Style29"/>
              <w:keepNext w:val="0"/>
              <w:keepLines w:val="0"/>
              <w:widowControl w:val="0"/>
              <w:shd w:val="clear" w:color="auto" w:fill="auto"/>
              <w:bidi w:val="0"/>
              <w:spacing w:before="0" w:after="0" w:line="230" w:lineRule="exact"/>
              <w:ind w:left="180" w:right="0" w:hanging="180"/>
              <w:jc w:val="left"/>
              <w:rPr>
                <w:sz w:val="18"/>
                <w:szCs w:val="18"/>
              </w:rPr>
            </w:pPr>
            <w:r>
              <w:rPr>
                <w:rFonts w:ascii="SimSun" w:eastAsia="SimSun" w:hAnsi="SimSun" w:cs="SimSun"/>
                <w:color w:val="000000"/>
                <w:spacing w:val="0"/>
                <w:w w:val="100"/>
                <w:position w:val="0"/>
                <w:sz w:val="18"/>
                <w:szCs w:val="18"/>
              </w:rPr>
              <w:t>苏宁置业集团旗下</w:t>
            </w:r>
            <w:r>
              <w:rPr>
                <w:rFonts w:ascii="Arial" w:eastAsia="Arial" w:hAnsi="Arial" w:cs="Arial"/>
                <w:color w:val="000000"/>
                <w:spacing w:val="0"/>
                <w:w w:val="100"/>
                <w:position w:val="0"/>
                <w:sz w:val="18"/>
                <w:szCs w:val="18"/>
              </w:rPr>
              <w:t>43</w:t>
            </w:r>
            <w:r>
              <w:rPr>
                <w:rFonts w:ascii="SimSun" w:eastAsia="SimSun" w:hAnsi="SimSun" w:cs="SimSun"/>
                <w:color w:val="000000"/>
                <w:spacing w:val="0"/>
                <w:w w:val="100"/>
                <w:position w:val="0"/>
                <w:sz w:val="18"/>
                <w:szCs w:val="18"/>
              </w:rPr>
              <w:t>家置业、建材公 司及分支机构</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宿迁生活广场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14,762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4,481</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苏宁控股集团旗下其余</w:t>
            </w:r>
            <w:r>
              <w:rPr>
                <w:rFonts w:ascii="Arial" w:eastAsia="Arial" w:hAnsi="Arial" w:cs="Arial"/>
                <w:color w:val="000000"/>
                <w:spacing w:val="0"/>
                <w:w w:val="100"/>
                <w:position w:val="0"/>
                <w:sz w:val="18"/>
                <w:szCs w:val="18"/>
              </w:rPr>
              <w:t>11</w:t>
            </w:r>
            <w:r>
              <w:rPr>
                <w:rFonts w:ascii="SimSun" w:eastAsia="SimSun" w:hAnsi="SimSun" w:cs="SimSun"/>
                <w:color w:val="000000"/>
                <w:spacing w:val="0"/>
                <w:w w:val="100"/>
                <w:position w:val="0"/>
                <w:sz w:val="18"/>
                <w:szCs w:val="18"/>
              </w:rPr>
              <w:t>家体育公司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南京市商贸店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6,807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26,602</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苏宁置业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苏宁总部</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号楼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6,581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5,647</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30" w:lineRule="exact"/>
              <w:ind w:left="180" w:right="0" w:hanging="180"/>
              <w:jc w:val="left"/>
              <w:rPr>
                <w:sz w:val="18"/>
                <w:szCs w:val="18"/>
              </w:rPr>
            </w:pPr>
            <w:r>
              <w:rPr>
                <w:rFonts w:ascii="SimSun" w:eastAsia="SimSun" w:hAnsi="SimSun" w:cs="SimSun"/>
                <w:color w:val="000000"/>
                <w:spacing w:val="0"/>
                <w:w w:val="100"/>
                <w:position w:val="0"/>
                <w:sz w:val="18"/>
                <w:szCs w:val="18"/>
              </w:rPr>
              <w:t>苏宁控股集团旗下</w:t>
            </w:r>
            <w:r>
              <w:rPr>
                <w:rFonts w:ascii="Arial" w:eastAsia="Arial" w:hAnsi="Arial" w:cs="Arial"/>
                <w:color w:val="000000"/>
                <w:spacing w:val="0"/>
                <w:w w:val="100"/>
                <w:position w:val="0"/>
                <w:sz w:val="18"/>
                <w:szCs w:val="18"/>
              </w:rPr>
              <w:t>47</w:t>
            </w:r>
            <w:r>
              <w:rPr>
                <w:rFonts w:ascii="SimSun" w:eastAsia="SimSun" w:hAnsi="SimSun" w:cs="SimSun"/>
                <w:color w:val="000000"/>
                <w:spacing w:val="0"/>
                <w:w w:val="100"/>
                <w:position w:val="0"/>
                <w:sz w:val="18"/>
                <w:szCs w:val="18"/>
              </w:rPr>
              <w:t>家影城、影院公 司及分支机构</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西安市苏宁易购广场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1,997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1,651</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消费金融</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苏宁总部</w:t>
            </w: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8"/>
                <w:szCs w:val="18"/>
              </w:rPr>
              <w:t>号楼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1,779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1,896</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苏宁小店及其子公司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各苏宁小店门店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1,763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16,446</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江苏苏宁商管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苏宁总部</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号楼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1,577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1,746</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苏宁银行</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动漫走廊</w:t>
            </w: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8"/>
                <w:szCs w:val="18"/>
              </w:rPr>
              <w:t>号楼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1,560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1,648</w:t>
            </w:r>
          </w:p>
        </w:tc>
      </w:tr>
      <w:tr>
        <w:trPr>
          <w:trHeight w:val="701" w:hRule="exact"/>
        </w:trPr>
        <w:tc>
          <w:tcPr>
            <w:tcBorders/>
            <w:shd w:val="clear" w:color="auto" w:fill="FFFFFF"/>
            <w:vAlign w:val="top"/>
          </w:tcPr>
          <w:p>
            <w:pPr>
              <w:pStyle w:val="Style29"/>
              <w:keepNext w:val="0"/>
              <w:keepLines w:val="0"/>
              <w:widowControl w:val="0"/>
              <w:shd w:val="clear" w:color="auto" w:fill="auto"/>
              <w:bidi w:val="0"/>
              <w:spacing w:before="0" w:after="0" w:line="230" w:lineRule="exact"/>
              <w:ind w:left="180" w:right="0" w:hanging="180"/>
              <w:jc w:val="left"/>
              <w:rPr>
                <w:sz w:val="18"/>
                <w:szCs w:val="18"/>
              </w:rPr>
            </w:pPr>
            <w:r>
              <w:rPr>
                <w:rFonts w:ascii="SimSun" w:eastAsia="SimSun" w:hAnsi="SimSun" w:cs="SimSun"/>
                <w:color w:val="000000"/>
                <w:spacing w:val="0"/>
                <w:w w:val="100"/>
                <w:position w:val="0"/>
                <w:sz w:val="18"/>
                <w:szCs w:val="18"/>
              </w:rPr>
              <w:t>苏宁控股集团旗下</w:t>
            </w:r>
            <w:r>
              <w:rPr>
                <w:rFonts w:ascii="Arial" w:eastAsia="Arial" w:hAnsi="Arial" w:cs="Arial"/>
                <w:color w:val="000000"/>
                <w:spacing w:val="0"/>
                <w:w w:val="100"/>
                <w:position w:val="0"/>
                <w:sz w:val="18"/>
                <w:szCs w:val="18"/>
              </w:rPr>
              <w:t>47</w:t>
            </w:r>
            <w:r>
              <w:rPr>
                <w:rFonts w:ascii="SimSun" w:eastAsia="SimSun" w:hAnsi="SimSun" w:cs="SimSun"/>
                <w:color w:val="000000"/>
                <w:spacing w:val="0"/>
                <w:w w:val="100"/>
                <w:position w:val="0"/>
                <w:sz w:val="18"/>
                <w:szCs w:val="18"/>
              </w:rPr>
              <w:t>家影城、影院公 司及分支机构</w:t>
            </w:r>
          </w:p>
          <w:p>
            <w:pPr>
              <w:pStyle w:val="Style29"/>
              <w:keepNext w:val="0"/>
              <w:keepLines w:val="0"/>
              <w:widowControl w:val="0"/>
              <w:shd w:val="clear" w:color="auto" w:fill="auto"/>
              <w:bidi w:val="0"/>
              <w:spacing w:before="0" w:after="0" w:line="230" w:lineRule="exact"/>
              <w:ind w:left="180" w:right="0" w:hanging="180"/>
              <w:jc w:val="left"/>
              <w:rPr>
                <w:sz w:val="18"/>
                <w:szCs w:val="18"/>
              </w:rPr>
            </w:pPr>
            <w:r>
              <w:rPr>
                <w:rFonts w:ascii="SimSun" w:eastAsia="SimSun" w:hAnsi="SimSun" w:cs="SimSun"/>
                <w:color w:val="000000"/>
                <w:spacing w:val="0"/>
                <w:w w:val="100"/>
                <w:position w:val="0"/>
                <w:sz w:val="18"/>
                <w:szCs w:val="18"/>
              </w:rPr>
              <w:t>苏宁控股集团旗下</w:t>
            </w:r>
            <w:r>
              <w:rPr>
                <w:rFonts w:ascii="Arial" w:eastAsia="Arial" w:hAnsi="Arial" w:cs="Arial"/>
                <w:color w:val="000000"/>
                <w:spacing w:val="0"/>
                <w:w w:val="100"/>
                <w:position w:val="0"/>
                <w:sz w:val="18"/>
                <w:szCs w:val="18"/>
              </w:rPr>
              <w:t>47</w:t>
            </w:r>
            <w:r>
              <w:rPr>
                <w:rFonts w:ascii="SimSun" w:eastAsia="SimSun" w:hAnsi="SimSun" w:cs="SimSun"/>
                <w:color w:val="000000"/>
                <w:spacing w:val="0"/>
                <w:w w:val="100"/>
                <w:position w:val="0"/>
                <w:sz w:val="18"/>
                <w:szCs w:val="18"/>
              </w:rPr>
              <w:t>家影城、影院公</w:t>
            </w:r>
          </w:p>
        </w:tc>
        <w:tc>
          <w:tcPr>
            <w:vMerge w:val="restart"/>
            <w:tcBorders/>
            <w:shd w:val="clear" w:color="auto" w:fill="FFFFFF"/>
            <w:vAlign w:val="center"/>
          </w:tcPr>
          <w:p>
            <w:pPr>
              <w:pStyle w:val="Style29"/>
              <w:keepNext w:val="0"/>
              <w:keepLines w:val="0"/>
              <w:widowControl w:val="0"/>
              <w:shd w:val="clear" w:color="auto" w:fill="auto"/>
              <w:bidi w:val="0"/>
              <w:spacing w:before="0" w:after="240" w:line="240" w:lineRule="auto"/>
              <w:ind w:left="0" w:right="0" w:firstLine="760"/>
              <w:jc w:val="left"/>
              <w:rPr>
                <w:sz w:val="18"/>
                <w:szCs w:val="18"/>
              </w:rPr>
            </w:pPr>
            <w:r>
              <w:rPr>
                <w:rFonts w:ascii="SimSun" w:eastAsia="SimSun" w:hAnsi="SimSun" w:cs="SimSun"/>
                <w:color w:val="000000"/>
                <w:spacing w:val="0"/>
                <w:w w:val="100"/>
                <w:position w:val="0"/>
                <w:sz w:val="18"/>
                <w:szCs w:val="18"/>
              </w:rPr>
              <w:t>奉贤苏宁广场</w:t>
            </w:r>
          </w:p>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SimSun" w:eastAsia="SimSun" w:hAnsi="SimSun" w:cs="SimSun"/>
                <w:color w:val="000000"/>
                <w:spacing w:val="0"/>
                <w:w w:val="100"/>
                <w:position w:val="0"/>
                <w:sz w:val="18"/>
                <w:szCs w:val="18"/>
              </w:rPr>
              <w:t>总部王庄湖</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1,538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755</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司及分支机构</w:t>
            </w:r>
          </w:p>
        </w:tc>
        <w:tc>
          <w:tcPr>
            <w:vMerge/>
            <w:tcBorders/>
            <w:shd w:val="clear" w:color="auto" w:fill="FFFFFF"/>
            <w:vAlign w:val="center"/>
          </w:tcPr>
          <w:p>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1,138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2,521</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苏宁置业集团旗下</w:t>
            </w:r>
            <w:r>
              <w:rPr>
                <w:rFonts w:ascii="Arial" w:eastAsia="Arial" w:hAnsi="Arial" w:cs="Arial"/>
                <w:color w:val="000000"/>
                <w:spacing w:val="0"/>
                <w:w w:val="100"/>
                <w:position w:val="0"/>
                <w:sz w:val="18"/>
                <w:szCs w:val="18"/>
              </w:rPr>
              <w:t>23</w:t>
            </w:r>
            <w:r>
              <w:rPr>
                <w:rFonts w:ascii="SimSun" w:eastAsia="SimSun" w:hAnsi="SimSun" w:cs="SimSun"/>
                <w:color w:val="000000"/>
                <w:spacing w:val="0"/>
                <w:w w:val="100"/>
                <w:position w:val="0"/>
                <w:sz w:val="18"/>
                <w:szCs w:val="18"/>
              </w:rPr>
              <w:t>家酒店、餐饮公 司及分支机构</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日照苏宁广场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1,083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5,390</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各类门店和办公区域</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40,336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9,788</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114,919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101,677</w:t>
            </w:r>
          </w:p>
        </w:tc>
      </w:tr>
    </w:tbl>
    <w:p>
      <w:pPr>
        <w:spacing w:lineRule="exact" w:line="1"/>
        <w:rPr>
          <w:sz w:val="2"/>
          <w:szCs w:val="2"/>
        </w:rPr>
      </w:pPr>
      <w:r>
        <w:br w:type="page"/>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八 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6" w:val="left"/>
        </w:tabs>
        <w:bidi w:val="0"/>
        <w:spacing w:before="0" w:after="300" w:line="240" w:lineRule="auto"/>
        <w:ind w:left="0" w:right="0" w:firstLine="0"/>
        <w:jc w:val="left"/>
        <w:rPr>
          <w:sz w:val="28"/>
          <w:szCs w:val="28"/>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96" w:val="left"/>
        </w:tabs>
        <w:bidi w:val="0"/>
        <w:spacing w:before="0" w:after="300" w:line="240" w:lineRule="auto"/>
        <w:ind w:left="0" w:right="0" w:firstLine="0"/>
        <w:jc w:val="left"/>
        <w:rPr>
          <w:sz w:val="28"/>
          <w:szCs w:val="28"/>
        </w:rPr>
      </w:pPr>
      <w:r>
        <w:rPr>
          <w:color w:val="000000"/>
          <w:spacing w:val="0"/>
          <w:w w:val="100"/>
          <w:position w:val="0"/>
          <w:sz w:val="24"/>
          <w:szCs w:val="24"/>
        </w:rPr>
        <w:t>⑴</w:t>
        <w:tab/>
        <w:t>租赁</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20" w:line="240" w:lineRule="auto"/>
        <w:ind w:left="0" w:right="0" w:firstLine="700"/>
        <w:jc w:val="left"/>
      </w:pPr>
      <w:r>
        <w:rPr>
          <w:color w:val="000000"/>
          <w:spacing w:val="0"/>
          <w:w w:val="100"/>
          <w:position w:val="0"/>
          <w:sz w:val="24"/>
          <w:szCs w:val="24"/>
        </w:rPr>
        <w:t>本集团作为承租方当年确认的租赁费用:</w:t>
      </w:r>
    </w:p>
    <w:tbl>
      <w:tblPr>
        <w:tblOverlap w:val="never"/>
        <w:jc w:val="right"/>
        <w:tblLayout w:type="fixed"/>
      </w:tblPr>
      <w:tblGrid>
        <w:gridCol w:w="3072"/>
        <w:gridCol w:w="2352"/>
        <w:gridCol w:w="1320"/>
        <w:gridCol w:w="1190"/>
      </w:tblGrid>
      <w:tr>
        <w:trPr>
          <w:trHeight w:val="3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出租方名称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主要租赁资产种类</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万达商管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万达百货店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1,319,749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1,151,975</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珠海普易物流及其子公司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珠海普易物流各物流基地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145,403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上海沪申</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上海物流基地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131,202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128,314</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津宁易达物流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天津物流基地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91,000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湖南苏宁易达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长沙望城物流基地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89,419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89,996</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三水苏宁易达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佛山物流基地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77,174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南京禄昌</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广州物流基地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68,666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SimSun" w:eastAsia="SimSun" w:hAnsi="SimSun" w:cs="SimSun"/>
                <w:color w:val="000000"/>
                <w:spacing w:val="0"/>
                <w:w w:val="100"/>
                <w:position w:val="0"/>
                <w:sz w:val="18"/>
                <w:szCs w:val="18"/>
              </w:rPr>
              <w:t>上海浦东第一店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65,890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106,806</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沈阳苏宁物流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辽宁物流基地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61,411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22,144</w:t>
            </w:r>
          </w:p>
        </w:tc>
      </w:tr>
      <w:tr>
        <w:trPr>
          <w:trHeight w:val="23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湖北苏宁物流</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湖北物流基地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60,206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重庆观音桥店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49,430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63,875</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陕西苏宁易达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西安物流基地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47,050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44,475</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成都春熙路店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46,202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36,329</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重庆首恒</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重庆物流基地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43,935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69,955</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重庆解放碑店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32,988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32,139</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宁波苏宁易达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宁波物流基地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30,376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28,456</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SimSun" w:eastAsia="SimSun" w:hAnsi="SimSun" w:cs="SimSun"/>
                <w:color w:val="000000"/>
                <w:spacing w:val="0"/>
                <w:w w:val="100"/>
                <w:position w:val="0"/>
                <w:sz w:val="18"/>
                <w:szCs w:val="18"/>
              </w:rPr>
              <w:t>北京通州西门店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28,510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32,136</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昆明小花园店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28,393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28,185</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SimSun" w:eastAsia="SimSun" w:hAnsi="SimSun" w:cs="SimSun"/>
                <w:color w:val="000000"/>
                <w:spacing w:val="0"/>
                <w:w w:val="100"/>
                <w:position w:val="0"/>
                <w:sz w:val="18"/>
                <w:szCs w:val="18"/>
              </w:rPr>
              <w:t>济南泉城路二店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27,998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31,459</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江苏辰逸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南昌物流基地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27,377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26,996</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武汉唐家墩店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25,391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27,489</w:t>
            </w:r>
          </w:p>
        </w:tc>
      </w:tr>
      <w:tr>
        <w:trPr>
          <w:trHeight w:val="29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武汉中南店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24,787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37,207</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北京刘家窑桥东店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24,526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27,586</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南京优荣</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无锡物流基地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23,444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29,567</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徐州苏宁云商</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徐州物流基地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23,416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32,789</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SimSun" w:eastAsia="SimSun" w:hAnsi="SimSun" w:cs="SimSun"/>
                <w:color w:val="000000"/>
                <w:spacing w:val="0"/>
                <w:w w:val="100"/>
                <w:position w:val="0"/>
                <w:sz w:val="18"/>
                <w:szCs w:val="18"/>
              </w:rPr>
              <w:t>大连胜利广场店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23,179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27,142</w:t>
            </w:r>
          </w:p>
        </w:tc>
      </w:tr>
      <w:tr>
        <w:trPr>
          <w:trHeight w:val="29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天津海光寺店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22,174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37,881</w:t>
            </w:r>
          </w:p>
        </w:tc>
      </w:tr>
      <w:tr>
        <w:trPr>
          <w:trHeight w:val="2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中山苏宁物流</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中山物流基地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19,657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27,633</w:t>
            </w:r>
          </w:p>
        </w:tc>
      </w:tr>
    </w:tbl>
    <w:p>
      <w:pPr>
        <w:spacing w:lineRule="exact" w:line="1"/>
        <w:rPr>
          <w:sz w:val="2"/>
          <w:szCs w:val="2"/>
        </w:rPr>
      </w:pPr>
      <w:r>
        <w:br w:type="page"/>
      </w:r>
    </w:p>
    <w:p>
      <w:pPr>
        <w:pStyle w:val="Style72"/>
        <w:keepNext w:val="0"/>
        <w:keepLines w:val="0"/>
        <w:widowControl w:val="0"/>
        <w:shd w:val="clear" w:color="auto" w:fill="auto"/>
        <w:bidi w:val="0"/>
        <w:spacing w:before="0" w:after="280" w:line="240" w:lineRule="auto"/>
        <w:ind w:left="0" w:right="0" w:firstLine="0"/>
        <w:jc w:val="left"/>
        <w:rPr>
          <w:sz w:val="28"/>
          <w:szCs w:val="28"/>
        </w:rPr>
      </w:pPr>
      <w:r>
        <w:rPr>
          <w:b/>
          <w:bCs/>
          <w:color w:val="000000"/>
          <w:spacing w:val="0"/>
          <w:w w:val="100"/>
          <w:position w:val="0"/>
          <w:sz w:val="24"/>
          <w:szCs w:val="24"/>
        </w:rPr>
        <w:t>八 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6" w:val="left"/>
        </w:tabs>
        <w:bidi w:val="0"/>
        <w:spacing w:before="0" w:after="280" w:line="240" w:lineRule="auto"/>
        <w:ind w:left="0" w:right="0" w:firstLine="0"/>
        <w:jc w:val="left"/>
        <w:rPr>
          <w:sz w:val="28"/>
          <w:szCs w:val="28"/>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96" w:val="left"/>
        </w:tabs>
        <w:bidi w:val="0"/>
        <w:spacing w:before="0" w:after="280" w:line="240" w:lineRule="auto"/>
        <w:ind w:left="0" w:right="0" w:firstLine="0"/>
        <w:jc w:val="left"/>
        <w:rPr>
          <w:sz w:val="28"/>
          <w:szCs w:val="28"/>
        </w:rPr>
      </w:pPr>
      <w:r>
        <w:rPr>
          <w:color w:val="000000"/>
          <w:spacing w:val="0"/>
          <w:w w:val="100"/>
          <w:position w:val="0"/>
          <w:sz w:val="24"/>
          <w:szCs w:val="24"/>
        </w:rPr>
        <w:t>⑴</w:t>
        <w:tab/>
        <w:t>租赁</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80" w:line="240" w:lineRule="auto"/>
        <w:ind w:left="0" w:right="0" w:firstLine="700"/>
        <w:jc w:val="left"/>
      </w:pPr>
      <w:r>
        <w:rPr>
          <w:color w:val="000000"/>
          <w:spacing w:val="0"/>
          <w:w w:val="100"/>
          <w:position w:val="0"/>
          <w:sz w:val="24"/>
          <w:szCs w:val="24"/>
        </w:rPr>
        <w:t>本集团作为承租方当年确认的租赁费用</w:t>
      </w:r>
      <w:r>
        <w:rPr>
          <w:color w:val="000000"/>
          <w:spacing w:val="0"/>
          <w:w w:val="100"/>
          <w:position w:val="0"/>
          <w:sz w:val="28"/>
          <w:szCs w:val="28"/>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tbl>
      <w:tblPr>
        <w:tblOverlap w:val="never"/>
        <w:jc w:val="right"/>
        <w:tblLayout w:type="fixed"/>
      </w:tblPr>
      <w:tblGrid>
        <w:gridCol w:w="2990"/>
        <w:gridCol w:w="2448"/>
        <w:gridCol w:w="1325"/>
        <w:gridCol w:w="1315"/>
      </w:tblGrid>
      <w:tr>
        <w:trPr>
          <w:trHeight w:val="3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出租方名称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主要租赁资产种类</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r>
      <w:tr>
        <w:trPr>
          <w:trHeight w:val="600" w:hRule="exact"/>
        </w:trPr>
        <w:tc>
          <w:tcPr>
            <w:tcBorders/>
            <w:shd w:val="clear" w:color="auto" w:fill="FFFFFF"/>
            <w:vAlign w:val="bottom"/>
          </w:tcPr>
          <w:p>
            <w:pPr>
              <w:pStyle w:val="Style29"/>
              <w:keepNext w:val="0"/>
              <w:keepLines w:val="0"/>
              <w:widowControl w:val="0"/>
              <w:shd w:val="clear" w:color="auto" w:fill="auto"/>
              <w:bidi w:val="0"/>
              <w:spacing w:before="0" w:after="0" w:line="245" w:lineRule="exact"/>
              <w:ind w:left="160" w:right="0" w:hanging="16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 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SimSun" w:eastAsia="SimSun" w:hAnsi="SimSun" w:cs="SimSun"/>
                <w:color w:val="000000"/>
                <w:spacing w:val="0"/>
                <w:w w:val="100"/>
                <w:position w:val="0"/>
                <w:sz w:val="18"/>
                <w:szCs w:val="18"/>
              </w:rPr>
              <w:t>西安金花路店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19,639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26,952</w:t>
            </w:r>
          </w:p>
        </w:tc>
      </w:tr>
      <w:tr>
        <w:trPr>
          <w:trHeight w:val="466" w:hRule="exact"/>
        </w:trPr>
        <w:tc>
          <w:tcPr>
            <w:tcBorders/>
            <w:shd w:val="clear" w:color="auto" w:fill="FFFFFF"/>
            <w:vAlign w:val="top"/>
          </w:tcPr>
          <w:p>
            <w:pPr>
              <w:pStyle w:val="Style29"/>
              <w:keepNext w:val="0"/>
              <w:keepLines w:val="0"/>
              <w:widowControl w:val="0"/>
              <w:shd w:val="clear" w:color="auto" w:fill="auto"/>
              <w:bidi w:val="0"/>
              <w:spacing w:before="0" w:after="0" w:line="230" w:lineRule="exact"/>
              <w:ind w:left="160" w:right="0" w:hanging="16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 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大同苏宁电器广场店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15,372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16,303</w:t>
            </w:r>
          </w:p>
        </w:tc>
      </w:tr>
      <w:tr>
        <w:trPr>
          <w:trHeight w:val="466" w:hRule="exact"/>
        </w:trPr>
        <w:tc>
          <w:tcPr>
            <w:tcBorders/>
            <w:shd w:val="clear" w:color="auto" w:fill="FFFFFF"/>
            <w:vAlign w:val="top"/>
          </w:tcPr>
          <w:p>
            <w:pPr>
              <w:pStyle w:val="Style29"/>
              <w:keepNext w:val="0"/>
              <w:keepLines w:val="0"/>
              <w:widowControl w:val="0"/>
              <w:shd w:val="clear" w:color="auto" w:fill="auto"/>
              <w:bidi w:val="0"/>
              <w:spacing w:before="0" w:after="0" w:line="226" w:lineRule="exact"/>
              <w:ind w:left="160" w:right="0" w:hanging="16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 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SimSun" w:eastAsia="SimSun" w:hAnsi="SimSun" w:cs="SimSun"/>
                <w:color w:val="000000"/>
                <w:spacing w:val="0"/>
                <w:w w:val="100"/>
                <w:position w:val="0"/>
                <w:sz w:val="18"/>
                <w:szCs w:val="18"/>
              </w:rPr>
              <w:t>成都西大街店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13,123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16,580</w:t>
            </w:r>
          </w:p>
        </w:tc>
      </w:tr>
      <w:tr>
        <w:trPr>
          <w:trHeight w:val="470" w:hRule="exact"/>
        </w:trPr>
        <w:tc>
          <w:tcPr>
            <w:tcBorders/>
            <w:shd w:val="clear" w:color="auto" w:fill="FFFFFF"/>
            <w:vAlign w:val="top"/>
          </w:tcPr>
          <w:p>
            <w:pPr>
              <w:pStyle w:val="Style29"/>
              <w:keepNext w:val="0"/>
              <w:keepLines w:val="0"/>
              <w:widowControl w:val="0"/>
              <w:shd w:val="clear" w:color="auto" w:fill="auto"/>
              <w:bidi w:val="0"/>
              <w:spacing w:before="0" w:after="0" w:line="226" w:lineRule="exact"/>
              <w:ind w:left="160" w:right="0" w:hanging="16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 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SimSun" w:eastAsia="SimSun" w:hAnsi="SimSun" w:cs="SimSun"/>
                <w:color w:val="000000"/>
                <w:spacing w:val="0"/>
                <w:w w:val="100"/>
                <w:position w:val="0"/>
                <w:sz w:val="18"/>
                <w:szCs w:val="18"/>
              </w:rPr>
              <w:t>成都万年场店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12,658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15,498</w:t>
            </w:r>
          </w:p>
        </w:tc>
      </w:tr>
      <w:tr>
        <w:trPr>
          <w:trHeight w:val="461" w:hRule="exact"/>
        </w:trPr>
        <w:tc>
          <w:tcPr>
            <w:tcBorders/>
            <w:shd w:val="clear" w:color="auto" w:fill="FFFFFF"/>
            <w:vAlign w:val="top"/>
          </w:tcPr>
          <w:p>
            <w:pPr>
              <w:pStyle w:val="Style29"/>
              <w:keepNext w:val="0"/>
              <w:keepLines w:val="0"/>
              <w:widowControl w:val="0"/>
              <w:shd w:val="clear" w:color="auto" w:fill="auto"/>
              <w:bidi w:val="0"/>
              <w:spacing w:before="0" w:after="0" w:line="230" w:lineRule="exact"/>
              <w:ind w:left="160" w:right="0" w:hanging="16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 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厦门财富港湾购置店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12,320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14,044</w:t>
            </w:r>
          </w:p>
        </w:tc>
      </w:tr>
      <w:tr>
        <w:trPr>
          <w:trHeight w:val="470" w:hRule="exact"/>
        </w:trPr>
        <w:tc>
          <w:tcPr>
            <w:tcBorders/>
            <w:shd w:val="clear" w:color="auto" w:fill="FFFFFF"/>
            <w:vAlign w:val="top"/>
          </w:tcPr>
          <w:p>
            <w:pPr>
              <w:pStyle w:val="Style29"/>
              <w:keepNext w:val="0"/>
              <w:keepLines w:val="0"/>
              <w:widowControl w:val="0"/>
              <w:shd w:val="clear" w:color="auto" w:fill="auto"/>
              <w:bidi w:val="0"/>
              <w:spacing w:before="0" w:after="0" w:line="230" w:lineRule="exact"/>
              <w:ind w:left="160" w:right="0" w:hanging="16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 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SimSun" w:eastAsia="SimSun" w:hAnsi="SimSun" w:cs="SimSun"/>
                <w:color w:val="000000"/>
                <w:spacing w:val="0"/>
                <w:w w:val="100"/>
                <w:position w:val="0"/>
                <w:sz w:val="18"/>
                <w:szCs w:val="18"/>
              </w:rPr>
              <w:t>郑州棉纺路店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11,122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12,120</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无锡苏宁商管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无锡苏宁广场店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11,119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16,855</w:t>
            </w:r>
          </w:p>
        </w:tc>
      </w:tr>
      <w:tr>
        <w:trPr>
          <w:trHeight w:val="475" w:hRule="exact"/>
        </w:trPr>
        <w:tc>
          <w:tcPr>
            <w:tcBorders/>
            <w:shd w:val="clear" w:color="auto" w:fill="FFFFFF"/>
            <w:vAlign w:val="top"/>
          </w:tcPr>
          <w:p>
            <w:pPr>
              <w:pStyle w:val="Style29"/>
              <w:keepNext w:val="0"/>
              <w:keepLines w:val="0"/>
              <w:widowControl w:val="0"/>
              <w:shd w:val="clear" w:color="auto" w:fill="auto"/>
              <w:bidi w:val="0"/>
              <w:spacing w:before="0" w:after="0" w:line="230" w:lineRule="exact"/>
              <w:ind w:left="160" w:right="0" w:hanging="16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 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泰州西坝口二店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10,372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9,047</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26" w:lineRule="exact"/>
              <w:ind w:left="160" w:right="0" w:hanging="16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 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内江百货大楼店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10,346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11,225</w:t>
            </w:r>
          </w:p>
        </w:tc>
      </w:tr>
      <w:tr>
        <w:trPr>
          <w:trHeight w:val="475" w:hRule="exact"/>
        </w:trPr>
        <w:tc>
          <w:tcPr>
            <w:tcBorders/>
            <w:shd w:val="clear" w:color="auto" w:fill="FFFFFF"/>
            <w:vAlign w:val="bottom"/>
          </w:tcPr>
          <w:p>
            <w:pPr>
              <w:pStyle w:val="Style29"/>
              <w:keepNext w:val="0"/>
              <w:keepLines w:val="0"/>
              <w:widowControl w:val="0"/>
              <w:shd w:val="clear" w:color="auto" w:fill="auto"/>
              <w:bidi w:val="0"/>
              <w:spacing w:before="0" w:after="0" w:line="226" w:lineRule="exact"/>
              <w:ind w:left="160" w:right="0" w:hanging="16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 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马鞍山解放路店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9,197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7,992</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30" w:lineRule="exact"/>
              <w:ind w:left="160" w:right="0" w:hanging="16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 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嘉兴江南摩尔店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8,940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9,983</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30" w:lineRule="exact"/>
              <w:ind w:left="160" w:right="0" w:hanging="16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 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SimSun" w:eastAsia="SimSun" w:hAnsi="SimSun" w:cs="SimSun"/>
                <w:color w:val="000000"/>
                <w:spacing w:val="0"/>
                <w:w w:val="100"/>
                <w:position w:val="0"/>
                <w:sz w:val="18"/>
                <w:szCs w:val="18"/>
              </w:rPr>
              <w:t>常州南大街店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6,899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30,368</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成都鸿业置业有限公司及分支机构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SimSun" w:eastAsia="SimSun" w:hAnsi="SimSun" w:cs="SimSun"/>
                <w:color w:val="000000"/>
                <w:spacing w:val="0"/>
                <w:w w:val="100"/>
                <w:position w:val="0"/>
                <w:sz w:val="18"/>
                <w:szCs w:val="18"/>
              </w:rPr>
              <w:t>天府立交桥店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5,693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12,089</w:t>
            </w:r>
          </w:p>
        </w:tc>
      </w:tr>
      <w:tr>
        <w:trPr>
          <w:trHeight w:val="475" w:hRule="exact"/>
        </w:trPr>
        <w:tc>
          <w:tcPr>
            <w:tcBorders/>
            <w:shd w:val="clear" w:color="auto" w:fill="FFFFFF"/>
            <w:vAlign w:val="top"/>
          </w:tcPr>
          <w:p>
            <w:pPr>
              <w:pStyle w:val="Style29"/>
              <w:keepNext w:val="0"/>
              <w:keepLines w:val="0"/>
              <w:widowControl w:val="0"/>
              <w:shd w:val="clear" w:color="auto" w:fill="auto"/>
              <w:bidi w:val="0"/>
              <w:spacing w:before="0" w:after="0" w:line="230" w:lineRule="exact"/>
              <w:ind w:left="160" w:right="0" w:hanging="16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 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郴州国庆北路店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5,502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7,890</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北京京朝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北京八里庄生活广场电器店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4,862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14,433</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南京优荣</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SimSun" w:eastAsia="SimSun" w:hAnsi="SimSun" w:cs="SimSun"/>
                <w:color w:val="000000"/>
                <w:spacing w:val="0"/>
                <w:w w:val="100"/>
                <w:position w:val="0"/>
                <w:sz w:val="18"/>
                <w:szCs w:val="18"/>
              </w:rPr>
              <w:t>广州物流基地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4,649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62,208</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苏宁置业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新街口店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1,496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16,770</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重庆首恒</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SimSun" w:eastAsia="SimSun" w:hAnsi="SimSun" w:cs="SimSun"/>
                <w:color w:val="000000"/>
                <w:spacing w:val="0"/>
                <w:w w:val="100"/>
                <w:position w:val="0"/>
                <w:sz w:val="18"/>
                <w:szCs w:val="18"/>
              </w:rPr>
              <w:t>重庆物流基地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28,782</w:t>
            </w:r>
          </w:p>
        </w:tc>
      </w:tr>
      <w:tr>
        <w:trPr>
          <w:trHeight w:val="461" w:hRule="exact"/>
        </w:trPr>
        <w:tc>
          <w:tcPr>
            <w:tcBorders/>
            <w:shd w:val="clear" w:color="auto" w:fill="FFFFFF"/>
            <w:vAlign w:val="top"/>
          </w:tcPr>
          <w:p>
            <w:pPr>
              <w:pStyle w:val="Style29"/>
              <w:keepNext w:val="0"/>
              <w:keepLines w:val="0"/>
              <w:widowControl w:val="0"/>
              <w:shd w:val="clear" w:color="auto" w:fill="auto"/>
              <w:bidi w:val="0"/>
              <w:spacing w:before="0" w:after="0" w:line="226" w:lineRule="exact"/>
              <w:ind w:left="160" w:right="0" w:hanging="160"/>
              <w:jc w:val="both"/>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 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北京青塔西路店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9,007</w:t>
            </w:r>
          </w:p>
        </w:tc>
      </w:tr>
      <w:tr>
        <w:trPr>
          <w:trHeight w:val="28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160" w:right="0" w:hanging="160"/>
              <w:jc w:val="both"/>
              <w:rPr>
                <w:sz w:val="18"/>
                <w:szCs w:val="18"/>
              </w:rPr>
            </w:pPr>
            <w:r>
              <w:rPr>
                <w:rFonts w:ascii="SimSun" w:eastAsia="SimSun" w:hAnsi="SimSun" w:cs="SimSun"/>
                <w:color w:val="000000"/>
                <w:spacing w:val="0"/>
                <w:w w:val="100"/>
                <w:position w:val="0"/>
                <w:sz w:val="18"/>
                <w:szCs w:val="18"/>
              </w:rPr>
              <w:t>其他</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各类门店和办公区域_</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200,159</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133,831</w:t>
            </w:r>
          </w:p>
        </w:tc>
      </w:tr>
    </w:tbl>
    <w:p>
      <w:pPr>
        <w:pStyle w:val="Style26"/>
        <w:keepNext w:val="0"/>
        <w:keepLines w:val="0"/>
        <w:widowControl w:val="0"/>
        <w:shd w:val="clear" w:color="auto" w:fill="auto"/>
        <w:bidi w:val="0"/>
        <w:spacing w:before="0" w:after="0" w:line="240" w:lineRule="auto"/>
        <w:ind w:left="5554" w:right="0" w:firstLine="0"/>
        <w:jc w:val="left"/>
        <w:rPr>
          <w:sz w:val="18"/>
          <w:szCs w:val="18"/>
        </w:rPr>
        <w:sectPr>
          <w:footnotePr>
            <w:pos w:val="pageBottom"/>
            <w:numFmt w:val="decimal"/>
            <w:numStart w:val="1"/>
            <w:numRestart w:val="continuous"/>
            <w15:footnoteColumns w:val="1"/>
          </w:footnotePr>
          <w:pgSz w:w="11900" w:h="16840"/>
          <w:pgMar w:top="1633" w:right="1433" w:bottom="2819" w:left="1673" w:header="0" w:footer="3" w:gutter="0"/>
          <w:cols w:space="720"/>
          <w:noEndnote/>
          <w:rtlGutter w:val="0"/>
          <w:docGrid w:linePitch="360"/>
        </w:sectPr>
      </w:pPr>
      <w:r>
        <w:rPr>
          <w:rFonts w:ascii="Arial" w:eastAsia="Arial" w:hAnsi="Arial" w:cs="Arial"/>
          <w:color w:val="000000"/>
          <w:spacing w:val="0"/>
          <w:w w:val="100"/>
          <w:position w:val="0"/>
          <w:sz w:val="18"/>
          <w:szCs w:val="18"/>
          <w:u w:val="single"/>
        </w:rPr>
        <w:t>3,022,421</w:t>
      </w: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u w:val="single"/>
        </w:rPr>
        <w:t>2,612,511</w:t>
      </w:r>
    </w:p>
    <w:p>
      <w:pPr>
        <w:pStyle w:val="Style72"/>
        <w:keepNext w:val="0"/>
        <w:keepLines w:val="0"/>
        <w:widowControl w:val="0"/>
        <w:shd w:val="clear" w:color="auto" w:fill="auto"/>
        <w:tabs>
          <w:tab w:pos="712" w:val="left"/>
        </w:tabs>
        <w:bidi w:val="0"/>
        <w:spacing w:before="240" w:after="280" w:line="240" w:lineRule="auto"/>
        <w:ind w:left="0" w:right="0" w:firstLine="0"/>
        <w:jc w:val="left"/>
        <w:rPr>
          <w:sz w:val="28"/>
          <w:szCs w:val="28"/>
        </w:rPr>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12" w:val="left"/>
        </w:tabs>
        <w:bidi w:val="0"/>
        <w:spacing w:before="0" w:after="280" w:line="240" w:lineRule="auto"/>
        <w:ind w:left="0" w:right="0" w:firstLine="0"/>
        <w:jc w:val="left"/>
        <w:rPr>
          <w:sz w:val="28"/>
          <w:szCs w:val="28"/>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shd w:val="clear" w:color="auto" w:fill="auto"/>
        <w:tabs>
          <w:tab w:pos="712" w:val="left"/>
        </w:tabs>
        <w:bidi w:val="0"/>
        <w:spacing w:before="0" w:after="280" w:line="240" w:lineRule="auto"/>
        <w:ind w:left="0" w:right="0" w:firstLine="0"/>
        <w:jc w:val="left"/>
      </w:pPr>
      <w:r>
        <w:rPr>
          <w:color w:val="000000"/>
          <w:spacing w:val="0"/>
          <w:w w:val="100"/>
          <w:position w:val="0"/>
          <w:sz w:val="24"/>
          <w:szCs w:val="24"/>
        </w:rPr>
        <w:t>（k）</w:t>
        <w:tab/>
      </w:r>
      <w:r>
        <w:rPr>
          <w:rFonts w:ascii="SimSun" w:eastAsia="SimSun" w:hAnsi="SimSun" w:cs="SimSun"/>
          <w:color w:val="000000"/>
          <w:spacing w:val="0"/>
          <w:w w:val="100"/>
          <w:position w:val="0"/>
          <w:sz w:val="24"/>
          <w:szCs w:val="24"/>
        </w:rPr>
        <w:t>担保</w:t>
      </w:r>
    </w:p>
    <w:p>
      <w:pPr>
        <w:pStyle w:val="Style72"/>
        <w:keepNext w:val="0"/>
        <w:keepLines w:val="0"/>
        <w:widowControl w:val="0"/>
        <w:shd w:val="clear" w:color="auto" w:fill="auto"/>
        <w:bidi w:val="0"/>
        <w:spacing w:before="0" w:after="280" w:line="240" w:lineRule="auto"/>
        <w:ind w:left="0" w:right="0" w:firstLine="720"/>
        <w:jc w:val="left"/>
      </w:pPr>
      <w:r>
        <w:rPr>
          <w:color w:val="000000"/>
          <w:spacing w:val="0"/>
          <w:w w:val="100"/>
          <w:position w:val="0"/>
          <w:sz w:val="24"/>
          <w:szCs w:val="24"/>
        </w:rPr>
        <w:t>本集团作为担保方:</w:t>
      </w:r>
    </w:p>
    <w:tbl>
      <w:tblPr>
        <w:tblOverlap w:val="never"/>
        <w:jc w:val="right"/>
        <w:tblLayout w:type="fixed"/>
      </w:tblPr>
      <w:tblGrid>
        <w:gridCol w:w="2016"/>
        <w:gridCol w:w="2203"/>
        <w:gridCol w:w="1286"/>
        <w:gridCol w:w="1238"/>
        <w:gridCol w:w="1200"/>
      </w:tblGrid>
      <w:tr>
        <w:trPr>
          <w:trHeight w:val="58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被担保方</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担保金额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担保起始日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担保到期日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担保是否已经</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履行完毕</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星图金服</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1,146,929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2019/1/9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2022/1/5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否</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星图金服</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rFonts w:ascii="Arial" w:eastAsia="Arial" w:hAnsi="Arial" w:cs="Arial"/>
                <w:color w:val="000000"/>
                <w:spacing w:val="0"/>
                <w:w w:val="100"/>
                <w:position w:val="0"/>
                <w:sz w:val="18"/>
                <w:szCs w:val="18"/>
              </w:rPr>
              <w:t>159,751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2019/2/21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2022/1/5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否</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星图金服</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rFonts w:ascii="Arial" w:eastAsia="Arial" w:hAnsi="Arial" w:cs="Arial"/>
                <w:color w:val="000000"/>
                <w:spacing w:val="0"/>
                <w:w w:val="100"/>
                <w:position w:val="0"/>
                <w:sz w:val="18"/>
                <w:szCs w:val="18"/>
              </w:rPr>
              <w:t>550,000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2019/6/28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2021/6/28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是</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星图金服</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rFonts w:ascii="Arial" w:eastAsia="Arial" w:hAnsi="Arial" w:cs="Arial"/>
                <w:color w:val="000000"/>
                <w:spacing w:val="0"/>
                <w:w w:val="100"/>
                <w:position w:val="0"/>
                <w:sz w:val="18"/>
                <w:szCs w:val="18"/>
              </w:rPr>
              <w:t>184,328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2019/9/27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2022/9/23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否</w:t>
            </w:r>
          </w:p>
        </w:tc>
      </w:tr>
    </w:tbl>
    <w:p>
      <w:pPr>
        <w:pStyle w:val="Style26"/>
        <w:keepNext w:val="0"/>
        <w:keepLines w:val="0"/>
        <w:widowControl w:val="0"/>
        <w:shd w:val="clear" w:color="auto" w:fill="auto"/>
        <w:bidi w:val="0"/>
        <w:spacing w:before="0" w:after="0" w:line="240" w:lineRule="auto"/>
        <w:ind w:left="3240" w:right="0" w:firstLine="0"/>
        <w:jc w:val="left"/>
        <w:rPr>
          <w:sz w:val="18"/>
          <w:szCs w:val="18"/>
        </w:rPr>
      </w:pPr>
      <w:r>
        <w:rPr>
          <w:rFonts w:ascii="Arial" w:eastAsia="Arial" w:hAnsi="Arial" w:cs="Arial"/>
          <w:color w:val="000000"/>
          <w:spacing w:val="0"/>
          <w:w w:val="100"/>
          <w:position w:val="0"/>
          <w:sz w:val="18"/>
          <w:szCs w:val="18"/>
        </w:rPr>
        <w:t>2,041,008</w:t>
      </w:r>
    </w:p>
    <w:p>
      <w:pPr>
        <w:widowControl w:val="0"/>
        <w:spacing w:after="199" w:line="1" w:lineRule="exact"/>
      </w:pP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 xml:space="preserve">年度，本集团为星图金服向金融机构借款提供担保总额约人民币 </w:t>
      </w:r>
      <w:r>
        <w:rPr>
          <w:rFonts w:ascii="Arial" w:eastAsia="Arial" w:hAnsi="Arial" w:cs="Arial"/>
          <w:color w:val="000000"/>
          <w:spacing w:val="0"/>
          <w:w w:val="100"/>
          <w:position w:val="0"/>
          <w:sz w:val="24"/>
          <w:szCs w:val="24"/>
        </w:rPr>
        <w:t>20.41</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年度：本集团为星图金服向金融机构借款提供担保总额约 人民币</w:t>
      </w:r>
      <w:r>
        <w:rPr>
          <w:rFonts w:ascii="Arial" w:eastAsia="Arial" w:hAnsi="Arial" w:cs="Arial"/>
          <w:color w:val="000000"/>
          <w:spacing w:val="0"/>
          <w:w w:val="100"/>
          <w:position w:val="0"/>
          <w:sz w:val="24"/>
          <w:szCs w:val="24"/>
        </w:rPr>
        <w:t>32.31</w:t>
      </w:r>
      <w:r>
        <w:rPr>
          <w:color w:val="000000"/>
          <w:spacing w:val="0"/>
          <w:w w:val="100"/>
          <w:position w:val="0"/>
          <w:sz w:val="24"/>
          <w:szCs w:val="24"/>
        </w:rPr>
        <w:t>亿元，为苏宁商业保理有限公司</w:t>
      </w:r>
      <w:r>
        <w:rPr>
          <w:rFonts w:ascii="Arial" w:eastAsia="Arial" w:hAnsi="Arial" w:cs="Arial"/>
          <w:color w:val="000000"/>
          <w:spacing w:val="0"/>
          <w:w w:val="100"/>
          <w:position w:val="0"/>
          <w:sz w:val="24"/>
          <w:szCs w:val="24"/>
        </w:rPr>
        <w:t>（“</w:t>
      </w:r>
      <w:r>
        <w:rPr>
          <w:color w:val="000000"/>
          <w:spacing w:val="0"/>
          <w:w w:val="100"/>
          <w:position w:val="0"/>
          <w:sz w:val="24"/>
          <w:szCs w:val="24"/>
        </w:rPr>
        <w:t>苏宁保理</w:t>
      </w:r>
      <w:r>
        <w:rPr>
          <w:rFonts w:ascii="Arial" w:eastAsia="Arial" w:hAnsi="Arial" w:cs="Arial"/>
          <w:color w:val="000000"/>
          <w:spacing w:val="0"/>
          <w:w w:val="100"/>
          <w:position w:val="0"/>
          <w:sz w:val="24"/>
          <w:szCs w:val="24"/>
        </w:rPr>
        <w:t>”）</w:t>
      </w:r>
      <w:r>
        <w:rPr>
          <w:color w:val="000000"/>
          <w:spacing w:val="0"/>
          <w:w w:val="100"/>
          <w:position w:val="0"/>
          <w:sz w:val="24"/>
          <w:szCs w:val="24"/>
        </w:rPr>
        <w:t>向金融机构借款提 供担保总额约为人民币</w:t>
      </w:r>
      <w:r>
        <w:rPr>
          <w:rFonts w:ascii="Arial" w:eastAsia="Arial" w:hAnsi="Arial" w:cs="Arial"/>
          <w:color w:val="000000"/>
          <w:spacing w:val="0"/>
          <w:w w:val="100"/>
          <w:position w:val="0"/>
          <w:sz w:val="24"/>
          <w:szCs w:val="24"/>
        </w:rPr>
        <w:t>8.29</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80" w:line="317"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月，星图金服就上述借款向相应金融机构提出展期申请，若展 期获得批准，本集团为星图金服的提供的上述担保亦相应展期。</w:t>
      </w:r>
      <w:r>
        <w:br w:type="page"/>
      </w:r>
    </w:p>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20" w:line="240" w:lineRule="auto"/>
        <w:ind w:left="0" w:right="0" w:firstLine="72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z w:val="24"/>
          <w:szCs w:val="24"/>
        </w:rPr>
        <w:t>八 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92"/>
        <w:keepNext w:val="0"/>
        <w:keepLines w:val="0"/>
        <w:widowControl w:val="0"/>
        <w:shd w:val="clear" w:color="auto" w:fill="auto"/>
        <w:tabs>
          <w:tab w:pos="672" w:val="left"/>
        </w:tabs>
        <w:bidi w:val="0"/>
        <w:spacing w:before="0" w:after="240" w:line="240" w:lineRule="auto"/>
        <w:ind w:left="0" w:right="0" w:firstLine="0"/>
        <w:jc w:val="left"/>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color w:val="000000"/>
          <w:spacing w:val="0"/>
          <w:w w:val="100"/>
          <w:position w:val="0"/>
          <w:sz w:val="24"/>
          <w:szCs w:val="24"/>
        </w:rPr>
        <w:t>）</w:t>
      </w:r>
    </w:p>
    <w:p>
      <w:pPr>
        <w:pStyle w:val="Style92"/>
        <w:keepNext w:val="0"/>
        <w:keepLines w:val="0"/>
        <w:widowControl w:val="0"/>
        <w:shd w:val="clear" w:color="auto" w:fill="auto"/>
        <w:tabs>
          <w:tab w:pos="672" w:val="left"/>
        </w:tabs>
        <w:bidi w:val="0"/>
        <w:spacing w:before="0" w:after="280" w:line="240" w:lineRule="auto"/>
        <w:ind w:left="0" w:right="0" w:firstLine="0"/>
        <w:jc w:val="left"/>
        <w:rPr>
          <w:sz w:val="28"/>
          <w:szCs w:val="28"/>
        </w:rPr>
      </w:pPr>
      <w:r>
        <w:rPr>
          <w:color w:val="000000"/>
          <w:spacing w:val="0"/>
          <w:w w:val="100"/>
          <w:position w:val="0"/>
          <w:sz w:val="24"/>
          <w:szCs w:val="24"/>
        </w:rPr>
        <w:t>（k）</w:t>
        <w:tab/>
      </w:r>
      <w:r>
        <w:rPr>
          <w:rFonts w:ascii="SimSun" w:eastAsia="SimSun" w:hAnsi="SimSun" w:cs="SimSun"/>
          <w:color w:val="000000"/>
          <w:spacing w:val="0"/>
          <w:w w:val="100"/>
          <w:position w:val="0"/>
          <w:sz w:val="24"/>
          <w:szCs w:val="24"/>
        </w:rPr>
        <w:t>担保</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本公司为子公司提供担保:</w:t>
      </w:r>
    </w:p>
    <w:p>
      <w:pPr>
        <w:widowControl w:val="0"/>
        <w:spacing w:line="1" w:lineRule="exact"/>
      </w:pPr>
      <w:r>
        <mc:AlternateContent>
          <mc:Choice Requires="wps">
            <w:drawing>
              <wp:anchor distT="222885" distB="164465" distL="0" distR="0" simplePos="0" relativeHeight="125829454" behindDoc="0" locked="0" layoutInCell="1" allowOverlap="1">
                <wp:simplePos x="0" y="0"/>
                <wp:positionH relativeFrom="page">
                  <wp:posOffset>1507490</wp:posOffset>
                </wp:positionH>
                <wp:positionV relativeFrom="paragraph">
                  <wp:posOffset>222885</wp:posOffset>
                </wp:positionV>
                <wp:extent cx="1633855" cy="3371215"/>
                <wp:wrapTopAndBottom/>
                <wp:docPr id="102" name="Shape 102"/>
                <a:graphic xmlns:a="http://schemas.openxmlformats.org/drawingml/2006/main">
                  <a:graphicData uri="http://schemas.microsoft.com/office/word/2010/wordprocessingShape">
                    <wps:wsp>
                      <wps:cNvSpPr txBox="1"/>
                      <wps:spPr>
                        <a:xfrm>
                          <a:ext cx="1633855" cy="3371215"/>
                        </a:xfrm>
                        <a:prstGeom prst="rect"/>
                        <a:noFill/>
                      </wps:spPr>
                      <wps:txbx>
                        <w:txbxContent>
                          <w:p>
                            <w:pPr>
                              <w:pStyle w:val="Style55"/>
                              <w:keepNext w:val="0"/>
                              <w:keepLines w:val="0"/>
                              <w:widowControl w:val="0"/>
                              <w:shd w:val="clear" w:color="auto" w:fill="auto"/>
                              <w:bidi w:val="0"/>
                              <w:spacing w:before="0" w:after="240" w:line="240" w:lineRule="exact"/>
                              <w:ind w:left="0" w:right="0" w:firstLine="0"/>
                              <w:jc w:val="left"/>
                            </w:pPr>
                            <w:r>
                              <w:rPr>
                                <w:color w:val="000000"/>
                                <w:spacing w:val="0"/>
                                <w:w w:val="100"/>
                                <w:position w:val="0"/>
                              </w:rPr>
                              <w:t>被担保方</w:t>
                            </w:r>
                          </w:p>
                          <w:p>
                            <w:pPr>
                              <w:pStyle w:val="Style143"/>
                              <w:keepNext w:val="0"/>
                              <w:keepLines w:val="0"/>
                              <w:widowControl w:val="0"/>
                              <w:shd w:val="clear" w:color="auto" w:fill="auto"/>
                              <w:bidi w:val="0"/>
                              <w:spacing w:before="0" w:after="0" w:line="240" w:lineRule="auto"/>
                              <w:ind w:left="280" w:right="0" w:hanging="280"/>
                              <w:jc w:val="left"/>
                            </w:pPr>
                            <w:r>
                              <w:rPr>
                                <w:color w:val="000000"/>
                                <w:spacing w:val="0"/>
                                <w:w w:val="100"/>
                                <w:position w:val="0"/>
                              </w:rPr>
                              <w:t>Suning International Group Co., Limited</w:t>
                            </w:r>
                          </w:p>
                          <w:p>
                            <w:pPr>
                              <w:pStyle w:val="Style143"/>
                              <w:keepNext w:val="0"/>
                              <w:keepLines w:val="0"/>
                              <w:widowControl w:val="0"/>
                              <w:shd w:val="clear" w:color="auto" w:fill="auto"/>
                              <w:bidi w:val="0"/>
                              <w:spacing w:before="0" w:after="0" w:line="240" w:lineRule="auto"/>
                              <w:ind w:left="280" w:right="0" w:hanging="280"/>
                              <w:jc w:val="left"/>
                            </w:pPr>
                            <w:r>
                              <w:rPr>
                                <w:color w:val="000000"/>
                                <w:spacing w:val="0"/>
                                <w:w w:val="100"/>
                                <w:position w:val="0"/>
                              </w:rPr>
                              <w:t>Suning International Group Co., Limited</w:t>
                            </w:r>
                          </w:p>
                          <w:p>
                            <w:pPr>
                              <w:pStyle w:val="Style143"/>
                              <w:keepNext w:val="0"/>
                              <w:keepLines w:val="0"/>
                              <w:widowControl w:val="0"/>
                              <w:shd w:val="clear" w:color="auto" w:fill="auto"/>
                              <w:bidi w:val="0"/>
                              <w:spacing w:before="0" w:after="0" w:line="240" w:lineRule="auto"/>
                              <w:ind w:left="280" w:right="0" w:hanging="280"/>
                              <w:jc w:val="left"/>
                            </w:pPr>
                            <w:r>
                              <w:rPr>
                                <w:color w:val="000000"/>
                                <w:spacing w:val="0"/>
                                <w:w w:val="100"/>
                                <w:position w:val="0"/>
                              </w:rPr>
                              <w:t>Suning International Group Co., Limited</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南京苏宁百货有限公司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南京苏宁百货有限公司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香港苏宁采购有限公司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香港苏宁采购有限公司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香港苏宁采购有限公司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重庆家乐福商业有限公司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重庆家乐福商业有限公司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重庆家乐福商业有限公司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重庆家乐福商业有限公司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重庆家乐福商业有限公司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海口家乐福商业有限公司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海口家乐福商业有限公司</w:t>
                            </w:r>
                          </w:p>
                          <w:p>
                            <w:pPr>
                              <w:pStyle w:val="Style55"/>
                              <w:keepNext w:val="0"/>
                              <w:keepLines w:val="0"/>
                              <w:widowControl w:val="0"/>
                              <w:shd w:val="clear" w:color="auto" w:fill="auto"/>
                              <w:bidi w:val="0"/>
                              <w:spacing w:before="0" w:after="120" w:line="240" w:lineRule="exact"/>
                              <w:ind w:left="0" w:right="0" w:firstLine="0"/>
                              <w:jc w:val="left"/>
                            </w:pPr>
                            <w:r>
                              <w:rPr>
                                <w:color w:val="000000"/>
                                <w:spacing w:val="0"/>
                                <w:w w:val="100"/>
                                <w:position w:val="0"/>
                              </w:rPr>
                              <w:t>天津天宁苏宁易购商贸有限公司 广东苏宁易购销售有限公司 广东苏宁易购销售有限公司</w:t>
                            </w:r>
                          </w:p>
                        </w:txbxContent>
                      </wps:txbx>
                      <wps:bodyPr lIns="0" tIns="0" rIns="0" bIns="0">
                        <a:noAutoFit/>
                      </wps:bodyPr>
                    </wps:wsp>
                  </a:graphicData>
                </a:graphic>
              </wp:anchor>
            </w:drawing>
          </mc:Choice>
          <mc:Fallback>
            <w:pict>
              <v:shape id="_x0000_s1128" type="#_x0000_t202" style="position:absolute;margin-left:118.7pt;margin-top:17.550000000000001pt;width:128.65000000000001pt;height:265.44999999999999pt;z-index:-125829299;mso-wrap-distance-left:0;mso-wrap-distance-top:17.550000000000001pt;mso-wrap-distance-right:0;mso-wrap-distance-bottom:12.950000000000001pt;mso-position-horizontal-relative:page" filled="f" stroked="f">
                <v:textbox inset="0,0,0,0">
                  <w:txbxContent>
                    <w:p>
                      <w:pPr>
                        <w:pStyle w:val="Style55"/>
                        <w:keepNext w:val="0"/>
                        <w:keepLines w:val="0"/>
                        <w:widowControl w:val="0"/>
                        <w:shd w:val="clear" w:color="auto" w:fill="auto"/>
                        <w:bidi w:val="0"/>
                        <w:spacing w:before="0" w:after="240" w:line="240" w:lineRule="exact"/>
                        <w:ind w:left="0" w:right="0" w:firstLine="0"/>
                        <w:jc w:val="left"/>
                      </w:pPr>
                      <w:r>
                        <w:rPr>
                          <w:color w:val="000000"/>
                          <w:spacing w:val="0"/>
                          <w:w w:val="100"/>
                          <w:position w:val="0"/>
                        </w:rPr>
                        <w:t>被担保方</w:t>
                      </w:r>
                    </w:p>
                    <w:p>
                      <w:pPr>
                        <w:pStyle w:val="Style143"/>
                        <w:keepNext w:val="0"/>
                        <w:keepLines w:val="0"/>
                        <w:widowControl w:val="0"/>
                        <w:shd w:val="clear" w:color="auto" w:fill="auto"/>
                        <w:bidi w:val="0"/>
                        <w:spacing w:before="0" w:after="0" w:line="240" w:lineRule="auto"/>
                        <w:ind w:left="280" w:right="0" w:hanging="280"/>
                        <w:jc w:val="left"/>
                      </w:pPr>
                      <w:r>
                        <w:rPr>
                          <w:color w:val="000000"/>
                          <w:spacing w:val="0"/>
                          <w:w w:val="100"/>
                          <w:position w:val="0"/>
                        </w:rPr>
                        <w:t>Suning International Group Co., Limited</w:t>
                      </w:r>
                    </w:p>
                    <w:p>
                      <w:pPr>
                        <w:pStyle w:val="Style143"/>
                        <w:keepNext w:val="0"/>
                        <w:keepLines w:val="0"/>
                        <w:widowControl w:val="0"/>
                        <w:shd w:val="clear" w:color="auto" w:fill="auto"/>
                        <w:bidi w:val="0"/>
                        <w:spacing w:before="0" w:after="0" w:line="240" w:lineRule="auto"/>
                        <w:ind w:left="280" w:right="0" w:hanging="280"/>
                        <w:jc w:val="left"/>
                      </w:pPr>
                      <w:r>
                        <w:rPr>
                          <w:color w:val="000000"/>
                          <w:spacing w:val="0"/>
                          <w:w w:val="100"/>
                          <w:position w:val="0"/>
                        </w:rPr>
                        <w:t>Suning International Group Co., Limited</w:t>
                      </w:r>
                    </w:p>
                    <w:p>
                      <w:pPr>
                        <w:pStyle w:val="Style143"/>
                        <w:keepNext w:val="0"/>
                        <w:keepLines w:val="0"/>
                        <w:widowControl w:val="0"/>
                        <w:shd w:val="clear" w:color="auto" w:fill="auto"/>
                        <w:bidi w:val="0"/>
                        <w:spacing w:before="0" w:after="0" w:line="240" w:lineRule="auto"/>
                        <w:ind w:left="280" w:right="0" w:hanging="280"/>
                        <w:jc w:val="left"/>
                      </w:pPr>
                      <w:r>
                        <w:rPr>
                          <w:color w:val="000000"/>
                          <w:spacing w:val="0"/>
                          <w:w w:val="100"/>
                          <w:position w:val="0"/>
                        </w:rPr>
                        <w:t>Suning International Group Co., Limited</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南京苏宁百货有限公司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南京苏宁百货有限公司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香港苏宁采购有限公司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香港苏宁采购有限公司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香港苏宁采购有限公司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重庆家乐福商业有限公司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重庆家乐福商业有限公司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重庆家乐福商业有限公司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重庆家乐福商业有限公司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重庆家乐福商业有限公司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海口家乐福商业有限公司</w:t>
                      </w:r>
                    </w:p>
                    <w:p>
                      <w:pPr>
                        <w:pStyle w:val="Style55"/>
                        <w:keepNext w:val="0"/>
                        <w:keepLines w:val="0"/>
                        <w:widowControl w:val="0"/>
                        <w:shd w:val="clear" w:color="auto" w:fill="auto"/>
                        <w:bidi w:val="0"/>
                        <w:spacing w:before="0" w:after="0" w:line="240" w:lineRule="exact"/>
                        <w:ind w:left="0" w:right="0" w:firstLine="0"/>
                        <w:jc w:val="left"/>
                      </w:pPr>
                      <w:r>
                        <w:rPr>
                          <w:color w:val="000000"/>
                          <w:spacing w:val="0"/>
                          <w:w w:val="100"/>
                          <w:position w:val="0"/>
                        </w:rPr>
                        <w:t>海口家乐福商业有限公司</w:t>
                      </w:r>
                    </w:p>
                    <w:p>
                      <w:pPr>
                        <w:pStyle w:val="Style55"/>
                        <w:keepNext w:val="0"/>
                        <w:keepLines w:val="0"/>
                        <w:widowControl w:val="0"/>
                        <w:shd w:val="clear" w:color="auto" w:fill="auto"/>
                        <w:bidi w:val="0"/>
                        <w:spacing w:before="0" w:after="120" w:line="240" w:lineRule="exact"/>
                        <w:ind w:left="0" w:right="0" w:firstLine="0"/>
                        <w:jc w:val="left"/>
                      </w:pPr>
                      <w:r>
                        <w:rPr>
                          <w:color w:val="000000"/>
                          <w:spacing w:val="0"/>
                          <w:w w:val="100"/>
                          <w:position w:val="0"/>
                        </w:rPr>
                        <w:t>天津天宁苏宁易购商贸有限公司 广东苏宁易购销售有限公司 广东苏宁易购销售有限公司</w:t>
                      </w:r>
                    </w:p>
                  </w:txbxContent>
                </v:textbox>
                <w10:wrap type="topAndBottom" anchorx="page"/>
              </v:shape>
            </w:pict>
          </mc:Fallback>
        </mc:AlternateContent>
      </w:r>
      <w:r>
        <mc:AlternateContent>
          <mc:Choice Requires="wps">
            <w:drawing>
              <wp:anchor distT="238125" distB="161290" distL="0" distR="0" simplePos="0" relativeHeight="125829456" behindDoc="0" locked="0" layoutInCell="1" allowOverlap="1">
                <wp:simplePos x="0" y="0"/>
                <wp:positionH relativeFrom="page">
                  <wp:posOffset>3424555</wp:posOffset>
                </wp:positionH>
                <wp:positionV relativeFrom="paragraph">
                  <wp:posOffset>238125</wp:posOffset>
                </wp:positionV>
                <wp:extent cx="1508760" cy="3359150"/>
                <wp:wrapTopAndBottom/>
                <wp:docPr id="104" name="Shape 104"/>
                <a:graphic xmlns:a="http://schemas.openxmlformats.org/drawingml/2006/main">
                  <a:graphicData uri="http://schemas.microsoft.com/office/word/2010/wordprocessingShape">
                    <wps:wsp>
                      <wps:cNvSpPr txBox="1"/>
                      <wps:spPr>
                        <a:xfrm>
                          <a:ext cx="1508760" cy="3359150"/>
                        </a:xfrm>
                        <a:prstGeom prst="rect"/>
                        <a:noFill/>
                      </wps:spPr>
                      <wps:txbx>
                        <w:txbxContent>
                          <w:tbl>
                            <w:tblPr>
                              <w:tblOverlap w:val="never"/>
                              <w:jc w:val="left"/>
                              <w:tblLayout w:type="fixed"/>
                            </w:tblPr>
                            <w:tblGrid>
                              <w:gridCol w:w="1253"/>
                              <w:gridCol w:w="1123"/>
                            </w:tblGrid>
                            <w:tr>
                              <w:trPr>
                                <w:tblHeader/>
                                <w:trHeight w:val="45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担保起始日</w:t>
                                  </w:r>
                                </w:p>
                              </w:tc>
                            </w:tr>
                            <w:tr>
                              <w:trPr>
                                <w:trHeight w:val="53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892,598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20/09/2019</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255,028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21/10/2019</w:t>
                                  </w:r>
                                </w:p>
                              </w:tc>
                            </w:tr>
                            <w:tr>
                              <w:trPr>
                                <w:trHeight w:val="33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127,514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28/10/2019</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615,000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27/09/2019</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21/10/2019</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14,274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06/03/2020</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91,538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12/03/2020</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95,474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30/09/2020</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26,000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15/04/2020</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9,360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10/06/2020</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4,680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24/06/2020</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6,760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23/07/2020</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5,200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25/09/2020</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24,000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29/09/2021</w:t>
                                  </w:r>
                                </w:p>
                              </w:tc>
                            </w:tr>
                            <w:tr>
                              <w:trPr>
                                <w:trHeight w:val="2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24,000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29/10/2021</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19,998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12/10/2021</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473,622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19/11/2021</w:t>
                                  </w:r>
                                </w:p>
                              </w:tc>
                            </w:tr>
                            <w:tr>
                              <w:trPr>
                                <w:trHeight w:val="226"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476,378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17/11/2021</w:t>
                                  </w:r>
                                </w:p>
                              </w:tc>
                            </w:tr>
                          </w:tbl>
                          <w:p>
                            <w:pPr>
                              <w:widowControl w:val="0"/>
                              <w:spacing w:line="1" w:lineRule="exact"/>
                            </w:pPr>
                          </w:p>
                        </w:txbxContent>
                      </wps:txbx>
                      <wps:bodyPr lIns="0" tIns="0" rIns="0" bIns="0">
                        <a:noAutoFit/>
                      </wps:bodyPr>
                    </wps:wsp>
                  </a:graphicData>
                </a:graphic>
              </wp:anchor>
            </w:drawing>
          </mc:Choice>
          <mc:Fallback>
            <w:pict>
              <v:shape id="_x0000_s1130" type="#_x0000_t202" style="position:absolute;margin-left:269.64999999999998pt;margin-top:18.75pt;width:118.8pt;height:264.5pt;z-index:-125829297;mso-wrap-distance-left:0;mso-wrap-distance-top:18.75pt;mso-wrap-distance-right:0;mso-wrap-distance-bottom:12.700000000000001pt;mso-position-horizontal-relative:page" filled="f" stroked="f">
                <v:textbox inset="0,0,0,0">
                  <w:txbxContent>
                    <w:tbl>
                      <w:tblPr>
                        <w:tblOverlap w:val="never"/>
                        <w:jc w:val="left"/>
                        <w:tblLayout w:type="fixed"/>
                      </w:tblPr>
                      <w:tblGrid>
                        <w:gridCol w:w="1253"/>
                        <w:gridCol w:w="1123"/>
                      </w:tblGrid>
                      <w:tr>
                        <w:trPr>
                          <w:tblHeader/>
                          <w:trHeight w:val="45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担保起始日</w:t>
                            </w:r>
                          </w:p>
                        </w:tc>
                      </w:tr>
                      <w:tr>
                        <w:trPr>
                          <w:trHeight w:val="53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892,598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20/09/2019</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255,028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21/10/2019</w:t>
                            </w:r>
                          </w:p>
                        </w:tc>
                      </w:tr>
                      <w:tr>
                        <w:trPr>
                          <w:trHeight w:val="33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127,514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28/10/2019</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615,000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27/09/2019</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21/10/2019</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14,274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06/03/2020</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91,538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12/03/2020</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95,474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30/09/2020</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26,000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15/04/2020</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9,360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10/06/2020</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4,680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24/06/2020</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6,760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23/07/2020</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5,200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25/09/2020</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24,000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29/09/2021</w:t>
                            </w:r>
                          </w:p>
                        </w:tc>
                      </w:tr>
                      <w:tr>
                        <w:trPr>
                          <w:trHeight w:val="25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24,000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29/10/2021</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19,998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12/10/2021</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473,622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19/11/2021</w:t>
                            </w:r>
                          </w:p>
                        </w:tc>
                      </w:tr>
                      <w:tr>
                        <w:trPr>
                          <w:trHeight w:val="226"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476,378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17/11/2021</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3570605</wp:posOffset>
                </wp:positionH>
                <wp:positionV relativeFrom="paragraph">
                  <wp:posOffset>3615055</wp:posOffset>
                </wp:positionV>
                <wp:extent cx="533400" cy="143510"/>
                <wp:wrapNone/>
                <wp:docPr id="106" name="Shape 106"/>
                <a:graphic xmlns:a="http://schemas.openxmlformats.org/drawingml/2006/main">
                  <a:graphicData uri="http://schemas.microsoft.com/office/word/2010/wordprocessingShape">
                    <wps:wsp>
                      <wps:cNvSpPr txBox="1"/>
                      <wps:spPr>
                        <a:xfrm>
                          <a:ext cx="533400"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3,761,424</w:t>
                            </w:r>
                          </w:p>
                        </w:txbxContent>
                      </wps:txbx>
                      <wps:bodyPr lIns="0" tIns="0" rIns="0" bIns="0">
                        <a:noAutoFit/>
                      </wps:bodyPr>
                    </wps:wsp>
                  </a:graphicData>
                </a:graphic>
              </wp:anchor>
            </w:drawing>
          </mc:Choice>
          <mc:Fallback>
            <w:pict>
              <v:shape id="_x0000_s1132" type="#_x0000_t202" style="position:absolute;margin-left:281.15000000000003pt;margin-top:284.65000000000003pt;width:42.pt;height:11.300000000000001pt;z-index:251657729;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3,761,424</w:t>
                      </w:r>
                    </w:p>
                  </w:txbxContent>
                </v:textbox>
                <w10:wrap anchorx="page"/>
              </v:shape>
            </w:pict>
          </mc:Fallback>
        </mc:AlternateContent>
      </w:r>
      <w:r>
        <mc:AlternateContent>
          <mc:Choice Requires="wps">
            <w:drawing>
              <wp:anchor distT="88900" distB="3371215" distL="0" distR="0" simplePos="0" relativeHeight="125829458" behindDoc="0" locked="0" layoutInCell="1" allowOverlap="1">
                <wp:simplePos x="0" y="0"/>
                <wp:positionH relativeFrom="page">
                  <wp:posOffset>5165090</wp:posOffset>
                </wp:positionH>
                <wp:positionV relativeFrom="paragraph">
                  <wp:posOffset>88900</wp:posOffset>
                </wp:positionV>
                <wp:extent cx="1390015" cy="298450"/>
                <wp:wrapTopAndBottom/>
                <wp:docPr id="108" name="Shape 108"/>
                <a:graphic xmlns:a="http://schemas.openxmlformats.org/drawingml/2006/main">
                  <a:graphicData uri="http://schemas.microsoft.com/office/word/2010/wordprocessingShape">
                    <wps:wsp>
                      <wps:cNvSpPr txBox="1"/>
                      <wps:spPr>
                        <a:xfrm>
                          <a:ext cx="1390015" cy="2984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担保是否已经</w:t>
                            </w:r>
                          </w:p>
                          <w:p>
                            <w:pPr>
                              <w:pStyle w:val="Style55"/>
                              <w:keepNext w:val="0"/>
                              <w:keepLines w:val="0"/>
                              <w:widowControl w:val="0"/>
                              <w:shd w:val="clear" w:color="auto" w:fill="auto"/>
                              <w:tabs>
                                <w:tab w:pos="1421" w:val="left"/>
                              </w:tabs>
                              <w:bidi w:val="0"/>
                              <w:spacing w:before="0" w:after="0" w:line="240" w:lineRule="auto"/>
                              <w:ind w:left="0" w:right="0" w:firstLine="0"/>
                              <w:jc w:val="right"/>
                            </w:pPr>
                            <w:r>
                              <w:rPr>
                                <w:color w:val="000000"/>
                                <w:spacing w:val="0"/>
                                <w:w w:val="100"/>
                                <w:position w:val="0"/>
                              </w:rPr>
                              <w:t>担保到期日</w:t>
                              <w:tab/>
                              <w:t>履行完毕</w:t>
                            </w:r>
                          </w:p>
                        </w:txbxContent>
                      </wps:txbx>
                      <wps:bodyPr lIns="0" tIns="0" rIns="0" bIns="0">
                        <a:noAutoFit/>
                      </wps:bodyPr>
                    </wps:wsp>
                  </a:graphicData>
                </a:graphic>
              </wp:anchor>
            </w:drawing>
          </mc:Choice>
          <mc:Fallback>
            <w:pict>
              <v:shape id="_x0000_s1134" type="#_x0000_t202" style="position:absolute;margin-left:406.69999999999999pt;margin-top:7.pt;width:109.45pt;height:23.5pt;z-index:-125829295;mso-wrap-distance-left:0;mso-wrap-distance-top:7.pt;mso-wrap-distance-right:0;mso-wrap-distance-bottom:265.4499999999999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担保是否已经</w:t>
                      </w:r>
                    </w:p>
                    <w:p>
                      <w:pPr>
                        <w:pStyle w:val="Style55"/>
                        <w:keepNext w:val="0"/>
                        <w:keepLines w:val="0"/>
                        <w:widowControl w:val="0"/>
                        <w:shd w:val="clear" w:color="auto" w:fill="auto"/>
                        <w:tabs>
                          <w:tab w:pos="1421" w:val="left"/>
                        </w:tabs>
                        <w:bidi w:val="0"/>
                        <w:spacing w:before="0" w:after="0" w:line="240" w:lineRule="auto"/>
                        <w:ind w:left="0" w:right="0" w:firstLine="0"/>
                        <w:jc w:val="right"/>
                      </w:pPr>
                      <w:r>
                        <w:rPr>
                          <w:color w:val="000000"/>
                          <w:spacing w:val="0"/>
                          <w:w w:val="100"/>
                          <w:position w:val="0"/>
                        </w:rPr>
                        <w:t>担保到期日</w:t>
                        <w:tab/>
                        <w:t>履行完毕</w:t>
                      </w:r>
                    </w:p>
                  </w:txbxContent>
                </v:textbox>
                <w10:wrap type="topAndBottom" anchorx="page"/>
              </v:shape>
            </w:pict>
          </mc:Fallback>
        </mc:AlternateContent>
      </w:r>
      <w:r>
        <mc:AlternateContent>
          <mc:Choice Requires="wps">
            <w:drawing>
              <wp:anchor distT="652780" distB="155575" distL="0" distR="0" simplePos="0" relativeHeight="125829460" behindDoc="0" locked="0" layoutInCell="1" allowOverlap="1">
                <wp:simplePos x="0" y="0"/>
                <wp:positionH relativeFrom="page">
                  <wp:posOffset>5161915</wp:posOffset>
                </wp:positionH>
                <wp:positionV relativeFrom="paragraph">
                  <wp:posOffset>652780</wp:posOffset>
                </wp:positionV>
                <wp:extent cx="1124585" cy="2950210"/>
                <wp:wrapTopAndBottom/>
                <wp:docPr id="110" name="Shape 110"/>
                <a:graphic xmlns:a="http://schemas.openxmlformats.org/drawingml/2006/main">
                  <a:graphicData uri="http://schemas.microsoft.com/office/word/2010/wordprocessingShape">
                    <wps:wsp>
                      <wps:cNvSpPr txBox="1"/>
                      <wps:spPr>
                        <a:xfrm>
                          <a:ext cx="1124585" cy="2950210"/>
                        </a:xfrm>
                        <a:prstGeom prst="rect"/>
                        <a:noFill/>
                      </wps:spPr>
                      <wps:txbx>
                        <w:txbxContent>
                          <w:p>
                            <w:pPr>
                              <w:pStyle w:val="Style143"/>
                              <w:keepNext w:val="0"/>
                              <w:keepLines w:val="0"/>
                              <w:widowControl w:val="0"/>
                              <w:shd w:val="clear" w:color="auto" w:fill="auto"/>
                              <w:tabs>
                                <w:tab w:pos="1550" w:val="left"/>
                              </w:tabs>
                              <w:bidi w:val="0"/>
                              <w:spacing w:before="0" w:after="200" w:line="240" w:lineRule="auto"/>
                              <w:ind w:left="0" w:right="0" w:firstLine="0"/>
                              <w:jc w:val="left"/>
                            </w:pPr>
                            <w:r>
                              <w:rPr>
                                <w:color w:val="000000"/>
                                <w:spacing w:val="0"/>
                                <w:w w:val="100"/>
                                <w:position w:val="0"/>
                              </w:rPr>
                              <w:t>26/09/2022</w:t>
                              <w:tab/>
                            </w:r>
                            <w:r>
                              <w:rPr>
                                <w:rFonts w:ascii="SimSun" w:eastAsia="SimSun" w:hAnsi="SimSun" w:cs="SimSun"/>
                                <w:color w:val="000000"/>
                                <w:spacing w:val="0"/>
                                <w:w w:val="100"/>
                                <w:position w:val="0"/>
                              </w:rPr>
                              <w:t>否</w:t>
                            </w:r>
                          </w:p>
                          <w:p>
                            <w:pPr>
                              <w:pStyle w:val="Style143"/>
                              <w:keepNext w:val="0"/>
                              <w:keepLines w:val="0"/>
                              <w:widowControl w:val="0"/>
                              <w:shd w:val="clear" w:color="auto" w:fill="auto"/>
                              <w:bidi w:val="0"/>
                              <w:spacing w:before="0" w:after="200" w:line="240" w:lineRule="auto"/>
                              <w:ind w:left="0" w:right="0" w:firstLine="0"/>
                              <w:jc w:val="both"/>
                            </w:pPr>
                            <w:r>
                              <w:rPr>
                                <w:color w:val="000000"/>
                                <w:spacing w:val="0"/>
                                <w:w w:val="100"/>
                                <w:position w:val="0"/>
                              </w:rPr>
                              <w:t>26/09/2022</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26/09/2022</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26/09/2024</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26/09/2024</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17/06/2021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07/04/2021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07/09/2021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13/04/2021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13/04/2021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13/04/2021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13/04/2021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13/04/2021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29/09/2022</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29/10/2022</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12/04/2022</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18/05/2022</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16/05/2022</w:t>
                            </w:r>
                          </w:p>
                        </w:txbxContent>
                      </wps:txbx>
                      <wps:bodyPr lIns="0" tIns="0" rIns="0" bIns="0">
                        <a:noAutoFit/>
                      </wps:bodyPr>
                    </wps:wsp>
                  </a:graphicData>
                </a:graphic>
              </wp:anchor>
            </w:drawing>
          </mc:Choice>
          <mc:Fallback>
            <w:pict>
              <v:shape id="_x0000_s1136" type="#_x0000_t202" style="position:absolute;margin-left:406.44999999999999pt;margin-top:51.399999999999999pt;width:88.549999999999997pt;height:232.30000000000001pt;z-index:-125829293;mso-wrap-distance-left:0;mso-wrap-distance-top:51.399999999999999pt;mso-wrap-distance-right:0;mso-wrap-distance-bottom:12.25pt;mso-position-horizontal-relative:page" filled="f" stroked="f">
                <v:textbox inset="0,0,0,0">
                  <w:txbxContent>
                    <w:p>
                      <w:pPr>
                        <w:pStyle w:val="Style143"/>
                        <w:keepNext w:val="0"/>
                        <w:keepLines w:val="0"/>
                        <w:widowControl w:val="0"/>
                        <w:shd w:val="clear" w:color="auto" w:fill="auto"/>
                        <w:tabs>
                          <w:tab w:pos="1550" w:val="left"/>
                        </w:tabs>
                        <w:bidi w:val="0"/>
                        <w:spacing w:before="0" w:after="200" w:line="240" w:lineRule="auto"/>
                        <w:ind w:left="0" w:right="0" w:firstLine="0"/>
                        <w:jc w:val="left"/>
                      </w:pPr>
                      <w:r>
                        <w:rPr>
                          <w:color w:val="000000"/>
                          <w:spacing w:val="0"/>
                          <w:w w:val="100"/>
                          <w:position w:val="0"/>
                        </w:rPr>
                        <w:t>26/09/2022</w:t>
                        <w:tab/>
                      </w:r>
                      <w:r>
                        <w:rPr>
                          <w:rFonts w:ascii="SimSun" w:eastAsia="SimSun" w:hAnsi="SimSun" w:cs="SimSun"/>
                          <w:color w:val="000000"/>
                          <w:spacing w:val="0"/>
                          <w:w w:val="100"/>
                          <w:position w:val="0"/>
                        </w:rPr>
                        <w:t>否</w:t>
                      </w:r>
                    </w:p>
                    <w:p>
                      <w:pPr>
                        <w:pStyle w:val="Style143"/>
                        <w:keepNext w:val="0"/>
                        <w:keepLines w:val="0"/>
                        <w:widowControl w:val="0"/>
                        <w:shd w:val="clear" w:color="auto" w:fill="auto"/>
                        <w:bidi w:val="0"/>
                        <w:spacing w:before="0" w:after="200" w:line="240" w:lineRule="auto"/>
                        <w:ind w:left="0" w:right="0" w:firstLine="0"/>
                        <w:jc w:val="both"/>
                      </w:pPr>
                      <w:r>
                        <w:rPr>
                          <w:color w:val="000000"/>
                          <w:spacing w:val="0"/>
                          <w:w w:val="100"/>
                          <w:position w:val="0"/>
                        </w:rPr>
                        <w:t>26/09/2022</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26/09/2022</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26/09/2024</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26/09/2024</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17/06/2021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07/04/2021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07/09/2021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13/04/2021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13/04/2021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13/04/2021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13/04/2021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13/04/2021</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29/09/2022</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29/10/2022</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12/04/2022</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18/05/2022</w:t>
                      </w:r>
                    </w:p>
                    <w:p>
                      <w:pPr>
                        <w:pStyle w:val="Style143"/>
                        <w:keepNext w:val="0"/>
                        <w:keepLines w:val="0"/>
                        <w:widowControl w:val="0"/>
                        <w:shd w:val="clear" w:color="auto" w:fill="auto"/>
                        <w:bidi w:val="0"/>
                        <w:spacing w:before="0" w:after="0" w:line="240" w:lineRule="auto"/>
                        <w:ind w:left="0" w:right="0" w:firstLine="0"/>
                        <w:jc w:val="both"/>
                      </w:pPr>
                      <w:r>
                        <w:rPr>
                          <w:color w:val="000000"/>
                          <w:spacing w:val="0"/>
                          <w:w w:val="100"/>
                          <w:position w:val="0"/>
                        </w:rPr>
                        <w:t>16/05/2022</w:t>
                      </w:r>
                    </w:p>
                  </w:txbxContent>
                </v:textbox>
                <w10:wrap type="topAndBottom" anchorx="page"/>
              </v:shape>
            </w:pict>
          </mc:Fallback>
        </mc:AlternateContent>
      </w:r>
      <w:r>
        <mc:AlternateContent>
          <mc:Choice Requires="wps">
            <w:drawing>
              <wp:anchor distT="935990" distB="189230" distL="0" distR="0" simplePos="0" relativeHeight="125829462" behindDoc="0" locked="0" layoutInCell="1" allowOverlap="1">
                <wp:simplePos x="0" y="0"/>
                <wp:positionH relativeFrom="page">
                  <wp:posOffset>6164580</wp:posOffset>
                </wp:positionH>
                <wp:positionV relativeFrom="paragraph">
                  <wp:posOffset>935990</wp:posOffset>
                </wp:positionV>
                <wp:extent cx="100330" cy="2633345"/>
                <wp:wrapTopAndBottom/>
                <wp:docPr id="112" name="Shape 112"/>
                <a:graphic xmlns:a="http://schemas.openxmlformats.org/drawingml/2006/main">
                  <a:graphicData uri="http://schemas.microsoft.com/office/word/2010/wordprocessingShape">
                    <wps:wsp>
                      <wps:cNvSpPr txBox="1"/>
                      <wps:spPr>
                        <a:xfrm>
                          <a:ext cx="100330" cy="2633345"/>
                        </a:xfrm>
                        <a:prstGeom prst="rect"/>
                        <a:noFill/>
                      </wps:spPr>
                      <wps:txbx>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否否否否是是是是是是是是否否否否否</w:t>
                            </w:r>
                          </w:p>
                        </w:txbxContent>
                      </wps:txbx>
                      <wps:bodyPr upright="1" vert="eaVert" lIns="0" tIns="0" rIns="0" bIns="0">
                        <a:noAutoFit/>
                      </wps:bodyPr>
                    </wps:wsp>
                  </a:graphicData>
                </a:graphic>
              </wp:anchor>
            </w:drawing>
          </mc:Choice>
          <mc:Fallback>
            <w:pict>
              <v:shape id="_x0000_s1138" type="#_x0000_t202" style="position:absolute;margin-left:485.40000000000003pt;margin-top:73.700000000000003pt;width:7.9000000000000004pt;height:207.34999999999999pt;z-index:-125829291;mso-wrap-distance-left:0;mso-wrap-distance-top:73.700000000000003pt;mso-wrap-distance-right:0;mso-wrap-distance-bottom:14.9pt;mso-position-horizontal-relative:page" filled="f" stroked="f">
                <v:textbox style="layout-flow:vertical-ideographic" inset="0,0,0,0">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否否否否是是是是是是是是否否否否否</w:t>
                      </w:r>
                    </w:p>
                  </w:txbxContent>
                </v:textbox>
                <w10:wrap type="topAndBottom" anchorx="page"/>
              </v:shape>
            </w:pict>
          </mc:Fallback>
        </mc:AlternateContent>
      </w:r>
    </w:p>
    <w:p>
      <w:pPr>
        <w:pStyle w:val="Style72"/>
        <w:keepNext w:val="0"/>
        <w:keepLines w:val="0"/>
        <w:widowControl w:val="0"/>
        <w:shd w:val="clear" w:color="auto" w:fill="auto"/>
        <w:bidi w:val="0"/>
        <w:spacing w:before="0" w:after="0" w:line="317"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年度，本公司为子公司提供担保总额约人民币</w:t>
      </w:r>
      <w:r>
        <w:rPr>
          <w:rFonts w:ascii="Arial" w:eastAsia="Arial" w:hAnsi="Arial" w:cs="Arial"/>
          <w:color w:val="000000"/>
          <w:spacing w:val="0"/>
          <w:w w:val="100"/>
          <w:position w:val="0"/>
          <w:sz w:val="24"/>
          <w:szCs w:val="24"/>
        </w:rPr>
        <w:t>37.61</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年度: 本公司为子公司提供担保总额约人民币</w:t>
      </w:r>
      <w:r>
        <w:rPr>
          <w:rFonts w:ascii="Arial" w:eastAsia="Arial" w:hAnsi="Arial" w:cs="Arial"/>
          <w:color w:val="000000"/>
          <w:spacing w:val="0"/>
          <w:w w:val="100"/>
          <w:position w:val="0"/>
          <w:sz w:val="24"/>
          <w:szCs w:val="24"/>
        </w:rPr>
        <w:t>94.02</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r>
        <w:br w:type="page"/>
      </w:r>
    </w:p>
    <w:p>
      <w:pPr>
        <w:pStyle w:val="Style26"/>
        <w:keepNext w:val="0"/>
        <w:keepLines w:val="0"/>
        <w:widowControl w:val="0"/>
        <w:shd w:val="clear" w:color="auto" w:fill="auto"/>
        <w:bidi w:val="0"/>
        <w:spacing w:before="0" w:after="60" w:line="240" w:lineRule="auto"/>
        <w:ind w:left="715" w:right="0" w:firstLine="0"/>
        <w:jc w:val="left"/>
        <w:rPr>
          <w:sz w:val="24"/>
          <w:szCs w:val="24"/>
        </w:rPr>
      </w:pPr>
      <w:r>
        <w:rPr>
          <w:b/>
          <w:bCs/>
          <w:color w:val="000000"/>
          <w:spacing w:val="0"/>
          <w:w w:val="100"/>
          <w:position w:val="0"/>
          <w:sz w:val="24"/>
          <w:szCs w:val="24"/>
        </w:rPr>
        <w:t>财务报表附注</w:t>
      </w:r>
    </w:p>
    <w:p>
      <w:pPr>
        <w:pStyle w:val="Style26"/>
        <w:keepNext w:val="0"/>
        <w:keepLines w:val="0"/>
        <w:widowControl w:val="0"/>
        <w:shd w:val="clear" w:color="auto" w:fill="auto"/>
        <w:bidi w:val="0"/>
        <w:spacing w:before="0" w:after="60" w:line="240" w:lineRule="auto"/>
        <w:ind w:left="715" w:right="0" w:firstLine="0"/>
        <w:jc w:val="left"/>
        <w:rPr>
          <w:sz w:val="24"/>
          <w:szCs w:val="24"/>
        </w:rPr>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w:t>
      </w:r>
    </w:p>
    <w:p>
      <w:pPr>
        <w:pStyle w:val="Style26"/>
        <w:keepNext w:val="0"/>
        <w:keepLines w:val="0"/>
        <w:widowControl w:val="0"/>
        <w:shd w:val="clear" w:color="auto" w:fill="auto"/>
        <w:bidi w:val="0"/>
        <w:spacing w:before="0" w:after="60" w:line="240" w:lineRule="auto"/>
        <w:ind w:left="715" w:right="0" w:firstLine="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rFonts w:ascii="Arial" w:eastAsia="Arial" w:hAnsi="Arial" w:cs="Arial"/>
          <w:color w:val="000000"/>
          <w:spacing w:val="0"/>
          <w:w w:val="100"/>
          <w:position w:val="0"/>
          <w:sz w:val="18"/>
          <w:szCs w:val="18"/>
        </w:rPr>
        <w:t>）</w:t>
      </w:r>
    </w:p>
    <w:tbl>
      <w:tblPr>
        <w:tblOverlap w:val="never"/>
        <w:jc w:val="center"/>
        <w:tblLayout w:type="fixed"/>
      </w:tblPr>
      <w:tblGrid>
        <w:gridCol w:w="547"/>
        <w:gridCol w:w="3902"/>
        <w:gridCol w:w="2390"/>
        <w:gridCol w:w="1949"/>
      </w:tblGrid>
      <w:tr>
        <w:trPr>
          <w:trHeight w:val="44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八</w:t>
            </w: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8"/>
                <w:szCs w:val="28"/>
              </w:rPr>
            </w:pPr>
            <w:r>
              <w:rPr>
                <w:rFonts w:ascii="SimSun" w:eastAsia="SimSun" w:hAnsi="SimSun" w:cs="SimSun"/>
                <w:b/>
                <w:bCs/>
                <w:color w:val="000000"/>
                <w:spacing w:val="0"/>
                <w:w w:val="100"/>
                <w:position w:val="0"/>
                <w:sz w:val="24"/>
                <w:szCs w:val="24"/>
              </w:rPr>
              <w:t>关联方关系及其交易</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r>
      <w:tr>
        <w:trPr>
          <w:trHeight w:val="59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SimSun" w:eastAsia="SimSun" w:hAnsi="SimSun" w:cs="SimSun"/>
                <w:b/>
                <w:bCs/>
                <w:color w:val="000000"/>
                <w:spacing w:val="0"/>
                <w:w w:val="100"/>
                <w:position w:val="0"/>
                <w:sz w:val="24"/>
                <w:szCs w:val="24"/>
              </w:rPr>
              <w:t>关联交易</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Arial" w:eastAsia="Arial" w:hAnsi="Arial" w:cs="Arial"/>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62"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28"/>
                <w:szCs w:val="28"/>
              </w:rPr>
            </w:pPr>
            <w:r>
              <w:rPr>
                <w:rFonts w:ascii="SimSun" w:eastAsia="SimSun" w:hAnsi="SimSun" w:cs="SimSun"/>
                <w:color w:val="000000"/>
                <w:spacing w:val="0"/>
                <w:w w:val="100"/>
                <w:position w:val="0"/>
                <w:sz w:val="28"/>
                <w:szCs w:val="28"/>
              </w:rPr>
              <w:t>⑴</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180"/>
              <w:jc w:val="left"/>
              <w:rPr>
                <w:sz w:val="24"/>
                <w:szCs w:val="24"/>
              </w:rPr>
            </w:pPr>
            <w:r>
              <w:rPr>
                <w:rFonts w:ascii="SimSun" w:eastAsia="SimSun" w:hAnsi="SimSun" w:cs="SimSun"/>
                <w:color w:val="000000"/>
                <w:spacing w:val="0"/>
                <w:w w:val="100"/>
                <w:position w:val="0"/>
                <w:sz w:val="24"/>
                <w:szCs w:val="24"/>
              </w:rPr>
              <w:t>利息收入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SimSun" w:eastAsia="SimSun" w:hAnsi="SimSun" w:cs="SimSun"/>
                <w:color w:val="000000"/>
                <w:spacing w:val="0"/>
                <w:w w:val="100"/>
                <w:position w:val="0"/>
                <w:sz w:val="24"/>
                <w:szCs w:val="24"/>
              </w:rPr>
              <w:t>苏宁银行</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502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11,444</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SimSun" w:eastAsia="SimSun" w:hAnsi="SimSun" w:cs="SimSun"/>
                <w:color w:val="000000"/>
                <w:spacing w:val="0"/>
                <w:w w:val="100"/>
                <w:position w:val="0"/>
                <w:sz w:val="24"/>
                <w:szCs w:val="24"/>
              </w:rPr>
              <w:t>消费金融</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15,070</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502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26,514</w:t>
            </w:r>
          </w:p>
        </w:tc>
      </w:tr>
      <w:tr>
        <w:trPr>
          <w:trHeight w:val="1334" w:hRule="exact"/>
        </w:trPr>
        <w:tc>
          <w:tcPr>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0"/>
              <w:jc w:val="left"/>
              <w:rPr>
                <w:sz w:val="24"/>
                <w:szCs w:val="24"/>
              </w:rPr>
            </w:pPr>
            <w:r>
              <w:rPr>
                <w:rFonts w:ascii="Arial" w:eastAsia="Arial" w:hAnsi="Arial" w:cs="Arial"/>
                <w:color w:val="000000"/>
                <w:spacing w:val="0"/>
                <w:w w:val="100"/>
                <w:position w:val="0"/>
                <w:sz w:val="24"/>
                <w:szCs w:val="24"/>
              </w:rPr>
              <w:t>(m)</w:t>
            </w:r>
          </w:p>
        </w:tc>
        <w:tc>
          <w:tcPr>
            <w:tcBorders>
              <w:top w:val="single" w:sz="4"/>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180"/>
              <w:jc w:val="left"/>
              <w:rPr>
                <w:sz w:val="24"/>
                <w:szCs w:val="24"/>
              </w:rPr>
            </w:pPr>
            <w:r>
              <w:rPr>
                <w:rFonts w:ascii="SimSun" w:eastAsia="SimSun" w:hAnsi="SimSun" w:cs="SimSun"/>
                <w:color w:val="000000"/>
                <w:spacing w:val="0"/>
                <w:w w:val="100"/>
                <w:position w:val="0"/>
                <w:sz w:val="24"/>
                <w:szCs w:val="24"/>
              </w:rPr>
              <w:t>接受项目管理服务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75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SimSun" w:eastAsia="SimSun" w:hAnsi="SimSun" w:cs="SimSun"/>
                <w:color w:val="000000"/>
                <w:spacing w:val="0"/>
                <w:w w:val="100"/>
                <w:position w:val="0"/>
                <w:sz w:val="24"/>
                <w:szCs w:val="24"/>
              </w:rPr>
              <w:t>苏宁置业</w:t>
            </w:r>
          </w:p>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SimSun" w:eastAsia="SimSun" w:hAnsi="SimSun" w:cs="SimSun"/>
                <w:color w:val="000000"/>
                <w:spacing w:val="0"/>
                <w:w w:val="100"/>
                <w:position w:val="0"/>
                <w:sz w:val="24"/>
                <w:szCs w:val="24"/>
              </w:rPr>
              <w:t>苏宁置业集团旗下</w:t>
            </w:r>
            <w:r>
              <w:rPr>
                <w:rFonts w:ascii="Arial" w:eastAsia="Arial" w:hAnsi="Arial" w:cs="Arial"/>
                <w:color w:val="000000"/>
                <w:spacing w:val="0"/>
                <w:w w:val="100"/>
                <w:position w:val="0"/>
                <w:sz w:val="24"/>
                <w:szCs w:val="24"/>
              </w:rPr>
              <w:t>43</w:t>
            </w:r>
            <w:r>
              <w:rPr>
                <w:rFonts w:ascii="SimSun" w:eastAsia="SimSun" w:hAnsi="SimSun" w:cs="SimSun"/>
                <w:color w:val="000000"/>
                <w:spacing w:val="0"/>
                <w:w w:val="100"/>
                <w:position w:val="0"/>
                <w:sz w:val="24"/>
                <w:szCs w:val="24"/>
              </w:rPr>
              <w:t>家置业、</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18,096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16,152</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SimSun" w:eastAsia="SimSun" w:hAnsi="SimSun" w:cs="SimSun"/>
                <w:color w:val="000000"/>
                <w:spacing w:val="0"/>
                <w:w w:val="100"/>
                <w:position w:val="0"/>
                <w:sz w:val="24"/>
                <w:szCs w:val="24"/>
              </w:rPr>
              <w:t>建材公司及分支机构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6,583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24"/>
                <w:szCs w:val="24"/>
              </w:rPr>
            </w:pPr>
            <w:r>
              <w:rPr>
                <w:rFonts w:ascii="Arial" w:eastAsia="Arial" w:hAnsi="Arial" w:cs="Arial"/>
                <w:color w:val="000000"/>
                <w:spacing w:val="0"/>
                <w:w w:val="100"/>
                <w:position w:val="0"/>
                <w:sz w:val="24"/>
                <w:szCs w:val="24"/>
              </w:rPr>
              <w:t>24,679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16,152</w:t>
            </w:r>
          </w:p>
        </w:tc>
      </w:tr>
      <w:tr>
        <w:trPr>
          <w:trHeight w:val="1330" w:hRule="exact"/>
        </w:trPr>
        <w:tc>
          <w:tcPr>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0"/>
              <w:jc w:val="both"/>
              <w:rPr>
                <w:sz w:val="24"/>
                <w:szCs w:val="24"/>
              </w:rPr>
            </w:pPr>
            <w:r>
              <w:rPr>
                <w:rFonts w:ascii="Arial" w:eastAsia="Arial" w:hAnsi="Arial" w:cs="Arial"/>
                <w:color w:val="000000"/>
                <w:spacing w:val="0"/>
                <w:w w:val="100"/>
                <w:position w:val="0"/>
                <w:sz w:val="24"/>
                <w:szCs w:val="24"/>
              </w:rPr>
              <w:t>(n)</w:t>
            </w:r>
          </w:p>
        </w:tc>
        <w:tc>
          <w:tcPr>
            <w:tcBorders>
              <w:top w:val="single" w:sz="4"/>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180"/>
              <w:jc w:val="left"/>
              <w:rPr>
                <w:sz w:val="24"/>
                <w:szCs w:val="24"/>
              </w:rPr>
            </w:pPr>
            <w:r>
              <w:rPr>
                <w:rFonts w:ascii="SimSun" w:eastAsia="SimSun" w:hAnsi="SimSun" w:cs="SimSun"/>
                <w:color w:val="000000"/>
                <w:spacing w:val="0"/>
                <w:w w:val="100"/>
                <w:position w:val="0"/>
                <w:sz w:val="24"/>
                <w:szCs w:val="24"/>
              </w:rPr>
              <w:t>接受物业服务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7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SimSun" w:eastAsia="SimSun" w:hAnsi="SimSun" w:cs="SimSun"/>
                <w:color w:val="000000"/>
                <w:spacing w:val="0"/>
                <w:w w:val="100"/>
                <w:position w:val="0"/>
                <w:sz w:val="24"/>
                <w:szCs w:val="24"/>
              </w:rPr>
              <w:t>万达商管</w:t>
            </w:r>
          </w:p>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SimSun" w:eastAsia="SimSun" w:hAnsi="SimSun" w:cs="SimSun"/>
                <w:color w:val="000000"/>
                <w:spacing w:val="0"/>
                <w:w w:val="100"/>
                <w:position w:val="0"/>
                <w:sz w:val="24"/>
                <w:szCs w:val="24"/>
              </w:rPr>
              <w:t>苏宁置业集团旗下</w:t>
            </w:r>
            <w:r>
              <w:rPr>
                <w:rFonts w:ascii="Arial" w:eastAsia="Arial" w:hAnsi="Arial" w:cs="Arial"/>
                <w:color w:val="000000"/>
                <w:spacing w:val="0"/>
                <w:w w:val="100"/>
                <w:position w:val="0"/>
                <w:sz w:val="24"/>
                <w:szCs w:val="24"/>
              </w:rPr>
              <w:t>65</w:t>
            </w:r>
            <w:r>
              <w:rPr>
                <w:rFonts w:ascii="SimSun" w:eastAsia="SimSun" w:hAnsi="SimSun" w:cs="SimSun"/>
                <w:color w:val="000000"/>
                <w:spacing w:val="0"/>
                <w:w w:val="100"/>
                <w:position w:val="0"/>
                <w:sz w:val="24"/>
                <w:szCs w:val="24"/>
              </w:rPr>
              <w:t>家银河</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24"/>
                <w:szCs w:val="24"/>
              </w:rPr>
            </w:pPr>
            <w:r>
              <w:rPr>
                <w:rFonts w:ascii="Arial" w:eastAsia="Arial" w:hAnsi="Arial" w:cs="Arial"/>
                <w:color w:val="000000"/>
                <w:spacing w:val="0"/>
                <w:w w:val="100"/>
                <w:position w:val="0"/>
                <w:sz w:val="24"/>
                <w:szCs w:val="24"/>
              </w:rPr>
              <w:t>437,522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rFonts w:ascii="SimSun" w:eastAsia="SimSun" w:hAnsi="SimSun" w:cs="SimSun"/>
                <w:color w:val="000000"/>
                <w:spacing w:val="0"/>
                <w:w w:val="100"/>
                <w:position w:val="0"/>
                <w:sz w:val="24"/>
                <w:szCs w:val="24"/>
              </w:rPr>
              <w:t>物业公司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24"/>
                <w:szCs w:val="24"/>
              </w:rPr>
            </w:pPr>
            <w:r>
              <w:rPr>
                <w:rFonts w:ascii="Arial" w:eastAsia="Arial" w:hAnsi="Arial" w:cs="Arial"/>
                <w:color w:val="000000"/>
                <w:spacing w:val="0"/>
                <w:w w:val="100"/>
                <w:position w:val="0"/>
                <w:sz w:val="24"/>
                <w:szCs w:val="24"/>
              </w:rPr>
              <w:t>350,836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276,033</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24"/>
                <w:szCs w:val="24"/>
              </w:rPr>
            </w:pPr>
            <w:r>
              <w:rPr>
                <w:rFonts w:ascii="Arial" w:eastAsia="Arial" w:hAnsi="Arial" w:cs="Arial"/>
                <w:color w:val="000000"/>
                <w:spacing w:val="0"/>
                <w:w w:val="100"/>
                <w:position w:val="0"/>
                <w:sz w:val="24"/>
                <w:szCs w:val="24"/>
              </w:rPr>
              <w:t>788,358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276,033</w:t>
            </w:r>
          </w:p>
        </w:tc>
      </w:tr>
      <w:tr>
        <w:trPr>
          <w:trHeight w:val="1330" w:hRule="exact"/>
        </w:trPr>
        <w:tc>
          <w:tcPr>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0"/>
              <w:jc w:val="both"/>
              <w:rPr>
                <w:sz w:val="24"/>
                <w:szCs w:val="24"/>
              </w:rPr>
            </w:pPr>
            <w:r>
              <w:rPr>
                <w:rFonts w:ascii="Arial" w:eastAsia="Arial" w:hAnsi="Arial" w:cs="Arial"/>
                <w:color w:val="000000"/>
                <w:spacing w:val="0"/>
                <w:w w:val="100"/>
                <w:position w:val="0"/>
                <w:sz w:val="24"/>
                <w:szCs w:val="24"/>
              </w:rPr>
              <w:t>(o)</w:t>
            </w:r>
          </w:p>
        </w:tc>
        <w:tc>
          <w:tcPr>
            <w:tcBorders>
              <w:top w:val="single" w:sz="4"/>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180"/>
              <w:jc w:val="left"/>
              <w:rPr>
                <w:sz w:val="24"/>
                <w:szCs w:val="24"/>
              </w:rPr>
            </w:pPr>
            <w:r>
              <w:rPr>
                <w:rFonts w:ascii="SimSun" w:eastAsia="SimSun" w:hAnsi="SimSun" w:cs="SimSun"/>
                <w:color w:val="000000"/>
                <w:spacing w:val="0"/>
                <w:w w:val="100"/>
                <w:position w:val="0"/>
                <w:sz w:val="24"/>
                <w:szCs w:val="24"/>
              </w:rPr>
              <w:t>接受代售自建店配套物业服务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SimSun" w:eastAsia="SimSun" w:hAnsi="SimSun" w:cs="SimSun"/>
                <w:color w:val="000000"/>
                <w:spacing w:val="0"/>
                <w:w w:val="100"/>
                <w:position w:val="0"/>
                <w:sz w:val="24"/>
                <w:szCs w:val="24"/>
              </w:rPr>
              <w:t>苏宁置业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70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816</w:t>
            </w:r>
          </w:p>
        </w:tc>
      </w:tr>
      <w:tr>
        <w:trPr>
          <w:trHeight w:val="1325" w:hRule="exact"/>
        </w:trPr>
        <w:tc>
          <w:tcPr>
            <w:tcBorders/>
            <w:shd w:val="clear" w:color="auto" w:fill="FFFFFF"/>
            <w:vAlign w:val="top"/>
          </w:tcPr>
          <w:p>
            <w:pPr>
              <w:pStyle w:val="Style29"/>
              <w:keepNext w:val="0"/>
              <w:keepLines w:val="0"/>
              <w:widowControl w:val="0"/>
              <w:shd w:val="clear" w:color="auto" w:fill="auto"/>
              <w:bidi w:val="0"/>
              <w:spacing w:before="320" w:after="0" w:line="240" w:lineRule="auto"/>
              <w:ind w:left="0" w:right="0" w:firstLine="0"/>
              <w:jc w:val="left"/>
              <w:rPr>
                <w:sz w:val="24"/>
                <w:szCs w:val="24"/>
              </w:rPr>
            </w:pPr>
            <w:r>
              <w:rPr>
                <w:rFonts w:ascii="Arial" w:eastAsia="Arial" w:hAnsi="Arial" w:cs="Arial"/>
                <w:color w:val="000000"/>
                <w:spacing w:val="0"/>
                <w:w w:val="100"/>
                <w:position w:val="0"/>
                <w:sz w:val="24"/>
                <w:szCs w:val="24"/>
              </w:rPr>
              <w:t>(p)</w:t>
            </w:r>
          </w:p>
        </w:tc>
        <w:tc>
          <w:tcPr>
            <w:tcBorders>
              <w:top w:val="single" w:sz="4"/>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180"/>
              <w:jc w:val="left"/>
              <w:rPr>
                <w:sz w:val="24"/>
                <w:szCs w:val="24"/>
              </w:rPr>
            </w:pPr>
            <w:r>
              <w:rPr>
                <w:rFonts w:ascii="SimSun" w:eastAsia="SimSun" w:hAnsi="SimSun" w:cs="SimSun"/>
                <w:color w:val="000000"/>
                <w:spacing w:val="0"/>
                <w:w w:val="100"/>
                <w:position w:val="0"/>
                <w:sz w:val="24"/>
                <w:szCs w:val="24"/>
              </w:rPr>
              <w:t>采购延保服务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85"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SimSun" w:eastAsia="SimSun" w:hAnsi="SimSun" w:cs="SimSun"/>
                <w:color w:val="000000"/>
                <w:spacing w:val="0"/>
                <w:w w:val="100"/>
                <w:position w:val="0"/>
                <w:sz w:val="24"/>
                <w:szCs w:val="24"/>
              </w:rPr>
              <w:t>星图金服及其子公司</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24"/>
                <w:szCs w:val="24"/>
              </w:rPr>
            </w:pPr>
            <w:r>
              <w:rPr>
                <w:rFonts w:ascii="Arial" w:eastAsia="Arial" w:hAnsi="Arial" w:cs="Arial"/>
                <w:color w:val="000000"/>
                <w:spacing w:val="0"/>
                <w:w w:val="100"/>
                <w:position w:val="0"/>
                <w:sz w:val="24"/>
                <w:szCs w:val="24"/>
              </w:rPr>
              <w:t>113,376</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166,082</w:t>
            </w:r>
          </w:p>
        </w:tc>
      </w:tr>
    </w:tbl>
    <w:p>
      <w:pPr>
        <w:widowControl w:val="0"/>
        <w:spacing w:line="1" w:lineRule="exact"/>
      </w:pPr>
      <w:r>
        <w:br w:type="page"/>
      </w:r>
    </w:p>
    <w:p>
      <w:pPr>
        <w:pStyle w:val="Style26"/>
        <w:keepNext w:val="0"/>
        <w:keepLines w:val="0"/>
        <w:widowControl w:val="0"/>
        <w:shd w:val="clear" w:color="auto" w:fill="auto"/>
        <w:bidi w:val="0"/>
        <w:spacing w:before="0" w:after="60" w:line="240" w:lineRule="auto"/>
        <w:ind w:left="715" w:right="0" w:firstLine="0"/>
        <w:jc w:val="left"/>
        <w:rPr>
          <w:sz w:val="24"/>
          <w:szCs w:val="24"/>
        </w:rPr>
      </w:pPr>
      <w:r>
        <w:rPr>
          <w:b/>
          <w:bCs/>
          <w:color w:val="000000"/>
          <w:spacing w:val="0"/>
          <w:w w:val="100"/>
          <w:position w:val="0"/>
          <w:sz w:val="24"/>
          <w:szCs w:val="24"/>
        </w:rPr>
        <w:t>财务报表附注</w:t>
      </w:r>
    </w:p>
    <w:p>
      <w:pPr>
        <w:pStyle w:val="Style26"/>
        <w:keepNext w:val="0"/>
        <w:keepLines w:val="0"/>
        <w:widowControl w:val="0"/>
        <w:shd w:val="clear" w:color="auto" w:fill="auto"/>
        <w:bidi w:val="0"/>
        <w:spacing w:before="0" w:after="60" w:line="240" w:lineRule="auto"/>
        <w:ind w:left="715" w:right="0" w:firstLine="0"/>
        <w:jc w:val="left"/>
        <w:rPr>
          <w:sz w:val="24"/>
          <w:szCs w:val="24"/>
        </w:rPr>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w:t>
      </w:r>
    </w:p>
    <w:p>
      <w:pPr>
        <w:pStyle w:val="Style26"/>
        <w:keepNext w:val="0"/>
        <w:keepLines w:val="0"/>
        <w:widowControl w:val="0"/>
        <w:shd w:val="clear" w:color="auto" w:fill="auto"/>
        <w:bidi w:val="0"/>
        <w:spacing w:before="0" w:after="60" w:line="240" w:lineRule="auto"/>
        <w:ind w:left="715" w:right="0" w:firstLine="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rFonts w:ascii="Arial" w:eastAsia="Arial" w:hAnsi="Arial" w:cs="Arial"/>
          <w:color w:val="000000"/>
          <w:spacing w:val="0"/>
          <w:w w:val="100"/>
          <w:position w:val="0"/>
          <w:sz w:val="18"/>
          <w:szCs w:val="18"/>
        </w:rPr>
        <w:t>）</w:t>
      </w:r>
    </w:p>
    <w:tbl>
      <w:tblPr>
        <w:tblOverlap w:val="never"/>
        <w:jc w:val="center"/>
        <w:tblLayout w:type="fixed"/>
      </w:tblPr>
      <w:tblGrid>
        <w:gridCol w:w="514"/>
        <w:gridCol w:w="4301"/>
        <w:gridCol w:w="2021"/>
        <w:gridCol w:w="1819"/>
      </w:tblGrid>
      <w:tr>
        <w:trPr>
          <w:trHeight w:val="44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八</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8"/>
                <w:szCs w:val="28"/>
              </w:rPr>
            </w:pPr>
            <w:r>
              <w:rPr>
                <w:rFonts w:ascii="SimSun" w:eastAsia="SimSun" w:hAnsi="SimSun" w:cs="SimSun"/>
                <w:b/>
                <w:bCs/>
                <w:color w:val="000000"/>
                <w:spacing w:val="0"/>
                <w:w w:val="100"/>
                <w:position w:val="0"/>
                <w:sz w:val="24"/>
                <w:szCs w:val="24"/>
              </w:rPr>
              <w:t>关联方关系及其交易</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8"/>
                <w:szCs w:val="28"/>
              </w:rPr>
            </w:pPr>
            <w:r>
              <w:rPr>
                <w:rFonts w:ascii="SimSun" w:eastAsia="SimSun" w:hAnsi="SimSun" w:cs="SimSun"/>
                <w:b/>
                <w:bCs/>
                <w:color w:val="000000"/>
                <w:spacing w:val="0"/>
                <w:w w:val="100"/>
                <w:position w:val="0"/>
                <w:sz w:val="24"/>
                <w:szCs w:val="24"/>
              </w:rPr>
              <w:t>关联交易</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57" w:hRule="exact"/>
        </w:trPr>
        <w:tc>
          <w:tcPr>
            <w:tcBorders/>
            <w:shd w:val="clear" w:color="auto" w:fill="FFFFFF"/>
            <w:vAlign w:val="top"/>
          </w:tcPr>
          <w:p>
            <w:pPr>
              <w:pStyle w:val="Style29"/>
              <w:keepNext w:val="0"/>
              <w:keepLines w:val="0"/>
              <w:widowControl w:val="0"/>
              <w:shd w:val="clear" w:color="auto" w:fill="auto"/>
              <w:bidi w:val="0"/>
              <w:spacing w:before="160" w:after="0" w:line="240" w:lineRule="auto"/>
              <w:ind w:left="0" w:right="0" w:firstLine="0"/>
              <w:jc w:val="left"/>
              <w:rPr>
                <w:sz w:val="24"/>
                <w:szCs w:val="24"/>
              </w:rPr>
            </w:pPr>
            <w:r>
              <w:rPr>
                <w:rFonts w:ascii="Arial" w:eastAsia="Arial" w:hAnsi="Arial" w:cs="Arial"/>
                <w:color w:val="000000"/>
                <w:spacing w:val="0"/>
                <w:w w:val="100"/>
                <w:position w:val="0"/>
                <w:sz w:val="24"/>
                <w:szCs w:val="24"/>
              </w:rPr>
              <w:t>(q)</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200"/>
              <w:jc w:val="left"/>
              <w:rPr>
                <w:sz w:val="24"/>
                <w:szCs w:val="24"/>
              </w:rPr>
            </w:pPr>
            <w:r>
              <w:rPr>
                <w:rFonts w:ascii="SimSun" w:eastAsia="SimSun" w:hAnsi="SimSun" w:cs="SimSun"/>
                <w:color w:val="000000"/>
                <w:spacing w:val="0"/>
                <w:w w:val="100"/>
                <w:position w:val="0"/>
                <w:sz w:val="24"/>
                <w:szCs w:val="24"/>
              </w:rPr>
              <w:t>关联方为本集团提供的餐饮会务服务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成都鸿业置业有限公司及分支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4"/>
                <w:szCs w:val="24"/>
              </w:rPr>
              <w:t>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Arial" w:eastAsia="Arial" w:hAnsi="Arial" w:cs="Arial"/>
                <w:color w:val="000000"/>
                <w:spacing w:val="0"/>
                <w:w w:val="100"/>
                <w:position w:val="0"/>
                <w:sz w:val="24"/>
                <w:szCs w:val="24"/>
              </w:rPr>
              <w:t>3,464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34</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苏宁置业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Arial" w:eastAsia="Arial" w:hAnsi="Arial" w:cs="Arial"/>
                <w:color w:val="000000"/>
                <w:spacing w:val="0"/>
                <w:w w:val="100"/>
                <w:position w:val="0"/>
                <w:sz w:val="24"/>
                <w:szCs w:val="24"/>
              </w:rPr>
              <w:t>1,676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2,217</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万达商管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914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9,495</w:t>
            </w:r>
          </w:p>
        </w:tc>
      </w:tr>
      <w:tr>
        <w:trPr>
          <w:trHeight w:val="61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新街口苏宁诺富特</w:t>
            </w:r>
          </w:p>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苏宁置业集团旗下</w:t>
            </w:r>
            <w:r>
              <w:rPr>
                <w:rFonts w:ascii="Arial" w:eastAsia="Arial" w:hAnsi="Arial" w:cs="Arial"/>
                <w:color w:val="000000"/>
                <w:spacing w:val="0"/>
                <w:w w:val="100"/>
                <w:position w:val="0"/>
                <w:sz w:val="24"/>
                <w:szCs w:val="24"/>
              </w:rPr>
              <w:t>43</w:t>
            </w:r>
            <w:r>
              <w:rPr>
                <w:rFonts w:ascii="SimSun" w:eastAsia="SimSun" w:hAnsi="SimSun" w:cs="SimSun"/>
                <w:color w:val="000000"/>
                <w:spacing w:val="0"/>
                <w:w w:val="100"/>
                <w:position w:val="0"/>
                <w:sz w:val="24"/>
                <w:szCs w:val="24"/>
              </w:rPr>
              <w:t>家置业、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694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196</w:t>
            </w:r>
          </w:p>
        </w:tc>
      </w:tr>
      <w:tr>
        <w:trPr>
          <w:trHeight w:val="61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4"/>
                <w:szCs w:val="24"/>
              </w:rPr>
              <w:t>建材公司及分支机构</w:t>
            </w:r>
          </w:p>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苏宁置业集团旗下</w:t>
            </w:r>
            <w:r>
              <w:rPr>
                <w:rFonts w:ascii="Arial" w:eastAsia="Arial" w:hAnsi="Arial" w:cs="Arial"/>
                <w:color w:val="000000"/>
                <w:spacing w:val="0"/>
                <w:w w:val="100"/>
                <w:position w:val="0"/>
                <w:sz w:val="24"/>
                <w:szCs w:val="24"/>
              </w:rPr>
              <w:t>23</w:t>
            </w:r>
            <w:r>
              <w:rPr>
                <w:rFonts w:ascii="SimSun" w:eastAsia="SimSun" w:hAnsi="SimSun" w:cs="SimSun"/>
                <w:color w:val="000000"/>
                <w:spacing w:val="0"/>
                <w:w w:val="100"/>
                <w:position w:val="0"/>
                <w:sz w:val="24"/>
                <w:szCs w:val="24"/>
              </w:rPr>
              <w:t>家酒店、</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614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333</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4"/>
                <w:szCs w:val="24"/>
              </w:rPr>
              <w:t>餐饮公司及分支机构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rPr>
              <w:t>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8,247</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银河国际购物广场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Arial" w:eastAsia="Arial" w:hAnsi="Arial" w:cs="Arial"/>
                <w:color w:val="000000"/>
                <w:spacing w:val="0"/>
                <w:w w:val="100"/>
                <w:position w:val="0"/>
                <w:sz w:val="24"/>
                <w:szCs w:val="24"/>
              </w:rPr>
              <w:t>7,390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20,524</w:t>
            </w:r>
          </w:p>
        </w:tc>
      </w:tr>
      <w:tr>
        <w:trPr>
          <w:trHeight w:val="1330" w:hRule="exact"/>
        </w:trPr>
        <w:tc>
          <w:tcPr>
            <w:tcBorders/>
            <w:shd w:val="clear" w:color="auto" w:fill="FFFFFF"/>
            <w:vAlign w:val="top"/>
          </w:tcPr>
          <w:p>
            <w:pPr>
              <w:pStyle w:val="Style29"/>
              <w:keepNext w:val="0"/>
              <w:keepLines w:val="0"/>
              <w:widowControl w:val="0"/>
              <w:shd w:val="clear" w:color="auto" w:fill="auto"/>
              <w:bidi w:val="0"/>
              <w:spacing w:before="320" w:after="0" w:line="240" w:lineRule="auto"/>
              <w:ind w:left="0" w:right="0" w:firstLine="0"/>
              <w:jc w:val="left"/>
              <w:rPr>
                <w:sz w:val="24"/>
                <w:szCs w:val="24"/>
              </w:rPr>
            </w:pPr>
            <w:r>
              <w:rPr>
                <w:rFonts w:ascii="Arial" w:eastAsia="Arial" w:hAnsi="Arial" w:cs="Arial"/>
                <w:color w:val="000000"/>
                <w:spacing w:val="0"/>
                <w:w w:val="100"/>
                <w:position w:val="0"/>
                <w:sz w:val="24"/>
                <w:szCs w:val="24"/>
              </w:rPr>
              <w:t>(r)</w:t>
            </w:r>
          </w:p>
        </w:tc>
        <w:tc>
          <w:tcPr>
            <w:tcBorders>
              <w:top w:val="single" w:sz="4"/>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200"/>
              <w:jc w:val="left"/>
              <w:rPr>
                <w:sz w:val="24"/>
                <w:szCs w:val="24"/>
              </w:rPr>
            </w:pPr>
            <w:r>
              <w:rPr>
                <w:rFonts w:ascii="SimSun" w:eastAsia="SimSun" w:hAnsi="SimSun" w:cs="SimSun"/>
                <w:color w:val="000000"/>
                <w:spacing w:val="0"/>
                <w:w w:val="100"/>
                <w:position w:val="0"/>
                <w:sz w:val="24"/>
                <w:szCs w:val="24"/>
              </w:rPr>
              <w:t>接受市场推广及信息技术服务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星图金服及其子公司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4"/>
                <w:szCs w:val="24"/>
              </w:rPr>
            </w:pPr>
            <w:r>
              <w:rPr>
                <w:rFonts w:ascii="Arial" w:eastAsia="Arial" w:hAnsi="Arial" w:cs="Arial"/>
                <w:color w:val="000000"/>
                <w:spacing w:val="0"/>
                <w:w w:val="100"/>
                <w:position w:val="0"/>
                <w:sz w:val="24"/>
                <w:szCs w:val="24"/>
              </w:rPr>
              <w:t>467,547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513,985</w:t>
            </w:r>
          </w:p>
        </w:tc>
      </w:tr>
      <w:tr>
        <w:trPr>
          <w:trHeight w:val="60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阿里巴巴</w:t>
            </w:r>
          </w:p>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苏宁控股集团旗下</w:t>
            </w:r>
            <w:r>
              <w:rPr>
                <w:rFonts w:ascii="Arial" w:eastAsia="Arial" w:hAnsi="Arial" w:cs="Arial"/>
                <w:color w:val="000000"/>
                <w:spacing w:val="0"/>
                <w:w w:val="100"/>
                <w:position w:val="0"/>
                <w:sz w:val="24"/>
                <w:szCs w:val="24"/>
              </w:rPr>
              <w:t>47</w:t>
            </w:r>
            <w:r>
              <w:rPr>
                <w:rFonts w:ascii="SimSun" w:eastAsia="SimSun" w:hAnsi="SimSun" w:cs="SimSun"/>
                <w:color w:val="000000"/>
                <w:spacing w:val="0"/>
                <w:w w:val="100"/>
                <w:position w:val="0"/>
                <w:sz w:val="24"/>
                <w:szCs w:val="24"/>
              </w:rPr>
              <w:t>家影城、</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4"/>
                <w:szCs w:val="24"/>
              </w:rPr>
            </w:pPr>
            <w:r>
              <w:rPr>
                <w:rFonts w:ascii="Arial" w:eastAsia="Arial" w:hAnsi="Arial" w:cs="Arial"/>
                <w:color w:val="000000"/>
                <w:spacing w:val="0"/>
                <w:w w:val="100"/>
                <w:position w:val="0"/>
                <w:sz w:val="24"/>
                <w:szCs w:val="24"/>
              </w:rPr>
              <w:t>436,669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1,486,553</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4"/>
                <w:szCs w:val="24"/>
              </w:rPr>
              <w:t>影院公司及分支机构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98,715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22,950</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苏宁体育文化传媒</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15,089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94,830</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上海聚力</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14,275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47,871</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苏宁体育产业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4"/>
                <w:szCs w:val="24"/>
              </w:rPr>
            </w:pPr>
            <w:r>
              <w:rPr>
                <w:rFonts w:ascii="Arial" w:eastAsia="Arial" w:hAnsi="Arial" w:cs="Arial"/>
                <w:color w:val="000000"/>
                <w:spacing w:val="0"/>
                <w:w w:val="100"/>
                <w:position w:val="0"/>
                <w:sz w:val="24"/>
                <w:szCs w:val="24"/>
              </w:rPr>
              <w:t>2,816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101,039</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23,112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116,114</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4"/>
                <w:szCs w:val="24"/>
              </w:rPr>
            </w:pPr>
            <w:r>
              <w:rPr>
                <w:rFonts w:ascii="Arial" w:eastAsia="Arial" w:hAnsi="Arial" w:cs="Arial"/>
                <w:color w:val="000000"/>
                <w:spacing w:val="0"/>
                <w:w w:val="100"/>
                <w:position w:val="0"/>
                <w:sz w:val="24"/>
                <w:szCs w:val="24"/>
              </w:rPr>
              <w:t>1,058,223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2,383,342</w:t>
            </w:r>
          </w:p>
        </w:tc>
      </w:tr>
    </w:tbl>
    <w:p>
      <w:pPr>
        <w:pStyle w:val="Style72"/>
        <w:keepNext w:val="0"/>
        <w:keepLines w:val="0"/>
        <w:widowControl w:val="0"/>
        <w:shd w:val="clear" w:color="auto" w:fill="auto"/>
        <w:tabs>
          <w:tab w:pos="683" w:val="left"/>
        </w:tabs>
        <w:bidi w:val="0"/>
        <w:spacing w:before="0" w:after="300" w:line="240" w:lineRule="auto"/>
        <w:ind w:left="0" w:right="0" w:firstLine="0"/>
        <w:jc w:val="left"/>
        <w:rPr>
          <w:sz w:val="28"/>
          <w:szCs w:val="28"/>
        </w:rPr>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83" w:val="left"/>
        </w:tabs>
        <w:bidi w:val="0"/>
        <w:spacing w:before="0" w:after="240" w:line="276" w:lineRule="auto"/>
        <w:ind w:left="0" w:right="0" w:firstLine="0"/>
        <w:jc w:val="left"/>
        <w:rPr>
          <w:sz w:val="28"/>
          <w:szCs w:val="28"/>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83" w:val="left"/>
        </w:tabs>
        <w:bidi w:val="0"/>
        <w:spacing w:before="0" w:after="240" w:line="276" w:lineRule="auto"/>
        <w:ind w:left="0" w:right="0" w:firstLine="0"/>
        <w:jc w:val="left"/>
      </w:pPr>
      <w:bookmarkStart w:id="973" w:name="bookmark973"/>
      <w:r>
        <w:rPr>
          <w:rFonts w:ascii="Arial" w:eastAsia="Arial" w:hAnsi="Arial" w:cs="Arial"/>
          <w:color w:val="000000"/>
          <w:spacing w:val="0"/>
          <w:w w:val="100"/>
          <w:position w:val="0"/>
          <w:sz w:val="24"/>
          <w:szCs w:val="24"/>
        </w:rPr>
        <w:t>(</w:t>
      </w:r>
      <w:bookmarkEnd w:id="973"/>
      <w:r>
        <w:rPr>
          <w:rFonts w:ascii="Arial" w:eastAsia="Arial" w:hAnsi="Arial" w:cs="Arial"/>
          <w:color w:val="000000"/>
          <w:spacing w:val="0"/>
          <w:w w:val="100"/>
          <w:position w:val="0"/>
          <w:sz w:val="24"/>
          <w:szCs w:val="24"/>
        </w:rPr>
        <w:t>s)</w:t>
        <w:tab/>
      </w:r>
      <w:r>
        <w:rPr>
          <w:color w:val="000000"/>
          <w:spacing w:val="0"/>
          <w:w w:val="100"/>
          <w:position w:val="0"/>
          <w:sz w:val="24"/>
          <w:szCs w:val="24"/>
        </w:rPr>
        <w:t>商标使用许可协议</w:t>
      </w:r>
    </w:p>
    <w:p>
      <w:pPr>
        <w:pStyle w:val="Style72"/>
        <w:keepNext w:val="0"/>
        <w:keepLines w:val="0"/>
        <w:widowControl w:val="0"/>
        <w:numPr>
          <w:ilvl w:val="0"/>
          <w:numId w:val="129"/>
        </w:numPr>
        <w:shd w:val="clear" w:color="auto" w:fill="auto"/>
        <w:tabs>
          <w:tab w:pos="1460" w:val="left"/>
        </w:tabs>
        <w:bidi w:val="0"/>
        <w:spacing w:before="0" w:after="240" w:line="319" w:lineRule="exact"/>
        <w:ind w:left="1460" w:right="0" w:hanging="720"/>
        <w:jc w:val="both"/>
      </w:pPr>
      <w:bookmarkStart w:id="974" w:name="bookmark974"/>
      <w:bookmarkEnd w:id="974"/>
      <w:r>
        <w:rPr>
          <w:color w:val="000000"/>
          <w:spacing w:val="0"/>
          <w:w w:val="100"/>
          <w:position w:val="0"/>
          <w:sz w:val="24"/>
          <w:szCs w:val="24"/>
        </w:rPr>
        <w:t>于</w:t>
      </w:r>
      <w:r>
        <w:rPr>
          <w:rFonts w:ascii="Arial" w:eastAsia="Arial" w:hAnsi="Arial" w:cs="Arial"/>
          <w:color w:val="000000"/>
          <w:spacing w:val="0"/>
          <w:w w:val="100"/>
          <w:position w:val="0"/>
          <w:sz w:val="24"/>
          <w:szCs w:val="24"/>
        </w:rPr>
        <w:t>2002</w:t>
      </w:r>
      <w:r>
        <w:rPr>
          <w:color w:val="000000"/>
          <w:spacing w:val="0"/>
          <w:w w:val="100"/>
          <w:position w:val="0"/>
          <w:sz w:val="24"/>
          <w:szCs w:val="24"/>
        </w:rPr>
        <w:t>年</w:t>
      </w:r>
      <w:r>
        <w:rPr>
          <w:i/>
          <w:iCs/>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20</w:t>
      </w:r>
      <w:r>
        <w:rPr>
          <w:color w:val="000000"/>
          <w:spacing w:val="0"/>
          <w:w w:val="100"/>
          <w:position w:val="0"/>
          <w:sz w:val="24"/>
          <w:szCs w:val="24"/>
        </w:rPr>
        <w:t>日，经本集团</w:t>
      </w:r>
      <w:r>
        <w:rPr>
          <w:rFonts w:ascii="Arial" w:eastAsia="Arial" w:hAnsi="Arial" w:cs="Arial"/>
          <w:color w:val="000000"/>
          <w:spacing w:val="0"/>
          <w:w w:val="100"/>
          <w:position w:val="0"/>
          <w:sz w:val="24"/>
          <w:szCs w:val="24"/>
        </w:rPr>
        <w:t>2001</w:t>
      </w:r>
      <w:r>
        <w:rPr>
          <w:color w:val="000000"/>
          <w:spacing w:val="0"/>
          <w:w w:val="100"/>
          <w:position w:val="0"/>
          <w:sz w:val="24"/>
          <w:szCs w:val="24"/>
        </w:rPr>
        <w:t>年年度股东大会批准，同意苏 宁环球集团及其全资、控股子公司和具有实际控制权的公司在规定的 投资行业中，无偿使用</w:t>
      </w:r>
      <w:r>
        <w:rPr>
          <w:rFonts w:ascii="Arial" w:eastAsia="Arial" w:hAnsi="Arial" w:cs="Arial"/>
          <w:color w:val="000000"/>
          <w:spacing w:val="0"/>
          <w:w w:val="100"/>
          <w:position w:val="0"/>
          <w:sz w:val="24"/>
          <w:szCs w:val="24"/>
        </w:rPr>
        <w:t>“</w:t>
      </w:r>
      <w:r>
        <w:rPr>
          <w:color w:val="000000"/>
          <w:spacing w:val="0"/>
          <w:w w:val="100"/>
          <w:position w:val="0"/>
          <w:sz w:val="24"/>
          <w:szCs w:val="24"/>
        </w:rPr>
        <w:t>蕨窣</w:t>
      </w:r>
      <w:r>
        <w:rPr>
          <w:rFonts w:ascii="Arial" w:eastAsia="Arial" w:hAnsi="Arial" w:cs="Arial"/>
          <w:color w:val="000000"/>
          <w:spacing w:val="0"/>
          <w:w w:val="100"/>
          <w:position w:val="0"/>
          <w:sz w:val="24"/>
          <w:szCs w:val="24"/>
        </w:rPr>
        <w:t>”</w:t>
      </w:r>
      <w:r>
        <w:rPr>
          <w:color w:val="000000"/>
          <w:spacing w:val="0"/>
          <w:w w:val="100"/>
          <w:position w:val="0"/>
          <w:sz w:val="24"/>
          <w:szCs w:val="24"/>
        </w:rPr>
        <w:t>、</w:t>
      </w:r>
      <w:r>
        <w:rPr>
          <w:rFonts w:ascii="Arial" w:eastAsia="Arial" w:hAnsi="Arial" w:cs="Arial"/>
          <w:color w:val="000000"/>
          <w:spacing w:val="0"/>
          <w:w w:val="100"/>
          <w:position w:val="0"/>
          <w:sz w:val="24"/>
          <w:szCs w:val="24"/>
        </w:rPr>
        <w:t>“</w:t>
      </w:r>
      <w:r>
        <w:rPr>
          <w:color w:val="000000"/>
          <w:spacing w:val="0"/>
          <w:w w:val="100"/>
          <w:position w:val="0"/>
          <w:sz w:val="24"/>
          <w:szCs w:val="24"/>
        </w:rPr>
        <w:t>苏宁</w:t>
      </w:r>
      <w:r>
        <w:rPr>
          <w:rFonts w:ascii="Arial" w:eastAsia="Arial" w:hAnsi="Arial" w:cs="Arial"/>
          <w:color w:val="000000"/>
          <w:spacing w:val="0"/>
          <w:w w:val="100"/>
          <w:position w:val="0"/>
          <w:sz w:val="24"/>
          <w:szCs w:val="24"/>
        </w:rPr>
        <w:t>”</w:t>
      </w:r>
      <w:r>
        <w:rPr>
          <w:color w:val="000000"/>
          <w:spacing w:val="0"/>
          <w:w w:val="100"/>
          <w:position w:val="0"/>
          <w:sz w:val="24"/>
          <w:szCs w:val="24"/>
        </w:rPr>
        <w:t>及</w:t>
      </w:r>
      <w:r>
        <w:rPr>
          <w:rFonts w:ascii="Arial" w:eastAsia="Arial" w:hAnsi="Arial" w:cs="Arial"/>
          <w:color w:val="000000"/>
          <w:spacing w:val="0"/>
          <w:w w:val="100"/>
          <w:position w:val="0"/>
          <w:sz w:val="24"/>
          <w:szCs w:val="24"/>
        </w:rPr>
        <w:t>“NS”</w:t>
      </w:r>
      <w:r>
        <w:rPr>
          <w:color w:val="000000"/>
          <w:spacing w:val="0"/>
          <w:w w:val="100"/>
          <w:position w:val="0"/>
          <w:sz w:val="24"/>
          <w:szCs w:val="24"/>
        </w:rPr>
        <w:t>组合的系列注册商标。</w:t>
      </w:r>
    </w:p>
    <w:p>
      <w:pPr>
        <w:pStyle w:val="Style72"/>
        <w:keepNext w:val="0"/>
        <w:keepLines w:val="0"/>
        <w:widowControl w:val="0"/>
        <w:numPr>
          <w:ilvl w:val="0"/>
          <w:numId w:val="129"/>
        </w:numPr>
        <w:shd w:val="clear" w:color="auto" w:fill="auto"/>
        <w:tabs>
          <w:tab w:pos="1460" w:val="left"/>
        </w:tabs>
        <w:bidi w:val="0"/>
        <w:spacing w:before="0" w:after="240" w:line="318" w:lineRule="exact"/>
        <w:ind w:left="1460" w:right="0" w:hanging="720"/>
        <w:jc w:val="both"/>
      </w:pPr>
      <w:bookmarkStart w:id="975" w:name="bookmark975"/>
      <w:bookmarkEnd w:id="975"/>
      <w:r>
        <w:rPr>
          <w:color w:val="000000"/>
          <w:spacing w:val="0"/>
          <w:w w:val="100"/>
          <w:position w:val="0"/>
          <w:sz w:val="24"/>
          <w:szCs w:val="24"/>
        </w:rPr>
        <w:t>于</w:t>
      </w:r>
      <w:r>
        <w:rPr>
          <w:rFonts w:ascii="Arial" w:eastAsia="Arial" w:hAnsi="Arial" w:cs="Arial"/>
          <w:color w:val="000000"/>
          <w:spacing w:val="0"/>
          <w:w w:val="100"/>
          <w:position w:val="0"/>
          <w:sz w:val="24"/>
          <w:szCs w:val="24"/>
        </w:rPr>
        <w:t>2008</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20</w:t>
      </w:r>
      <w:r>
        <w:rPr>
          <w:color w:val="000000"/>
          <w:spacing w:val="0"/>
          <w:w w:val="100"/>
          <w:position w:val="0"/>
          <w:sz w:val="24"/>
          <w:szCs w:val="24"/>
        </w:rPr>
        <w:t>日，经本集团</w:t>
      </w:r>
      <w:r>
        <w:rPr>
          <w:rFonts w:ascii="Arial" w:eastAsia="Arial" w:hAnsi="Arial" w:cs="Arial"/>
          <w:color w:val="000000"/>
          <w:spacing w:val="0"/>
          <w:w w:val="100"/>
          <w:position w:val="0"/>
          <w:sz w:val="24"/>
          <w:szCs w:val="24"/>
        </w:rPr>
        <w:t>2007</w:t>
      </w:r>
      <w:r>
        <w:rPr>
          <w:color w:val="000000"/>
          <w:spacing w:val="0"/>
          <w:w w:val="100"/>
          <w:position w:val="0"/>
          <w:sz w:val="24"/>
          <w:szCs w:val="24"/>
        </w:rPr>
        <w:t>年年度股东大会批准，同意许 可苏宁电器集团及其全资、控股子公司和具有实际控制权的公司使用 本集团已注册的部分嘴掌'系列注册商标以及部分</w:t>
      </w:r>
      <w:r>
        <w:rPr>
          <w:rFonts w:ascii="Arial" w:eastAsia="Arial" w:hAnsi="Arial" w:cs="Arial"/>
          <w:color w:val="000000"/>
          <w:spacing w:val="0"/>
          <w:w w:val="100"/>
          <w:position w:val="0"/>
          <w:sz w:val="24"/>
          <w:szCs w:val="24"/>
        </w:rPr>
        <w:t>“</w:t>
      </w:r>
      <w:r>
        <w:rPr>
          <w:color w:val="000000"/>
          <w:spacing w:val="0"/>
          <w:w w:val="100"/>
          <w:position w:val="0"/>
          <w:sz w:val="24"/>
          <w:szCs w:val="24"/>
        </w:rPr>
        <w:t>苏宁</w:t>
      </w:r>
      <w:r>
        <w:rPr>
          <w:rFonts w:ascii="Arial" w:eastAsia="Arial" w:hAnsi="Arial" w:cs="Arial"/>
          <w:color w:val="000000"/>
          <w:spacing w:val="0"/>
          <w:w w:val="100"/>
          <w:position w:val="0"/>
          <w:sz w:val="24"/>
          <w:szCs w:val="24"/>
        </w:rPr>
        <w:t>”</w:t>
      </w:r>
      <w:r>
        <w:rPr>
          <w:color w:val="000000"/>
          <w:spacing w:val="0"/>
          <w:w w:val="100"/>
          <w:position w:val="0"/>
          <w:sz w:val="24"/>
          <w:szCs w:val="24"/>
        </w:rPr>
        <w:t>及</w:t>
      </w:r>
      <w:r>
        <w:rPr>
          <w:rFonts w:ascii="Arial" w:eastAsia="Arial" w:hAnsi="Arial" w:cs="Arial"/>
          <w:color w:val="000000"/>
          <w:spacing w:val="0"/>
          <w:w w:val="100"/>
          <w:position w:val="0"/>
          <w:sz w:val="24"/>
          <w:szCs w:val="24"/>
        </w:rPr>
        <w:t>“NS”</w:t>
      </w:r>
      <w:r>
        <w:rPr>
          <w:color w:val="000000"/>
          <w:spacing w:val="0"/>
          <w:w w:val="100"/>
          <w:position w:val="0"/>
          <w:sz w:val="24"/>
          <w:szCs w:val="24"/>
        </w:rPr>
        <w:t>组合的 系列注册商标。</w:t>
      </w:r>
    </w:p>
    <w:p>
      <w:pPr>
        <w:pStyle w:val="Style72"/>
        <w:keepNext w:val="0"/>
        <w:keepLines w:val="0"/>
        <w:widowControl w:val="0"/>
        <w:shd w:val="clear" w:color="auto" w:fill="auto"/>
        <w:bidi w:val="0"/>
        <w:spacing w:before="0" w:after="240" w:line="316" w:lineRule="exact"/>
        <w:ind w:left="1460"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2008</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15</w:t>
      </w:r>
      <w:r>
        <w:rPr>
          <w:color w:val="000000"/>
          <w:spacing w:val="0"/>
          <w:w w:val="100"/>
          <w:position w:val="0"/>
          <w:sz w:val="24"/>
          <w:szCs w:val="24"/>
        </w:rPr>
        <w:t>日，本集团与苏宁电器集团签订《商标使用许可协 议》，约定自</w:t>
      </w:r>
      <w:r>
        <w:rPr>
          <w:rFonts w:ascii="Arial" w:eastAsia="Arial" w:hAnsi="Arial" w:cs="Arial"/>
          <w:color w:val="000000"/>
          <w:spacing w:val="0"/>
          <w:w w:val="100"/>
          <w:position w:val="0"/>
          <w:sz w:val="24"/>
          <w:szCs w:val="24"/>
        </w:rPr>
        <w:t>2008</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日起，在本集团拥有的嘴窣</w:t>
      </w:r>
      <w:r>
        <w:rPr>
          <w:rFonts w:ascii="Arial" w:eastAsia="Arial" w:hAnsi="Arial" w:cs="Arial"/>
          <w:color w:val="000000"/>
          <w:spacing w:val="0"/>
          <w:w w:val="100"/>
          <w:position w:val="0"/>
          <w:sz w:val="24"/>
          <w:szCs w:val="24"/>
        </w:rPr>
        <w:t>”</w:t>
      </w:r>
      <w:r>
        <w:rPr>
          <w:color w:val="000000"/>
          <w:spacing w:val="0"/>
          <w:w w:val="100"/>
          <w:position w:val="0"/>
          <w:sz w:val="24"/>
          <w:szCs w:val="24"/>
        </w:rPr>
        <w:t>系列注册商 标以及部分</w:t>
      </w:r>
      <w:r>
        <w:rPr>
          <w:rFonts w:ascii="Arial" w:eastAsia="Arial" w:hAnsi="Arial" w:cs="Arial"/>
          <w:color w:val="000000"/>
          <w:spacing w:val="0"/>
          <w:w w:val="100"/>
          <w:position w:val="0"/>
          <w:sz w:val="24"/>
          <w:szCs w:val="24"/>
        </w:rPr>
        <w:t>“</w:t>
      </w:r>
      <w:r>
        <w:rPr>
          <w:color w:val="000000"/>
          <w:spacing w:val="0"/>
          <w:w w:val="100"/>
          <w:position w:val="0"/>
          <w:sz w:val="24"/>
          <w:szCs w:val="24"/>
        </w:rPr>
        <w:t>苏宁</w:t>
      </w:r>
      <w:r>
        <w:rPr>
          <w:rFonts w:ascii="Arial" w:eastAsia="Arial" w:hAnsi="Arial" w:cs="Arial"/>
          <w:color w:val="000000"/>
          <w:spacing w:val="0"/>
          <w:w w:val="100"/>
          <w:position w:val="0"/>
          <w:sz w:val="24"/>
          <w:szCs w:val="24"/>
        </w:rPr>
        <w:t>”</w:t>
      </w:r>
      <w:r>
        <w:rPr>
          <w:color w:val="000000"/>
          <w:spacing w:val="0"/>
          <w:w w:val="100"/>
          <w:position w:val="0"/>
          <w:sz w:val="24"/>
          <w:szCs w:val="24"/>
        </w:rPr>
        <w:t>及</w:t>
      </w:r>
      <w:r>
        <w:rPr>
          <w:rFonts w:ascii="Arial" w:eastAsia="Arial" w:hAnsi="Arial" w:cs="Arial"/>
          <w:color w:val="000000"/>
          <w:spacing w:val="0"/>
          <w:w w:val="100"/>
          <w:position w:val="0"/>
          <w:sz w:val="24"/>
          <w:szCs w:val="24"/>
        </w:rPr>
        <w:t>“NS”</w:t>
      </w:r>
      <w:r>
        <w:rPr>
          <w:color w:val="000000"/>
          <w:spacing w:val="0"/>
          <w:w w:val="100"/>
          <w:position w:val="0"/>
          <w:sz w:val="24"/>
          <w:szCs w:val="24"/>
        </w:rPr>
        <w:t>组合的系列注册商标的专用权期限内，许可苏 宁电器集团无限期有偿使用部分注册商标，苏宁电器集团每年支付本 集团商标使用费人民币</w:t>
      </w:r>
      <w:r>
        <w:rPr>
          <w:rFonts w:ascii="Arial" w:eastAsia="Arial" w:hAnsi="Arial" w:cs="Arial"/>
          <w:color w:val="000000"/>
          <w:spacing w:val="0"/>
          <w:w w:val="100"/>
          <w:position w:val="0"/>
          <w:sz w:val="24"/>
          <w:szCs w:val="24"/>
        </w:rPr>
        <w:t>100</w:t>
      </w:r>
      <w:r>
        <w:rPr>
          <w:color w:val="000000"/>
          <w:spacing w:val="0"/>
          <w:w w:val="100"/>
          <w:position w:val="0"/>
          <w:sz w:val="24"/>
          <w:szCs w:val="24"/>
        </w:rPr>
        <w:t>万元。</w:t>
      </w:r>
    </w:p>
    <w:p>
      <w:pPr>
        <w:pStyle w:val="Style72"/>
        <w:keepNext w:val="0"/>
        <w:keepLines w:val="0"/>
        <w:widowControl w:val="0"/>
        <w:numPr>
          <w:ilvl w:val="0"/>
          <w:numId w:val="129"/>
        </w:numPr>
        <w:shd w:val="clear" w:color="auto" w:fill="auto"/>
        <w:tabs>
          <w:tab w:pos="1460" w:val="left"/>
        </w:tabs>
        <w:bidi w:val="0"/>
        <w:spacing w:before="0" w:after="240" w:line="318" w:lineRule="exact"/>
        <w:ind w:left="1460" w:right="0" w:hanging="720"/>
        <w:jc w:val="both"/>
      </w:pPr>
      <w:bookmarkStart w:id="976" w:name="bookmark976"/>
      <w:bookmarkEnd w:id="976"/>
      <w:r>
        <w:rPr>
          <w:color w:val="000000"/>
          <w:spacing w:val="0"/>
          <w:w w:val="100"/>
          <w:position w:val="0"/>
          <w:sz w:val="24"/>
          <w:szCs w:val="24"/>
        </w:rPr>
        <w:t>于</w:t>
      </w:r>
      <w:r>
        <w:rPr>
          <w:rFonts w:ascii="Arial" w:eastAsia="Arial" w:hAnsi="Arial" w:cs="Arial"/>
          <w:color w:val="000000"/>
          <w:spacing w:val="0"/>
          <w:w w:val="100"/>
          <w:position w:val="0"/>
          <w:sz w:val="24"/>
          <w:szCs w:val="24"/>
        </w:rPr>
        <w:t>2009</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日，经本集团</w:t>
      </w:r>
      <w:r>
        <w:rPr>
          <w:rFonts w:ascii="Arial" w:eastAsia="Arial" w:hAnsi="Arial" w:cs="Arial"/>
          <w:color w:val="000000"/>
          <w:spacing w:val="0"/>
          <w:w w:val="100"/>
          <w:position w:val="0"/>
          <w:sz w:val="24"/>
          <w:szCs w:val="24"/>
        </w:rPr>
        <w:t>2008</w:t>
      </w:r>
      <w:r>
        <w:rPr>
          <w:color w:val="000000"/>
          <w:spacing w:val="0"/>
          <w:w w:val="100"/>
          <w:position w:val="0"/>
          <w:sz w:val="24"/>
          <w:szCs w:val="24"/>
        </w:rPr>
        <w:t>年年度股东大会批准，同意许 可苏宁电器集团及其直接或间接持有</w:t>
      </w:r>
      <w:r>
        <w:rPr>
          <w:rFonts w:ascii="Arial" w:eastAsia="Arial" w:hAnsi="Arial" w:cs="Arial"/>
          <w:color w:val="000000"/>
          <w:spacing w:val="0"/>
          <w:w w:val="100"/>
          <w:position w:val="0"/>
          <w:sz w:val="24"/>
          <w:szCs w:val="24"/>
        </w:rPr>
        <w:t>20%</w:t>
      </w:r>
      <w:r>
        <w:rPr>
          <w:color w:val="000000"/>
          <w:spacing w:val="0"/>
          <w:w w:val="100"/>
          <w:position w:val="0"/>
          <w:sz w:val="24"/>
          <w:szCs w:val="24"/>
        </w:rPr>
        <w:t>以上</w:t>
      </w:r>
      <w:r>
        <w:rPr>
          <w:rFonts w:ascii="Arial" w:eastAsia="Arial" w:hAnsi="Arial" w:cs="Arial"/>
          <w:color w:val="000000"/>
          <w:spacing w:val="0"/>
          <w:w w:val="100"/>
          <w:position w:val="0"/>
          <w:sz w:val="24"/>
          <w:szCs w:val="24"/>
        </w:rPr>
        <w:t>(</w:t>
      </w:r>
      <w:r>
        <w:rPr>
          <w:color w:val="000000"/>
          <w:spacing w:val="0"/>
          <w:w w:val="100"/>
          <w:position w:val="0"/>
          <w:sz w:val="24"/>
          <w:szCs w:val="24"/>
        </w:rPr>
        <w:t>含</w:t>
      </w:r>
      <w:r>
        <w:rPr>
          <w:rFonts w:ascii="Arial" w:eastAsia="Arial" w:hAnsi="Arial" w:cs="Arial"/>
          <w:color w:val="000000"/>
          <w:spacing w:val="0"/>
          <w:w w:val="100"/>
          <w:position w:val="0"/>
          <w:sz w:val="24"/>
          <w:szCs w:val="24"/>
        </w:rPr>
        <w:t>20%)</w:t>
      </w:r>
      <w:r>
        <w:rPr>
          <w:color w:val="000000"/>
          <w:spacing w:val="0"/>
          <w:w w:val="100"/>
          <w:position w:val="0"/>
          <w:sz w:val="24"/>
          <w:szCs w:val="24"/>
        </w:rPr>
        <w:t>股份的公司使 用本公司已注册的部分</w:t>
      </w:r>
      <w:r>
        <w:rPr>
          <w:rFonts w:ascii="Arial" w:eastAsia="Arial" w:hAnsi="Arial" w:cs="Arial"/>
          <w:color w:val="000000"/>
          <w:spacing w:val="0"/>
          <w:w w:val="100"/>
          <w:position w:val="0"/>
          <w:sz w:val="24"/>
          <w:szCs w:val="24"/>
        </w:rPr>
        <w:t>“</w:t>
      </w:r>
      <w:r>
        <w:rPr>
          <w:color w:val="000000"/>
          <w:spacing w:val="0"/>
          <w:w w:val="100"/>
          <w:position w:val="0"/>
          <w:sz w:val="24"/>
          <w:szCs w:val="24"/>
        </w:rPr>
        <w:t>苏宁</w:t>
      </w:r>
      <w:r>
        <w:rPr>
          <w:rFonts w:ascii="Arial" w:eastAsia="Arial" w:hAnsi="Arial" w:cs="Arial"/>
          <w:color w:val="000000"/>
          <w:spacing w:val="0"/>
          <w:w w:val="100"/>
          <w:position w:val="0"/>
          <w:sz w:val="24"/>
          <w:szCs w:val="24"/>
        </w:rPr>
        <w:t>”</w:t>
      </w:r>
      <w:r>
        <w:rPr>
          <w:color w:val="000000"/>
          <w:spacing w:val="0"/>
          <w:w w:val="100"/>
          <w:position w:val="0"/>
          <w:sz w:val="24"/>
          <w:szCs w:val="24"/>
        </w:rPr>
        <w:t>以及</w:t>
      </w:r>
      <w:r>
        <w:rPr>
          <w:rFonts w:ascii="Arial" w:eastAsia="Arial" w:hAnsi="Arial" w:cs="Arial"/>
          <w:color w:val="000000"/>
          <w:spacing w:val="0"/>
          <w:w w:val="100"/>
          <w:position w:val="0"/>
          <w:sz w:val="24"/>
          <w:szCs w:val="24"/>
        </w:rPr>
        <w:t>“</w:t>
      </w:r>
      <w:r>
        <w:rPr>
          <w:color w:val="000000"/>
          <w:spacing w:val="0"/>
          <w:w w:val="100"/>
          <w:position w:val="0"/>
          <w:sz w:val="24"/>
          <w:szCs w:val="24"/>
        </w:rPr>
        <w:t>苏宁</w:t>
      </w:r>
      <w:r>
        <w:rPr>
          <w:rFonts w:ascii="Arial" w:eastAsia="Arial" w:hAnsi="Arial" w:cs="Arial"/>
          <w:color w:val="000000"/>
          <w:spacing w:val="0"/>
          <w:w w:val="100"/>
          <w:position w:val="0"/>
          <w:sz w:val="24"/>
          <w:szCs w:val="24"/>
        </w:rPr>
        <w:t>”</w:t>
      </w:r>
      <w:r>
        <w:rPr>
          <w:color w:val="000000"/>
          <w:spacing w:val="0"/>
          <w:w w:val="100"/>
          <w:position w:val="0"/>
          <w:sz w:val="24"/>
          <w:szCs w:val="24"/>
        </w:rPr>
        <w:t>的汉语拼音</w:t>
      </w:r>
      <w:r>
        <w:rPr>
          <w:rFonts w:ascii="Arial" w:eastAsia="Arial" w:hAnsi="Arial" w:cs="Arial"/>
          <w:color w:val="000000"/>
          <w:spacing w:val="0"/>
          <w:w w:val="100"/>
          <w:position w:val="0"/>
          <w:sz w:val="24"/>
          <w:szCs w:val="24"/>
        </w:rPr>
        <w:t>“SUNING”</w:t>
      </w:r>
      <w:r>
        <w:rPr>
          <w:color w:val="000000"/>
          <w:spacing w:val="0"/>
          <w:w w:val="100"/>
          <w:position w:val="0"/>
          <w:sz w:val="24"/>
          <w:szCs w:val="24"/>
        </w:rPr>
        <w:t>系列商 标。</w:t>
      </w:r>
    </w:p>
    <w:p>
      <w:pPr>
        <w:pStyle w:val="Style72"/>
        <w:keepNext w:val="0"/>
        <w:keepLines w:val="0"/>
        <w:widowControl w:val="0"/>
        <w:shd w:val="clear" w:color="auto" w:fill="auto"/>
        <w:bidi w:val="0"/>
        <w:spacing w:before="0" w:after="240" w:line="317" w:lineRule="exact"/>
        <w:ind w:left="740" w:right="0" w:firstLine="48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2009</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日，本集团与苏宁电器集团签订《商标使用许可协议》， 约定自签订协议之日起，在本集团拥有的</w:t>
      </w:r>
      <w:r>
        <w:rPr>
          <w:rFonts w:ascii="Arial" w:eastAsia="Arial" w:hAnsi="Arial" w:cs="Arial"/>
          <w:color w:val="000000"/>
          <w:spacing w:val="0"/>
          <w:w w:val="100"/>
          <w:position w:val="0"/>
          <w:sz w:val="24"/>
          <w:szCs w:val="24"/>
        </w:rPr>
        <w:t>“</w:t>
      </w:r>
      <w:r>
        <w:rPr>
          <w:color w:val="000000"/>
          <w:spacing w:val="0"/>
          <w:w w:val="100"/>
          <w:position w:val="0"/>
          <w:sz w:val="24"/>
          <w:szCs w:val="24"/>
        </w:rPr>
        <w:t>苏宁</w:t>
      </w:r>
      <w:r>
        <w:rPr>
          <w:rFonts w:ascii="Arial" w:eastAsia="Arial" w:hAnsi="Arial" w:cs="Arial"/>
          <w:color w:val="000000"/>
          <w:spacing w:val="0"/>
          <w:w w:val="100"/>
          <w:position w:val="0"/>
          <w:sz w:val="24"/>
          <w:szCs w:val="24"/>
        </w:rPr>
        <w:t>”</w:t>
      </w:r>
      <w:r>
        <w:rPr>
          <w:color w:val="000000"/>
          <w:spacing w:val="0"/>
          <w:w w:val="100"/>
          <w:position w:val="0"/>
          <w:sz w:val="24"/>
          <w:szCs w:val="24"/>
        </w:rPr>
        <w:t>以及</w:t>
      </w:r>
      <w:r>
        <w:rPr>
          <w:rFonts w:ascii="Arial" w:eastAsia="Arial" w:hAnsi="Arial" w:cs="Arial"/>
          <w:color w:val="000000"/>
          <w:spacing w:val="0"/>
          <w:w w:val="100"/>
          <w:position w:val="0"/>
          <w:sz w:val="24"/>
          <w:szCs w:val="24"/>
        </w:rPr>
        <w:t>“</w:t>
      </w:r>
      <w:r>
        <w:rPr>
          <w:color w:val="000000"/>
          <w:spacing w:val="0"/>
          <w:w w:val="100"/>
          <w:position w:val="0"/>
          <w:sz w:val="24"/>
          <w:szCs w:val="24"/>
        </w:rPr>
        <w:t>苏宁</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的汉语拼音 </w:t>
      </w:r>
      <w:r>
        <w:rPr>
          <w:rFonts w:ascii="Arial" w:eastAsia="Arial" w:hAnsi="Arial" w:cs="Arial"/>
          <w:color w:val="000000"/>
          <w:spacing w:val="0"/>
          <w:w w:val="100"/>
          <w:position w:val="0"/>
          <w:sz w:val="24"/>
          <w:szCs w:val="24"/>
        </w:rPr>
        <w:t>“SUNING”</w:t>
      </w:r>
      <w:r>
        <w:rPr>
          <w:color w:val="000000"/>
          <w:spacing w:val="0"/>
          <w:w w:val="100"/>
          <w:position w:val="0"/>
          <w:sz w:val="24"/>
          <w:szCs w:val="24"/>
        </w:rPr>
        <w:t>系列注册商标的专用权期限内，许可苏宁电器集团无限期有偿使用 部分注册商标，苏宁电器集团每年支付本集团商标使用费人民币</w:t>
      </w:r>
      <w:r>
        <w:rPr>
          <w:rFonts w:ascii="Arial" w:eastAsia="Arial" w:hAnsi="Arial" w:cs="Arial"/>
          <w:color w:val="000000"/>
          <w:spacing w:val="0"/>
          <w:w w:val="100"/>
          <w:position w:val="0"/>
          <w:sz w:val="24"/>
          <w:szCs w:val="24"/>
        </w:rPr>
        <w:t>100</w:t>
      </w:r>
      <w:r>
        <w:rPr>
          <w:color w:val="000000"/>
          <w:spacing w:val="0"/>
          <w:w w:val="100"/>
          <w:position w:val="0"/>
          <w:sz w:val="24"/>
          <w:szCs w:val="24"/>
        </w:rPr>
        <w:t>万元。</w:t>
      </w:r>
    </w:p>
    <w:p>
      <w:pPr>
        <w:pStyle w:val="Style72"/>
        <w:keepNext w:val="0"/>
        <w:keepLines w:val="0"/>
        <w:widowControl w:val="0"/>
        <w:shd w:val="clear" w:color="auto" w:fill="auto"/>
        <w:bidi w:val="0"/>
        <w:spacing w:before="0" w:after="240" w:line="322" w:lineRule="exact"/>
        <w:ind w:left="740" w:right="0" w:firstLine="480"/>
        <w:jc w:val="left"/>
        <w:sectPr>
          <w:footnotePr>
            <w:pos w:val="pageBottom"/>
            <w:numFmt w:val="decimal"/>
            <w:numStart w:val="1"/>
            <w:numRestart w:val="continuous"/>
            <w15:footnoteColumns w:val="1"/>
          </w:footnotePr>
          <w:pgSz w:w="11900" w:h="16840"/>
          <w:pgMar w:top="1520" w:right="1334" w:bottom="1842" w:left="1666" w:header="0" w:footer="3" w:gutter="0"/>
          <w:cols w:space="720"/>
          <w:noEndnote/>
          <w:rtlGutter w:val="0"/>
          <w:docGrid w:linePitch="360"/>
        </w:sectPr>
      </w:pPr>
      <w:r>
        <w:rPr>
          <w:color w:val="000000"/>
          <w:spacing w:val="0"/>
          <w:w w:val="100"/>
          <w:position w:val="0"/>
          <w:sz w:val="24"/>
          <w:szCs w:val="24"/>
        </w:rPr>
        <w:t>本报告期内，苏宁电器集团尚未向本公司支付</w:t>
      </w:r>
      <w:r>
        <w:rPr>
          <w:rFonts w:ascii="Arial" w:eastAsia="Arial" w:hAnsi="Arial" w:cs="Arial"/>
          <w:color w:val="000000"/>
          <w:spacing w:val="0"/>
          <w:w w:val="100"/>
          <w:position w:val="0"/>
          <w:sz w:val="24"/>
          <w:szCs w:val="24"/>
        </w:rPr>
        <w:t>2021</w:t>
      </w:r>
      <w:r>
        <w:rPr>
          <w:color w:val="000000"/>
          <w:spacing w:val="0"/>
          <w:w w:val="100"/>
          <w:position w:val="0"/>
          <w:sz w:val="24"/>
          <w:szCs w:val="24"/>
        </w:rPr>
        <w:t>年度商标使用许可 费。</w:t>
      </w:r>
    </w:p>
    <w:p>
      <w:pPr>
        <w:pStyle w:val="Style72"/>
        <w:keepNext w:val="0"/>
        <w:keepLines w:val="0"/>
        <w:widowControl w:val="0"/>
        <w:shd w:val="clear" w:color="auto" w:fill="auto"/>
        <w:tabs>
          <w:tab w:pos="696" w:val="left"/>
        </w:tabs>
        <w:bidi w:val="0"/>
        <w:spacing w:before="240" w:after="320" w:line="240" w:lineRule="auto"/>
        <w:ind w:left="0" w:right="0" w:firstLine="0"/>
        <w:jc w:val="left"/>
        <w:rPr>
          <w:sz w:val="28"/>
          <w:szCs w:val="28"/>
        </w:rPr>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6" w:val="left"/>
        </w:tabs>
        <w:bidi w:val="0"/>
        <w:spacing w:before="0"/>
        <w:ind w:left="0" w:right="0" w:firstLine="0"/>
        <w:jc w:val="left"/>
        <w:rPr>
          <w:sz w:val="28"/>
          <w:szCs w:val="28"/>
        </w:rPr>
      </w:pPr>
      <w:r>
        <w:rPr>
          <w:color w:val="000000"/>
          <w:spacing w:val="0"/>
          <w:w w:val="100"/>
          <w:position w:val="0"/>
          <w:sz w:val="24"/>
          <w:szCs w:val="24"/>
        </w:rPr>
        <w:t>（6）</w:t>
        <w:tab/>
      </w:r>
      <w:r>
        <w:rPr>
          <w:rFonts w:ascii="SimSun" w:eastAsia="SimSun" w:hAnsi="SimSun" w:cs="SimSun"/>
          <w:b/>
          <w:bCs/>
          <w:color w:val="000000"/>
          <w:spacing w:val="0"/>
          <w:w w:val="100"/>
          <w:position w:val="0"/>
          <w:sz w:val="24"/>
          <w:szCs w:val="24"/>
        </w:rPr>
        <w:t>关联交易</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96" w:val="left"/>
        </w:tabs>
        <w:bidi w:val="0"/>
        <w:spacing w:before="0" w:after="260" w:line="271" w:lineRule="auto"/>
        <w:ind w:left="0" w:right="0" w:firstLine="0"/>
        <w:jc w:val="left"/>
        <w:rPr>
          <w:sz w:val="28"/>
          <w:szCs w:val="28"/>
        </w:rPr>
      </w:pPr>
      <w:bookmarkStart w:id="977" w:name="bookmark977"/>
      <w:r>
        <w:rPr>
          <w:rFonts w:ascii="Arial" w:eastAsia="Arial" w:hAnsi="Arial" w:cs="Arial"/>
          <w:color w:val="000000"/>
          <w:spacing w:val="0"/>
          <w:w w:val="100"/>
          <w:position w:val="0"/>
          <w:sz w:val="24"/>
          <w:szCs w:val="24"/>
        </w:rPr>
        <w:t>（</w:t>
      </w:r>
      <w:bookmarkEnd w:id="977"/>
      <w:r>
        <w:rPr>
          <w:rFonts w:ascii="Arial" w:eastAsia="Arial" w:hAnsi="Arial" w:cs="Arial"/>
          <w:color w:val="000000"/>
          <w:spacing w:val="0"/>
          <w:w w:val="100"/>
          <w:position w:val="0"/>
          <w:sz w:val="24"/>
          <w:szCs w:val="24"/>
        </w:rPr>
        <w:t>s）</w:t>
        <w:tab/>
      </w:r>
      <w:r>
        <w:rPr>
          <w:color w:val="000000"/>
          <w:spacing w:val="0"/>
          <w:w w:val="100"/>
          <w:position w:val="0"/>
          <w:sz w:val="24"/>
          <w:szCs w:val="24"/>
        </w:rPr>
        <w:t>商标使用许可协议</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1426" w:val="left"/>
        </w:tabs>
        <w:bidi w:val="0"/>
        <w:spacing w:before="0" w:after="0" w:line="311" w:lineRule="exact"/>
        <w:ind w:left="0" w:right="0" w:firstLine="720"/>
        <w:jc w:val="both"/>
      </w:pPr>
      <w:bookmarkStart w:id="978" w:name="bookmark978"/>
      <w:r>
        <w:rPr>
          <w:rFonts w:ascii="Arial" w:eastAsia="Arial" w:hAnsi="Arial" w:cs="Arial"/>
          <w:color w:val="000000"/>
          <w:spacing w:val="0"/>
          <w:w w:val="100"/>
          <w:position w:val="0"/>
          <w:sz w:val="24"/>
          <w:szCs w:val="24"/>
        </w:rPr>
        <w:t>（</w:t>
      </w:r>
      <w:bookmarkEnd w:id="978"/>
      <w:r>
        <w:rPr>
          <w:rFonts w:ascii="Arial" w:eastAsia="Arial" w:hAnsi="Arial" w:cs="Arial"/>
          <w:color w:val="000000"/>
          <w:spacing w:val="0"/>
          <w:w w:val="100"/>
          <w:position w:val="0"/>
          <w:sz w:val="24"/>
          <w:szCs w:val="24"/>
        </w:rPr>
        <w:t>4）</w:t>
        <w:tab/>
        <w:t>2016</w:t>
      </w:r>
      <w:r>
        <w:rPr>
          <w:color w:val="000000"/>
          <w:spacing w:val="0"/>
          <w:w w:val="100"/>
          <w:position w:val="0"/>
          <w:sz w:val="24"/>
          <w:szCs w:val="24"/>
        </w:rPr>
        <w:t>年</w:t>
      </w:r>
      <w:r>
        <w:rPr>
          <w:i/>
          <w:iCs/>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22</w:t>
      </w:r>
      <w:r>
        <w:rPr>
          <w:color w:val="000000"/>
          <w:spacing w:val="0"/>
          <w:w w:val="100"/>
          <w:position w:val="0"/>
          <w:sz w:val="24"/>
          <w:szCs w:val="24"/>
        </w:rPr>
        <w:t>日，本公司</w:t>
      </w:r>
      <w:r>
        <w:rPr>
          <w:rFonts w:ascii="Arial" w:eastAsia="Arial" w:hAnsi="Arial" w:cs="Arial"/>
          <w:color w:val="000000"/>
          <w:spacing w:val="0"/>
          <w:w w:val="100"/>
          <w:position w:val="0"/>
          <w:sz w:val="24"/>
          <w:szCs w:val="24"/>
        </w:rPr>
        <w:t>2015</w:t>
      </w:r>
      <w:r>
        <w:rPr>
          <w:color w:val="000000"/>
          <w:spacing w:val="0"/>
          <w:w w:val="100"/>
          <w:position w:val="0"/>
          <w:sz w:val="24"/>
          <w:szCs w:val="24"/>
        </w:rPr>
        <w:t>年年度股东大会审议通过了《关于部</w:t>
      </w:r>
    </w:p>
    <w:p>
      <w:pPr>
        <w:pStyle w:val="Style72"/>
        <w:keepNext w:val="0"/>
        <w:keepLines w:val="0"/>
        <w:widowControl w:val="0"/>
        <w:shd w:val="clear" w:color="auto" w:fill="auto"/>
        <w:bidi w:val="0"/>
        <w:spacing w:before="0" w:after="260" w:line="311" w:lineRule="exact"/>
        <w:ind w:left="1440" w:right="0" w:firstLine="0"/>
        <w:jc w:val="both"/>
      </w:pPr>
      <w:r>
        <w:rPr>
          <w:color w:val="000000"/>
          <w:spacing w:val="0"/>
          <w:w w:val="100"/>
          <w:position w:val="0"/>
          <w:sz w:val="24"/>
          <w:szCs w:val="24"/>
        </w:rPr>
        <w:t>分商标转让及使用许可的关联交易的议案》，在全球范围内，集团同意 苏宁控股集团及其子公司在其非主营业务范围内使用</w:t>
      </w:r>
      <w:r>
        <w:rPr>
          <w:rFonts w:ascii="Arial" w:eastAsia="Arial" w:hAnsi="Arial" w:cs="Arial"/>
          <w:color w:val="000000"/>
          <w:spacing w:val="0"/>
          <w:w w:val="100"/>
          <w:position w:val="0"/>
          <w:sz w:val="24"/>
          <w:szCs w:val="24"/>
        </w:rPr>
        <w:t>（</w:t>
      </w:r>
      <w:r>
        <w:rPr>
          <w:color w:val="000000"/>
          <w:spacing w:val="0"/>
          <w:w w:val="100"/>
          <w:position w:val="0"/>
          <w:sz w:val="24"/>
          <w:szCs w:val="24"/>
        </w:rPr>
        <w:t>包括许可使用和 再许可</w:t>
      </w:r>
      <w:r>
        <w:rPr>
          <w:rFonts w:ascii="Arial" w:eastAsia="Arial" w:hAnsi="Arial" w:cs="Arial"/>
          <w:color w:val="000000"/>
          <w:spacing w:val="0"/>
          <w:w w:val="100"/>
          <w:position w:val="0"/>
          <w:sz w:val="24"/>
          <w:szCs w:val="24"/>
        </w:rPr>
        <w:t>）</w:t>
      </w:r>
      <w:r>
        <w:rPr>
          <w:color w:val="000000"/>
          <w:spacing w:val="0"/>
          <w:w w:val="100"/>
          <w:position w:val="0"/>
          <w:sz w:val="24"/>
          <w:szCs w:val="24"/>
        </w:rPr>
        <w:t>带有</w:t>
      </w:r>
      <w:r>
        <w:rPr>
          <w:rFonts w:ascii="Arial" w:eastAsia="Arial" w:hAnsi="Arial" w:cs="Arial"/>
          <w:color w:val="000000"/>
          <w:spacing w:val="0"/>
          <w:w w:val="100"/>
          <w:position w:val="0"/>
          <w:sz w:val="24"/>
          <w:szCs w:val="24"/>
        </w:rPr>
        <w:t>“</w:t>
      </w:r>
      <w:r>
        <w:rPr>
          <w:color w:val="000000"/>
          <w:spacing w:val="0"/>
          <w:w w:val="100"/>
          <w:position w:val="0"/>
          <w:sz w:val="24"/>
          <w:szCs w:val="24"/>
        </w:rPr>
        <w:t>苏宁</w:t>
      </w:r>
      <w:r>
        <w:rPr>
          <w:rFonts w:ascii="Arial" w:eastAsia="Arial" w:hAnsi="Arial" w:cs="Arial"/>
          <w:color w:val="000000"/>
          <w:spacing w:val="0"/>
          <w:w w:val="100"/>
          <w:position w:val="0"/>
          <w:sz w:val="24"/>
          <w:szCs w:val="24"/>
        </w:rPr>
        <w:t>”</w:t>
      </w:r>
      <w:r>
        <w:rPr>
          <w:color w:val="000000"/>
          <w:spacing w:val="0"/>
          <w:w w:val="100"/>
          <w:position w:val="0"/>
          <w:sz w:val="24"/>
          <w:szCs w:val="24"/>
        </w:rPr>
        <w:t>字样的商标，即带</w:t>
      </w:r>
      <w:r>
        <w:rPr>
          <w:rFonts w:ascii="Arial" w:eastAsia="Arial" w:hAnsi="Arial" w:cs="Arial"/>
          <w:color w:val="000000"/>
          <w:spacing w:val="0"/>
          <w:w w:val="100"/>
          <w:position w:val="0"/>
          <w:sz w:val="24"/>
          <w:szCs w:val="24"/>
        </w:rPr>
        <w:t>“</w:t>
      </w:r>
      <w:r>
        <w:rPr>
          <w:color w:val="000000"/>
          <w:spacing w:val="0"/>
          <w:w w:val="100"/>
          <w:position w:val="0"/>
          <w:sz w:val="24"/>
          <w:szCs w:val="24"/>
        </w:rPr>
        <w:t>苏宁</w:t>
      </w:r>
      <w:r>
        <w:rPr>
          <w:rFonts w:ascii="Arial" w:eastAsia="Arial" w:hAnsi="Arial" w:cs="Arial"/>
          <w:color w:val="000000"/>
          <w:spacing w:val="0"/>
          <w:w w:val="100"/>
          <w:position w:val="0"/>
          <w:sz w:val="24"/>
          <w:szCs w:val="24"/>
        </w:rPr>
        <w:t>”</w:t>
      </w:r>
      <w:r>
        <w:rPr>
          <w:color w:val="000000"/>
          <w:spacing w:val="0"/>
          <w:w w:val="100"/>
          <w:position w:val="0"/>
          <w:sz w:val="24"/>
          <w:szCs w:val="24"/>
        </w:rPr>
        <w:t>字样</w:t>
      </w:r>
      <w:r>
        <w:rPr>
          <w:rFonts w:ascii="Arial" w:eastAsia="Arial" w:hAnsi="Arial" w:cs="Arial"/>
          <w:color w:val="000000"/>
          <w:spacing w:val="0"/>
          <w:w w:val="100"/>
          <w:position w:val="0"/>
          <w:sz w:val="24"/>
          <w:szCs w:val="24"/>
        </w:rPr>
        <w:t>（</w:t>
      </w:r>
      <w:r>
        <w:rPr>
          <w:color w:val="000000"/>
          <w:spacing w:val="0"/>
          <w:w w:val="100"/>
          <w:position w:val="0"/>
          <w:sz w:val="24"/>
          <w:szCs w:val="24"/>
        </w:rPr>
        <w:t>简体、繁体、拼音和 英文字母形式</w:t>
      </w:r>
      <w:r>
        <w:rPr>
          <w:rFonts w:ascii="Arial" w:eastAsia="Arial" w:hAnsi="Arial" w:cs="Arial"/>
          <w:color w:val="000000"/>
          <w:spacing w:val="0"/>
          <w:w w:val="100"/>
          <w:position w:val="0"/>
          <w:sz w:val="24"/>
          <w:szCs w:val="24"/>
        </w:rPr>
        <w:t>）</w:t>
      </w:r>
      <w:r>
        <w:rPr>
          <w:color w:val="000000"/>
          <w:spacing w:val="0"/>
          <w:w w:val="100"/>
          <w:position w:val="0"/>
          <w:sz w:val="24"/>
          <w:szCs w:val="24"/>
        </w:rPr>
        <w:t>的非主营业务范围的商标，包括但不限于下述商标单独、 组合或者设计形式:苏宁、</w:t>
      </w:r>
      <w:r>
        <w:rPr>
          <w:rFonts w:ascii="Arial" w:eastAsia="Arial" w:hAnsi="Arial" w:cs="Arial"/>
          <w:color w:val="000000"/>
          <w:spacing w:val="0"/>
          <w:w w:val="100"/>
          <w:position w:val="0"/>
          <w:sz w:val="24"/>
          <w:szCs w:val="24"/>
        </w:rPr>
        <w:t>s</w:t>
      </w:r>
      <w:r>
        <w:rPr>
          <w:color w:val="000000"/>
          <w:spacing w:val="0"/>
          <w:w w:val="100"/>
          <w:position w:val="0"/>
          <w:sz w:val="24"/>
          <w:szCs w:val="24"/>
        </w:rPr>
        <w:t>苏宁</w:t>
      </w:r>
      <w:r>
        <w:rPr>
          <w:color w:val="000000"/>
          <w:spacing w:val="0"/>
          <w:w w:val="100"/>
          <w:position w:val="0"/>
          <w:sz w:val="24"/>
          <w:szCs w:val="24"/>
        </w:rPr>
        <w:t>、</w:t>
      </w:r>
      <w:r>
        <w:rPr>
          <w:rFonts w:ascii="Arial" w:eastAsia="Arial" w:hAnsi="Arial" w:cs="Arial"/>
          <w:color w:val="000000"/>
          <w:spacing w:val="0"/>
          <w:w w:val="100"/>
          <w:position w:val="0"/>
          <w:sz w:val="24"/>
          <w:szCs w:val="24"/>
        </w:rPr>
        <w:t>S+</w:t>
      </w:r>
      <w:r>
        <w:rPr>
          <w:color w:val="000000"/>
          <w:spacing w:val="0"/>
          <w:w w:val="100"/>
          <w:position w:val="0"/>
          <w:sz w:val="24"/>
          <w:szCs w:val="24"/>
        </w:rPr>
        <w:t>苏宁</w:t>
      </w:r>
      <w:r>
        <w:rPr>
          <w:color w:val="000000"/>
          <w:spacing w:val="0"/>
          <w:w w:val="100"/>
          <w:position w:val="0"/>
          <w:sz w:val="24"/>
          <w:szCs w:val="24"/>
        </w:rPr>
        <w:t>、</w:t>
      </w:r>
      <w:r>
        <w:rPr>
          <w:rFonts w:ascii="Arial" w:eastAsia="Arial" w:hAnsi="Arial" w:cs="Arial"/>
          <w:color w:val="000000"/>
          <w:spacing w:val="0"/>
          <w:w w:val="100"/>
          <w:position w:val="0"/>
          <w:sz w:val="24"/>
          <w:szCs w:val="24"/>
        </w:rPr>
        <w:t>S+Suning</w:t>
      </w:r>
      <w:r>
        <w:rPr>
          <w:color w:val="000000"/>
          <w:spacing w:val="0"/>
          <w:w w:val="100"/>
          <w:position w:val="0"/>
          <w:sz w:val="24"/>
          <w:szCs w:val="24"/>
        </w:rPr>
        <w:t>、</w:t>
      </w:r>
      <w:r>
        <w:rPr>
          <w:rFonts w:ascii="Arial" w:eastAsia="Arial" w:hAnsi="Arial" w:cs="Arial"/>
          <w:color w:val="000000"/>
          <w:spacing w:val="0"/>
          <w:w w:val="100"/>
          <w:position w:val="0"/>
          <w:sz w:val="24"/>
          <w:szCs w:val="24"/>
        </w:rPr>
        <w:t>S+</w:t>
      </w:r>
      <w:r>
        <w:rPr>
          <w:color w:val="000000"/>
          <w:spacing w:val="0"/>
          <w:w w:val="100"/>
          <w:position w:val="0"/>
          <w:sz w:val="24"/>
          <w:szCs w:val="24"/>
        </w:rPr>
        <w:t>苏宁</w:t>
      </w:r>
      <w:r>
        <w:rPr>
          <w:rFonts w:ascii="Arial" w:eastAsia="Arial" w:hAnsi="Arial" w:cs="Arial"/>
          <w:color w:val="000000"/>
          <w:spacing w:val="0"/>
          <w:w w:val="100"/>
          <w:position w:val="0"/>
          <w:sz w:val="24"/>
          <w:szCs w:val="24"/>
        </w:rPr>
        <w:t>+Suning</w:t>
      </w:r>
      <w:r>
        <w:rPr>
          <w:color w:val="000000"/>
          <w:spacing w:val="0"/>
          <w:w w:val="100"/>
          <w:position w:val="0"/>
          <w:sz w:val="24"/>
          <w:szCs w:val="24"/>
        </w:rPr>
        <w:t xml:space="preserve">、 </w:t>
      </w:r>
      <w:r>
        <w:rPr>
          <w:color w:val="000000"/>
          <w:spacing w:val="0"/>
          <w:w w:val="100"/>
          <w:position w:val="0"/>
          <w:sz w:val="24"/>
          <w:szCs w:val="24"/>
        </w:rPr>
        <w:t>苏宁</w:t>
      </w:r>
      <w:r>
        <w:rPr>
          <w:rFonts w:ascii="Arial" w:eastAsia="Arial" w:hAnsi="Arial" w:cs="Arial"/>
          <w:color w:val="000000"/>
          <w:spacing w:val="0"/>
          <w:w w:val="100"/>
          <w:position w:val="0"/>
          <w:sz w:val="24"/>
          <w:szCs w:val="24"/>
        </w:rPr>
        <w:t>+S+SUNING</w:t>
      </w:r>
      <w:r>
        <w:rPr>
          <w:color w:val="000000"/>
          <w:spacing w:val="0"/>
          <w:w w:val="100"/>
          <w:position w:val="0"/>
          <w:sz w:val="24"/>
          <w:szCs w:val="24"/>
        </w:rPr>
        <w:t>、</w:t>
      </w:r>
      <w:r>
        <w:rPr>
          <w:rFonts w:ascii="Arial" w:eastAsia="Arial" w:hAnsi="Arial" w:cs="Arial"/>
          <w:color w:val="000000"/>
          <w:spacing w:val="0"/>
          <w:w w:val="100"/>
          <w:position w:val="0"/>
          <w:sz w:val="24"/>
          <w:szCs w:val="24"/>
        </w:rPr>
        <w:t>SUNING</w:t>
      </w:r>
      <w:r>
        <w:rPr>
          <w:color w:val="000000"/>
          <w:spacing w:val="0"/>
          <w:w w:val="100"/>
          <w:position w:val="0"/>
          <w:sz w:val="24"/>
          <w:szCs w:val="24"/>
        </w:rPr>
        <w:t>苏宁、苏宁</w:t>
      </w:r>
      <w:r>
        <w:rPr>
          <w:rFonts w:ascii="Arial" w:eastAsia="Arial" w:hAnsi="Arial" w:cs="Arial"/>
          <w:color w:val="000000"/>
          <w:spacing w:val="0"/>
          <w:w w:val="100"/>
          <w:position w:val="0"/>
          <w:sz w:val="24"/>
          <w:szCs w:val="24"/>
        </w:rPr>
        <w:t>（</w:t>
      </w:r>
      <w:r>
        <w:rPr>
          <w:color w:val="000000"/>
          <w:spacing w:val="0"/>
          <w:w w:val="100"/>
          <w:position w:val="0"/>
          <w:sz w:val="24"/>
          <w:szCs w:val="24"/>
        </w:rPr>
        <w:t>繁体</w:t>
      </w:r>
      <w:r>
        <w:rPr>
          <w:rFonts w:ascii="Arial" w:eastAsia="Arial" w:hAnsi="Arial" w:cs="Arial"/>
          <w:color w:val="000000"/>
          <w:spacing w:val="0"/>
          <w:w w:val="100"/>
          <w:position w:val="0"/>
          <w:sz w:val="24"/>
          <w:szCs w:val="24"/>
        </w:rPr>
        <w:t>）</w:t>
      </w:r>
      <w:r>
        <w:rPr>
          <w:color w:val="000000"/>
          <w:spacing w:val="0"/>
          <w:w w:val="100"/>
          <w:position w:val="0"/>
          <w:sz w:val="24"/>
          <w:szCs w:val="24"/>
        </w:rPr>
        <w:t>等，并且个别商标的注 册和</w:t>
      </w:r>
      <w:r>
        <w:rPr>
          <w:rFonts w:ascii="Arial" w:eastAsia="Arial" w:hAnsi="Arial" w:cs="Arial"/>
          <w:color w:val="000000"/>
          <w:spacing w:val="0"/>
          <w:w w:val="100"/>
          <w:position w:val="0"/>
          <w:sz w:val="24"/>
          <w:szCs w:val="24"/>
        </w:rPr>
        <w:t>/</w:t>
      </w:r>
      <w:r>
        <w:rPr>
          <w:color w:val="000000"/>
          <w:spacing w:val="0"/>
          <w:w w:val="100"/>
          <w:position w:val="0"/>
          <w:sz w:val="24"/>
          <w:szCs w:val="24"/>
        </w:rPr>
        <w:t>或使用国家除了中国还包括美国、香港、澳门、日本、朝鲜、文 莱、澳大利亚、欧盟等国家与地区。苏宁控股集团及下属公司在其经 营活动中需使用的商标如</w:t>
      </w:r>
      <w:r>
        <w:rPr>
          <w:rFonts w:ascii="Arial" w:eastAsia="Arial" w:hAnsi="Arial" w:cs="Arial"/>
          <w:color w:val="000000"/>
          <w:spacing w:val="0"/>
          <w:w w:val="100"/>
          <w:position w:val="0"/>
          <w:sz w:val="24"/>
          <w:szCs w:val="24"/>
        </w:rPr>
        <w:t>“</w:t>
      </w:r>
      <w:r>
        <w:rPr>
          <w:color w:val="000000"/>
          <w:spacing w:val="0"/>
          <w:w w:val="100"/>
          <w:position w:val="0"/>
          <w:sz w:val="24"/>
          <w:szCs w:val="24"/>
        </w:rPr>
        <w:t>苏宁控股</w:t>
      </w:r>
      <w:r>
        <w:rPr>
          <w:rFonts w:ascii="Arial" w:eastAsia="Arial" w:hAnsi="Arial" w:cs="Arial"/>
          <w:color w:val="000000"/>
          <w:spacing w:val="0"/>
          <w:w w:val="100"/>
          <w:position w:val="0"/>
          <w:sz w:val="24"/>
          <w:szCs w:val="24"/>
        </w:rPr>
        <w:t>”</w:t>
      </w:r>
      <w:r>
        <w:rPr>
          <w:color w:val="000000"/>
          <w:spacing w:val="0"/>
          <w:w w:val="100"/>
          <w:position w:val="0"/>
          <w:sz w:val="24"/>
          <w:szCs w:val="24"/>
        </w:rPr>
        <w:t>、</w:t>
      </w:r>
      <w:r>
        <w:rPr>
          <w:rFonts w:ascii="Arial" w:eastAsia="Arial" w:hAnsi="Arial" w:cs="Arial"/>
          <w:color w:val="000000"/>
          <w:spacing w:val="0"/>
          <w:w w:val="100"/>
          <w:position w:val="0"/>
          <w:sz w:val="24"/>
          <w:szCs w:val="24"/>
        </w:rPr>
        <w:t>“</w:t>
      </w:r>
      <w:r>
        <w:rPr>
          <w:color w:val="000000"/>
          <w:spacing w:val="0"/>
          <w:w w:val="100"/>
          <w:position w:val="0"/>
          <w:sz w:val="24"/>
          <w:szCs w:val="24"/>
        </w:rPr>
        <w:t>苏宁影业</w:t>
      </w:r>
      <w:r>
        <w:rPr>
          <w:rFonts w:ascii="Arial" w:eastAsia="Arial" w:hAnsi="Arial" w:cs="Arial"/>
          <w:color w:val="000000"/>
          <w:spacing w:val="0"/>
          <w:w w:val="100"/>
          <w:position w:val="0"/>
          <w:sz w:val="24"/>
          <w:szCs w:val="24"/>
        </w:rPr>
        <w:t>”</w:t>
      </w:r>
      <w:r>
        <w:rPr>
          <w:color w:val="000000"/>
          <w:spacing w:val="0"/>
          <w:w w:val="100"/>
          <w:position w:val="0"/>
          <w:sz w:val="24"/>
          <w:szCs w:val="24"/>
        </w:rPr>
        <w:t>、</w:t>
      </w:r>
      <w:r>
        <w:rPr>
          <w:rFonts w:ascii="Arial" w:eastAsia="Arial" w:hAnsi="Arial" w:cs="Arial"/>
          <w:color w:val="000000"/>
          <w:spacing w:val="0"/>
          <w:w w:val="100"/>
          <w:position w:val="0"/>
          <w:sz w:val="24"/>
          <w:szCs w:val="24"/>
        </w:rPr>
        <w:t>“</w:t>
      </w:r>
      <w:r>
        <w:rPr>
          <w:color w:val="000000"/>
          <w:spacing w:val="0"/>
          <w:w w:val="100"/>
          <w:position w:val="0"/>
          <w:sz w:val="24"/>
          <w:szCs w:val="24"/>
        </w:rPr>
        <w:t>苏宁投资</w:t>
      </w:r>
      <w:r>
        <w:rPr>
          <w:rFonts w:ascii="Arial" w:eastAsia="Arial" w:hAnsi="Arial" w:cs="Arial"/>
          <w:color w:val="000000"/>
          <w:spacing w:val="0"/>
          <w:w w:val="100"/>
          <w:position w:val="0"/>
          <w:sz w:val="24"/>
          <w:szCs w:val="24"/>
        </w:rPr>
        <w:t>”</w:t>
      </w:r>
      <w:r>
        <w:rPr>
          <w:color w:val="000000"/>
          <w:spacing w:val="0"/>
          <w:w w:val="100"/>
          <w:position w:val="0"/>
          <w:sz w:val="24"/>
          <w:szCs w:val="24"/>
        </w:rPr>
        <w:t>等公司 尚未进行注册申请，由于该类商标的使用领域均不属于其主营业务范 围，本集团同意由苏宁控股集团进行注册并使用。</w:t>
      </w:r>
    </w:p>
    <w:p>
      <w:pPr>
        <w:pStyle w:val="Style72"/>
        <w:keepNext w:val="0"/>
        <w:keepLines w:val="0"/>
        <w:widowControl w:val="0"/>
        <w:shd w:val="clear" w:color="auto" w:fill="auto"/>
        <w:bidi w:val="0"/>
        <w:spacing w:before="0" w:after="260" w:line="307" w:lineRule="exact"/>
        <w:ind w:left="1440" w:right="0" w:firstLine="0"/>
        <w:jc w:val="both"/>
      </w:pPr>
      <w:r>
        <w:rPr>
          <w:color w:val="000000"/>
          <w:spacing w:val="0"/>
          <w:w w:val="100"/>
          <w:position w:val="0"/>
          <w:sz w:val="24"/>
          <w:szCs w:val="24"/>
        </w:rPr>
        <w:t>苏宁控股集团每年就其及其子公司使用部分商标事宜向本集团支付商 标使用费用人民币</w:t>
      </w:r>
      <w:r>
        <w:rPr>
          <w:rFonts w:ascii="Arial" w:eastAsia="Arial" w:hAnsi="Arial" w:cs="Arial"/>
          <w:color w:val="000000"/>
          <w:spacing w:val="0"/>
          <w:w w:val="100"/>
          <w:position w:val="0"/>
          <w:sz w:val="24"/>
          <w:szCs w:val="24"/>
        </w:rPr>
        <w:t>200</w:t>
      </w:r>
      <w:r>
        <w:rPr>
          <w:color w:val="000000"/>
          <w:spacing w:val="0"/>
          <w:w w:val="100"/>
          <w:position w:val="0"/>
          <w:sz w:val="24"/>
          <w:szCs w:val="24"/>
        </w:rPr>
        <w:t>万元，其子公司不再另行支付。</w:t>
      </w:r>
    </w:p>
    <w:p>
      <w:pPr>
        <w:pStyle w:val="Style72"/>
        <w:keepNext w:val="0"/>
        <w:keepLines w:val="0"/>
        <w:widowControl w:val="0"/>
        <w:shd w:val="clear" w:color="auto" w:fill="auto"/>
        <w:bidi w:val="0"/>
        <w:spacing w:before="0" w:after="320" w:line="322" w:lineRule="exact"/>
        <w:ind w:left="1440" w:right="0" w:firstLine="0"/>
        <w:jc w:val="both"/>
      </w:pPr>
      <w:r>
        <w:rPr>
          <w:color w:val="000000"/>
          <w:spacing w:val="0"/>
          <w:w w:val="100"/>
          <w:position w:val="0"/>
          <w:sz w:val="24"/>
          <w:szCs w:val="24"/>
        </w:rPr>
        <w:t>本报告期内，苏宁控股集团尚未向本集团支付</w:t>
      </w:r>
      <w:r>
        <w:rPr>
          <w:rFonts w:ascii="Arial" w:eastAsia="Arial" w:hAnsi="Arial" w:cs="Arial"/>
          <w:color w:val="000000"/>
          <w:spacing w:val="0"/>
          <w:w w:val="100"/>
          <w:position w:val="0"/>
          <w:sz w:val="24"/>
          <w:szCs w:val="24"/>
        </w:rPr>
        <w:t>2021</w:t>
      </w:r>
      <w:r>
        <w:rPr>
          <w:color w:val="000000"/>
          <w:spacing w:val="0"/>
          <w:w w:val="100"/>
          <w:position w:val="0"/>
          <w:sz w:val="24"/>
          <w:szCs w:val="24"/>
        </w:rPr>
        <w:t>年度商标使用许可 费。</w:t>
      </w:r>
    </w:p>
    <w:p>
      <w:pPr>
        <w:pStyle w:val="Style72"/>
        <w:keepNext w:val="0"/>
        <w:keepLines w:val="0"/>
        <w:widowControl w:val="0"/>
        <w:shd w:val="clear" w:color="auto" w:fill="auto"/>
        <w:tabs>
          <w:tab w:pos="696" w:val="left"/>
        </w:tabs>
        <w:bidi w:val="0"/>
        <w:spacing w:before="0" w:after="260" w:line="271" w:lineRule="auto"/>
        <w:ind w:left="0" w:right="0" w:firstLine="0"/>
        <w:jc w:val="left"/>
      </w:pPr>
      <w:bookmarkStart w:id="979" w:name="bookmark979"/>
      <w:r>
        <w:rPr>
          <w:rFonts w:ascii="Arial" w:eastAsia="Arial" w:hAnsi="Arial" w:cs="Arial"/>
          <w:color w:val="000000"/>
          <w:spacing w:val="0"/>
          <w:w w:val="100"/>
          <w:position w:val="0"/>
          <w:sz w:val="24"/>
          <w:szCs w:val="24"/>
        </w:rPr>
        <w:t>（</w:t>
      </w:r>
      <w:bookmarkEnd w:id="979"/>
      <w:r>
        <w:rPr>
          <w:rFonts w:ascii="Arial" w:eastAsia="Arial" w:hAnsi="Arial" w:cs="Arial"/>
          <w:color w:val="000000"/>
          <w:spacing w:val="0"/>
          <w:w w:val="100"/>
          <w:position w:val="0"/>
          <w:sz w:val="24"/>
          <w:szCs w:val="24"/>
        </w:rPr>
        <w:t>t）</w:t>
        <w:tab/>
      </w:r>
      <w:r>
        <w:rPr>
          <w:color w:val="000000"/>
          <w:spacing w:val="0"/>
          <w:w w:val="100"/>
          <w:position w:val="0"/>
          <w:sz w:val="24"/>
          <w:szCs w:val="24"/>
        </w:rPr>
        <w:t>关键管理人员薪酬</w:t>
      </w:r>
    </w:p>
    <w:p>
      <w:pPr>
        <w:pStyle w:val="Style92"/>
        <w:keepNext w:val="0"/>
        <w:keepLines w:val="0"/>
        <w:widowControl w:val="0"/>
        <w:shd w:val="clear" w:color="auto" w:fill="auto"/>
        <w:tabs>
          <w:tab w:pos="2491" w:val="left"/>
        </w:tabs>
        <w:bidi w:val="0"/>
        <w:spacing w:before="0"/>
        <w:ind w:left="0" w:right="26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2020</w:t>
      </w:r>
      <w:r>
        <w:rPr>
          <w:rFonts w:ascii="SimSun" w:eastAsia="SimSun" w:hAnsi="SimSun" w:cs="SimSun"/>
          <w:color w:val="000000"/>
          <w:spacing w:val="0"/>
          <w:w w:val="100"/>
          <w:position w:val="0"/>
          <w:sz w:val="24"/>
          <w:szCs w:val="24"/>
        </w:rPr>
        <w:t>年度</w:t>
      </w:r>
    </w:p>
    <w:p>
      <w:pPr>
        <w:pStyle w:val="Style92"/>
        <w:keepNext w:val="0"/>
        <w:keepLines w:val="0"/>
        <w:widowControl w:val="0"/>
        <w:shd w:val="clear" w:color="auto" w:fill="auto"/>
        <w:tabs>
          <w:tab w:pos="3948" w:val="left"/>
          <w:tab w:pos="6439" w:val="left"/>
        </w:tabs>
        <w:bidi w:val="0"/>
        <w:spacing w:before="0" w:line="311" w:lineRule="exact"/>
        <w:ind w:left="0" w:right="0" w:firstLine="720"/>
        <w:jc w:val="both"/>
      </w:pPr>
      <w:r>
        <w:rPr>
          <w:rFonts w:ascii="SimSun" w:eastAsia="SimSun" w:hAnsi="SimSun" w:cs="SimSun"/>
          <w:color w:val="000000"/>
          <w:spacing w:val="0"/>
          <w:w w:val="100"/>
          <w:position w:val="0"/>
          <w:sz w:val="24"/>
          <w:szCs w:val="24"/>
        </w:rPr>
        <w:t>关键管理人员薪酬</w:t>
        <w:tab/>
      </w:r>
      <w:r>
        <w:rPr>
          <w:color w:val="000000"/>
          <w:spacing w:val="0"/>
          <w:w w:val="100"/>
          <w:position w:val="0"/>
          <w:sz w:val="24"/>
          <w:szCs w:val="24"/>
          <w:u w:val="single"/>
        </w:rPr>
        <w:t>14,769</w:t>
      </w:r>
      <w:r>
        <w:rPr>
          <w:color w:val="000000"/>
          <w:spacing w:val="0"/>
          <w:w w:val="100"/>
          <w:position w:val="0"/>
          <w:sz w:val="24"/>
          <w:szCs w:val="24"/>
        </w:rPr>
        <w:tab/>
      </w:r>
      <w:r>
        <w:rPr>
          <w:color w:val="000000"/>
          <w:spacing w:val="0"/>
          <w:w w:val="100"/>
          <w:position w:val="0"/>
          <w:sz w:val="24"/>
          <w:szCs w:val="24"/>
          <w:u w:val="single"/>
        </w:rPr>
        <w:t>18,370</w:t>
      </w:r>
    </w:p>
    <w:p>
      <w:pPr>
        <w:pStyle w:val="Style72"/>
        <w:keepNext w:val="0"/>
        <w:keepLines w:val="0"/>
        <w:widowControl w:val="0"/>
        <w:shd w:val="clear" w:color="auto" w:fill="auto"/>
        <w:tabs>
          <w:tab w:pos="696" w:val="left"/>
        </w:tabs>
        <w:bidi w:val="0"/>
        <w:spacing w:before="0" w:after="260" w:line="271" w:lineRule="auto"/>
        <w:ind w:left="0" w:right="0" w:firstLine="0"/>
        <w:jc w:val="left"/>
      </w:pPr>
      <w:bookmarkStart w:id="980" w:name="bookmark980"/>
      <w:r>
        <w:rPr>
          <w:rFonts w:ascii="Arial" w:eastAsia="Arial" w:hAnsi="Arial" w:cs="Arial"/>
          <w:color w:val="000000"/>
          <w:spacing w:val="0"/>
          <w:w w:val="100"/>
          <w:position w:val="0"/>
          <w:sz w:val="24"/>
          <w:szCs w:val="24"/>
        </w:rPr>
        <w:t>（</w:t>
      </w:r>
      <w:bookmarkEnd w:id="980"/>
      <w:r>
        <w:rPr>
          <w:rFonts w:ascii="Arial" w:eastAsia="Arial" w:hAnsi="Arial" w:cs="Arial"/>
          <w:color w:val="000000"/>
          <w:spacing w:val="0"/>
          <w:w w:val="100"/>
          <w:position w:val="0"/>
          <w:sz w:val="24"/>
          <w:szCs w:val="24"/>
        </w:rPr>
        <w:t>u）</w:t>
        <w:tab/>
      </w:r>
      <w:r>
        <w:rPr>
          <w:color w:val="000000"/>
          <w:spacing w:val="0"/>
          <w:w w:val="100"/>
          <w:position w:val="0"/>
          <w:sz w:val="24"/>
          <w:szCs w:val="24"/>
        </w:rPr>
        <w:t>接受财务顾问服务</w:t>
      </w:r>
    </w:p>
    <w:p>
      <w:pPr>
        <w:pStyle w:val="Style92"/>
        <w:keepNext w:val="0"/>
        <w:keepLines w:val="0"/>
        <w:widowControl w:val="0"/>
        <w:shd w:val="clear" w:color="auto" w:fill="auto"/>
        <w:tabs>
          <w:tab w:pos="2491" w:val="left"/>
        </w:tabs>
        <w:bidi w:val="0"/>
        <w:spacing w:before="0"/>
        <w:ind w:left="0" w:right="26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2020</w:t>
      </w:r>
      <w:r>
        <w:rPr>
          <w:rFonts w:ascii="SimSun" w:eastAsia="SimSun" w:hAnsi="SimSun" w:cs="SimSun"/>
          <w:color w:val="000000"/>
          <w:spacing w:val="0"/>
          <w:w w:val="100"/>
          <w:position w:val="0"/>
          <w:sz w:val="24"/>
          <w:szCs w:val="24"/>
        </w:rPr>
        <w:t>年度</w:t>
      </w:r>
    </w:p>
    <w:p>
      <w:pPr>
        <w:pStyle w:val="Style72"/>
        <w:keepNext w:val="0"/>
        <w:keepLines w:val="0"/>
        <w:widowControl w:val="0"/>
        <w:shd w:val="clear" w:color="auto" w:fill="auto"/>
        <w:tabs>
          <w:tab w:pos="3948" w:val="left"/>
          <w:tab w:pos="6439" w:val="left"/>
        </w:tabs>
        <w:bidi w:val="0"/>
        <w:spacing w:before="0" w:after="260" w:line="311" w:lineRule="exact"/>
        <w:ind w:left="0" w:right="0" w:firstLine="720"/>
        <w:jc w:val="left"/>
      </w:pPr>
      <w:r>
        <w:rPr>
          <w:color w:val="000000"/>
          <w:spacing w:val="0"/>
          <w:w w:val="100"/>
          <w:position w:val="0"/>
          <w:sz w:val="24"/>
          <w:szCs w:val="24"/>
        </w:rPr>
        <w:t>苏宁润东</w:t>
        <w:tab/>
        <w:t>-</w:t>
        <w:tab/>
      </w:r>
      <w:r>
        <w:rPr>
          <w:rFonts w:ascii="Arial" w:eastAsia="Arial" w:hAnsi="Arial" w:cs="Arial"/>
          <w:color w:val="000000"/>
          <w:spacing w:val="0"/>
          <w:w w:val="100"/>
          <w:position w:val="0"/>
          <w:sz w:val="24"/>
          <w:szCs w:val="24"/>
          <w:u w:val="single"/>
        </w:rPr>
        <w:t>1,811</w:t>
      </w:r>
      <w:r>
        <w:br w:type="page"/>
      </w:r>
    </w:p>
    <w:p>
      <w:pPr>
        <w:pStyle w:val="Style26"/>
        <w:keepNext w:val="0"/>
        <w:keepLines w:val="0"/>
        <w:widowControl w:val="0"/>
        <w:shd w:val="clear" w:color="auto" w:fill="auto"/>
        <w:bidi w:val="0"/>
        <w:spacing w:before="0" w:after="60" w:line="240" w:lineRule="auto"/>
        <w:ind w:left="715" w:right="0" w:firstLine="0"/>
        <w:jc w:val="left"/>
        <w:rPr>
          <w:sz w:val="24"/>
          <w:szCs w:val="24"/>
        </w:rPr>
      </w:pPr>
      <w:r>
        <w:rPr>
          <w:b/>
          <w:bCs/>
          <w:color w:val="000000"/>
          <w:spacing w:val="0"/>
          <w:w w:val="100"/>
          <w:position w:val="0"/>
          <w:sz w:val="24"/>
          <w:szCs w:val="24"/>
        </w:rPr>
        <w:t>财务报表附注</w:t>
      </w:r>
    </w:p>
    <w:p>
      <w:pPr>
        <w:pStyle w:val="Style26"/>
        <w:keepNext w:val="0"/>
        <w:keepLines w:val="0"/>
        <w:widowControl w:val="0"/>
        <w:shd w:val="clear" w:color="auto" w:fill="auto"/>
        <w:bidi w:val="0"/>
        <w:spacing w:before="0" w:after="60" w:line="240" w:lineRule="auto"/>
        <w:ind w:left="715" w:right="0" w:firstLine="0"/>
        <w:jc w:val="left"/>
        <w:rPr>
          <w:sz w:val="24"/>
          <w:szCs w:val="24"/>
        </w:rPr>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w:t>
      </w:r>
    </w:p>
    <w:p>
      <w:pPr>
        <w:pStyle w:val="Style26"/>
        <w:keepNext w:val="0"/>
        <w:keepLines w:val="0"/>
        <w:widowControl w:val="0"/>
        <w:shd w:val="clear" w:color="auto" w:fill="auto"/>
        <w:bidi w:val="0"/>
        <w:spacing w:before="0" w:after="60" w:line="240" w:lineRule="auto"/>
        <w:ind w:left="715" w:right="0" w:firstLine="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rFonts w:ascii="Arial" w:eastAsia="Arial" w:hAnsi="Arial" w:cs="Arial"/>
          <w:color w:val="000000"/>
          <w:spacing w:val="0"/>
          <w:w w:val="100"/>
          <w:position w:val="0"/>
          <w:sz w:val="18"/>
          <w:szCs w:val="18"/>
        </w:rPr>
        <w:t>）</w:t>
      </w:r>
    </w:p>
    <w:tbl>
      <w:tblPr>
        <w:tblOverlap w:val="never"/>
        <w:jc w:val="center"/>
        <w:tblLayout w:type="fixed"/>
      </w:tblPr>
      <w:tblGrid>
        <w:gridCol w:w="533"/>
        <w:gridCol w:w="3638"/>
        <w:gridCol w:w="2626"/>
        <w:gridCol w:w="1877"/>
      </w:tblGrid>
      <w:tr>
        <w:trPr>
          <w:trHeight w:val="44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八</w:t>
            </w: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8"/>
                <w:szCs w:val="28"/>
              </w:rPr>
            </w:pPr>
            <w:r>
              <w:rPr>
                <w:rFonts w:ascii="SimSun" w:eastAsia="SimSun" w:hAnsi="SimSun" w:cs="SimSun"/>
                <w:b/>
                <w:bCs/>
                <w:color w:val="000000"/>
                <w:spacing w:val="0"/>
                <w:w w:val="100"/>
                <w:position w:val="0"/>
                <w:sz w:val="24"/>
                <w:szCs w:val="24"/>
              </w:rPr>
              <w:t>关联方关系及其交易</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r>
      <w:tr>
        <w:trPr>
          <w:trHeight w:val="59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28"/>
                <w:szCs w:val="28"/>
              </w:rPr>
            </w:pPr>
            <w:r>
              <w:rPr>
                <w:rFonts w:ascii="SimSun" w:eastAsia="SimSun" w:hAnsi="SimSun" w:cs="SimSun"/>
                <w:b/>
                <w:bCs/>
                <w:color w:val="000000"/>
                <w:spacing w:val="0"/>
                <w:w w:val="100"/>
                <w:position w:val="0"/>
                <w:sz w:val="24"/>
                <w:szCs w:val="24"/>
              </w:rPr>
              <w:t>关联交易</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62" w:hRule="exact"/>
        </w:trPr>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left"/>
              <w:rPr>
                <w:sz w:val="24"/>
                <w:szCs w:val="24"/>
              </w:rPr>
            </w:pPr>
            <w:r>
              <w:rPr>
                <w:rFonts w:ascii="Arial" w:eastAsia="Arial" w:hAnsi="Arial" w:cs="Arial"/>
                <w:color w:val="000000"/>
                <w:spacing w:val="0"/>
                <w:w w:val="100"/>
                <w:position w:val="0"/>
                <w:sz w:val="24"/>
                <w:szCs w:val="24"/>
              </w:rPr>
              <w:t>(v)</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200"/>
              <w:jc w:val="both"/>
              <w:rPr>
                <w:sz w:val="24"/>
                <w:szCs w:val="24"/>
              </w:rPr>
            </w:pPr>
            <w:r>
              <w:rPr>
                <w:rFonts w:ascii="SimSun" w:eastAsia="SimSun" w:hAnsi="SimSun" w:cs="SimSun"/>
                <w:color w:val="000000"/>
                <w:spacing w:val="0"/>
                <w:w w:val="100"/>
                <w:position w:val="0"/>
                <w:sz w:val="24"/>
                <w:szCs w:val="24"/>
              </w:rPr>
              <w:t>收取关联方股利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云享仓储物流一期基金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372,691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349,949</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云享仓储物流二期基金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rPr>
                <w:sz w:val="24"/>
                <w:szCs w:val="24"/>
              </w:rPr>
            </w:pPr>
            <w:r>
              <w:rPr>
                <w:rFonts w:ascii="Arial" w:eastAsia="Arial" w:hAnsi="Arial" w:cs="Arial"/>
                <w:color w:val="000000"/>
                <w:spacing w:val="0"/>
                <w:w w:val="100"/>
                <w:position w:val="0"/>
                <w:sz w:val="24"/>
                <w:szCs w:val="24"/>
              </w:rPr>
              <w:t>30,325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491,509</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万达商管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167,672</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星图金服及其子公司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139,547</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深圳恒宁</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60,194</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云享仓储物流三期基金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22,221</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深创投</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6,630</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苏宁金石</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5,381</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403,016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1,243,103</w:t>
            </w:r>
          </w:p>
        </w:tc>
      </w:tr>
      <w:tr>
        <w:trPr>
          <w:trHeight w:val="1330" w:hRule="exact"/>
        </w:trPr>
        <w:tc>
          <w:tcPr>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0"/>
              <w:jc w:val="left"/>
              <w:rPr>
                <w:sz w:val="24"/>
                <w:szCs w:val="24"/>
              </w:rPr>
            </w:pPr>
            <w:r>
              <w:rPr>
                <w:rFonts w:ascii="Arial" w:eastAsia="Arial" w:hAnsi="Arial" w:cs="Arial"/>
                <w:color w:val="000000"/>
                <w:spacing w:val="0"/>
                <w:w w:val="100"/>
                <w:position w:val="0"/>
                <w:sz w:val="24"/>
                <w:szCs w:val="24"/>
              </w:rPr>
              <w:t>(w)</w:t>
            </w:r>
          </w:p>
        </w:tc>
        <w:tc>
          <w:tcPr>
            <w:tcBorders>
              <w:top w:val="single" w:sz="4"/>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200"/>
              <w:jc w:val="left"/>
              <w:rPr>
                <w:sz w:val="24"/>
                <w:szCs w:val="24"/>
              </w:rPr>
            </w:pPr>
            <w:r>
              <w:rPr>
                <w:rFonts w:ascii="SimSun" w:eastAsia="SimSun" w:hAnsi="SimSun" w:cs="SimSun"/>
                <w:color w:val="000000"/>
                <w:spacing w:val="0"/>
                <w:w w:val="100"/>
                <w:position w:val="0"/>
                <w:sz w:val="24"/>
                <w:szCs w:val="24"/>
              </w:rPr>
              <w:t>股权转让</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珠海普易物流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5,078,180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苏宁置业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628,500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深创投</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620" w:firstLine="0"/>
              <w:jc w:val="right"/>
              <w:rPr>
                <w:sz w:val="24"/>
                <w:szCs w:val="24"/>
              </w:rPr>
            </w:pPr>
            <w:r>
              <w:rPr>
                <w:rFonts w:ascii="Arial" w:eastAsia="Arial" w:hAnsi="Arial" w:cs="Arial"/>
                <w:color w:val="000000"/>
                <w:spacing w:val="0"/>
                <w:w w:val="100"/>
                <w:position w:val="0"/>
                <w:sz w:val="24"/>
                <w:szCs w:val="24"/>
              </w:rPr>
              <w:t>5,023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云享仓储物流三期基金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2,443,936</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云享仓储物流二期基金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226,756</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5,711,703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2,670,692</w:t>
            </w:r>
          </w:p>
        </w:tc>
      </w:tr>
      <w:tr>
        <w:trPr>
          <w:trHeight w:val="1330" w:hRule="exact"/>
        </w:trPr>
        <w:tc>
          <w:tcPr>
            <w:tcBorders/>
            <w:shd w:val="clear" w:color="auto" w:fill="FFFFFF"/>
            <w:vAlign w:val="top"/>
          </w:tcPr>
          <w:p>
            <w:pPr>
              <w:pStyle w:val="Style29"/>
              <w:keepNext w:val="0"/>
              <w:keepLines w:val="0"/>
              <w:widowControl w:val="0"/>
              <w:shd w:val="clear" w:color="auto" w:fill="auto"/>
              <w:bidi w:val="0"/>
              <w:spacing w:before="320" w:after="0" w:line="240" w:lineRule="auto"/>
              <w:ind w:left="0" w:right="0" w:firstLine="0"/>
              <w:jc w:val="left"/>
              <w:rPr>
                <w:sz w:val="24"/>
                <w:szCs w:val="24"/>
              </w:rPr>
            </w:pPr>
            <w:r>
              <w:rPr>
                <w:rFonts w:ascii="Arial" w:eastAsia="Arial" w:hAnsi="Arial" w:cs="Arial"/>
                <w:color w:val="000000"/>
                <w:spacing w:val="0"/>
                <w:w w:val="100"/>
                <w:position w:val="0"/>
                <w:sz w:val="24"/>
                <w:szCs w:val="24"/>
              </w:rPr>
              <w:t>(x)</w:t>
            </w:r>
          </w:p>
        </w:tc>
        <w:tc>
          <w:tcPr>
            <w:tcBorders>
              <w:top w:val="single" w:sz="4"/>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200"/>
              <w:jc w:val="left"/>
              <w:rPr>
                <w:sz w:val="24"/>
                <w:szCs w:val="24"/>
              </w:rPr>
            </w:pPr>
            <w:r>
              <w:rPr>
                <w:rFonts w:ascii="SimSun" w:eastAsia="SimSun" w:hAnsi="SimSun" w:cs="SimSun"/>
                <w:color w:val="000000"/>
                <w:spacing w:val="0"/>
                <w:w w:val="100"/>
                <w:position w:val="0"/>
                <w:sz w:val="24"/>
                <w:szCs w:val="24"/>
              </w:rPr>
              <w:t>支付被保理的应付账款</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85"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星图金服及其子公司</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4"/>
                <w:szCs w:val="24"/>
              </w:rPr>
            </w:pPr>
            <w:r>
              <w:rPr>
                <w:rFonts w:ascii="Arial" w:eastAsia="Arial" w:hAnsi="Arial" w:cs="Arial"/>
                <w:color w:val="000000"/>
                <w:spacing w:val="0"/>
                <w:w w:val="100"/>
                <w:position w:val="0"/>
                <w:sz w:val="24"/>
                <w:szCs w:val="24"/>
              </w:rPr>
              <w:t>8,683,613</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17,020,773</w:t>
            </w:r>
          </w:p>
        </w:tc>
      </w:tr>
    </w:tbl>
    <w:p>
      <w:pPr>
        <w:spacing w:lineRule="exact" w:line="1"/>
        <w:rPr>
          <w:sz w:val="2"/>
          <w:szCs w:val="2"/>
        </w:rPr>
      </w:pPr>
      <w:r>
        <w:br w:type="page"/>
      </w:r>
    </w:p>
    <w:p>
      <w:pPr>
        <w:pStyle w:val="Style72"/>
        <w:keepNext w:val="0"/>
        <w:keepLines w:val="0"/>
        <w:widowControl w:val="0"/>
        <w:shd w:val="clear" w:color="auto" w:fill="auto"/>
        <w:tabs>
          <w:tab w:pos="698" w:val="left"/>
        </w:tabs>
        <w:bidi w:val="0"/>
        <w:spacing w:before="0" w:after="300" w:line="240" w:lineRule="auto"/>
        <w:ind w:left="0" w:right="0" w:firstLine="0"/>
        <w:jc w:val="left"/>
        <w:rPr>
          <w:sz w:val="28"/>
          <w:szCs w:val="28"/>
        </w:rPr>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8"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（7）</w:t>
        <w:tab/>
      </w:r>
      <w:r>
        <w:rPr>
          <w:b/>
          <w:bCs/>
          <w:color w:val="000000"/>
          <w:spacing w:val="0"/>
          <w:w w:val="100"/>
          <w:position w:val="0"/>
          <w:sz w:val="24"/>
          <w:szCs w:val="24"/>
        </w:rPr>
        <w:t>关联方应收、应付款项余额</w:t>
      </w:r>
    </w:p>
    <w:p>
      <w:pPr>
        <w:pStyle w:val="Style72"/>
        <w:keepNext w:val="0"/>
        <w:keepLines w:val="0"/>
        <w:widowControl w:val="0"/>
        <w:shd w:val="clear" w:color="auto" w:fill="auto"/>
        <w:bidi w:val="0"/>
        <w:spacing w:before="0" w:after="300" w:line="240" w:lineRule="auto"/>
        <w:ind w:left="0" w:right="0" w:firstLine="720"/>
        <w:jc w:val="left"/>
      </w:pPr>
      <w:r>
        <w:rPr>
          <w:color w:val="000000"/>
          <w:spacing w:val="0"/>
          <w:w w:val="100"/>
          <w:position w:val="0"/>
          <w:sz w:val="24"/>
          <w:szCs w:val="24"/>
        </w:rPr>
        <w:t>应收关联方款项:</w:t>
      </w:r>
    </w:p>
    <w:tbl>
      <w:tblPr>
        <w:tblOverlap w:val="never"/>
        <w:jc w:val="right"/>
        <w:tblLayout w:type="fixed"/>
      </w:tblPr>
      <w:tblGrid>
        <w:gridCol w:w="1094"/>
        <w:gridCol w:w="3557"/>
        <w:gridCol w:w="1939"/>
        <w:gridCol w:w="1478"/>
      </w:tblGrid>
      <w:tr>
        <w:trPr>
          <w:trHeight w:val="576" w:hRule="exact"/>
        </w:trPr>
        <w:tc>
          <w:tcPr>
            <w:gridSpan w:val="2"/>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340" w:right="0" w:firstLine="0"/>
              <w:jc w:val="left"/>
              <w:rPr>
                <w:sz w:val="18"/>
                <w:szCs w:val="18"/>
              </w:rPr>
            </w:pPr>
            <w:r>
              <w:rPr>
                <w:rFonts w:ascii="SimSun" w:eastAsia="SimSun" w:hAnsi="SimSun" w:cs="SimSun"/>
                <w:color w:val="000000"/>
                <w:spacing w:val="0"/>
                <w:w w:val="100"/>
                <w:position w:val="0"/>
                <w:sz w:val="18"/>
                <w:szCs w:val="18"/>
              </w:rPr>
              <w:t>星图金服及其子公司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1,887,629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6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shd w:val="clear" w:color="auto" w:fill="FFFFFF"/>
            <w:vAlign w:val="bottom"/>
          </w:tcPr>
          <w:p>
            <w:pPr>
              <w:pStyle w:val="Style29"/>
              <w:keepNext w:val="0"/>
              <w:keepLines w:val="0"/>
              <w:widowControl w:val="0"/>
              <w:shd w:val="clear" w:color="auto" w:fill="auto"/>
              <w:bidi w:val="0"/>
              <w:spacing w:before="0" w:after="0" w:line="230" w:lineRule="exact"/>
              <w:ind w:left="340" w:right="0" w:firstLine="0"/>
              <w:jc w:val="left"/>
              <w:rPr>
                <w:sz w:val="18"/>
                <w:szCs w:val="18"/>
              </w:rPr>
            </w:pPr>
            <w:r>
              <w:rPr>
                <w:rFonts w:ascii="SimSun" w:eastAsia="SimSun" w:hAnsi="SimSun" w:cs="SimSun"/>
                <w:color w:val="000000"/>
                <w:spacing w:val="0"/>
                <w:w w:val="100"/>
                <w:position w:val="0"/>
                <w:sz w:val="18"/>
                <w:szCs w:val="18"/>
              </w:rPr>
              <w:t>苏宁小店及其子公司 苏宁置业集团旗下</w:t>
            </w:r>
            <w:r>
              <w:rPr>
                <w:rFonts w:ascii="Arial" w:eastAsia="Arial" w:hAnsi="Arial" w:cs="Arial"/>
                <w:color w:val="000000"/>
                <w:spacing w:val="0"/>
                <w:w w:val="100"/>
                <w:position w:val="0"/>
                <w:sz w:val="18"/>
                <w:szCs w:val="18"/>
              </w:rPr>
              <w:t>43</w:t>
            </w:r>
            <w:r>
              <w:rPr>
                <w:rFonts w:ascii="SimSun" w:eastAsia="SimSun" w:hAnsi="SimSun" w:cs="SimSun"/>
                <w:color w:val="000000"/>
                <w:spacing w:val="0"/>
                <w:w w:val="100"/>
                <w:position w:val="0"/>
                <w:sz w:val="18"/>
                <w:szCs w:val="18"/>
              </w:rPr>
              <w:t>家</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1,201,922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601,279</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置业、建材公司及分支机构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136,122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272,730</w:t>
            </w:r>
          </w:p>
        </w:tc>
      </w:tr>
      <w:tr>
        <w:trPr>
          <w:trHeight w:val="46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阿里巴巴</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苏宁控股集团旗下</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8"/>
                <w:szCs w:val="18"/>
              </w:rPr>
              <w:t>家</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104,130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133,340</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通视铭泰公司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38,206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39,649</w:t>
            </w:r>
          </w:p>
        </w:tc>
      </w:tr>
      <w:tr>
        <w:trPr>
          <w:trHeight w:val="46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苏宁体育用品</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苏宁控股集团旗下</w:t>
            </w:r>
            <w:r>
              <w:rPr>
                <w:rFonts w:ascii="Arial" w:eastAsia="Arial" w:hAnsi="Arial" w:cs="Arial"/>
                <w:color w:val="000000"/>
                <w:spacing w:val="0"/>
                <w:w w:val="100"/>
                <w:position w:val="0"/>
                <w:sz w:val="18"/>
                <w:szCs w:val="18"/>
              </w:rPr>
              <w:t>47</w:t>
            </w:r>
            <w:r>
              <w:rPr>
                <w:rFonts w:ascii="SimSun" w:eastAsia="SimSun" w:hAnsi="SimSun" w:cs="SimSun"/>
                <w:color w:val="000000"/>
                <w:spacing w:val="0"/>
                <w:w w:val="100"/>
                <w:position w:val="0"/>
                <w:sz w:val="18"/>
                <w:szCs w:val="18"/>
              </w:rPr>
              <w:t>家</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33,558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4,168</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影城、影院公司及分支机构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28,476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29,842</w:t>
            </w:r>
          </w:p>
        </w:tc>
      </w:tr>
      <w:tr>
        <w:trPr>
          <w:trHeight w:val="46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上海骋娱</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苏宁置业集团旗下</w:t>
            </w:r>
            <w:r>
              <w:rPr>
                <w:rFonts w:ascii="Arial" w:eastAsia="Arial" w:hAnsi="Arial" w:cs="Arial"/>
                <w:color w:val="000000"/>
                <w:spacing w:val="0"/>
                <w:w w:val="100"/>
                <w:position w:val="0"/>
                <w:sz w:val="18"/>
                <w:szCs w:val="18"/>
              </w:rPr>
              <w:t>65</w:t>
            </w:r>
            <w:r>
              <w:rPr>
                <w:rFonts w:ascii="SimSun" w:eastAsia="SimSun" w:hAnsi="SimSun" w:cs="SimSun"/>
                <w:color w:val="000000"/>
                <w:spacing w:val="0"/>
                <w:w w:val="100"/>
                <w:position w:val="0"/>
                <w:sz w:val="18"/>
                <w:szCs w:val="18"/>
              </w:rPr>
              <w:t>家银河物业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12,749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12,745</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12,684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2,916</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苏宁体育文化传媒</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9,105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146,666</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56,129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184,633</w:t>
            </w:r>
          </w:p>
        </w:tc>
      </w:tr>
      <w:tr>
        <w:trPr>
          <w:trHeight w:val="25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3,520,710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1,427,968</w:t>
            </w:r>
          </w:p>
        </w:tc>
      </w:tr>
      <w:tr>
        <w:trPr>
          <w:trHeight w:val="50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59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预付账款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苏宁小店及其子公司</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 xml:space="preserve">苏宁控股集团旗下 </w:t>
            </w:r>
            <w:r>
              <w:rPr>
                <w:rFonts w:ascii="Arial" w:eastAsia="Arial" w:hAnsi="Arial" w:cs="Arial"/>
                <w:color w:val="000000"/>
                <w:spacing w:val="0"/>
                <w:w w:val="100"/>
                <w:position w:val="0"/>
                <w:sz w:val="18"/>
                <w:szCs w:val="18"/>
              </w:rPr>
              <w:t xml:space="preserve">3 </w:t>
            </w:r>
            <w:r>
              <w:rPr>
                <w:rFonts w:ascii="SimSun" w:eastAsia="SimSun" w:hAnsi="SimSun" w:cs="SimSun"/>
                <w:color w:val="000000"/>
                <w:spacing w:val="0"/>
                <w:w w:val="100"/>
                <w:position w:val="0"/>
                <w:sz w:val="18"/>
                <w:szCs w:val="18"/>
              </w:rPr>
              <w:t>家通视</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519,109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预付账款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铭泰公司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100,465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199,366</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预付账款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日本</w:t>
            </w:r>
            <w:r>
              <w:rPr>
                <w:rFonts w:ascii="Arial" w:eastAsia="Arial" w:hAnsi="Arial" w:cs="Arial"/>
                <w:color w:val="000000"/>
                <w:spacing w:val="0"/>
                <w:w w:val="100"/>
                <w:position w:val="0"/>
                <w:sz w:val="18"/>
                <w:szCs w:val="18"/>
              </w:rPr>
              <w:t>LAOX</w:t>
            </w:r>
            <w:r>
              <w:rPr>
                <w:rFonts w:ascii="SimSun" w:eastAsia="SimSun" w:hAnsi="SimSun" w:cs="SimSun"/>
                <w:color w:val="000000"/>
                <w:spacing w:val="0"/>
                <w:w w:val="100"/>
                <w:position w:val="0"/>
                <w:sz w:val="18"/>
                <w:szCs w:val="18"/>
              </w:rPr>
              <w:t>集团</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39,719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34,779</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预付账款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上海沪申</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460" w:firstLine="0"/>
              <w:jc w:val="right"/>
              <w:rPr>
                <w:sz w:val="18"/>
                <w:szCs w:val="18"/>
              </w:rPr>
            </w:pPr>
            <w:r>
              <w:rPr>
                <w:rFonts w:ascii="Arial" w:eastAsia="Arial" w:hAnsi="Arial" w:cs="Arial"/>
                <w:color w:val="000000"/>
                <w:spacing w:val="0"/>
                <w:w w:val="100"/>
                <w:position w:val="0"/>
                <w:sz w:val="18"/>
                <w:szCs w:val="18"/>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19,355</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预付账款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阿里巴巴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4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152,810</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预付账款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3,943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42,729</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663,239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449,039</w:t>
            </w:r>
          </w:p>
        </w:tc>
      </w:tr>
    </w:tbl>
    <w:p>
      <w:pPr>
        <w:spacing w:lineRule="exact" w:line="1"/>
        <w:rPr>
          <w:sz w:val="2"/>
          <w:szCs w:val="2"/>
        </w:rPr>
      </w:pPr>
      <w:r>
        <w:br w:type="page"/>
      </w:r>
    </w:p>
    <w:p>
      <w:pPr>
        <w:pStyle w:val="Style72"/>
        <w:keepNext w:val="0"/>
        <w:keepLines w:val="0"/>
        <w:widowControl w:val="0"/>
        <w:shd w:val="clear" w:color="auto" w:fill="auto"/>
        <w:tabs>
          <w:tab w:pos="698" w:val="left"/>
        </w:tabs>
        <w:bidi w:val="0"/>
        <w:spacing w:before="0" w:after="300" w:line="240" w:lineRule="auto"/>
        <w:ind w:left="0" w:right="0" w:firstLine="0"/>
        <w:jc w:val="left"/>
        <w:rPr>
          <w:sz w:val="28"/>
          <w:szCs w:val="28"/>
        </w:rPr>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8" w:val="left"/>
        </w:tabs>
        <w:bidi w:val="0"/>
        <w:spacing w:before="0" w:after="300" w:line="240" w:lineRule="auto"/>
        <w:ind w:left="0" w:right="0" w:firstLine="0"/>
        <w:jc w:val="left"/>
        <w:rPr>
          <w:sz w:val="28"/>
          <w:szCs w:val="28"/>
        </w:rPr>
      </w:pPr>
      <w:r>
        <w:rPr>
          <w:color w:val="000000"/>
          <w:spacing w:val="0"/>
          <w:w w:val="100"/>
          <w:position w:val="0"/>
          <w:sz w:val="24"/>
          <w:szCs w:val="24"/>
        </w:rPr>
        <w:t>（7）</w:t>
        <w:tab/>
      </w:r>
      <w:r>
        <w:rPr>
          <w:rFonts w:ascii="SimSun" w:eastAsia="SimSun" w:hAnsi="SimSun" w:cs="SimSun"/>
          <w:b/>
          <w:bCs/>
          <w:color w:val="000000"/>
          <w:spacing w:val="0"/>
          <w:w w:val="100"/>
          <w:position w:val="0"/>
          <w:sz w:val="24"/>
          <w:szCs w:val="24"/>
        </w:rPr>
        <w:t>关联方余额</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220" w:line="240" w:lineRule="auto"/>
        <w:ind w:left="0" w:right="0" w:firstLine="720"/>
        <w:jc w:val="left"/>
      </w:pPr>
      <w:r>
        <w:rPr>
          <w:b/>
          <w:bCs/>
          <w:color w:val="000000"/>
          <w:spacing w:val="0"/>
          <w:w w:val="100"/>
          <w:position w:val="0"/>
          <w:sz w:val="24"/>
          <w:szCs w:val="24"/>
        </w:rPr>
        <w:t>应收关联方款项（续）:</w:t>
      </w:r>
    </w:p>
    <w:tbl>
      <w:tblPr>
        <w:tblOverlap w:val="never"/>
        <w:jc w:val="right"/>
        <w:tblLayout w:type="fixed"/>
      </w:tblPr>
      <w:tblGrid>
        <w:gridCol w:w="1262"/>
        <w:gridCol w:w="3610"/>
        <w:gridCol w:w="1714"/>
        <w:gridCol w:w="1459"/>
      </w:tblGrid>
      <w:tr>
        <w:trPr>
          <w:trHeight w:val="581" w:hRule="exact"/>
        </w:trPr>
        <w:tc>
          <w:tcPr>
            <w:gridSpan w:val="2"/>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苏宁置业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677,815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629</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苏宁置业集团旗下</w:t>
            </w:r>
            <w:r>
              <w:rPr>
                <w:rFonts w:ascii="Arial" w:eastAsia="Arial" w:hAnsi="Arial" w:cs="Arial"/>
                <w:color w:val="000000"/>
                <w:spacing w:val="0"/>
                <w:w w:val="100"/>
                <w:position w:val="0"/>
                <w:sz w:val="18"/>
                <w:szCs w:val="18"/>
              </w:rPr>
              <w:t>43</w:t>
            </w:r>
            <w:r>
              <w:rPr>
                <w:rFonts w:ascii="SimSun" w:eastAsia="SimSun" w:hAnsi="SimSun" w:cs="SimSun"/>
                <w:color w:val="000000"/>
                <w:spacing w:val="0"/>
                <w:w w:val="100"/>
                <w:position w:val="0"/>
                <w:sz w:val="18"/>
                <w:szCs w:val="18"/>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置业、建材公司及分支机构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87,980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苏宁控股集团旗下</w:t>
            </w:r>
            <w:r>
              <w:rPr>
                <w:rFonts w:ascii="Arial" w:eastAsia="Arial" w:hAnsi="Arial" w:cs="Arial"/>
                <w:color w:val="000000"/>
                <w:spacing w:val="0"/>
                <w:w w:val="100"/>
                <w:position w:val="0"/>
                <w:sz w:val="18"/>
                <w:szCs w:val="18"/>
              </w:rPr>
              <w:t>47</w:t>
            </w:r>
            <w:r>
              <w:rPr>
                <w:rFonts w:ascii="SimSun" w:eastAsia="SimSun" w:hAnsi="SimSun" w:cs="SimSun"/>
                <w:color w:val="000000"/>
                <w:spacing w:val="0"/>
                <w:w w:val="100"/>
                <w:position w:val="0"/>
                <w:sz w:val="18"/>
                <w:szCs w:val="18"/>
              </w:rPr>
              <w:t>家影城、影院公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36,903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4,274</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苏宁控股集团旗下其余</w:t>
            </w:r>
            <w:r>
              <w:rPr>
                <w:rFonts w:ascii="Arial" w:eastAsia="Arial" w:hAnsi="Arial" w:cs="Arial"/>
                <w:color w:val="000000"/>
                <w:spacing w:val="0"/>
                <w:w w:val="100"/>
                <w:position w:val="0"/>
                <w:sz w:val="18"/>
                <w:szCs w:val="18"/>
              </w:rPr>
              <w:t>11</w:t>
            </w:r>
            <w:r>
              <w:rPr>
                <w:rFonts w:ascii="SimSun" w:eastAsia="SimSun" w:hAnsi="SimSun" w:cs="SimSun"/>
                <w:color w:val="000000"/>
                <w:spacing w:val="0"/>
                <w:w w:val="100"/>
                <w:position w:val="0"/>
                <w:sz w:val="18"/>
                <w:szCs w:val="18"/>
              </w:rPr>
              <w:t>家体育</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29,613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3,323</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深创投</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19,715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113,784</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北京京朝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13,307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8,689</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阿里巴巴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10,429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404,366</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131,032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23,566</w:t>
            </w:r>
          </w:p>
        </w:tc>
      </w:tr>
      <w:tr>
        <w:trPr>
          <w:trHeight w:val="25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1,006,794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558,637</w:t>
            </w:r>
          </w:p>
        </w:tc>
      </w:tr>
      <w:tr>
        <w:trPr>
          <w:trHeight w:val="49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81,774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98,345</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万达商管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18,384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132,390</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上海沪申</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8,977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26,284</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津宁易达物流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6,502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18,562</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湖南苏宁易达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4,498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12,780</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南京禄昌</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4,379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13,054</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沈阳苏宁易达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4,204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14,168</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西安高新区苏宁易达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4,000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重庆首恒</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3,789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12,130</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三水苏宁易达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3,699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10,513</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苏宁置业集团旗下</w:t>
            </w:r>
            <w:r>
              <w:rPr>
                <w:rFonts w:ascii="Arial" w:eastAsia="Arial" w:hAnsi="Arial" w:cs="Arial"/>
                <w:color w:val="000000"/>
                <w:spacing w:val="0"/>
                <w:w w:val="100"/>
                <w:position w:val="0"/>
                <w:sz w:val="18"/>
                <w:szCs w:val="18"/>
              </w:rPr>
              <w:t>65</w:t>
            </w:r>
            <w:r>
              <w:rPr>
                <w:rFonts w:ascii="SimSun" w:eastAsia="SimSun" w:hAnsi="SimSun" w:cs="SimSun"/>
                <w:color w:val="000000"/>
                <w:spacing w:val="0"/>
                <w:w w:val="100"/>
                <w:position w:val="0"/>
                <w:sz w:val="18"/>
                <w:szCs w:val="18"/>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银河物业公司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3,322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19,957</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湖北苏宁物流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2,847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7,968</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其他流动资产</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其他关联方</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23,729</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89,412</w:t>
            </w:r>
          </w:p>
        </w:tc>
      </w:tr>
    </w:tbl>
    <w:p>
      <w:pPr>
        <w:pStyle w:val="Style26"/>
        <w:keepNext w:val="0"/>
        <w:keepLines w:val="0"/>
        <w:widowControl w:val="0"/>
        <w:shd w:val="clear" w:color="auto" w:fill="auto"/>
        <w:bidi w:val="0"/>
        <w:spacing w:before="0" w:after="0" w:line="240" w:lineRule="auto"/>
        <w:ind w:left="5434" w:right="0" w:firstLine="0"/>
        <w:jc w:val="left"/>
        <w:rPr>
          <w:sz w:val="18"/>
          <w:szCs w:val="18"/>
        </w:rPr>
      </w:pPr>
      <w:r>
        <w:rPr>
          <w:rFonts w:ascii="Arial" w:eastAsia="Arial" w:hAnsi="Arial" w:cs="Arial"/>
          <w:color w:val="000000"/>
          <w:spacing w:val="0"/>
          <w:w w:val="100"/>
          <w:position w:val="0"/>
          <w:sz w:val="18"/>
          <w:szCs w:val="18"/>
          <w:u w:val="single"/>
        </w:rPr>
        <w:t>170,104</w:t>
      </w: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u w:val="single"/>
        </w:rPr>
        <w:t>455,563</w:t>
      </w:r>
      <w:r>
        <w:br w:type="page"/>
      </w:r>
    </w:p>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280" w:line="240" w:lineRule="auto"/>
        <w:ind w:left="0" w:right="0" w:firstLine="72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tabs>
          <w:tab w:pos="698" w:val="left"/>
        </w:tabs>
        <w:bidi w:val="0"/>
        <w:spacing w:before="0" w:after="280" w:line="240" w:lineRule="auto"/>
        <w:ind w:left="0" w:right="0" w:firstLine="0"/>
        <w:jc w:val="left"/>
        <w:rPr>
          <w:sz w:val="28"/>
          <w:szCs w:val="28"/>
        </w:rPr>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8" w:val="left"/>
        </w:tabs>
        <w:bidi w:val="0"/>
        <w:spacing w:before="0" w:after="280" w:line="240" w:lineRule="auto"/>
        <w:ind w:left="0" w:right="0" w:firstLine="0"/>
        <w:jc w:val="left"/>
      </w:pPr>
      <w:r>
        <w:rPr>
          <w:rFonts w:ascii="Arial" w:eastAsia="Arial" w:hAnsi="Arial" w:cs="Arial"/>
          <w:color w:val="000000"/>
          <w:spacing w:val="0"/>
          <w:w w:val="100"/>
          <w:position w:val="0"/>
          <w:sz w:val="24"/>
          <w:szCs w:val="24"/>
        </w:rPr>
        <w:t>（7）</w:t>
        <w:tab/>
      </w:r>
      <w:r>
        <w:rPr>
          <w:b/>
          <w:bCs/>
          <w:color w:val="000000"/>
          <w:spacing w:val="0"/>
          <w:w w:val="100"/>
          <w:position w:val="0"/>
          <w:sz w:val="24"/>
          <w:szCs w:val="24"/>
        </w:rPr>
        <w:t>应收、应付关联方款项余额</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bidi w:val="0"/>
        <w:spacing w:before="0" w:after="280" w:line="240" w:lineRule="auto"/>
        <w:ind w:left="0" w:right="0" w:firstLine="720"/>
        <w:jc w:val="left"/>
      </w:pPr>
      <w:r>
        <w:rPr>
          <w:color w:val="000000"/>
          <w:spacing w:val="0"/>
          <w:w w:val="100"/>
          <w:position w:val="0"/>
          <w:sz w:val="24"/>
          <w:szCs w:val="24"/>
        </w:rPr>
        <w:t>应收关联方款项</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tbl>
      <w:tblPr>
        <w:tblOverlap w:val="never"/>
        <w:jc w:val="right"/>
        <w:tblLayout w:type="fixed"/>
      </w:tblPr>
      <w:tblGrid>
        <w:gridCol w:w="1176"/>
        <w:gridCol w:w="3288"/>
        <w:gridCol w:w="2126"/>
        <w:gridCol w:w="1478"/>
      </w:tblGrid>
      <w:tr>
        <w:trPr>
          <w:trHeight w:val="576" w:hRule="exact"/>
        </w:trPr>
        <w:tc>
          <w:tcPr>
            <w:gridSpan w:val="2"/>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万达商管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59,380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58,951</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资产管理公司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54,859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23,116</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珠海普易物流及其子公司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10,777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上海沪申</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5,360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5,360</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津宁易达物流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4,233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4,233</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湖南苏宁易达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3,860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3,860</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三水苏宁易达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3,160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3,160</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江苏辰逸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2,840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2,840</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南京禄昌</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2,794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7,736</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沈阳苏宁物流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2,641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2,641</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重庆首恒</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2,436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2,436</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苏宁置业清凉门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2,241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2,241</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陕西苏宁易达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2,080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2,080</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13,956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9,488</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170,617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128,142</w:t>
            </w:r>
          </w:p>
        </w:tc>
      </w:tr>
      <w:tr>
        <w:trPr>
          <w:trHeight w:val="667" w:hRule="exact"/>
        </w:trPr>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应付关联方款项：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星图金服及其子公司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2,030,606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6,289,284</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阿里巴巴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582,562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42,527</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日本</w:t>
            </w:r>
            <w:r>
              <w:rPr>
                <w:rFonts w:ascii="Arial" w:eastAsia="Arial" w:hAnsi="Arial" w:cs="Arial"/>
                <w:color w:val="000000"/>
                <w:spacing w:val="0"/>
                <w:w w:val="100"/>
                <w:position w:val="0"/>
                <w:sz w:val="18"/>
                <w:szCs w:val="18"/>
              </w:rPr>
              <w:t>LAOX</w:t>
            </w:r>
            <w:r>
              <w:rPr>
                <w:rFonts w:ascii="SimSun" w:eastAsia="SimSun" w:hAnsi="SimSun" w:cs="SimSun"/>
                <w:color w:val="000000"/>
                <w:spacing w:val="0"/>
                <w:w w:val="100"/>
                <w:position w:val="0"/>
                <w:sz w:val="18"/>
                <w:szCs w:val="18"/>
              </w:rPr>
              <w:t>集团</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47,424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45,859</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苏宁控股集团旗下其余</w:t>
            </w:r>
            <w:r>
              <w:rPr>
                <w:rFonts w:ascii="Arial" w:eastAsia="Arial" w:hAnsi="Arial" w:cs="Arial"/>
                <w:color w:val="000000"/>
                <w:spacing w:val="0"/>
                <w:w w:val="100"/>
                <w:position w:val="0"/>
                <w:sz w:val="18"/>
                <w:szCs w:val="18"/>
              </w:rPr>
              <w:t>11</w:t>
            </w:r>
            <w:r>
              <w:rPr>
                <w:rFonts w:ascii="SimSun" w:eastAsia="SimSun" w:hAnsi="SimSun" w:cs="SimSun"/>
                <w:color w:val="000000"/>
                <w:spacing w:val="0"/>
                <w:w w:val="100"/>
                <w:position w:val="0"/>
                <w:sz w:val="18"/>
                <w:szCs w:val="18"/>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体育公司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17,620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17,331</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苏宁体育用品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15,659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12,055</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苏宁控股集团旗下</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8"/>
                <w:szCs w:val="18"/>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通视铭泰公司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rFonts w:ascii="Arial" w:eastAsia="Arial" w:hAnsi="Arial" w:cs="Arial"/>
                <w:color w:val="000000"/>
                <w:spacing w:val="0"/>
                <w:w w:val="100"/>
                <w:position w:val="0"/>
                <w:sz w:val="18"/>
                <w:szCs w:val="18"/>
              </w:rPr>
              <w:t>7,655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21,870</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54,322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367,695</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rFonts w:ascii="Arial" w:eastAsia="Arial" w:hAnsi="Arial" w:cs="Arial"/>
                <w:color w:val="000000"/>
                <w:spacing w:val="0"/>
                <w:w w:val="100"/>
                <w:position w:val="0"/>
                <w:sz w:val="18"/>
                <w:szCs w:val="18"/>
              </w:rPr>
              <w:t>2,755,848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6,796,621</w:t>
            </w:r>
          </w:p>
        </w:tc>
      </w:tr>
    </w:tbl>
    <w:p>
      <w:pPr>
        <w:spacing w:lineRule="exact" w:line="1"/>
        <w:rPr>
          <w:sz w:val="2"/>
          <w:szCs w:val="2"/>
        </w:rPr>
      </w:pPr>
      <w:r>
        <w:br w:type="page"/>
      </w:r>
    </w:p>
    <w:p>
      <w:pPr>
        <w:pStyle w:val="Style72"/>
        <w:keepNext w:val="0"/>
        <w:keepLines w:val="0"/>
        <w:widowControl w:val="0"/>
        <w:shd w:val="clear" w:color="auto" w:fill="auto"/>
        <w:tabs>
          <w:tab w:pos="698" w:val="left"/>
        </w:tabs>
        <w:bidi w:val="0"/>
        <w:spacing w:before="0" w:after="300" w:line="240" w:lineRule="auto"/>
        <w:ind w:left="0" w:right="0" w:firstLine="0"/>
        <w:jc w:val="left"/>
        <w:rPr>
          <w:sz w:val="28"/>
          <w:szCs w:val="28"/>
        </w:rPr>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8" w:val="left"/>
        </w:tabs>
        <w:bidi w:val="0"/>
        <w:spacing w:before="0" w:after="300" w:line="240" w:lineRule="auto"/>
        <w:ind w:left="0" w:right="0" w:firstLine="0"/>
        <w:jc w:val="left"/>
        <w:rPr>
          <w:sz w:val="28"/>
          <w:szCs w:val="28"/>
        </w:rPr>
      </w:pPr>
      <w:r>
        <w:rPr>
          <w:color w:val="000000"/>
          <w:spacing w:val="0"/>
          <w:w w:val="100"/>
          <w:position w:val="0"/>
          <w:sz w:val="24"/>
          <w:szCs w:val="24"/>
        </w:rPr>
        <w:t>（7）</w:t>
        <w:tab/>
      </w:r>
      <w:r>
        <w:rPr>
          <w:rFonts w:ascii="SimSun" w:eastAsia="SimSun" w:hAnsi="SimSun" w:cs="SimSun"/>
          <w:b/>
          <w:bCs/>
          <w:color w:val="000000"/>
          <w:spacing w:val="0"/>
          <w:w w:val="100"/>
          <w:position w:val="0"/>
          <w:sz w:val="24"/>
          <w:szCs w:val="24"/>
        </w:rPr>
        <w:t>关联方余额</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220" w:line="240" w:lineRule="auto"/>
        <w:ind w:left="0" w:right="0" w:firstLine="720"/>
        <w:jc w:val="left"/>
      </w:pPr>
      <w:r>
        <w:rPr>
          <w:b/>
          <w:bCs/>
          <w:color w:val="000000"/>
          <w:spacing w:val="0"/>
          <w:w w:val="100"/>
          <w:position w:val="0"/>
          <w:sz w:val="24"/>
          <w:szCs w:val="24"/>
        </w:rPr>
        <w:t>应收关联方款项（续）:</w:t>
      </w:r>
    </w:p>
    <w:tbl>
      <w:tblPr>
        <w:tblOverlap w:val="never"/>
        <w:jc w:val="right"/>
        <w:tblLayout w:type="fixed"/>
      </w:tblPr>
      <w:tblGrid>
        <w:gridCol w:w="1090"/>
        <w:gridCol w:w="3562"/>
        <w:gridCol w:w="1939"/>
        <w:gridCol w:w="1478"/>
      </w:tblGrid>
      <w:tr>
        <w:trPr>
          <w:trHeight w:val="576" w:hRule="exact"/>
        </w:trPr>
        <w:tc>
          <w:tcPr>
            <w:gridSpan w:val="2"/>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苏宁控股集团旗下</w:t>
            </w:r>
            <w:r>
              <w:rPr>
                <w:rFonts w:ascii="Arial" w:eastAsia="Arial" w:hAnsi="Arial" w:cs="Arial"/>
                <w:color w:val="000000"/>
                <w:spacing w:val="0"/>
                <w:w w:val="100"/>
                <w:position w:val="0"/>
                <w:sz w:val="18"/>
                <w:szCs w:val="18"/>
              </w:rPr>
              <w:t>47</w:t>
            </w:r>
            <w:r>
              <w:rPr>
                <w:rFonts w:ascii="SimSun" w:eastAsia="SimSun" w:hAnsi="SimSun" w:cs="SimSun"/>
                <w:color w:val="000000"/>
                <w:spacing w:val="0"/>
                <w:w w:val="100"/>
                <w:position w:val="0"/>
                <w:sz w:val="18"/>
                <w:szCs w:val="18"/>
              </w:rPr>
              <w:t>家影城、影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应付票据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院公司及分支机构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151,121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应付票据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日本</w:t>
            </w:r>
            <w:r>
              <w:rPr>
                <w:rFonts w:ascii="Arial" w:eastAsia="Arial" w:hAnsi="Arial" w:cs="Arial"/>
                <w:color w:val="000000"/>
                <w:spacing w:val="0"/>
                <w:w w:val="100"/>
                <w:position w:val="0"/>
                <w:sz w:val="18"/>
                <w:szCs w:val="18"/>
              </w:rPr>
              <w:t>LAOX</w:t>
            </w:r>
            <w:r>
              <w:rPr>
                <w:rFonts w:ascii="SimSun" w:eastAsia="SimSun" w:hAnsi="SimSun" w:cs="SimSun"/>
                <w:color w:val="000000"/>
                <w:spacing w:val="0"/>
                <w:w w:val="100"/>
                <w:position w:val="0"/>
                <w:sz w:val="18"/>
                <w:szCs w:val="18"/>
              </w:rPr>
              <w:t>集团</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27,138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苏宁控股集团旗下</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8"/>
                <w:szCs w:val="18"/>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应付票据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通视铭泰公司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10,958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430,000</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应付票据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苏宁小店及其子公司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7,344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应付票据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8,080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5,284</w:t>
            </w:r>
          </w:p>
        </w:tc>
      </w:tr>
      <w:tr>
        <w:trPr>
          <w:trHeight w:val="259"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204,641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435,284</w:t>
            </w:r>
          </w:p>
        </w:tc>
      </w:tr>
      <w:tr>
        <w:trPr>
          <w:trHeight w:val="49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星图金服及其子公司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630,902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苏宁置业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108,814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苏宁置业集团旗下</w:t>
            </w:r>
            <w:r>
              <w:rPr>
                <w:rFonts w:ascii="Arial" w:eastAsia="Arial" w:hAnsi="Arial" w:cs="Arial"/>
                <w:color w:val="000000"/>
                <w:spacing w:val="0"/>
                <w:w w:val="100"/>
                <w:position w:val="0"/>
                <w:sz w:val="18"/>
                <w:szCs w:val="18"/>
              </w:rPr>
              <w:t>43</w:t>
            </w:r>
            <w:r>
              <w:rPr>
                <w:rFonts w:ascii="SimSun" w:eastAsia="SimSun" w:hAnsi="SimSun" w:cs="SimSun"/>
                <w:color w:val="000000"/>
                <w:spacing w:val="0"/>
                <w:w w:val="100"/>
                <w:position w:val="0"/>
                <w:sz w:val="18"/>
                <w:szCs w:val="18"/>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置业、建材公司及分支机构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18,079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2,777</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阿里巴巴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16,378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11,518</w:t>
            </w:r>
          </w:p>
        </w:tc>
      </w:tr>
      <w:tr>
        <w:trPr>
          <w:trHeight w:val="23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苏宁小店及其子公司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13,333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苏宁控股集团旗下</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8"/>
                <w:szCs w:val="18"/>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通视铭泰公司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5,325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4,619</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苏宁体育文化传媒</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4,300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4,253</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湖南苏宁易达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72,093</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宁波苏宁易达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8,462</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湖南苏宁采购</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8,370</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重庆首恒</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5,683</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上海沪申</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12,060</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三水苏宁易达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12,432</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内江苏宁易达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22,114</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陕西苏宁易达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22,334</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合同负债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37,166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Arial" w:eastAsia="Arial" w:hAnsi="Arial" w:cs="Arial"/>
                <w:color w:val="000000"/>
                <w:spacing w:val="0"/>
                <w:w w:val="100"/>
                <w:position w:val="0"/>
                <w:sz w:val="18"/>
                <w:szCs w:val="18"/>
              </w:rPr>
              <w:t>39,401</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834,297</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226,116</w:t>
            </w:r>
          </w:p>
        </w:tc>
      </w:tr>
    </w:tbl>
    <w:p>
      <w:pPr>
        <w:spacing w:lineRule="exact" w:line="1"/>
        <w:rPr>
          <w:sz w:val="2"/>
          <w:szCs w:val="2"/>
        </w:rPr>
      </w:pPr>
      <w:r>
        <w:br w:type="page"/>
      </w:r>
    </w:p>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280" w:line="240" w:lineRule="auto"/>
        <w:ind w:left="0" w:right="0" w:firstLine="72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tabs>
          <w:tab w:pos="698" w:val="left"/>
        </w:tabs>
        <w:bidi w:val="0"/>
        <w:spacing w:before="0" w:after="280" w:line="240" w:lineRule="auto"/>
        <w:ind w:left="0" w:right="0" w:firstLine="0"/>
        <w:jc w:val="left"/>
        <w:rPr>
          <w:sz w:val="28"/>
          <w:szCs w:val="28"/>
        </w:rPr>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98" w:val="left"/>
        </w:tabs>
        <w:bidi w:val="0"/>
        <w:spacing w:before="0" w:after="280" w:line="240" w:lineRule="auto"/>
        <w:ind w:left="0" w:right="0" w:firstLine="0"/>
        <w:jc w:val="left"/>
      </w:pPr>
      <w:r>
        <w:rPr>
          <w:rFonts w:ascii="Arial" w:eastAsia="Arial" w:hAnsi="Arial" w:cs="Arial"/>
          <w:color w:val="000000"/>
          <w:spacing w:val="0"/>
          <w:w w:val="100"/>
          <w:position w:val="0"/>
          <w:sz w:val="24"/>
          <w:szCs w:val="24"/>
        </w:rPr>
        <w:t>（7）</w:t>
        <w:tab/>
      </w:r>
      <w:r>
        <w:rPr>
          <w:b/>
          <w:bCs/>
          <w:color w:val="000000"/>
          <w:spacing w:val="0"/>
          <w:w w:val="100"/>
          <w:position w:val="0"/>
          <w:sz w:val="24"/>
          <w:szCs w:val="24"/>
        </w:rPr>
        <w:t>应收、应付关联方款项余额</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tbl>
      <w:tblPr>
        <w:tblOverlap w:val="never"/>
        <w:jc w:val="right"/>
        <w:tblLayout w:type="fixed"/>
      </w:tblPr>
      <w:tblGrid>
        <w:gridCol w:w="1176"/>
        <w:gridCol w:w="3677"/>
        <w:gridCol w:w="1738"/>
        <w:gridCol w:w="1373"/>
      </w:tblGrid>
      <w:tr>
        <w:trPr>
          <w:trHeight w:val="1085"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应付关联方款项</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珠海普易物流及其子公司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266,057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万达商管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210,002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7,545</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星图金服及其子公司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190,074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苏宁置业集团旗下</w:t>
            </w:r>
            <w:r>
              <w:rPr>
                <w:rFonts w:ascii="Arial" w:eastAsia="Arial" w:hAnsi="Arial" w:cs="Arial"/>
                <w:color w:val="000000"/>
                <w:spacing w:val="0"/>
                <w:w w:val="100"/>
                <w:position w:val="0"/>
                <w:sz w:val="18"/>
                <w:szCs w:val="18"/>
              </w:rPr>
              <w:t>65</w:t>
            </w:r>
            <w:r>
              <w:rPr>
                <w:rFonts w:ascii="SimSun" w:eastAsia="SimSun" w:hAnsi="SimSun" w:cs="SimSun"/>
                <w:color w:val="000000"/>
                <w:spacing w:val="0"/>
                <w:w w:val="100"/>
                <w:position w:val="0"/>
                <w:sz w:val="18"/>
                <w:szCs w:val="18"/>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银河物业公司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81,723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68,644</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上海聚力</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41,628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37,117</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阿里巴巴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36,858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31,272</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苏宁置业集团旗下</w:t>
            </w:r>
            <w:r>
              <w:rPr>
                <w:rFonts w:ascii="Arial" w:eastAsia="Arial" w:hAnsi="Arial" w:cs="Arial"/>
                <w:color w:val="000000"/>
                <w:spacing w:val="0"/>
                <w:w w:val="100"/>
                <w:position w:val="0"/>
                <w:sz w:val="18"/>
                <w:szCs w:val="18"/>
              </w:rPr>
              <w:t>43</w:t>
            </w:r>
            <w:r>
              <w:rPr>
                <w:rFonts w:ascii="SimSun" w:eastAsia="SimSun" w:hAnsi="SimSun" w:cs="SimSun"/>
                <w:color w:val="000000"/>
                <w:spacing w:val="0"/>
                <w:w w:val="100"/>
                <w:position w:val="0"/>
                <w:sz w:val="18"/>
                <w:szCs w:val="18"/>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置业、建材公司及分支机构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33,423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48,442</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苏宁体育用品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29,549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29,137</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苏宁小店及其子公司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29,189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苏宁置业集团旗下</w:t>
            </w:r>
            <w:r>
              <w:rPr>
                <w:rFonts w:ascii="Arial" w:eastAsia="Arial" w:hAnsi="Arial" w:cs="Arial"/>
                <w:color w:val="000000"/>
                <w:spacing w:val="0"/>
                <w:w w:val="100"/>
                <w:position w:val="0"/>
                <w:sz w:val="18"/>
                <w:szCs w:val="18"/>
              </w:rPr>
              <w:t>23</w:t>
            </w:r>
            <w:r>
              <w:rPr>
                <w:rFonts w:ascii="SimSun" w:eastAsia="SimSun" w:hAnsi="SimSun" w:cs="SimSun"/>
                <w:color w:val="000000"/>
                <w:spacing w:val="0"/>
                <w:w w:val="100"/>
                <w:position w:val="0"/>
                <w:sz w:val="18"/>
                <w:szCs w:val="18"/>
              </w:rPr>
              <w:t>家酒店、餐饮公司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26,883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2,615</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苏宁置业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25,368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121,657</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成都鸿业置业有限公司及分支机构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21,117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2,968</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苏宁体育文化传媒</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8,656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15,786</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TCL</w:t>
            </w:r>
            <w:r>
              <w:rPr>
                <w:rFonts w:ascii="SimSun" w:eastAsia="SimSun" w:hAnsi="SimSun" w:cs="SimSun"/>
                <w:color w:val="000000"/>
                <w:spacing w:val="0"/>
                <w:w w:val="100"/>
                <w:position w:val="0"/>
                <w:sz w:val="18"/>
                <w:szCs w:val="18"/>
              </w:rPr>
              <w:t>实业</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4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2,012,674</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68,403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145,057</w:t>
            </w:r>
          </w:p>
        </w:tc>
      </w:tr>
      <w:tr>
        <w:trPr>
          <w:trHeight w:val="259"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1,068,930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2,522,914</w:t>
            </w:r>
          </w:p>
        </w:tc>
      </w:tr>
      <w:tr>
        <w:trPr>
          <w:trHeight w:val="45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万达商管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10,428,761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苏宁电器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642,968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苏宁电器集团旗下</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8"/>
                <w:szCs w:val="18"/>
              </w:rPr>
              <w:t>家资产管理公司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318,770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苏宁置业集团旗下</w:t>
            </w:r>
            <w:r>
              <w:rPr>
                <w:rFonts w:ascii="Arial" w:eastAsia="Arial" w:hAnsi="Arial" w:cs="Arial"/>
                <w:color w:val="000000"/>
                <w:spacing w:val="0"/>
                <w:w w:val="100"/>
                <w:position w:val="0"/>
                <w:sz w:val="18"/>
                <w:szCs w:val="18"/>
              </w:rPr>
              <w:t>43</w:t>
            </w:r>
            <w:r>
              <w:rPr>
                <w:rFonts w:ascii="SimSun" w:eastAsia="SimSun" w:hAnsi="SimSun" w:cs="SimSun"/>
                <w:color w:val="000000"/>
                <w:spacing w:val="0"/>
                <w:w w:val="100"/>
                <w:position w:val="0"/>
                <w:sz w:val="18"/>
                <w:szCs w:val="18"/>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置业、建材公司及分支机构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295,016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三水苏宁易达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282,482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津宁易达物流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168,734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无锡苏宁商管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155,661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南京禄昌</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138,289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湖南苏宁易达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134,093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沈阳苏宁物流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123,394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重庆首恒</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121,849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陕西苏宁易达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98,703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917,724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13,826,444</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spacing w:lineRule="exact" w:line="1"/>
        <w:rPr>
          <w:sz w:val="2"/>
          <w:szCs w:val="2"/>
        </w:rPr>
      </w:pPr>
      <w:r>
        <w:br w:type="page"/>
      </w:r>
    </w:p>
    <w:p>
      <w:pPr>
        <w:pStyle w:val="Style72"/>
        <w:keepNext w:val="0"/>
        <w:keepLines w:val="0"/>
        <w:widowControl w:val="0"/>
        <w:shd w:val="clear" w:color="auto" w:fill="auto"/>
        <w:bidi w:val="0"/>
        <w:spacing w:before="0" w:after="300" w:line="240" w:lineRule="auto"/>
        <w:ind w:left="0" w:right="0" w:firstLine="220"/>
        <w:jc w:val="left"/>
        <w:rPr>
          <w:sz w:val="28"/>
          <w:szCs w:val="28"/>
        </w:rPr>
      </w:pPr>
      <w:r>
        <mc:AlternateContent>
          <mc:Choice Requires="wps">
            <w:drawing>
              <wp:anchor distT="0" distB="0" distL="114300" distR="114300" simplePos="0" relativeHeight="125829464" behindDoc="0" locked="0" layoutInCell="1" allowOverlap="1">
                <wp:simplePos x="0" y="0"/>
                <wp:positionH relativeFrom="page">
                  <wp:posOffset>1075690</wp:posOffset>
                </wp:positionH>
                <wp:positionV relativeFrom="paragraph">
                  <wp:posOffset>12700</wp:posOffset>
                </wp:positionV>
                <wp:extent cx="210185" cy="567055"/>
                <wp:wrapSquare wrapText="bothSides"/>
                <wp:docPr id="114" name="Shape 114"/>
                <a:graphic xmlns:a="http://schemas.openxmlformats.org/drawingml/2006/main">
                  <a:graphicData uri="http://schemas.microsoft.com/office/word/2010/wordprocessingShape">
                    <wps:wsp>
                      <wps:cNvSpPr txBox="1"/>
                      <wps:spPr>
                        <a:xfrm>
                          <a:ext cx="210185" cy="567055"/>
                        </a:xfrm>
                        <a:prstGeom prst="rect"/>
                        <a:noFill/>
                      </wps:spPr>
                      <wps:txbx>
                        <w:txbxContent>
                          <w:p>
                            <w:pPr>
                              <w:pStyle w:val="Style72"/>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sz w:val="24"/>
                                <w:szCs w:val="24"/>
                              </w:rPr>
                              <w:t>八</w:t>
                            </w:r>
                          </w:p>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w:t>
                            </w:r>
                          </w:p>
                        </w:txbxContent>
                      </wps:txbx>
                      <wps:bodyPr lIns="0" tIns="0" rIns="0" bIns="0">
                        <a:noAutoFit/>
                      </wps:bodyPr>
                    </wps:wsp>
                  </a:graphicData>
                </a:graphic>
              </wp:anchor>
            </w:drawing>
          </mc:Choice>
          <mc:Fallback>
            <w:pict>
              <v:shape id="_x0000_s1140" type="#_x0000_t202" style="position:absolute;margin-left:84.700000000000003pt;margin-top:1.pt;width:16.550000000000001pt;height:44.649999999999999pt;z-index:-125829289;mso-wrap-distance-left:9.pt;mso-wrap-distance-right:9.pt;mso-position-horizontal-relative:page" filled="f" stroked="f">
                <v:textbox inset="0,0,0,0">
                  <w:txbxContent>
                    <w:p>
                      <w:pPr>
                        <w:pStyle w:val="Style72"/>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sz w:val="24"/>
                          <w:szCs w:val="24"/>
                        </w:rPr>
                        <w:t>八</w:t>
                      </w:r>
                    </w:p>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w:t>
                      </w:r>
                    </w:p>
                  </w:txbxContent>
                </v:textbox>
                <w10:wrap type="square" anchorx="page"/>
              </v:shape>
            </w:pict>
          </mc:Fallback>
        </mc:AlternateContent>
      </w:r>
      <w:r>
        <w:rPr>
          <w:b/>
          <w:bCs/>
          <w:color w:val="000000"/>
          <w:spacing w:val="0"/>
          <w:w w:val="100"/>
          <w:position w:val="0"/>
          <w:sz w:val="24"/>
          <w:szCs w:val="24"/>
        </w:rPr>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220"/>
        <w:jc w:val="left"/>
      </w:pPr>
      <w:r>
        <w:rPr>
          <w:b/>
          <w:bCs/>
          <w:color w:val="000000"/>
          <w:spacing w:val="0"/>
          <w:w w:val="100"/>
          <w:position w:val="0"/>
          <w:sz w:val="24"/>
          <w:szCs w:val="24"/>
        </w:rPr>
        <w:t>存放于关联方的货币资金</w:t>
      </w:r>
    </w:p>
    <w:p>
      <w:pPr>
        <w:pStyle w:val="Style92"/>
        <w:keepNext w:val="0"/>
        <w:keepLines w:val="0"/>
        <w:widowControl w:val="0"/>
        <w:shd w:val="clear" w:color="auto" w:fill="auto"/>
        <w:bidi w:val="0"/>
        <w:spacing w:before="0" w:after="300" w:line="240" w:lineRule="auto"/>
        <w:ind w:left="0" w:right="16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72"/>
        <w:keepNext w:val="0"/>
        <w:keepLines w:val="0"/>
        <w:widowControl w:val="0"/>
        <w:shd w:val="clear" w:color="auto" w:fill="auto"/>
        <w:bidi w:val="0"/>
        <w:spacing w:before="0" w:after="0" w:line="240" w:lineRule="auto"/>
        <w:ind w:left="2460" w:right="0" w:firstLine="0"/>
        <w:jc w:val="left"/>
      </w:pPr>
      <w:r>
        <w:rPr>
          <w:color w:val="000000"/>
          <w:spacing w:val="0"/>
          <w:w w:val="100"/>
          <w:position w:val="0"/>
          <w:sz w:val="24"/>
          <w:szCs w:val="24"/>
        </w:rPr>
        <w:t>苏宁银行</w:t>
      </w:r>
    </w:p>
    <w:p>
      <w:pPr>
        <w:pStyle w:val="Style92"/>
        <w:keepNext w:val="0"/>
        <w:keepLines w:val="0"/>
        <w:widowControl w:val="0"/>
        <w:shd w:val="clear" w:color="auto" w:fill="auto"/>
        <w:tabs>
          <w:tab w:pos="2510" w:val="left"/>
          <w:tab w:pos="5342" w:val="left"/>
          <w:tab w:pos="7704" w:val="left"/>
        </w:tabs>
        <w:bidi w:val="0"/>
        <w:spacing w:before="0" w:after="0" w:line="240" w:lineRule="auto"/>
        <w:ind w:left="0" w:right="0" w:firstLine="720"/>
        <w:jc w:val="left"/>
      </w:pPr>
      <w:r>
        <w:rPr>
          <w:rFonts w:ascii="SimSun" w:eastAsia="SimSun" w:hAnsi="SimSun" w:cs="SimSun"/>
          <w:color w:val="000000"/>
          <w:spacing w:val="0"/>
          <w:w w:val="100"/>
          <w:position w:val="0"/>
          <w:sz w:val="24"/>
          <w:szCs w:val="24"/>
        </w:rPr>
        <w:t>银行存款</w:t>
        <w:tab/>
      </w:r>
      <w:r>
        <w:rPr>
          <w:rFonts w:ascii="SimSun" w:eastAsia="SimSun" w:hAnsi="SimSun" w:cs="SimSun"/>
          <w:color w:val="000000"/>
          <w:spacing w:val="0"/>
          <w:w w:val="100"/>
          <w:position w:val="0"/>
          <w:sz w:val="28"/>
          <w:szCs w:val="28"/>
        </w:rPr>
        <w:t>(</w:t>
      </w:r>
      <w:r>
        <w:rPr>
          <w:rFonts w:ascii="SimSun" w:eastAsia="SimSun" w:hAnsi="SimSun" w:cs="SimSun"/>
          <w:color w:val="000000"/>
          <w:spacing w:val="0"/>
          <w:w w:val="100"/>
          <w:position w:val="0"/>
          <w:sz w:val="24"/>
          <w:szCs w:val="24"/>
        </w:rPr>
        <w:t>附注四</w:t>
      </w:r>
      <w:r>
        <w:rPr>
          <w:color w:val="000000"/>
          <w:spacing w:val="0"/>
          <w:w w:val="100"/>
          <w:position w:val="0"/>
          <w:sz w:val="24"/>
          <w:szCs w:val="24"/>
        </w:rPr>
        <w:t>(1))</w:t>
        <w:tab/>
        <w:t>43,424</w:t>
        <w:tab/>
        <w:t>214,891</w:t>
      </w:r>
    </w:p>
    <w:p>
      <w:pPr>
        <w:pStyle w:val="Style7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其他货币资金苏宁消费金融</w:t>
      </w:r>
    </w:p>
    <w:p>
      <w:pPr>
        <w:pStyle w:val="Style92"/>
        <w:keepNext w:val="0"/>
        <w:keepLines w:val="0"/>
        <w:widowControl w:val="0"/>
        <w:shd w:val="clear" w:color="auto" w:fill="auto"/>
        <w:tabs>
          <w:tab w:pos="3326" w:val="left"/>
          <w:tab w:pos="5026" w:val="left"/>
        </w:tabs>
        <w:bidi w:val="0"/>
        <w:spacing w:before="0" w:after="0" w:line="240" w:lineRule="auto"/>
        <w:ind w:left="0" w:right="160" w:firstLine="0"/>
        <w:jc w:val="right"/>
      </w:pPr>
      <w:r>
        <w:rPr>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color w:val="000000"/>
          <w:spacing w:val="0"/>
          <w:w w:val="100"/>
          <w:position w:val="0"/>
          <w:sz w:val="24"/>
          <w:szCs w:val="24"/>
        </w:rPr>
        <w:t>(1))</w:t>
        <w:tab/>
        <w:t>-</w:t>
        <w:tab/>
        <w:t>200,000</w:t>
      </w:r>
    </w:p>
    <w:p>
      <w:pPr>
        <w:pStyle w:val="Style7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银行存款</w:t>
      </w:r>
      <w:r>
        <w:rPr>
          <w:rFonts w:ascii="Arial" w:eastAsia="Arial" w:hAnsi="Arial" w:cs="Arial"/>
          <w:color w:val="000000"/>
          <w:spacing w:val="0"/>
          <w:w w:val="100"/>
          <w:position w:val="0"/>
          <w:sz w:val="24"/>
          <w:szCs w:val="24"/>
        </w:rPr>
        <w:t>-</w:t>
      </w:r>
      <w:r>
        <w:rPr>
          <w:color w:val="000000"/>
          <w:spacing w:val="0"/>
          <w:w w:val="100"/>
          <w:position w:val="0"/>
          <w:sz w:val="24"/>
          <w:szCs w:val="24"/>
        </w:rPr>
        <w:t>应收</w:t>
      </w:r>
    </w:p>
    <w:tbl>
      <w:tblPr>
        <w:tblOverlap w:val="never"/>
        <w:jc w:val="left"/>
        <w:tblLayout w:type="fixed"/>
      </w:tblPr>
      <w:tblGrid>
        <w:gridCol w:w="3360"/>
        <w:gridCol w:w="2760"/>
        <w:gridCol w:w="1949"/>
      </w:tblGrid>
      <w:tr>
        <w:trPr>
          <w:trHeight w:val="379" w:hRule="exact"/>
        </w:trPr>
        <w:tc>
          <w:tcPr>
            <w:tcBorders>
              <w:top w:val="single" w:sz="4"/>
            </w:tcBorders>
            <w:shd w:val="clear" w:color="auto" w:fill="FFFFFF"/>
            <w:vAlign w:val="top"/>
          </w:tcPr>
          <w:p>
            <w:pPr>
              <w:framePr w:w="8069" w:h="5539" w:hSpace="715" w:vSpace="298" w:wrap="notBeside" w:vAnchor="text" w:hAnchor="text" w:x="771" w:y="299"/>
              <w:widowControl w:val="0"/>
              <w:rPr>
                <w:sz w:val="10"/>
                <w:szCs w:val="10"/>
              </w:rPr>
            </w:pPr>
          </w:p>
        </w:tc>
        <w:tc>
          <w:tcPr>
            <w:tcBorders>
              <w:top w:val="single" w:sz="4"/>
            </w:tcBorders>
            <w:shd w:val="clear" w:color="auto" w:fill="FFFFFF"/>
            <w:vAlign w:val="bottom"/>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43,424</w:t>
            </w:r>
          </w:p>
        </w:tc>
        <w:tc>
          <w:tcPr>
            <w:tcBorders>
              <w:top w:val="single" w:sz="4"/>
            </w:tcBorders>
            <w:shd w:val="clear" w:color="auto" w:fill="FFFFFF"/>
            <w:vAlign w:val="bottom"/>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425,569</w:t>
            </w:r>
          </w:p>
        </w:tc>
      </w:tr>
      <w:tr>
        <w:trPr>
          <w:trHeight w:val="744" w:hRule="exact"/>
        </w:trPr>
        <w:tc>
          <w:tcPr>
            <w:tcBorders>
              <w:top w:val="single" w:sz="4"/>
            </w:tcBorders>
            <w:shd w:val="clear" w:color="auto" w:fill="FFFFFF"/>
            <w:vAlign w:val="center"/>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关联方承诺</w:t>
            </w:r>
          </w:p>
        </w:tc>
        <w:tc>
          <w:tcPr>
            <w:gridSpan w:val="2"/>
            <w:tcBorders>
              <w:top w:val="single" w:sz="4"/>
            </w:tcBorders>
            <w:shd w:val="clear" w:color="auto" w:fill="FFFFFF"/>
            <w:vAlign w:val="top"/>
          </w:tcPr>
          <w:p>
            <w:pPr>
              <w:framePr w:w="8069" w:h="5539" w:hSpace="715" w:vSpace="298" w:wrap="notBeside" w:vAnchor="text" w:hAnchor="text" w:x="771" w:y="299"/>
              <w:widowControl w:val="0"/>
              <w:rPr>
                <w:sz w:val="10"/>
                <w:szCs w:val="10"/>
              </w:rPr>
            </w:pPr>
          </w:p>
        </w:tc>
      </w:tr>
      <w:tr>
        <w:trPr>
          <w:trHeight w:val="907" w:hRule="exact"/>
        </w:trPr>
        <w:tc>
          <w:tcPr>
            <w:tcBorders/>
            <w:shd w:val="clear" w:color="auto" w:fill="FFFFFF"/>
            <w:vAlign w:val="center"/>
          </w:tcPr>
          <w:p>
            <w:pPr>
              <w:pStyle w:val="Style29"/>
              <w:keepNext w:val="0"/>
              <w:keepLines w:val="0"/>
              <w:framePr w:w="8069" w:h="5539" w:hSpace="715" w:vSpace="298" w:wrap="notBeside" w:vAnchor="text" w:hAnchor="text" w:x="771" w:y="299"/>
              <w:widowControl w:val="0"/>
              <w:shd w:val="clear" w:color="auto" w:fill="auto"/>
              <w:bidi w:val="0"/>
              <w:spacing w:before="0" w:after="0" w:line="307" w:lineRule="exact"/>
              <w:ind w:left="0" w:right="0" w:firstLine="0"/>
              <w:jc w:val="left"/>
              <w:rPr>
                <w:sz w:val="24"/>
                <w:szCs w:val="24"/>
              </w:rPr>
            </w:pPr>
            <w:r>
              <w:rPr>
                <w:rFonts w:ascii="SimSun" w:eastAsia="SimSun" w:hAnsi="SimSun" w:cs="SimSun"/>
                <w:color w:val="000000"/>
                <w:spacing w:val="0"/>
                <w:w w:val="100"/>
                <w:position w:val="0"/>
                <w:sz w:val="24"/>
                <w:szCs w:val="24"/>
              </w:rPr>
              <w:t>以下为本集团于资产负债表日， 联方有关的承诺事项：</w:t>
            </w:r>
          </w:p>
        </w:tc>
        <w:tc>
          <w:tcPr>
            <w:gridSpan w:val="2"/>
            <w:tcBorders/>
            <w:shd w:val="clear" w:color="auto" w:fill="FFFFFF"/>
            <w:vAlign w:val="top"/>
          </w:tcPr>
          <w:p>
            <w:pPr>
              <w:pStyle w:val="Style29"/>
              <w:keepNext w:val="0"/>
              <w:keepLines w:val="0"/>
              <w:framePr w:w="8069" w:h="5539" w:hSpace="715" w:vSpace="298" w:wrap="notBeside" w:vAnchor="text" w:hAnchor="text" w:x="771" w:y="299"/>
              <w:widowControl w:val="0"/>
              <w:shd w:val="clear" w:color="auto" w:fill="auto"/>
              <w:bidi w:val="0"/>
              <w:spacing w:before="140" w:after="0" w:line="240" w:lineRule="auto"/>
              <w:ind w:left="0" w:right="0" w:firstLine="0"/>
              <w:jc w:val="right"/>
              <w:rPr>
                <w:sz w:val="24"/>
                <w:szCs w:val="24"/>
              </w:rPr>
            </w:pPr>
            <w:r>
              <w:rPr>
                <w:rFonts w:ascii="SimSun" w:eastAsia="SimSun" w:hAnsi="SimSun" w:cs="SimSun"/>
                <w:color w:val="000000"/>
                <w:spacing w:val="0"/>
                <w:w w:val="100"/>
                <w:position w:val="0"/>
                <w:sz w:val="24"/>
                <w:szCs w:val="24"/>
              </w:rPr>
              <w:t>已签约而尚不必在资产负债表上列示的与关</w:t>
            </w:r>
          </w:p>
        </w:tc>
      </w:tr>
      <w:tr>
        <w:trPr>
          <w:trHeight w:val="595" w:hRule="exact"/>
        </w:trPr>
        <w:tc>
          <w:tcPr>
            <w:tcBorders/>
            <w:shd w:val="clear" w:color="auto" w:fill="FFFFFF"/>
            <w:vAlign w:val="center"/>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接受劳务</w:t>
            </w:r>
          </w:p>
        </w:tc>
        <w:tc>
          <w:tcPr>
            <w:gridSpan w:val="2"/>
            <w:tcBorders/>
            <w:shd w:val="clear" w:color="auto" w:fill="FFFFFF"/>
            <w:vAlign w:val="top"/>
          </w:tcPr>
          <w:p>
            <w:pPr>
              <w:framePr w:w="8069" w:h="5539" w:hSpace="715" w:vSpace="298" w:wrap="notBeside" w:vAnchor="text" w:hAnchor="text" w:x="771" w:y="299"/>
              <w:widowControl w:val="0"/>
              <w:rPr>
                <w:sz w:val="10"/>
                <w:szCs w:val="10"/>
              </w:rPr>
            </w:pPr>
          </w:p>
        </w:tc>
      </w:tr>
      <w:tr>
        <w:trPr>
          <w:trHeight w:val="581" w:hRule="exact"/>
        </w:trPr>
        <w:tc>
          <w:tcPr>
            <w:tcBorders/>
            <w:shd w:val="clear" w:color="auto" w:fill="FFFFFF"/>
            <w:vAlign w:val="top"/>
          </w:tcPr>
          <w:p>
            <w:pPr>
              <w:framePr w:w="8069" w:h="5539" w:hSpace="715" w:vSpace="298" w:wrap="notBeside" w:vAnchor="text" w:hAnchor="text" w:x="771" w:y="299"/>
              <w:widowControl w:val="0"/>
              <w:rPr>
                <w:sz w:val="10"/>
                <w:szCs w:val="10"/>
              </w:rPr>
            </w:pPr>
          </w:p>
        </w:tc>
        <w:tc>
          <w:tcPr>
            <w:tcBorders/>
            <w:shd w:val="clear" w:color="auto" w:fill="FFFFFF"/>
            <w:vAlign w:val="center"/>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center"/>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1" w:hRule="exact"/>
        </w:trPr>
        <w:tc>
          <w:tcPr>
            <w:tcBorders/>
            <w:shd w:val="clear" w:color="auto" w:fill="FFFFFF"/>
            <w:vAlign w:val="bottom"/>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项目管理服务</w:t>
            </w:r>
          </w:p>
        </w:tc>
        <w:tc>
          <w:tcPr>
            <w:gridSpan w:val="2"/>
            <w:tcBorders/>
            <w:shd w:val="clear" w:color="auto" w:fill="FFFFFF"/>
            <w:vAlign w:val="top"/>
          </w:tcPr>
          <w:p>
            <w:pPr>
              <w:framePr w:w="8069" w:h="5539" w:hSpace="715" w:vSpace="298" w:wrap="notBeside" w:vAnchor="text" w:hAnchor="text" w:x="771" w:y="299"/>
              <w:widowControl w:val="0"/>
              <w:rPr>
                <w:sz w:val="10"/>
                <w:szCs w:val="10"/>
              </w:rPr>
            </w:pPr>
          </w:p>
        </w:tc>
      </w:tr>
      <w:tr>
        <w:trPr>
          <w:trHeight w:val="619" w:hRule="exact"/>
        </w:trPr>
        <w:tc>
          <w:tcPr>
            <w:tcBorders/>
            <w:shd w:val="clear" w:color="auto" w:fill="FFFFFF"/>
            <w:vAlign w:val="bottom"/>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0" w:right="0" w:firstLine="340"/>
              <w:jc w:val="left"/>
              <w:rPr>
                <w:sz w:val="24"/>
                <w:szCs w:val="24"/>
              </w:rPr>
            </w:pPr>
            <w:r>
              <w:rPr>
                <w:rFonts w:ascii="SimSun" w:eastAsia="SimSun" w:hAnsi="SimSun" w:cs="SimSun"/>
                <w:color w:val="000000"/>
                <w:spacing w:val="0"/>
                <w:w w:val="100"/>
                <w:position w:val="0"/>
                <w:sz w:val="24"/>
                <w:szCs w:val="24"/>
              </w:rPr>
              <w:t>苏宁置业</w:t>
            </w:r>
          </w:p>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0" w:right="0" w:firstLine="340"/>
              <w:jc w:val="left"/>
              <w:rPr>
                <w:sz w:val="24"/>
                <w:szCs w:val="24"/>
              </w:rPr>
            </w:pPr>
            <w:r>
              <w:rPr>
                <w:rFonts w:ascii="SimSun" w:eastAsia="SimSun" w:hAnsi="SimSun" w:cs="SimSun"/>
                <w:color w:val="000000"/>
                <w:spacing w:val="0"/>
                <w:w w:val="100"/>
                <w:position w:val="0"/>
                <w:sz w:val="24"/>
                <w:szCs w:val="24"/>
              </w:rPr>
              <w:t>苏宁置业集团旗下</w:t>
            </w:r>
            <w:r>
              <w:rPr>
                <w:rFonts w:ascii="Arial" w:eastAsia="Arial" w:hAnsi="Arial" w:cs="Arial"/>
                <w:color w:val="000000"/>
                <w:spacing w:val="0"/>
                <w:w w:val="100"/>
                <w:position w:val="0"/>
                <w:sz w:val="24"/>
                <w:szCs w:val="24"/>
              </w:rPr>
              <w:t>43</w:t>
            </w:r>
            <w:r>
              <w:rPr>
                <w:rFonts w:ascii="SimSun" w:eastAsia="SimSun" w:hAnsi="SimSun" w:cs="SimSun"/>
                <w:color w:val="000000"/>
                <w:spacing w:val="0"/>
                <w:w w:val="100"/>
                <w:position w:val="0"/>
                <w:sz w:val="24"/>
                <w:szCs w:val="24"/>
              </w:rPr>
              <w:t>家置</w:t>
            </w:r>
          </w:p>
        </w:tc>
        <w:tc>
          <w:tcPr>
            <w:tcBorders/>
            <w:shd w:val="clear" w:color="auto" w:fill="FFFFFF"/>
            <w:vAlign w:val="top"/>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52,149</w:t>
            </w:r>
          </w:p>
        </w:tc>
        <w:tc>
          <w:tcPr>
            <w:tcBorders/>
            <w:shd w:val="clear" w:color="auto" w:fill="FFFFFF"/>
            <w:vAlign w:val="top"/>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73,392</w:t>
            </w:r>
          </w:p>
        </w:tc>
      </w:tr>
      <w:tr>
        <w:trPr>
          <w:trHeight w:val="624" w:hRule="exact"/>
        </w:trPr>
        <w:tc>
          <w:tcPr>
            <w:tcBorders/>
            <w:shd w:val="clear" w:color="auto" w:fill="FFFFFF"/>
            <w:vAlign w:val="bottom"/>
          </w:tcPr>
          <w:p>
            <w:pPr>
              <w:pStyle w:val="Style29"/>
              <w:keepNext w:val="0"/>
              <w:keepLines w:val="0"/>
              <w:framePr w:w="8069" w:h="5539" w:hSpace="715" w:vSpace="298" w:wrap="notBeside" w:vAnchor="text" w:hAnchor="text" w:x="771" w:y="299"/>
              <w:widowControl w:val="0"/>
              <w:shd w:val="clear" w:color="auto" w:fill="auto"/>
              <w:bidi w:val="0"/>
              <w:spacing w:before="0" w:after="0" w:line="307" w:lineRule="exact"/>
              <w:ind w:left="0" w:right="0" w:firstLine="0"/>
              <w:jc w:val="right"/>
              <w:rPr>
                <w:sz w:val="24"/>
                <w:szCs w:val="24"/>
              </w:rPr>
            </w:pPr>
            <w:r>
              <w:rPr>
                <w:rFonts w:ascii="SimSun" w:eastAsia="SimSun" w:hAnsi="SimSun" w:cs="SimSun"/>
                <w:color w:val="000000"/>
                <w:spacing w:val="0"/>
                <w:w w:val="100"/>
                <w:position w:val="0"/>
                <w:sz w:val="24"/>
                <w:szCs w:val="24"/>
              </w:rPr>
              <w:t>业、建材公司及分支机构 成都鸿业置业有限公司及分</w:t>
            </w:r>
          </w:p>
        </w:tc>
        <w:tc>
          <w:tcPr>
            <w:tcBorders/>
            <w:shd w:val="clear" w:color="auto" w:fill="FFFFFF"/>
            <w:vAlign w:val="top"/>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20,961</w:t>
            </w:r>
          </w:p>
        </w:tc>
        <w:tc>
          <w:tcPr>
            <w:tcBorders/>
            <w:shd w:val="clear" w:color="auto" w:fill="FFFFFF"/>
            <w:vAlign w:val="top"/>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38,406</w:t>
            </w:r>
          </w:p>
        </w:tc>
      </w:tr>
      <w:tr>
        <w:trPr>
          <w:trHeight w:val="312" w:hRule="exact"/>
        </w:trPr>
        <w:tc>
          <w:tcPr>
            <w:tcBorders/>
            <w:shd w:val="clear" w:color="auto" w:fill="FFFFFF"/>
            <w:vAlign w:val="center"/>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0" w:right="0" w:firstLine="580"/>
              <w:jc w:val="left"/>
              <w:rPr>
                <w:sz w:val="24"/>
                <w:szCs w:val="24"/>
              </w:rPr>
            </w:pPr>
            <w:r>
              <w:rPr>
                <w:rFonts w:ascii="SimSun" w:eastAsia="SimSun" w:hAnsi="SimSun" w:cs="SimSun"/>
                <w:color w:val="000000"/>
                <w:spacing w:val="0"/>
                <w:w w:val="100"/>
                <w:position w:val="0"/>
                <w:sz w:val="24"/>
                <w:szCs w:val="24"/>
              </w:rPr>
              <w:t>支机构</w:t>
            </w:r>
          </w:p>
        </w:tc>
        <w:tc>
          <w:tcPr>
            <w:tcBorders/>
            <w:shd w:val="clear" w:color="auto" w:fill="FFFFFF"/>
            <w:vAlign w:val="bottom"/>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1420" w:right="0" w:firstLine="0"/>
              <w:jc w:val="left"/>
              <w:rPr>
                <w:sz w:val="24"/>
                <w:szCs w:val="24"/>
              </w:rPr>
            </w:pPr>
            <w:r>
              <w:rPr>
                <w:rFonts w:ascii="Arial" w:eastAsia="Arial" w:hAnsi="Arial" w:cs="Arial"/>
                <w:color w:val="000000"/>
                <w:spacing w:val="0"/>
                <w:w w:val="100"/>
                <w:position w:val="0"/>
                <w:sz w:val="24"/>
                <w:szCs w:val="24"/>
              </w:rPr>
              <w:t>3,489</w:t>
            </w:r>
          </w:p>
        </w:tc>
        <w:tc>
          <w:tcPr>
            <w:tcBorders/>
            <w:shd w:val="clear" w:color="auto" w:fill="FFFFFF"/>
            <w:vAlign w:val="center"/>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top w:val="single" w:sz="4"/>
              <w:bottom w:val="single" w:sz="4"/>
            </w:tcBorders>
            <w:shd w:val="clear" w:color="auto" w:fill="FFFFFF"/>
            <w:vAlign w:val="top"/>
          </w:tcPr>
          <w:p>
            <w:pPr>
              <w:framePr w:w="8069" w:h="5539" w:hSpace="715" w:vSpace="298" w:wrap="notBeside" w:vAnchor="text" w:hAnchor="text" w:x="771" w:y="299"/>
              <w:widowControl w:val="0"/>
              <w:rPr>
                <w:sz w:val="10"/>
                <w:szCs w:val="10"/>
              </w:rPr>
            </w:pPr>
          </w:p>
        </w:tc>
        <w:tc>
          <w:tcPr>
            <w:tcBorders>
              <w:top w:val="single" w:sz="4"/>
              <w:bottom w:val="single" w:sz="4"/>
            </w:tcBorders>
            <w:shd w:val="clear" w:color="auto" w:fill="FFFFFF"/>
            <w:vAlign w:val="top"/>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1280" w:right="0" w:firstLine="0"/>
              <w:jc w:val="left"/>
              <w:rPr>
                <w:sz w:val="24"/>
                <w:szCs w:val="24"/>
              </w:rPr>
            </w:pPr>
            <w:r>
              <w:rPr>
                <w:rFonts w:ascii="Arial" w:eastAsia="Arial" w:hAnsi="Arial" w:cs="Arial"/>
                <w:color w:val="000000"/>
                <w:spacing w:val="0"/>
                <w:w w:val="100"/>
                <w:position w:val="0"/>
                <w:sz w:val="24"/>
                <w:szCs w:val="24"/>
              </w:rPr>
              <w:t>76,599</w:t>
            </w:r>
          </w:p>
        </w:tc>
        <w:tc>
          <w:tcPr>
            <w:tcBorders>
              <w:top w:val="single" w:sz="4"/>
              <w:bottom w:val="single" w:sz="4"/>
            </w:tcBorders>
            <w:shd w:val="clear" w:color="auto" w:fill="FFFFFF"/>
            <w:vAlign w:val="top"/>
          </w:tcPr>
          <w:p>
            <w:pPr>
              <w:pStyle w:val="Style29"/>
              <w:keepNext w:val="0"/>
              <w:keepLines w:val="0"/>
              <w:framePr w:w="8069" w:h="5539" w:hSpace="715" w:vSpace="298" w:wrap="notBeside" w:vAnchor="text" w:hAnchor="text" w:x="771" w:y="299"/>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111,798</w:t>
            </w:r>
          </w:p>
        </w:tc>
      </w:tr>
    </w:tbl>
    <w:p>
      <w:pPr>
        <w:pStyle w:val="Style26"/>
        <w:keepNext w:val="0"/>
        <w:keepLines w:val="0"/>
        <w:framePr w:w="326" w:h="302" w:hSpace="55" w:wrap="notBeside" w:vAnchor="text" w:hAnchor="text" w:x="56" w:y="99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(9)</w:t>
      </w:r>
    </w:p>
    <w:p>
      <w:pPr>
        <w:pStyle w:val="Style26"/>
        <w:keepNext w:val="0"/>
        <w:keepLines w:val="0"/>
        <w:framePr w:w="7661" w:h="341" w:hSpace="55" w:wrap="notBeside" w:vAnchor="text" w:hAnchor="text" w:x="1016" w:y="1"/>
        <w:widowControl w:val="0"/>
        <w:shd w:val="clear" w:color="auto" w:fill="auto"/>
        <w:tabs>
          <w:tab w:pos="1483" w:val="left"/>
          <w:tab w:leader="underscore" w:pos="5050" w:val="left"/>
          <w:tab w:leader="underscore" w:pos="6902" w:val="left"/>
        </w:tabs>
        <w:bidi w:val="0"/>
        <w:spacing w:before="0" w:after="0" w:line="240" w:lineRule="auto"/>
        <w:ind w:left="0" w:right="0" w:firstLine="0"/>
        <w:jc w:val="left"/>
        <w:rPr>
          <w:sz w:val="24"/>
          <w:szCs w:val="24"/>
        </w:rPr>
      </w:pPr>
      <w:r>
        <w:rPr>
          <w:color w:val="000000"/>
          <w:spacing w:val="0"/>
          <w:w w:val="100"/>
          <w:position w:val="0"/>
          <w:sz w:val="24"/>
          <w:szCs w:val="24"/>
        </w:rPr>
        <w:t>利息</w:t>
        <w:tab/>
        <w:t>苏宁消费金融</w:t>
        <w:tab/>
        <w:t>二</w:t>
        <w:tab/>
      </w:r>
      <w:r>
        <w:rPr>
          <w:rFonts w:ascii="Arial" w:eastAsia="Arial" w:hAnsi="Arial" w:cs="Arial"/>
          <w:color w:val="000000"/>
          <w:spacing w:val="0"/>
          <w:w w:val="100"/>
          <w:position w:val="0"/>
          <w:sz w:val="24"/>
          <w:szCs w:val="24"/>
          <w:u w:val="single"/>
        </w:rPr>
        <w:t>10,678</w:t>
      </w:r>
    </w:p>
    <w:p>
      <w:pPr>
        <w:widowControl w:val="0"/>
        <w:spacing w:line="1" w:lineRule="exact"/>
      </w:pPr>
      <w:r>
        <w:br w:type="page"/>
      </w:r>
    </w:p>
    <w:p>
      <w:pPr>
        <w:pStyle w:val="Style72"/>
        <w:keepNext w:val="0"/>
        <w:keepLines w:val="0"/>
        <w:widowControl w:val="0"/>
        <w:shd w:val="clear" w:color="auto" w:fill="auto"/>
        <w:tabs>
          <w:tab w:pos="698" w:val="left"/>
        </w:tabs>
        <w:bidi w:val="0"/>
        <w:spacing w:before="0" w:after="320" w:line="240" w:lineRule="auto"/>
        <w:ind w:left="0" w:right="0" w:firstLine="0"/>
        <w:jc w:val="left"/>
        <w:rPr>
          <w:sz w:val="28"/>
          <w:szCs w:val="28"/>
        </w:rPr>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8" w:val="left"/>
        </w:tabs>
        <w:bidi w:val="0"/>
        <w:spacing w:before="0" w:after="320" w:line="240" w:lineRule="auto"/>
        <w:ind w:left="0" w:right="0" w:firstLine="0"/>
        <w:jc w:val="left"/>
        <w:rPr>
          <w:sz w:val="28"/>
          <w:szCs w:val="28"/>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关联方承诺</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2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租赁</w:t>
      </w:r>
    </w:p>
    <w:tbl>
      <w:tblPr>
        <w:tblOverlap w:val="never"/>
        <w:jc w:val="center"/>
        <w:tblLayout w:type="fixed"/>
      </w:tblPr>
      <w:tblGrid>
        <w:gridCol w:w="4219"/>
        <w:gridCol w:w="1997"/>
        <w:gridCol w:w="1742"/>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5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租入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珠海普易物流及其子公司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24"/>
                <w:szCs w:val="24"/>
              </w:rPr>
            </w:pPr>
            <w:r>
              <w:rPr>
                <w:rFonts w:ascii="Arial" w:eastAsia="Arial" w:hAnsi="Arial" w:cs="Arial"/>
                <w:color w:val="000000"/>
                <w:spacing w:val="0"/>
                <w:w w:val="100"/>
                <w:position w:val="0"/>
                <w:sz w:val="24"/>
                <w:szCs w:val="24"/>
              </w:rPr>
              <w:t>1,630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苏宁置业集团旗下</w:t>
            </w:r>
            <w:r>
              <w:rPr>
                <w:rFonts w:ascii="Arial" w:eastAsia="Arial" w:hAnsi="Arial" w:cs="Arial"/>
                <w:color w:val="000000"/>
                <w:spacing w:val="0"/>
                <w:w w:val="100"/>
                <w:position w:val="0"/>
                <w:sz w:val="24"/>
                <w:szCs w:val="24"/>
              </w:rPr>
              <w:t>43</w:t>
            </w:r>
            <w:r>
              <w:rPr>
                <w:rFonts w:ascii="SimSun" w:eastAsia="SimSun" w:hAnsi="SimSun" w:cs="SimSun"/>
                <w:color w:val="000000"/>
                <w:spacing w:val="0"/>
                <w:w w:val="100"/>
                <w:position w:val="0"/>
                <w:sz w:val="24"/>
                <w:szCs w:val="24"/>
              </w:rPr>
              <w:t>家置业、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建材公司及分支机构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480" w:firstLine="0"/>
              <w:jc w:val="right"/>
              <w:rPr>
                <w:sz w:val="24"/>
                <w:szCs w:val="24"/>
              </w:rPr>
            </w:pPr>
            <w:r>
              <w:rPr>
                <w:rFonts w:ascii="Arial" w:eastAsia="Arial" w:hAnsi="Arial" w:cs="Arial"/>
                <w:color w:val="000000"/>
                <w:spacing w:val="0"/>
                <w:w w:val="100"/>
                <w:position w:val="0"/>
                <w:sz w:val="24"/>
                <w:szCs w:val="24"/>
              </w:rPr>
              <w:t>262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4"/>
                <w:szCs w:val="24"/>
              </w:rPr>
            </w:pPr>
            <w:r>
              <w:rPr>
                <w:rFonts w:ascii="Arial" w:eastAsia="Arial" w:hAnsi="Arial" w:cs="Arial"/>
                <w:color w:val="000000"/>
                <w:spacing w:val="0"/>
                <w:w w:val="100"/>
                <w:position w:val="0"/>
                <w:sz w:val="24"/>
                <w:szCs w:val="24"/>
              </w:rPr>
              <w:t>302,427</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万达商管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480" w:firstLine="0"/>
              <w:jc w:val="right"/>
              <w:rPr>
                <w:sz w:val="24"/>
                <w:szCs w:val="24"/>
              </w:rPr>
            </w:pPr>
            <w:r>
              <w:rPr>
                <w:rFonts w:ascii="Arial" w:eastAsia="Arial" w:hAnsi="Arial" w:cs="Arial"/>
                <w:color w:val="000000"/>
                <w:spacing w:val="0"/>
                <w:w w:val="100"/>
                <w:position w:val="0"/>
                <w:sz w:val="24"/>
                <w:szCs w:val="24"/>
              </w:rPr>
              <w:t>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16,667,701</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上海沪申</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4"/>
                <w:szCs w:val="24"/>
              </w:rPr>
            </w:pPr>
            <w:r>
              <w:rPr>
                <w:rFonts w:ascii="Arial" w:eastAsia="Arial" w:hAnsi="Arial" w:cs="Arial"/>
                <w:color w:val="000000"/>
                <w:spacing w:val="0"/>
                <w:w w:val="100"/>
                <w:position w:val="0"/>
                <w:sz w:val="24"/>
                <w:szCs w:val="24"/>
              </w:rPr>
              <w:t>934,603</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南京禄昌</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4"/>
                <w:szCs w:val="24"/>
              </w:rPr>
            </w:pPr>
            <w:r>
              <w:rPr>
                <w:rFonts w:ascii="Arial" w:eastAsia="Arial" w:hAnsi="Arial" w:cs="Arial"/>
                <w:color w:val="000000"/>
                <w:spacing w:val="0"/>
                <w:w w:val="100"/>
                <w:position w:val="0"/>
                <w:sz w:val="24"/>
                <w:szCs w:val="24"/>
              </w:rPr>
              <w:t>305,450</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湖南苏宁易达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4"/>
                <w:szCs w:val="24"/>
              </w:rPr>
            </w:pPr>
            <w:r>
              <w:rPr>
                <w:rFonts w:ascii="Arial" w:eastAsia="Arial" w:hAnsi="Arial" w:cs="Arial"/>
                <w:color w:val="000000"/>
                <w:spacing w:val="0"/>
                <w:w w:val="100"/>
                <w:position w:val="0"/>
                <w:sz w:val="24"/>
                <w:szCs w:val="24"/>
              </w:rPr>
              <w:t>315,137</w:t>
            </w:r>
          </w:p>
        </w:tc>
      </w:tr>
      <w:tr>
        <w:trPr>
          <w:trHeight w:val="31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沈阳苏宁物流</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4"/>
                <w:szCs w:val="24"/>
              </w:rPr>
            </w:pPr>
            <w:r>
              <w:rPr>
                <w:rFonts w:ascii="Arial" w:eastAsia="Arial" w:hAnsi="Arial" w:cs="Arial"/>
                <w:color w:val="000000"/>
                <w:spacing w:val="0"/>
                <w:w w:val="100"/>
                <w:position w:val="0"/>
                <w:sz w:val="24"/>
                <w:szCs w:val="24"/>
              </w:rPr>
              <w:t>430,618</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重庆首恒</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4"/>
                <w:szCs w:val="24"/>
              </w:rPr>
            </w:pPr>
            <w:r>
              <w:rPr>
                <w:rFonts w:ascii="Arial" w:eastAsia="Arial" w:hAnsi="Arial" w:cs="Arial"/>
                <w:color w:val="000000"/>
                <w:spacing w:val="0"/>
                <w:w w:val="100"/>
                <w:position w:val="0"/>
                <w:sz w:val="24"/>
                <w:szCs w:val="24"/>
              </w:rPr>
              <w:t>512,213</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陕西苏宁易达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4"/>
                <w:szCs w:val="24"/>
              </w:rPr>
            </w:pPr>
            <w:r>
              <w:rPr>
                <w:rFonts w:ascii="Arial" w:eastAsia="Arial" w:hAnsi="Arial" w:cs="Arial"/>
                <w:color w:val="000000"/>
                <w:spacing w:val="0"/>
                <w:w w:val="100"/>
                <w:position w:val="0"/>
                <w:sz w:val="24"/>
                <w:szCs w:val="24"/>
              </w:rPr>
              <w:t>248,035</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南京优荣</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4"/>
                <w:szCs w:val="24"/>
              </w:rPr>
            </w:pPr>
            <w:r>
              <w:rPr>
                <w:rFonts w:ascii="Arial" w:eastAsia="Arial" w:hAnsi="Arial" w:cs="Arial"/>
                <w:color w:val="000000"/>
                <w:spacing w:val="0"/>
                <w:w w:val="100"/>
                <w:position w:val="0"/>
                <w:sz w:val="24"/>
                <w:szCs w:val="24"/>
              </w:rPr>
              <w:t>139,671</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江苏辰逸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4"/>
                <w:szCs w:val="24"/>
              </w:rPr>
            </w:pPr>
            <w:r>
              <w:rPr>
                <w:rFonts w:ascii="Arial" w:eastAsia="Arial" w:hAnsi="Arial" w:cs="Arial"/>
                <w:color w:val="000000"/>
                <w:spacing w:val="0"/>
                <w:w w:val="100"/>
                <w:position w:val="0"/>
                <w:sz w:val="24"/>
                <w:szCs w:val="24"/>
              </w:rPr>
              <w:t>203,996</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湖南苏宁采购</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4"/>
                <w:szCs w:val="24"/>
              </w:rPr>
            </w:pPr>
            <w:r>
              <w:rPr>
                <w:rFonts w:ascii="Arial" w:eastAsia="Arial" w:hAnsi="Arial" w:cs="Arial"/>
                <w:color w:val="000000"/>
                <w:spacing w:val="0"/>
                <w:w w:val="100"/>
                <w:position w:val="0"/>
                <w:sz w:val="24"/>
                <w:szCs w:val="24"/>
              </w:rPr>
              <w:t>364,725</w:t>
            </w:r>
          </w:p>
        </w:tc>
      </w:tr>
      <w:tr>
        <w:trPr>
          <w:trHeight w:val="31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宁波苏宁易达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4"/>
                <w:szCs w:val="24"/>
              </w:rPr>
            </w:pPr>
            <w:r>
              <w:rPr>
                <w:rFonts w:ascii="Arial" w:eastAsia="Arial" w:hAnsi="Arial" w:cs="Arial"/>
                <w:color w:val="000000"/>
                <w:spacing w:val="0"/>
                <w:w w:val="100"/>
                <w:position w:val="0"/>
                <w:sz w:val="24"/>
                <w:szCs w:val="24"/>
              </w:rPr>
              <w:t>142,393</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其他关联方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480" w:firstLine="0"/>
              <w:jc w:val="right"/>
              <w:rPr>
                <w:sz w:val="24"/>
                <w:szCs w:val="24"/>
              </w:rPr>
            </w:pPr>
            <w:r>
              <w:rPr>
                <w:rFonts w:ascii="Arial" w:eastAsia="Arial" w:hAnsi="Arial" w:cs="Arial"/>
                <w:color w:val="000000"/>
                <w:spacing w:val="0"/>
                <w:w w:val="100"/>
                <w:position w:val="0"/>
                <w:sz w:val="24"/>
                <w:szCs w:val="24"/>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4"/>
                <w:szCs w:val="24"/>
              </w:rPr>
            </w:pPr>
            <w:r>
              <w:rPr>
                <w:rFonts w:ascii="Arial" w:eastAsia="Arial" w:hAnsi="Arial" w:cs="Arial"/>
                <w:color w:val="000000"/>
                <w:spacing w:val="0"/>
                <w:w w:val="100"/>
                <w:position w:val="0"/>
                <w:sz w:val="24"/>
                <w:szCs w:val="24"/>
              </w:rPr>
              <w:t>403,100</w:t>
            </w:r>
          </w:p>
        </w:tc>
      </w:tr>
      <w:tr>
        <w:trPr>
          <w:trHeight w:val="331"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24"/>
                <w:szCs w:val="24"/>
              </w:rPr>
            </w:pPr>
            <w:r>
              <w:rPr>
                <w:rFonts w:ascii="Arial" w:eastAsia="Arial" w:hAnsi="Arial" w:cs="Arial"/>
                <w:color w:val="000000"/>
                <w:spacing w:val="0"/>
                <w:w w:val="100"/>
                <w:position w:val="0"/>
                <w:sz w:val="24"/>
                <w:szCs w:val="24"/>
              </w:rPr>
              <w:t>1,910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20,970,069</w:t>
            </w:r>
          </w:p>
        </w:tc>
      </w:tr>
    </w:tbl>
    <w:p>
      <w:pPr>
        <w:spacing w:lineRule="exact" w:line="1"/>
        <w:rPr>
          <w:sz w:val="2"/>
          <w:szCs w:val="2"/>
        </w:rPr>
      </w:pPr>
      <w:r>
        <w:br w:type="page"/>
      </w:r>
    </w:p>
    <w:p>
      <w:pPr>
        <w:pStyle w:val="Style72"/>
        <w:keepNext w:val="0"/>
        <w:keepLines w:val="0"/>
        <w:widowControl w:val="0"/>
        <w:shd w:val="clear" w:color="auto" w:fill="auto"/>
        <w:tabs>
          <w:tab w:pos="698" w:val="left"/>
        </w:tabs>
        <w:bidi w:val="0"/>
        <w:spacing w:before="0" w:after="300" w:line="240" w:lineRule="auto"/>
        <w:ind w:left="0" w:right="0" w:firstLine="0"/>
        <w:jc w:val="left"/>
        <w:rPr>
          <w:sz w:val="28"/>
          <w:szCs w:val="28"/>
        </w:rPr>
      </w:pPr>
      <w:r>
        <w:rPr>
          <w:b/>
          <w:bCs/>
          <w:color w:val="000000"/>
          <w:spacing w:val="0"/>
          <w:w w:val="100"/>
          <w:position w:val="0"/>
          <w:sz w:val="24"/>
          <w:szCs w:val="24"/>
        </w:rPr>
        <w:t>八</w:t>
        <w:tab/>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8" w:val="left"/>
        </w:tabs>
        <w:bidi w:val="0"/>
        <w:spacing w:before="0" w:after="300" w:line="240" w:lineRule="auto"/>
        <w:ind w:left="0" w:right="0" w:firstLine="0"/>
        <w:jc w:val="left"/>
        <w:rPr>
          <w:sz w:val="28"/>
          <w:szCs w:val="28"/>
        </w:rPr>
      </w:pPr>
      <w:r>
        <w:rPr>
          <w:color w:val="000000"/>
          <w:spacing w:val="0"/>
          <w:w w:val="100"/>
          <w:position w:val="0"/>
          <w:sz w:val="24"/>
          <w:szCs w:val="24"/>
        </w:rPr>
        <w:t>（9）</w:t>
        <w:tab/>
      </w:r>
      <w:r>
        <w:rPr>
          <w:rFonts w:ascii="SimSun" w:eastAsia="SimSun" w:hAnsi="SimSun" w:cs="SimSun"/>
          <w:b/>
          <w:bCs/>
          <w:color w:val="000000"/>
          <w:spacing w:val="0"/>
          <w:w w:val="100"/>
          <w:position w:val="0"/>
          <w:sz w:val="24"/>
          <w:szCs w:val="24"/>
        </w:rPr>
        <w:t>关联方承诺</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720"/>
        <w:jc w:val="left"/>
        <w:rPr>
          <w:sz w:val="28"/>
          <w:szCs w:val="28"/>
        </w:rPr>
      </w:pPr>
      <w:r>
        <w:rPr>
          <w:color w:val="000000"/>
          <w:spacing w:val="0"/>
          <w:w w:val="100"/>
          <w:position w:val="0"/>
          <w:sz w:val="24"/>
          <w:szCs w:val="24"/>
        </w:rPr>
        <w:t>租赁</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2208" w:val="left"/>
        </w:tabs>
        <w:bidi w:val="0"/>
        <w:spacing w:before="0" w:after="300" w:line="240" w:lineRule="auto"/>
        <w:ind w:left="0" w:right="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2020</w:t>
      </w:r>
      <w:r>
        <w:rPr>
          <w:rFonts w:ascii="SimSun" w:eastAsia="SimSun" w:hAnsi="SimSun" w:cs="SimSun"/>
          <w:color w:val="000000"/>
          <w:spacing w:val="0"/>
          <w:w w:val="100"/>
          <w:position w:val="0"/>
          <w:sz w:val="24"/>
          <w:szCs w:val="24"/>
        </w:rPr>
        <w:t>年度</w:t>
      </w:r>
    </w:p>
    <w:p>
      <w:pPr>
        <w:pStyle w:val="Style7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租出</w:t>
      </w:r>
    </w:p>
    <w:p>
      <w:pPr>
        <w:pStyle w:val="Style26"/>
        <w:keepNext w:val="0"/>
        <w:keepLines w:val="0"/>
        <w:widowControl w:val="0"/>
        <w:shd w:val="clear" w:color="auto" w:fill="auto"/>
        <w:bidi w:val="0"/>
        <w:spacing w:before="0" w:after="0" w:line="240" w:lineRule="auto"/>
        <w:ind w:left="10" w:right="0" w:firstLine="0"/>
        <w:jc w:val="left"/>
        <w:rPr>
          <w:sz w:val="24"/>
          <w:szCs w:val="24"/>
        </w:rPr>
      </w:pPr>
      <w:r>
        <w:rPr>
          <w:color w:val="000000"/>
          <w:spacing w:val="0"/>
          <w:w w:val="100"/>
          <w:position w:val="0"/>
          <w:sz w:val="24"/>
          <w:szCs w:val="24"/>
        </w:rPr>
        <w:t>苏宁置业集团旗下</w:t>
      </w:r>
      <w:r>
        <w:rPr>
          <w:rFonts w:ascii="Arial" w:eastAsia="Arial" w:hAnsi="Arial" w:cs="Arial"/>
          <w:color w:val="000000"/>
          <w:spacing w:val="0"/>
          <w:w w:val="100"/>
          <w:position w:val="0"/>
          <w:sz w:val="24"/>
          <w:szCs w:val="24"/>
        </w:rPr>
        <w:t>43</w:t>
      </w:r>
      <w:r>
        <w:rPr>
          <w:color w:val="000000"/>
          <w:spacing w:val="0"/>
          <w:w w:val="100"/>
          <w:position w:val="0"/>
          <w:sz w:val="24"/>
          <w:szCs w:val="24"/>
        </w:rPr>
        <w:t>家置业、</w:t>
      </w:r>
    </w:p>
    <w:tbl>
      <w:tblPr>
        <w:tblOverlap w:val="never"/>
        <w:jc w:val="right"/>
        <w:tblLayout w:type="fixed"/>
      </w:tblPr>
      <w:tblGrid>
        <w:gridCol w:w="3648"/>
        <w:gridCol w:w="2026"/>
        <w:gridCol w:w="1651"/>
      </w:tblGrid>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建材公司及分支机构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69,266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24"/>
                <w:szCs w:val="24"/>
              </w:rPr>
            </w:pPr>
            <w:r>
              <w:rPr>
                <w:rFonts w:ascii="Arial" w:eastAsia="Arial" w:hAnsi="Arial" w:cs="Arial"/>
                <w:color w:val="000000"/>
                <w:spacing w:val="0"/>
                <w:w w:val="100"/>
                <w:position w:val="0"/>
                <w:sz w:val="24"/>
                <w:szCs w:val="24"/>
              </w:rPr>
              <w:t>4,577</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苏宁控股集团旗下</w:t>
            </w:r>
            <w:r>
              <w:rPr>
                <w:rFonts w:ascii="Arial" w:eastAsia="Arial" w:hAnsi="Arial" w:cs="Arial"/>
                <w:color w:val="000000"/>
                <w:spacing w:val="0"/>
                <w:w w:val="100"/>
                <w:position w:val="0"/>
                <w:sz w:val="24"/>
                <w:szCs w:val="24"/>
              </w:rPr>
              <w:t>47</w:t>
            </w:r>
            <w:r>
              <w:rPr>
                <w:rFonts w:ascii="SimSun" w:eastAsia="SimSun" w:hAnsi="SimSun" w:cs="SimSun"/>
                <w:color w:val="000000"/>
                <w:spacing w:val="0"/>
                <w:w w:val="100"/>
                <w:position w:val="0"/>
                <w:sz w:val="24"/>
                <w:szCs w:val="24"/>
              </w:rPr>
              <w:t>家影城、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影院公司及分支机构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64,344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24"/>
                <w:szCs w:val="24"/>
              </w:rPr>
            </w:pPr>
            <w:r>
              <w:rPr>
                <w:rFonts w:ascii="Arial" w:eastAsia="Arial" w:hAnsi="Arial" w:cs="Arial"/>
                <w:color w:val="000000"/>
                <w:spacing w:val="0"/>
                <w:w w:val="100"/>
                <w:position w:val="0"/>
                <w:sz w:val="24"/>
                <w:szCs w:val="24"/>
              </w:rPr>
              <w:t>36,151</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苏宁置业集团旗下</w:t>
            </w:r>
            <w:r>
              <w:rPr>
                <w:rFonts w:ascii="Arial" w:eastAsia="Arial" w:hAnsi="Arial" w:cs="Arial"/>
                <w:color w:val="000000"/>
                <w:spacing w:val="0"/>
                <w:w w:val="100"/>
                <w:position w:val="0"/>
                <w:sz w:val="24"/>
                <w:szCs w:val="24"/>
              </w:rPr>
              <w:t>23</w:t>
            </w:r>
            <w:r>
              <w:rPr>
                <w:rFonts w:ascii="SimSun" w:eastAsia="SimSun" w:hAnsi="SimSun" w:cs="SimSun"/>
                <w:color w:val="000000"/>
                <w:spacing w:val="0"/>
                <w:w w:val="100"/>
                <w:position w:val="0"/>
                <w:sz w:val="24"/>
                <w:szCs w:val="24"/>
              </w:rPr>
              <w:t>家酒店、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餐饮公司及分支机构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37,318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394,954</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苏宁置业集团旗下</w:t>
            </w:r>
            <w:r>
              <w:rPr>
                <w:rFonts w:ascii="Arial" w:eastAsia="Arial" w:hAnsi="Arial" w:cs="Arial"/>
                <w:color w:val="000000"/>
                <w:spacing w:val="0"/>
                <w:w w:val="100"/>
                <w:position w:val="0"/>
                <w:sz w:val="24"/>
                <w:szCs w:val="24"/>
              </w:rPr>
              <w:t>65</w:t>
            </w:r>
            <w:r>
              <w:rPr>
                <w:rFonts w:ascii="SimSun" w:eastAsia="SimSun" w:hAnsi="SimSun" w:cs="SimSun"/>
                <w:color w:val="000000"/>
                <w:spacing w:val="0"/>
                <w:w w:val="100"/>
                <w:position w:val="0"/>
                <w:sz w:val="24"/>
                <w:szCs w:val="24"/>
              </w:rPr>
              <w:t>家银河</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物业公司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7,126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402</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上海聚力</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6,495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24"/>
                <w:szCs w:val="24"/>
              </w:rPr>
            </w:pPr>
            <w:r>
              <w:rPr>
                <w:rFonts w:ascii="Arial" w:eastAsia="Arial" w:hAnsi="Arial" w:cs="Arial"/>
                <w:color w:val="000000"/>
                <w:spacing w:val="0"/>
                <w:w w:val="100"/>
                <w:position w:val="0"/>
                <w:sz w:val="24"/>
                <w:szCs w:val="24"/>
              </w:rPr>
              <w:t>10,059</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苏宁银行</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1,335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苏宁控股集团旗下其余</w:t>
            </w:r>
            <w:r>
              <w:rPr>
                <w:rFonts w:ascii="Arial" w:eastAsia="Arial" w:hAnsi="Arial" w:cs="Arial"/>
                <w:color w:val="000000"/>
                <w:spacing w:val="0"/>
                <w:w w:val="100"/>
                <w:position w:val="0"/>
                <w:sz w:val="24"/>
                <w:szCs w:val="24"/>
              </w:rPr>
              <w:t>11</w:t>
            </w:r>
            <w:r>
              <w:rPr>
                <w:rFonts w:ascii="SimSun" w:eastAsia="SimSun" w:hAnsi="SimSun" w:cs="SimSun"/>
                <w:color w:val="000000"/>
                <w:spacing w:val="0"/>
                <w:w w:val="100"/>
                <w:position w:val="0"/>
                <w:sz w:val="24"/>
                <w:szCs w:val="24"/>
              </w:rPr>
              <w:t>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体育公司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911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24"/>
                <w:szCs w:val="24"/>
              </w:rPr>
            </w:pPr>
            <w:r>
              <w:rPr>
                <w:rFonts w:ascii="Arial" w:eastAsia="Arial" w:hAnsi="Arial" w:cs="Arial"/>
                <w:color w:val="000000"/>
                <w:spacing w:val="0"/>
                <w:w w:val="100"/>
                <w:position w:val="0"/>
                <w:sz w:val="24"/>
                <w:szCs w:val="24"/>
              </w:rPr>
              <w:t>80,277</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苏宁控股集团旗下</w:t>
            </w:r>
            <w:r>
              <w:rPr>
                <w:rFonts w:ascii="Arial" w:eastAsia="Arial" w:hAnsi="Arial" w:cs="Arial"/>
                <w:color w:val="000000"/>
                <w:spacing w:val="0"/>
                <w:w w:val="100"/>
                <w:position w:val="0"/>
                <w:sz w:val="24"/>
                <w:szCs w:val="24"/>
              </w:rPr>
              <w:t>10</w:t>
            </w:r>
            <w:r>
              <w:rPr>
                <w:rFonts w:ascii="SimSun" w:eastAsia="SimSun" w:hAnsi="SimSun" w:cs="SimSun"/>
                <w:color w:val="000000"/>
                <w:spacing w:val="0"/>
                <w:w w:val="100"/>
                <w:position w:val="0"/>
                <w:sz w:val="24"/>
                <w:szCs w:val="24"/>
              </w:rPr>
              <w:t>家文化、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院线投资公司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343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苏宁控股集团旗下其余体育</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彩票公司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192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52</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银河国际购物广场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660" w:firstLine="0"/>
              <w:jc w:val="right"/>
              <w:rPr>
                <w:sz w:val="24"/>
                <w:szCs w:val="24"/>
              </w:rPr>
            </w:pPr>
            <w:r>
              <w:rPr>
                <w:rFonts w:ascii="Arial" w:eastAsia="Arial" w:hAnsi="Arial" w:cs="Arial"/>
                <w:color w:val="000000"/>
                <w:spacing w:val="0"/>
                <w:w w:val="100"/>
                <w:position w:val="0"/>
                <w:sz w:val="24"/>
                <w:szCs w:val="24"/>
              </w:rPr>
              <w:t>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34</w:t>
            </w:r>
          </w:p>
        </w:tc>
      </w:tr>
      <w:tr>
        <w:trPr>
          <w:trHeight w:val="3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苏宁体育产业</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24"/>
                <w:szCs w:val="24"/>
              </w:rPr>
            </w:pPr>
            <w:r>
              <w:rPr>
                <w:rFonts w:ascii="Arial" w:eastAsia="Arial" w:hAnsi="Arial" w:cs="Arial"/>
                <w:color w:val="000000"/>
                <w:spacing w:val="0"/>
                <w:w w:val="100"/>
                <w:position w:val="0"/>
                <w:sz w:val="24"/>
                <w:szCs w:val="24"/>
              </w:rPr>
              <w:t>36,746</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消费金融</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24"/>
                <w:szCs w:val="24"/>
              </w:rPr>
            </w:pPr>
            <w:r>
              <w:rPr>
                <w:rFonts w:ascii="Arial" w:eastAsia="Arial" w:hAnsi="Arial" w:cs="Arial"/>
                <w:color w:val="000000"/>
                <w:spacing w:val="0"/>
                <w:w w:val="100"/>
                <w:position w:val="0"/>
                <w:sz w:val="24"/>
                <w:szCs w:val="24"/>
              </w:rPr>
              <w:t>3,558</w:t>
            </w:r>
          </w:p>
        </w:tc>
      </w:tr>
      <w:tr>
        <w:trPr>
          <w:trHeight w:val="30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苏宁置业</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24"/>
                <w:szCs w:val="24"/>
              </w:rPr>
            </w:pPr>
            <w:r>
              <w:rPr>
                <w:rFonts w:ascii="Arial" w:eastAsia="Arial" w:hAnsi="Arial" w:cs="Arial"/>
                <w:color w:val="000000"/>
                <w:spacing w:val="0"/>
                <w:w w:val="100"/>
                <w:position w:val="0"/>
                <w:sz w:val="24"/>
                <w:szCs w:val="24"/>
              </w:rPr>
              <w:t>1,513</w:t>
            </w:r>
          </w:p>
        </w:tc>
      </w:tr>
      <w:tr>
        <w:trPr>
          <w:trHeight w:val="30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江苏苏宁商管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24"/>
                <w:szCs w:val="24"/>
              </w:rPr>
            </w:pPr>
            <w:r>
              <w:rPr>
                <w:rFonts w:ascii="Arial" w:eastAsia="Arial" w:hAnsi="Arial" w:cs="Arial"/>
                <w:color w:val="000000"/>
                <w:spacing w:val="0"/>
                <w:w w:val="100"/>
                <w:position w:val="0"/>
                <w:sz w:val="24"/>
                <w:szCs w:val="24"/>
              </w:rPr>
              <w:t>1,349</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苏宁置业清凉门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551</w:t>
            </w:r>
          </w:p>
        </w:tc>
      </w:tr>
      <w:tr>
        <w:trPr>
          <w:trHeight w:val="3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苏宁置业集团下</w:t>
            </w:r>
            <w:r>
              <w:rPr>
                <w:rFonts w:ascii="Arial" w:eastAsia="Arial" w:hAnsi="Arial" w:cs="Arial"/>
                <w:color w:val="000000"/>
                <w:spacing w:val="0"/>
                <w:w w:val="100"/>
                <w:position w:val="0"/>
                <w:sz w:val="24"/>
                <w:szCs w:val="24"/>
              </w:rPr>
              <w:t>1</w:t>
            </w:r>
            <w:r>
              <w:rPr>
                <w:rFonts w:ascii="SimSun" w:eastAsia="SimSun" w:hAnsi="SimSun" w:cs="SimSun"/>
                <w:color w:val="000000"/>
                <w:spacing w:val="0"/>
                <w:w w:val="100"/>
                <w:position w:val="0"/>
                <w:sz w:val="24"/>
                <w:szCs w:val="24"/>
              </w:rPr>
              <w:t>家足球俱乐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SimSun" w:eastAsia="SimSun" w:hAnsi="SimSun" w:cs="SimSun"/>
                <w:color w:val="000000"/>
                <w:spacing w:val="0"/>
                <w:w w:val="100"/>
                <w:position w:val="0"/>
                <w:sz w:val="24"/>
                <w:szCs w:val="24"/>
              </w:rPr>
              <w:t>部公司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rPr>
                <w:sz w:val="24"/>
                <w:szCs w:val="24"/>
              </w:rPr>
            </w:pPr>
            <w:r>
              <w:rPr>
                <w:rFonts w:ascii="Arial" w:eastAsia="Arial" w:hAnsi="Arial" w:cs="Arial"/>
                <w:color w:val="000000"/>
                <w:spacing w:val="0"/>
                <w:w w:val="100"/>
                <w:position w:val="0"/>
                <w:sz w:val="24"/>
                <w:szCs w:val="24"/>
              </w:rPr>
              <w:t>390</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TCL</w:t>
            </w:r>
            <w:r>
              <w:rPr>
                <w:rFonts w:ascii="SimSun" w:eastAsia="SimSun" w:hAnsi="SimSun" w:cs="SimSun"/>
                <w:color w:val="000000"/>
                <w:spacing w:val="0"/>
                <w:w w:val="100"/>
                <w:position w:val="0"/>
                <w:sz w:val="24"/>
                <w:szCs w:val="24"/>
              </w:rPr>
              <w:t>实业</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24"/>
                <w:szCs w:val="24"/>
              </w:rPr>
            </w:pPr>
            <w:r>
              <w:rPr>
                <w:rFonts w:ascii="Arial" w:eastAsia="Arial" w:hAnsi="Arial" w:cs="Arial"/>
                <w:color w:val="000000"/>
                <w:spacing w:val="0"/>
                <w:w w:val="100"/>
                <w:position w:val="0"/>
                <w:sz w:val="24"/>
                <w:szCs w:val="24"/>
              </w:rPr>
              <w:t>87</w:t>
            </w:r>
          </w:p>
        </w:tc>
      </w:tr>
      <w:tr>
        <w:trPr>
          <w:trHeight w:val="31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24"/>
                <w:szCs w:val="24"/>
              </w:rPr>
            </w:pPr>
            <w:r>
              <w:rPr>
                <w:rFonts w:ascii="Arial" w:eastAsia="Arial" w:hAnsi="Arial" w:cs="Arial"/>
                <w:color w:val="000000"/>
                <w:spacing w:val="0"/>
                <w:w w:val="100"/>
                <w:position w:val="0"/>
                <w:sz w:val="24"/>
                <w:szCs w:val="24"/>
              </w:rPr>
              <w:t>187,423</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570,700</w:t>
            </w:r>
          </w:p>
        </w:tc>
      </w:tr>
    </w:tbl>
    <w:p>
      <w:pPr>
        <w:spacing w:lineRule="exact" w:line="1"/>
        <w:rPr>
          <w:sz w:val="2"/>
          <w:szCs w:val="2"/>
        </w:rPr>
      </w:pPr>
      <w:r>
        <w:br w:type="page"/>
      </w:r>
    </w:p>
    <w:p>
      <w:pPr>
        <w:pStyle w:val="Style72"/>
        <w:keepNext w:val="0"/>
        <w:keepLines w:val="0"/>
        <w:widowControl w:val="0"/>
        <w:shd w:val="clear" w:color="auto" w:fill="auto"/>
        <w:bidi w:val="0"/>
        <w:spacing w:before="0" w:after="300" w:line="240" w:lineRule="auto"/>
        <w:ind w:left="0" w:right="0" w:firstLine="220"/>
        <w:jc w:val="left"/>
        <w:rPr>
          <w:sz w:val="28"/>
          <w:szCs w:val="28"/>
        </w:rPr>
      </w:pPr>
      <w:r>
        <mc:AlternateContent>
          <mc:Choice Requires="wps">
            <w:drawing>
              <wp:anchor distT="0" distB="0" distL="114300" distR="114300" simplePos="0" relativeHeight="125829466" behindDoc="0" locked="0" layoutInCell="1" allowOverlap="1">
                <wp:simplePos x="0" y="0"/>
                <wp:positionH relativeFrom="page">
                  <wp:posOffset>1090930</wp:posOffset>
                </wp:positionH>
                <wp:positionV relativeFrom="paragraph">
                  <wp:posOffset>12700</wp:posOffset>
                </wp:positionV>
                <wp:extent cx="210185" cy="567055"/>
                <wp:wrapSquare wrapText="bothSides"/>
                <wp:docPr id="116" name="Shape 116"/>
                <a:graphic xmlns:a="http://schemas.openxmlformats.org/drawingml/2006/main">
                  <a:graphicData uri="http://schemas.microsoft.com/office/word/2010/wordprocessingShape">
                    <wps:wsp>
                      <wps:cNvSpPr txBox="1"/>
                      <wps:spPr>
                        <a:xfrm>
                          <a:ext cx="210185" cy="567055"/>
                        </a:xfrm>
                        <a:prstGeom prst="rect"/>
                        <a:noFill/>
                      </wps:spPr>
                      <wps:txbx>
                        <w:txbxContent>
                          <w:p>
                            <w:pPr>
                              <w:pStyle w:val="Style72"/>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sz w:val="24"/>
                                <w:szCs w:val="24"/>
                              </w:rPr>
                              <w:t>八</w:t>
                            </w:r>
                          </w:p>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w:t>
                            </w:r>
                          </w:p>
                        </w:txbxContent>
                      </wps:txbx>
                      <wps:bodyPr lIns="0" tIns="0" rIns="0" bIns="0">
                        <a:noAutoFit/>
                      </wps:bodyPr>
                    </wps:wsp>
                  </a:graphicData>
                </a:graphic>
              </wp:anchor>
            </w:drawing>
          </mc:Choice>
          <mc:Fallback>
            <w:pict>
              <v:shape id="_x0000_s1142" type="#_x0000_t202" style="position:absolute;margin-left:85.900000000000006pt;margin-top:1.pt;width:16.550000000000001pt;height:44.649999999999999pt;z-index:-125829287;mso-wrap-distance-left:9.pt;mso-wrap-distance-right:9.pt;mso-position-horizontal-relative:page" filled="f" stroked="f">
                <v:textbox inset="0,0,0,0">
                  <w:txbxContent>
                    <w:p>
                      <w:pPr>
                        <w:pStyle w:val="Style72"/>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sz w:val="24"/>
                          <w:szCs w:val="24"/>
                        </w:rPr>
                        <w:t>八</w:t>
                      </w:r>
                    </w:p>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w:t>
                      </w:r>
                    </w:p>
                  </w:txbxContent>
                </v:textbox>
                <w10:wrap type="square" anchorx="page"/>
              </v:shape>
            </w:pict>
          </mc:Fallback>
        </mc:AlternateContent>
      </w:r>
      <w:r>
        <w:rPr>
          <w:b/>
          <w:bCs/>
          <w:color w:val="000000"/>
          <w:spacing w:val="0"/>
          <w:w w:val="100"/>
          <w:position w:val="0"/>
          <w:sz w:val="24"/>
          <w:szCs w:val="24"/>
        </w:rPr>
        <w:t>关联方关系及其交易</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220"/>
        <w:jc w:val="left"/>
        <w:rPr>
          <w:sz w:val="28"/>
          <w:szCs w:val="28"/>
        </w:rPr>
      </w:pPr>
      <w:r>
        <w:rPr>
          <w:b/>
          <w:bCs/>
          <w:color w:val="000000"/>
          <w:spacing w:val="0"/>
          <w:w w:val="100"/>
          <w:position w:val="0"/>
          <w:sz w:val="24"/>
          <w:szCs w:val="24"/>
        </w:rPr>
        <w:t>关联方承诺</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720"/>
        <w:jc w:val="left"/>
      </w:pPr>
      <w:r>
        <w:rPr>
          <w:color w:val="000000"/>
          <w:spacing w:val="0"/>
          <w:w w:val="100"/>
          <w:position w:val="0"/>
          <w:sz w:val="24"/>
          <w:szCs w:val="24"/>
        </w:rPr>
        <w:t>担保</w:t>
      </w:r>
    </w:p>
    <w:p>
      <w:pPr>
        <w:pStyle w:val="Style92"/>
        <w:keepNext w:val="0"/>
        <w:keepLines w:val="0"/>
        <w:widowControl w:val="0"/>
        <w:shd w:val="clear" w:color="auto" w:fill="auto"/>
        <w:tabs>
          <w:tab w:pos="2208" w:val="left"/>
        </w:tabs>
        <w:bidi w:val="0"/>
        <w:spacing w:before="0" w:after="300" w:line="240" w:lineRule="auto"/>
        <w:ind w:left="0" w:right="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2020</w:t>
      </w:r>
      <w:r>
        <w:rPr>
          <w:rFonts w:ascii="SimSun" w:eastAsia="SimSun" w:hAnsi="SimSun" w:cs="SimSun"/>
          <w:color w:val="000000"/>
          <w:spacing w:val="0"/>
          <w:w w:val="100"/>
          <w:position w:val="0"/>
          <w:sz w:val="24"/>
          <w:szCs w:val="24"/>
        </w:rPr>
        <w:t>年度</w:t>
      </w:r>
    </w:p>
    <w:p>
      <w:pPr>
        <w:pStyle w:val="Style72"/>
        <w:keepNext w:val="0"/>
        <w:keepLines w:val="0"/>
        <w:widowControl w:val="0"/>
        <w:shd w:val="clear" w:color="auto" w:fill="auto"/>
        <w:bidi w:val="0"/>
        <w:spacing w:before="0" w:after="300" w:line="240" w:lineRule="auto"/>
        <w:ind w:left="0" w:right="0" w:firstLine="72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提供担保</w:t>
      </w:r>
    </w:p>
    <w:p>
      <w:pPr>
        <w:pStyle w:val="Style26"/>
        <w:keepNext w:val="0"/>
        <w:keepLines w:val="0"/>
        <w:widowControl w:val="0"/>
        <w:shd w:val="clear" w:color="auto" w:fill="auto"/>
        <w:bidi w:val="0"/>
        <w:spacing w:before="0" w:after="0" w:line="240" w:lineRule="auto"/>
        <w:ind w:left="706" w:right="0" w:firstLine="0"/>
        <w:jc w:val="left"/>
        <w:rPr>
          <w:sz w:val="24"/>
          <w:szCs w:val="24"/>
        </w:rPr>
      </w:pPr>
      <w:r>
        <w:rPr>
          <w:rFonts w:ascii="Arial" w:eastAsia="Arial" w:hAnsi="Arial" w:cs="Arial"/>
          <w:color w:val="000000"/>
          <w:spacing w:val="0"/>
          <w:w w:val="100"/>
          <w:position w:val="0"/>
          <w:sz w:val="24"/>
          <w:szCs w:val="24"/>
        </w:rPr>
        <w:t>Suning International Group</w:t>
      </w:r>
    </w:p>
    <w:tbl>
      <w:tblPr>
        <w:tblOverlap w:val="never"/>
        <w:jc w:val="right"/>
        <w:tblLayout w:type="fixed"/>
      </w:tblPr>
      <w:tblGrid>
        <w:gridCol w:w="4075"/>
        <w:gridCol w:w="1728"/>
        <w:gridCol w:w="2179"/>
      </w:tblGrid>
      <w:tr>
        <w:trPr>
          <w:trHeight w:val="27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rPr>
                <w:sz w:val="24"/>
                <w:szCs w:val="24"/>
              </w:rPr>
            </w:pPr>
            <w:r>
              <w:rPr>
                <w:rFonts w:ascii="Arial" w:eastAsia="Arial" w:hAnsi="Arial" w:cs="Arial"/>
                <w:color w:val="000000"/>
                <w:spacing w:val="0"/>
                <w:w w:val="100"/>
                <w:position w:val="0"/>
                <w:sz w:val="24"/>
                <w:szCs w:val="24"/>
              </w:rPr>
              <w:t>Co.,Limited</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849,990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rPr>
                <w:sz w:val="24"/>
                <w:szCs w:val="24"/>
              </w:rPr>
            </w:pPr>
            <w:r>
              <w:rPr>
                <w:rFonts w:ascii="Arial" w:eastAsia="Arial" w:hAnsi="Arial" w:cs="Arial"/>
                <w:color w:val="000000"/>
                <w:spacing w:val="0"/>
                <w:w w:val="100"/>
                <w:position w:val="0"/>
                <w:sz w:val="24"/>
                <w:szCs w:val="24"/>
              </w:rPr>
              <w:t>849,990</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南京苏宁百货有限公司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300,000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24"/>
                <w:szCs w:val="24"/>
              </w:rPr>
            </w:pPr>
            <w:r>
              <w:rPr>
                <w:rFonts w:ascii="Arial" w:eastAsia="Arial" w:hAnsi="Arial" w:cs="Arial"/>
                <w:color w:val="000000"/>
                <w:spacing w:val="0"/>
                <w:w w:val="100"/>
                <w:position w:val="0"/>
                <w:sz w:val="24"/>
                <w:szCs w:val="24"/>
              </w:rPr>
              <w:t>300,000</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香港苏宁采购有限公司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160,987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24"/>
                <w:szCs w:val="24"/>
              </w:rPr>
            </w:pPr>
            <w:r>
              <w:rPr>
                <w:rFonts w:ascii="Arial" w:eastAsia="Arial" w:hAnsi="Arial" w:cs="Arial"/>
                <w:color w:val="000000"/>
                <w:spacing w:val="0"/>
                <w:w w:val="100"/>
                <w:position w:val="0"/>
                <w:sz w:val="24"/>
                <w:szCs w:val="24"/>
              </w:rPr>
              <w:t>163,726</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天津天宁苏宁易购商贸有限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rPr>
                <w:sz w:val="24"/>
                <w:szCs w:val="24"/>
              </w:rPr>
            </w:pPr>
            <w:r>
              <w:rPr>
                <w:rFonts w:ascii="SimSun" w:eastAsia="SimSun" w:hAnsi="SimSun" w:cs="SimSun"/>
                <w:color w:val="000000"/>
                <w:spacing w:val="0"/>
                <w:w w:val="100"/>
                <w:position w:val="0"/>
                <w:sz w:val="24"/>
                <w:szCs w:val="24"/>
              </w:rPr>
              <w:t>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24"/>
                <w:szCs w:val="24"/>
              </w:rPr>
            </w:pPr>
            <w:r>
              <w:rPr>
                <w:rFonts w:ascii="Arial" w:eastAsia="Arial" w:hAnsi="Arial" w:cs="Arial"/>
                <w:color w:val="000000"/>
                <w:spacing w:val="0"/>
                <w:w w:val="100"/>
                <w:position w:val="0"/>
                <w:sz w:val="24"/>
                <w:szCs w:val="24"/>
              </w:rPr>
              <w:t>80,002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海口家乐福商业有限公司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24"/>
                <w:szCs w:val="24"/>
              </w:rPr>
            </w:pPr>
            <w:r>
              <w:rPr>
                <w:rFonts w:ascii="Arial" w:eastAsia="Arial" w:hAnsi="Arial" w:cs="Arial"/>
                <w:color w:val="000000"/>
                <w:spacing w:val="0"/>
                <w:w w:val="100"/>
                <w:position w:val="0"/>
                <w:sz w:val="24"/>
                <w:szCs w:val="24"/>
              </w:rPr>
              <w:t>52,000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重庆家乐福商业有限公司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24"/>
                <w:szCs w:val="24"/>
              </w:rPr>
            </w:pPr>
            <w:r>
              <w:rPr>
                <w:rFonts w:ascii="Arial" w:eastAsia="Arial" w:hAnsi="Arial" w:cs="Arial"/>
                <w:color w:val="000000"/>
                <w:spacing w:val="0"/>
                <w:w w:val="100"/>
                <w:position w:val="0"/>
                <w:sz w:val="24"/>
                <w:szCs w:val="24"/>
              </w:rPr>
              <w:t>48,000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48,000</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1,490,979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24"/>
                <w:szCs w:val="24"/>
              </w:rPr>
            </w:pPr>
            <w:r>
              <w:rPr>
                <w:rFonts w:ascii="Arial" w:eastAsia="Arial" w:hAnsi="Arial" w:cs="Arial"/>
                <w:color w:val="000000"/>
                <w:spacing w:val="0"/>
                <w:w w:val="100"/>
                <w:position w:val="0"/>
                <w:sz w:val="24"/>
                <w:szCs w:val="24"/>
              </w:rPr>
              <w:t>1,361,716</w:t>
            </w:r>
          </w:p>
        </w:tc>
      </w:tr>
      <w:tr>
        <w:trPr>
          <w:trHeight w:val="74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或有事项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于</w:t>
            </w: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日，本集团无重大或有事项。</w:t>
            </w: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资本性支出承诺事项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5" w:hRule="exact"/>
        </w:trPr>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已签约而尚不必在资产负债表上列示的资本性支出承诺</w:t>
            </w:r>
          </w:p>
        </w:tc>
        <w:tc>
          <w:tcPr>
            <w:tcBorders/>
            <w:shd w:val="clear" w:color="auto" w:fill="FFFFFF"/>
            <w:vAlign w:val="top"/>
          </w:tcPr>
          <w:p>
            <w:pPr>
              <w:widowControl w:val="0"/>
              <w:rPr>
                <w:sz w:val="10"/>
                <w:szCs w:val="10"/>
              </w:rPr>
            </w:pPr>
          </w:p>
        </w:tc>
      </w:tr>
      <w:tr>
        <w:trPr>
          <w:trHeight w:val="581" w:hRule="exact"/>
        </w:trPr>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334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80"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房屋、建筑物及机器设备</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Fonts w:ascii="Arial" w:eastAsia="Arial" w:hAnsi="Arial" w:cs="Arial"/>
                <w:color w:val="000000"/>
                <w:spacing w:val="0"/>
                <w:w w:val="100"/>
                <w:position w:val="0"/>
                <w:sz w:val="24"/>
                <w:szCs w:val="24"/>
              </w:rPr>
              <w:t>5,018,921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24"/>
                <w:szCs w:val="24"/>
              </w:rPr>
            </w:pPr>
            <w:r>
              <w:rPr>
                <w:rFonts w:ascii="Arial" w:eastAsia="Arial" w:hAnsi="Arial" w:cs="Arial"/>
                <w:color w:val="000000"/>
                <w:spacing w:val="0"/>
                <w:w w:val="100"/>
                <w:position w:val="0"/>
                <w:sz w:val="24"/>
                <w:szCs w:val="24"/>
              </w:rPr>
              <w:t>5,798,011</w:t>
            </w:r>
          </w:p>
        </w:tc>
      </w:tr>
    </w:tbl>
    <w:p>
      <w:pPr>
        <w:spacing w:lineRule="exact" w:line="1"/>
        <w:rPr>
          <w:sz w:val="2"/>
          <w:szCs w:val="2"/>
        </w:rPr>
      </w:pPr>
      <w:r>
        <w:br w:type="page"/>
      </w:r>
    </w:p>
    <w:p>
      <w:pPr>
        <w:pStyle w:val="Style7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z w:val="24"/>
          <w:szCs w:val="24"/>
        </w:rPr>
        <w:t>十一资产负债表日后租赁收款额</w:t>
      </w:r>
    </w:p>
    <w:p>
      <w:pPr>
        <w:pStyle w:val="Style72"/>
        <w:keepNext w:val="0"/>
        <w:keepLines w:val="0"/>
        <w:widowControl w:val="0"/>
        <w:shd w:val="clear" w:color="auto" w:fill="auto"/>
        <w:bidi w:val="0"/>
        <w:spacing w:before="0" w:after="280" w:line="302" w:lineRule="exact"/>
        <w:ind w:left="700" w:right="0" w:firstLine="20"/>
        <w:jc w:val="left"/>
      </w:pPr>
      <w:r>
        <w:rPr>
          <w:color w:val="000000"/>
          <w:spacing w:val="0"/>
          <w:w w:val="100"/>
          <w:position w:val="0"/>
          <w:sz w:val="24"/>
          <w:szCs w:val="24"/>
        </w:rPr>
        <w:t>本集团作为出租人，资产负债表日后应收的经营租赁收款额的未折现金额汇 总如下：</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r>
    </w:p>
    <w:tbl>
      <w:tblPr>
        <w:tblOverlap w:val="never"/>
        <w:jc w:val="right"/>
        <w:tblLayout w:type="fixed"/>
      </w:tblPr>
      <w:tblGrid>
        <w:gridCol w:w="2112"/>
        <w:gridCol w:w="5957"/>
      </w:tblGrid>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1,823,184</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一到二年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4900" w:right="0" w:firstLine="0"/>
              <w:jc w:val="both"/>
              <w:rPr>
                <w:sz w:val="24"/>
                <w:szCs w:val="24"/>
              </w:rPr>
            </w:pPr>
            <w:r>
              <w:rPr>
                <w:rFonts w:ascii="Arial" w:eastAsia="Arial" w:hAnsi="Arial" w:cs="Arial"/>
                <w:color w:val="000000"/>
                <w:spacing w:val="0"/>
                <w:w w:val="100"/>
                <w:position w:val="0"/>
                <w:sz w:val="24"/>
                <w:szCs w:val="24"/>
              </w:rPr>
              <w:t>626,398</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二到三年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4900" w:right="0" w:firstLine="0"/>
              <w:jc w:val="both"/>
              <w:rPr>
                <w:sz w:val="24"/>
                <w:szCs w:val="24"/>
              </w:rPr>
            </w:pPr>
            <w:r>
              <w:rPr>
                <w:rFonts w:ascii="Arial" w:eastAsia="Arial" w:hAnsi="Arial" w:cs="Arial"/>
                <w:color w:val="000000"/>
                <w:spacing w:val="0"/>
                <w:w w:val="100"/>
                <w:position w:val="0"/>
                <w:sz w:val="24"/>
                <w:szCs w:val="24"/>
              </w:rPr>
              <w:t>409,420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三到四年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4900" w:right="0" w:firstLine="0"/>
              <w:jc w:val="both"/>
              <w:rPr>
                <w:sz w:val="24"/>
                <w:szCs w:val="24"/>
              </w:rPr>
            </w:pPr>
            <w:r>
              <w:rPr>
                <w:rFonts w:ascii="Arial" w:eastAsia="Arial" w:hAnsi="Arial" w:cs="Arial"/>
                <w:color w:val="000000"/>
                <w:spacing w:val="0"/>
                <w:w w:val="100"/>
                <w:position w:val="0"/>
                <w:sz w:val="24"/>
                <w:szCs w:val="24"/>
              </w:rPr>
              <w:t>282,022</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四到五年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4900" w:right="0" w:firstLine="0"/>
              <w:jc w:val="both"/>
              <w:rPr>
                <w:sz w:val="24"/>
                <w:szCs w:val="24"/>
              </w:rPr>
            </w:pPr>
            <w:r>
              <w:rPr>
                <w:rFonts w:ascii="Arial" w:eastAsia="Arial" w:hAnsi="Arial" w:cs="Arial"/>
                <w:color w:val="000000"/>
                <w:spacing w:val="0"/>
                <w:w w:val="100"/>
                <w:position w:val="0"/>
                <w:sz w:val="24"/>
                <w:szCs w:val="24"/>
              </w:rPr>
              <w:t>179,252</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五年以上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4900" w:right="0" w:firstLine="0"/>
              <w:jc w:val="both"/>
              <w:rPr>
                <w:sz w:val="24"/>
                <w:szCs w:val="24"/>
              </w:rPr>
            </w:pPr>
            <w:r>
              <w:rPr>
                <w:rFonts w:ascii="Arial" w:eastAsia="Arial" w:hAnsi="Arial" w:cs="Arial"/>
                <w:color w:val="000000"/>
                <w:spacing w:val="0"/>
                <w:w w:val="100"/>
                <w:position w:val="0"/>
                <w:sz w:val="24"/>
                <w:szCs w:val="24"/>
              </w:rPr>
              <w:t>390,096</w:t>
            </w: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3,710,372</w:t>
            </w:r>
          </w:p>
        </w:tc>
      </w:tr>
      <w:tr>
        <w:trPr>
          <w:trHeight w:val="53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本集团作为出租人，</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资产负债表日后应收的融资租赁收款额的未折现金额汇</w:t>
            </w:r>
          </w:p>
        </w:tc>
      </w:tr>
      <w:tr>
        <w:trPr>
          <w:trHeight w:val="102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总如下：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5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4900" w:right="0" w:firstLine="0"/>
              <w:jc w:val="both"/>
              <w:rPr>
                <w:sz w:val="24"/>
                <w:szCs w:val="24"/>
              </w:rPr>
            </w:pPr>
            <w:r>
              <w:rPr>
                <w:rFonts w:ascii="Arial" w:eastAsia="Arial" w:hAnsi="Arial" w:cs="Arial"/>
                <w:color w:val="000000"/>
                <w:spacing w:val="0"/>
                <w:w w:val="100"/>
                <w:position w:val="0"/>
                <w:sz w:val="24"/>
                <w:szCs w:val="24"/>
              </w:rPr>
              <w:t>210,212</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一到二年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4900" w:right="0" w:firstLine="0"/>
              <w:jc w:val="both"/>
              <w:rPr>
                <w:sz w:val="24"/>
                <w:szCs w:val="24"/>
              </w:rPr>
            </w:pPr>
            <w:r>
              <w:rPr>
                <w:rFonts w:ascii="Arial" w:eastAsia="Arial" w:hAnsi="Arial" w:cs="Arial"/>
                <w:color w:val="000000"/>
                <w:spacing w:val="0"/>
                <w:w w:val="100"/>
                <w:position w:val="0"/>
                <w:sz w:val="24"/>
                <w:szCs w:val="24"/>
              </w:rPr>
              <w:t>194,338</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二到三年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4900" w:right="0" w:firstLine="0"/>
              <w:jc w:val="both"/>
              <w:rPr>
                <w:sz w:val="24"/>
                <w:szCs w:val="24"/>
              </w:rPr>
            </w:pPr>
            <w:r>
              <w:rPr>
                <w:rFonts w:ascii="Arial" w:eastAsia="Arial" w:hAnsi="Arial" w:cs="Arial"/>
                <w:color w:val="000000"/>
                <w:spacing w:val="0"/>
                <w:w w:val="100"/>
                <w:position w:val="0"/>
                <w:sz w:val="24"/>
                <w:szCs w:val="24"/>
              </w:rPr>
              <w:t>180,160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三到四年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4900" w:right="0" w:firstLine="0"/>
              <w:jc w:val="both"/>
              <w:rPr>
                <w:sz w:val="24"/>
                <w:szCs w:val="24"/>
              </w:rPr>
            </w:pPr>
            <w:r>
              <w:rPr>
                <w:rFonts w:ascii="Arial" w:eastAsia="Arial" w:hAnsi="Arial" w:cs="Arial"/>
                <w:color w:val="000000"/>
                <w:spacing w:val="0"/>
                <w:w w:val="100"/>
                <w:position w:val="0"/>
                <w:sz w:val="24"/>
                <w:szCs w:val="24"/>
              </w:rPr>
              <w:t>177,869</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四到五年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4900" w:right="0" w:firstLine="0"/>
              <w:jc w:val="both"/>
              <w:rPr>
                <w:sz w:val="24"/>
                <w:szCs w:val="24"/>
              </w:rPr>
            </w:pPr>
            <w:r>
              <w:rPr>
                <w:rFonts w:ascii="Arial" w:eastAsia="Arial" w:hAnsi="Arial" w:cs="Arial"/>
                <w:color w:val="000000"/>
                <w:spacing w:val="0"/>
                <w:w w:val="100"/>
                <w:position w:val="0"/>
                <w:sz w:val="24"/>
                <w:szCs w:val="24"/>
              </w:rPr>
              <w:t>157,312</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五年以上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4900" w:right="0" w:firstLine="0"/>
              <w:jc w:val="both"/>
              <w:rPr>
                <w:sz w:val="24"/>
                <w:szCs w:val="24"/>
              </w:rPr>
            </w:pPr>
            <w:r>
              <w:rPr>
                <w:rFonts w:ascii="Arial" w:eastAsia="Arial" w:hAnsi="Arial" w:cs="Arial"/>
                <w:color w:val="000000"/>
                <w:spacing w:val="0"/>
                <w:w w:val="100"/>
                <w:position w:val="0"/>
                <w:sz w:val="24"/>
                <w:szCs w:val="24"/>
              </w:rPr>
              <w:t>313,456</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1,233,347</w:t>
            </w:r>
          </w:p>
        </w:tc>
      </w:tr>
    </w:tbl>
    <w:p>
      <w:pPr>
        <w:widowControl w:val="0"/>
        <w:spacing w:after="279" w:line="1" w:lineRule="exact"/>
      </w:pPr>
    </w:p>
    <w:p>
      <w:pPr>
        <w:pStyle w:val="Style7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z w:val="24"/>
          <w:szCs w:val="24"/>
        </w:rPr>
        <w:t>十二企业合并</w:t>
      </w:r>
    </w:p>
    <w:p>
      <w:pPr>
        <w:pStyle w:val="Style72"/>
        <w:keepNext w:val="0"/>
        <w:keepLines w:val="0"/>
        <w:widowControl w:val="0"/>
        <w:shd w:val="clear" w:color="auto" w:fill="auto"/>
        <w:bidi w:val="0"/>
        <w:spacing w:before="0" w:after="280" w:line="240" w:lineRule="auto"/>
        <w:ind w:left="0" w:right="0" w:firstLine="700"/>
        <w:jc w:val="left"/>
        <w:sectPr>
          <w:footnotePr>
            <w:pos w:val="pageBottom"/>
            <w:numFmt w:val="decimal"/>
            <w:numStart w:val="1"/>
            <w:numRestart w:val="continuous"/>
            <w15:footnoteColumns w:val="1"/>
          </w:footnotePr>
          <w:pgSz w:w="11900" w:h="16840"/>
          <w:pgMar w:top="1765" w:right="1362" w:bottom="2422" w:left="1643" w:header="0" w:footer="3" w:gutter="0"/>
          <w:cols w:space="720"/>
          <w:noEndnote/>
          <w:rtlGutter w:val="0"/>
          <w:docGrid w:linePitch="360"/>
        </w:sectPr>
      </w:pPr>
      <w:r>
        <w:rPr>
          <w:color w:val="000000"/>
          <w:spacing w:val="0"/>
          <w:w w:val="100"/>
          <w:position w:val="0"/>
          <w:sz w:val="24"/>
          <w:szCs w:val="24"/>
        </w:rPr>
        <w:t>见附注五。</w:t>
      </w:r>
    </w:p>
    <w:p>
      <w:pPr>
        <w:pStyle w:val="Style7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z w:val="24"/>
          <w:szCs w:val="24"/>
        </w:rPr>
        <w:t>十三金融工具及相关风险</w:t>
      </w:r>
    </w:p>
    <w:p>
      <w:pPr>
        <w:pStyle w:val="Style72"/>
        <w:keepNext w:val="0"/>
        <w:keepLines w:val="0"/>
        <w:widowControl w:val="0"/>
        <w:shd w:val="clear" w:color="auto" w:fill="auto"/>
        <w:bidi w:val="0"/>
        <w:spacing w:before="0" w:after="240" w:line="312" w:lineRule="exact"/>
        <w:ind w:right="0" w:firstLine="0"/>
        <w:jc w:val="both"/>
      </w:pPr>
      <w:r>
        <w:rPr>
          <w:color w:val="000000"/>
          <w:spacing w:val="0"/>
          <w:w w:val="100"/>
          <w:position w:val="0"/>
          <w:sz w:val="24"/>
          <w:szCs w:val="24"/>
        </w:rPr>
        <w:t>本集团的经营活动会面临各种金融风险，主要包括市场风险</w:t>
      </w:r>
      <w:r>
        <w:rPr>
          <w:rFonts w:ascii="Arial" w:eastAsia="Arial" w:hAnsi="Arial" w:cs="Arial"/>
          <w:color w:val="000000"/>
          <w:spacing w:val="0"/>
          <w:w w:val="100"/>
          <w:position w:val="0"/>
          <w:sz w:val="24"/>
          <w:szCs w:val="24"/>
        </w:rPr>
        <w:t>（</w:t>
      </w:r>
      <w:r>
        <w:rPr>
          <w:color w:val="000000"/>
          <w:spacing w:val="0"/>
          <w:w w:val="100"/>
          <w:position w:val="0"/>
          <w:sz w:val="24"/>
          <w:szCs w:val="24"/>
        </w:rPr>
        <w:t>主要为外汇风险、 利率风险和其他价格风险</w:t>
      </w:r>
      <w:r>
        <w:rPr>
          <w:rFonts w:ascii="Arial" w:eastAsia="Arial" w:hAnsi="Arial" w:cs="Arial"/>
          <w:color w:val="000000"/>
          <w:spacing w:val="0"/>
          <w:w w:val="100"/>
          <w:position w:val="0"/>
          <w:sz w:val="24"/>
          <w:szCs w:val="24"/>
        </w:rPr>
        <w:t>）</w:t>
      </w:r>
      <w:r>
        <w:rPr>
          <w:color w:val="000000"/>
          <w:spacing w:val="0"/>
          <w:w w:val="100"/>
          <w:position w:val="0"/>
          <w:sz w:val="24"/>
          <w:szCs w:val="24"/>
        </w:rPr>
        <w:t>、信用风险和流动性风险。上述金融风险以及本集 团为降低这些风险所采取的风险管理政策如下所述：</w:t>
      </w:r>
    </w:p>
    <w:p>
      <w:pPr>
        <w:pStyle w:val="Style72"/>
        <w:keepNext w:val="0"/>
        <w:keepLines w:val="0"/>
        <w:widowControl w:val="0"/>
        <w:shd w:val="clear" w:color="auto" w:fill="auto"/>
        <w:bidi w:val="0"/>
        <w:spacing w:before="0" w:after="300" w:line="312" w:lineRule="exact"/>
        <w:ind w:right="0" w:firstLine="0"/>
        <w:jc w:val="both"/>
      </w:pPr>
      <w:r>
        <w:rPr>
          <w:color w:val="000000"/>
          <w:spacing w:val="0"/>
          <w:w w:val="100"/>
          <w:position w:val="0"/>
          <w:sz w:val="24"/>
          <w:szCs w:val="24"/>
        </w:rPr>
        <w:t>董事会负责规划并建立本集团的风险管理架构，制定本集团的风险管理政策 和相关指引并监督风险管理措施的执行情况。本集团己制定风险管理政策以 识别和分析本集团所面临的风险，这些风险管理政策对特定风险进行了明确 规定，涵盖了市场风险、信用风险和流动性风险管理等诸多方面。本集团定 期评估市场环境及本集团经营活动的变化以决定是否对风险管理政策及系统 进行更新。本集团的风险管理由风险管理委员会按照董事会批准的政策开展。 风险管理委员会通过与本集团其他业务部门的紧密合作来识别、评价和规避 相关风险。本集团内部审计部门就风险管理控制及程序进行定期的审核，并 将审核结果上报本集团的审计委员会。</w:t>
      </w:r>
    </w:p>
    <w:p>
      <w:pPr>
        <w:pStyle w:val="Style72"/>
        <w:keepNext w:val="0"/>
        <w:keepLines w:val="0"/>
        <w:widowControl w:val="0"/>
        <w:shd w:val="clear" w:color="auto" w:fill="auto"/>
        <w:tabs>
          <w:tab w:pos="701" w:val="left"/>
        </w:tabs>
        <w:bidi w:val="0"/>
        <w:spacing w:before="0" w:after="240" w:line="240" w:lineRule="auto"/>
        <w:ind w:left="0" w:right="0" w:firstLine="0"/>
        <w:jc w:val="left"/>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市场风险</w:t>
      </w:r>
    </w:p>
    <w:p>
      <w:pPr>
        <w:pStyle w:val="Style72"/>
        <w:keepNext w:val="0"/>
        <w:keepLines w:val="0"/>
        <w:widowControl w:val="0"/>
        <w:shd w:val="clear" w:color="auto" w:fill="auto"/>
        <w:tabs>
          <w:tab w:pos="701" w:val="left"/>
        </w:tabs>
        <w:bidi w:val="0"/>
        <w:spacing w:before="0" w:after="240" w:line="271" w:lineRule="auto"/>
        <w:ind w:left="0" w:right="0" w:firstLine="0"/>
        <w:jc w:val="left"/>
      </w:pPr>
      <w:r>
        <w:rPr>
          <w:rFonts w:ascii="Arial" w:eastAsia="Arial" w:hAnsi="Arial" w:cs="Arial"/>
          <w:color w:val="000000"/>
          <w:spacing w:val="0"/>
          <w:w w:val="100"/>
          <w:position w:val="0"/>
          <w:sz w:val="24"/>
          <w:szCs w:val="24"/>
        </w:rPr>
        <w:t>（a）</w:t>
        <w:tab/>
      </w:r>
      <w:r>
        <w:rPr>
          <w:color w:val="000000"/>
          <w:spacing w:val="0"/>
          <w:w w:val="100"/>
          <w:position w:val="0"/>
          <w:sz w:val="24"/>
          <w:szCs w:val="24"/>
        </w:rPr>
        <w:t>外汇风险</w:t>
      </w:r>
    </w:p>
    <w:p>
      <w:pPr>
        <w:pStyle w:val="Style72"/>
        <w:keepNext w:val="0"/>
        <w:keepLines w:val="0"/>
        <w:widowControl w:val="0"/>
        <w:shd w:val="clear" w:color="auto" w:fill="auto"/>
        <w:bidi w:val="0"/>
        <w:spacing w:before="0" w:after="240" w:line="312" w:lineRule="exact"/>
        <w:ind w:right="0" w:firstLine="0"/>
        <w:jc w:val="both"/>
      </w:pPr>
      <w:r>
        <w:rPr>
          <w:color w:val="000000"/>
          <w:spacing w:val="0"/>
          <w:w w:val="100"/>
          <w:position w:val="0"/>
          <w:sz w:val="24"/>
          <w:szCs w:val="24"/>
        </w:rPr>
        <w:t>本集团的主要经营位于中国境内，主要业务以人民币结算。本集团已确认的 外币资产和负债及未来的外币交易</w:t>
      </w:r>
      <w:r>
        <w:rPr>
          <w:rFonts w:ascii="Arial" w:eastAsia="Arial" w:hAnsi="Arial" w:cs="Arial"/>
          <w:color w:val="000000"/>
          <w:spacing w:val="0"/>
          <w:w w:val="100"/>
          <w:position w:val="0"/>
          <w:sz w:val="24"/>
          <w:szCs w:val="24"/>
        </w:rPr>
        <w:t>（</w:t>
      </w:r>
      <w:r>
        <w:rPr>
          <w:color w:val="000000"/>
          <w:spacing w:val="0"/>
          <w:w w:val="100"/>
          <w:position w:val="0"/>
          <w:sz w:val="24"/>
          <w:szCs w:val="24"/>
        </w:rPr>
        <w:t>外币资产和负债及外币交易的计价货币主 要为美元和港币</w:t>
      </w:r>
      <w:r>
        <w:rPr>
          <w:rFonts w:ascii="Arial" w:eastAsia="Arial" w:hAnsi="Arial" w:cs="Arial"/>
          <w:color w:val="000000"/>
          <w:spacing w:val="0"/>
          <w:w w:val="100"/>
          <w:position w:val="0"/>
          <w:sz w:val="24"/>
          <w:szCs w:val="24"/>
        </w:rPr>
        <w:t>）</w:t>
      </w:r>
      <w:r>
        <w:rPr>
          <w:color w:val="000000"/>
          <w:spacing w:val="0"/>
          <w:w w:val="100"/>
          <w:position w:val="0"/>
          <w:sz w:val="24"/>
          <w:szCs w:val="24"/>
        </w:rPr>
        <w:t>存在外汇风险。本集团持续监控集团外币交易和外币资产及 负债的规模，以最大程度降低面临的外汇风险；为此，本集团可能会通过签 署远期外汇合约或货币互换合约的方式来达到规避外汇风险的目的。</w:t>
      </w:r>
    </w:p>
    <w:p>
      <w:pPr>
        <w:pStyle w:val="Style72"/>
        <w:keepNext w:val="0"/>
        <w:keepLines w:val="0"/>
        <w:widowControl w:val="0"/>
        <w:shd w:val="clear" w:color="auto" w:fill="auto"/>
        <w:bidi w:val="0"/>
        <w:spacing w:before="0" w:after="300" w:line="331"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日及</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日，本集团内记账本位币为人民币 的公司持有的外币金融资产和外币金融负债折算成人民币的金额列示如下：</w:t>
      </w:r>
    </w:p>
    <w:p>
      <w:pPr>
        <w:pStyle w:val="Style143"/>
        <w:keepNext w:val="0"/>
        <w:keepLines w:val="0"/>
        <w:widowControl w:val="0"/>
        <w:shd w:val="clear" w:color="auto" w:fill="auto"/>
        <w:bidi w:val="0"/>
        <w:spacing w:before="0" w:after="0" w:line="240" w:lineRule="auto"/>
        <w:ind w:left="490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5"/>
        <w:keepNext w:val="0"/>
        <w:keepLines w:val="0"/>
        <w:widowControl w:val="0"/>
        <w:pBdr>
          <w:top w:val="single" w:sz="4" w:space="0" w:color="auto"/>
        </w:pBdr>
        <w:shd w:val="clear" w:color="auto" w:fill="auto"/>
        <w:bidi w:val="0"/>
        <w:spacing w:before="0" w:after="0" w:line="240" w:lineRule="auto"/>
        <w:ind w:left="0" w:right="220" w:firstLine="0"/>
        <w:jc w:val="right"/>
      </w:pPr>
      <w:r>
        <w:rPr>
          <w:color w:val="000000"/>
          <w:spacing w:val="0"/>
          <w:w w:val="100"/>
          <w:position w:val="0"/>
        </w:rPr>
        <w:t>其他</w:t>
      </w:r>
    </w:p>
    <w:p>
      <w:pPr>
        <w:pStyle w:val="Style55"/>
        <w:keepNext w:val="0"/>
        <w:keepLines w:val="0"/>
        <w:widowControl w:val="0"/>
        <w:shd w:val="clear" w:color="auto" w:fill="auto"/>
        <w:tabs>
          <w:tab w:pos="1718" w:val="left"/>
          <w:tab w:pos="3221" w:val="left"/>
          <w:tab w:pos="4829" w:val="left"/>
        </w:tabs>
        <w:bidi w:val="0"/>
        <w:spacing w:before="0" w:after="240" w:line="240" w:lineRule="auto"/>
        <w:ind w:left="0" w:right="220" w:firstLine="0"/>
        <w:jc w:val="right"/>
      </w:pPr>
      <w:r>
        <w:rPr>
          <w:color w:val="000000"/>
          <w:spacing w:val="0"/>
          <w:w w:val="100"/>
          <w:position w:val="0"/>
        </w:rPr>
        <w:t>港元项目</w:t>
        <w:tab/>
        <w:t>美元项目</w:t>
        <w:tab/>
        <w:t>外币项目</w:t>
        <w:tab/>
        <w:t>合计</w:t>
      </w:r>
    </w:p>
    <w:p>
      <w:pPr>
        <w:pStyle w:val="Style55"/>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18"/>
          <w:szCs w:val="18"/>
        </w:rPr>
        <w:t>外币金融资产</w:t>
      </w:r>
      <w:r>
        <w:rPr>
          <w:color w:val="000000"/>
          <w:spacing w:val="0"/>
          <w:w w:val="100"/>
          <w:position w:val="0"/>
          <w:sz w:val="22"/>
          <w:szCs w:val="22"/>
        </w:rPr>
        <w:t>一</w:t>
      </w:r>
    </w:p>
    <w:p>
      <w:pPr>
        <w:pStyle w:val="Style143"/>
        <w:keepNext w:val="0"/>
        <w:keepLines w:val="0"/>
        <w:widowControl w:val="0"/>
        <w:shd w:val="clear" w:color="auto" w:fill="auto"/>
        <w:tabs>
          <w:tab w:pos="2597" w:val="left"/>
          <w:tab w:leader="underscore" w:pos="4099" w:val="left"/>
        </w:tabs>
        <w:bidi w:val="0"/>
        <w:spacing w:before="0" w:after="240" w:line="240" w:lineRule="auto"/>
        <w:ind w:left="0" w:right="0" w:firstLine="720"/>
        <w:jc w:val="left"/>
        <w:sectPr>
          <w:footnotePr>
            <w:pos w:val="pageBottom"/>
            <w:numFmt w:val="decimal"/>
            <w:numStart w:val="1"/>
            <w:numRestart w:val="continuous"/>
            <w15:footnoteColumns w:val="1"/>
          </w:footnotePr>
          <w:pgSz w:w="11900" w:h="16840"/>
          <w:pgMar w:top="2406" w:right="1302" w:bottom="2406" w:left="1709" w:header="0" w:footer="3" w:gutter="0"/>
          <w:cols w:space="720"/>
          <w:noEndnote/>
          <w:rtlGutter w:val="0"/>
          <w:docGrid w:linePitch="360"/>
        </w:sectPr>
      </w:pPr>
      <w:r>
        <w:rPr>
          <w:rFonts w:ascii="SimSun" w:eastAsia="SimSun" w:hAnsi="SimSun" w:cs="SimSun"/>
          <w:color w:val="000000"/>
          <w:spacing w:val="0"/>
          <w:w w:val="100"/>
          <w:position w:val="0"/>
        </w:rPr>
        <w:t>货币资金</w:t>
        <w:tab/>
        <w:tab/>
        <w:t xml:space="preserve">二 </w:t>
      </w:r>
      <w:r>
        <w:rPr>
          <w:color w:val="000000"/>
          <w:spacing w:val="0"/>
          <w:w w:val="100"/>
          <w:position w:val="0"/>
          <w:u w:val="single"/>
        </w:rPr>
        <w:t>30,326</w:t>
      </w:r>
      <w:r>
        <w:rPr>
          <w:color w:val="000000"/>
          <w:spacing w:val="0"/>
          <w:w w:val="100"/>
          <w:position w:val="0"/>
        </w:rPr>
        <w:t>-</w:t>
      </w:r>
      <w:r>
        <w:rPr>
          <w:color w:val="000000"/>
          <w:spacing w:val="0"/>
          <w:w w:val="100"/>
          <w:position w:val="0"/>
          <w:u w:val="single"/>
        </w:rPr>
        <w:t>30,326</w:t>
      </w:r>
    </w:p>
    <w:p>
      <w:pPr>
        <w:pStyle w:val="Style72"/>
        <w:keepNext w:val="0"/>
        <w:keepLines w:val="0"/>
        <w:widowControl w:val="0"/>
        <w:shd w:val="clear" w:color="auto" w:fill="auto"/>
        <w:bidi w:val="0"/>
        <w:spacing w:before="0" w:after="320" w:line="240" w:lineRule="auto"/>
        <w:ind w:left="0" w:right="0" w:firstLine="0"/>
        <w:jc w:val="left"/>
        <w:rPr>
          <w:sz w:val="28"/>
          <w:szCs w:val="28"/>
        </w:rPr>
      </w:pPr>
      <w:r>
        <w:rPr>
          <w:b/>
          <w:bCs/>
          <w:color w:val="000000"/>
          <w:spacing w:val="0"/>
          <w:w w:val="100"/>
          <w:position w:val="0"/>
          <w:sz w:val="24"/>
          <w:szCs w:val="24"/>
        </w:rPr>
        <w:t>十三金融工具及相关风险</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01" w:val="left"/>
        </w:tabs>
        <w:bidi w:val="0"/>
        <w:spacing w:before="0" w:after="280" w:line="240" w:lineRule="auto"/>
        <w:ind w:left="0" w:right="0" w:firstLine="0"/>
        <w:jc w:val="left"/>
        <w:rPr>
          <w:sz w:val="28"/>
          <w:szCs w:val="28"/>
        </w:rPr>
      </w:pPr>
      <w:r>
        <w:rPr>
          <w:color w:val="000000"/>
          <w:spacing w:val="0"/>
          <w:w w:val="100"/>
          <w:position w:val="0"/>
          <w:sz w:val="24"/>
          <w:szCs w:val="24"/>
        </w:rPr>
        <w:t>（1）</w:t>
        <w:tab/>
      </w:r>
      <w:r>
        <w:rPr>
          <w:rFonts w:ascii="SimSun" w:eastAsia="SimSun" w:hAnsi="SimSun" w:cs="SimSun"/>
          <w:b/>
          <w:bCs/>
          <w:color w:val="000000"/>
          <w:spacing w:val="0"/>
          <w:w w:val="100"/>
          <w:position w:val="0"/>
          <w:sz w:val="24"/>
          <w:szCs w:val="24"/>
        </w:rPr>
        <w:t>市场风险</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shd w:val="clear" w:color="auto" w:fill="auto"/>
        <w:tabs>
          <w:tab w:pos="701" w:val="left"/>
        </w:tabs>
        <w:bidi w:val="0"/>
        <w:spacing w:before="0" w:after="320" w:line="240" w:lineRule="auto"/>
        <w:ind w:left="0" w:right="0" w:firstLine="0"/>
        <w:jc w:val="left"/>
        <w:rPr>
          <w:sz w:val="28"/>
          <w:szCs w:val="28"/>
        </w:rPr>
      </w:pPr>
      <w:r>
        <w:rPr>
          <w:color w:val="000000"/>
          <w:spacing w:val="0"/>
          <w:w w:val="100"/>
          <w:position w:val="0"/>
          <w:sz w:val="24"/>
          <w:szCs w:val="24"/>
        </w:rPr>
        <w:t>（a）</w:t>
        <w:tab/>
      </w:r>
      <w:r>
        <w:rPr>
          <w:rFonts w:ascii="SimSun" w:eastAsia="SimSun" w:hAnsi="SimSun" w:cs="SimSun"/>
          <w:color w:val="000000"/>
          <w:spacing w:val="0"/>
          <w:w w:val="100"/>
          <w:position w:val="0"/>
          <w:sz w:val="24"/>
          <w:szCs w:val="24"/>
        </w:rPr>
        <w:t>外汇风险</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143"/>
        <w:keepNext w:val="0"/>
        <w:keepLines w:val="0"/>
        <w:widowControl w:val="0"/>
        <w:pBdr>
          <w:bottom w:val="single" w:sz="4" w:space="0" w:color="auto"/>
        </w:pBdr>
        <w:shd w:val="clear" w:color="auto" w:fill="auto"/>
        <w:bidi w:val="0"/>
        <w:spacing w:before="0" w:after="0" w:line="240" w:lineRule="auto"/>
        <w:ind w:left="490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w:t>
      </w:r>
    </w:p>
    <w:tbl>
      <w:tblPr>
        <w:tblOverlap w:val="never"/>
        <w:jc w:val="center"/>
        <w:tblLayout w:type="fixed"/>
      </w:tblPr>
      <w:tblGrid>
        <w:gridCol w:w="2030"/>
        <w:gridCol w:w="1920"/>
        <w:gridCol w:w="1622"/>
        <w:gridCol w:w="1440"/>
        <w:gridCol w:w="989"/>
      </w:tblGrid>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港元项目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美元项目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SimSun" w:eastAsia="SimSun" w:hAnsi="SimSun" w:cs="SimSun"/>
                <w:color w:val="000000"/>
                <w:spacing w:val="0"/>
                <w:w w:val="100"/>
                <w:position w:val="0"/>
                <w:sz w:val="18"/>
                <w:szCs w:val="18"/>
              </w:rPr>
              <w:t>外币项目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合计</w:t>
            </w:r>
          </w:p>
        </w:tc>
      </w:tr>
      <w:tr>
        <w:trPr>
          <w:trHeight w:val="605"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外币金融资产</w:t>
            </w:r>
            <w:r>
              <w:rPr>
                <w:rFonts w:ascii="SimSun" w:eastAsia="SimSun" w:hAnsi="SimSun" w:cs="SimSun"/>
                <w:color w:val="000000"/>
                <w:spacing w:val="0"/>
                <w:w w:val="100"/>
                <w:position w:val="0"/>
                <w:sz w:val="22"/>
                <w:szCs w:val="22"/>
              </w:rPr>
              <w:t>一</w:t>
            </w:r>
            <w:r>
              <w:rPr>
                <w:rFonts w:ascii="Arial" w:eastAsia="Arial" w:hAnsi="Arial" w:cs="Arial"/>
                <w:color w:val="000000"/>
                <w:spacing w:val="0"/>
                <w:w w:val="100"/>
                <w:position w:val="0"/>
                <w:sz w:val="18"/>
                <w:szCs w:val="18"/>
              </w:rPr>
              <w:t xml:space="preserve"> </w:t>
            </w:r>
            <w:r>
              <w:rPr>
                <w:rFonts w:ascii="SimSun" w:eastAsia="SimSun" w:hAnsi="SimSun" w:cs="SimSun"/>
                <w:color w:val="000000"/>
                <w:spacing w:val="0"/>
                <w:w w:val="100"/>
                <w:position w:val="0"/>
                <w:sz w:val="18"/>
                <w:szCs w:val="18"/>
              </w:rPr>
              <w:t>货币资金</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29,656</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29,656</w:t>
            </w:r>
          </w:p>
        </w:tc>
      </w:tr>
    </w:tbl>
    <w:p>
      <w:pPr>
        <w:widowControl w:val="0"/>
        <w:spacing w:after="159" w:line="1" w:lineRule="exact"/>
      </w:pPr>
    </w:p>
    <w:p>
      <w:pPr>
        <w:pStyle w:val="Style55"/>
        <w:keepNext w:val="0"/>
        <w:keepLines w:val="0"/>
        <w:widowControl w:val="0"/>
        <w:shd w:val="clear" w:color="auto" w:fill="auto"/>
        <w:bidi w:val="0"/>
        <w:spacing w:before="0" w:after="0" w:line="240" w:lineRule="auto"/>
        <w:ind w:left="0" w:right="0" w:firstLine="700"/>
        <w:jc w:val="left"/>
        <w:rPr>
          <w:sz w:val="22"/>
          <w:szCs w:val="22"/>
        </w:rPr>
      </w:pPr>
      <w:r>
        <w:rPr>
          <w:color w:val="000000"/>
          <w:spacing w:val="0"/>
          <w:w w:val="100"/>
          <w:position w:val="0"/>
          <w:sz w:val="18"/>
          <w:szCs w:val="18"/>
        </w:rPr>
        <w:t>外币金融负债</w:t>
      </w:r>
      <w:r>
        <w:rPr>
          <w:color w:val="000000"/>
          <w:spacing w:val="0"/>
          <w:w w:val="100"/>
          <w:position w:val="0"/>
          <w:sz w:val="22"/>
          <w:szCs w:val="22"/>
        </w:rPr>
        <w:t>一</w:t>
      </w:r>
    </w:p>
    <w:p>
      <w:pPr>
        <w:pStyle w:val="Style143"/>
        <w:keepNext w:val="0"/>
        <w:keepLines w:val="0"/>
        <w:widowControl w:val="0"/>
        <w:shd w:val="clear" w:color="auto" w:fill="auto"/>
        <w:tabs>
          <w:tab w:pos="2572" w:val="left"/>
          <w:tab w:pos="4410" w:val="left"/>
          <w:tab w:pos="7943" w:val="left"/>
        </w:tabs>
        <w:bidi w:val="0"/>
        <w:spacing w:before="0" w:after="280" w:line="240" w:lineRule="auto"/>
        <w:ind w:left="0" w:right="0" w:firstLine="700"/>
        <w:jc w:val="left"/>
      </w:pPr>
      <w:r>
        <w:rPr>
          <w:rFonts w:ascii="SimSun" w:eastAsia="SimSun" w:hAnsi="SimSun" w:cs="SimSun"/>
          <w:color w:val="000000"/>
          <w:spacing w:val="0"/>
          <w:w w:val="100"/>
          <w:position w:val="0"/>
        </w:rPr>
        <w:t>短期借款</w:t>
        <w:tab/>
      </w:r>
      <w:r>
        <w:rPr>
          <w:color w:val="000000"/>
          <w:spacing w:val="0"/>
          <w:w w:val="100"/>
          <w:position w:val="0"/>
          <w:u w:val="single"/>
        </w:rPr>
        <w:t>294,560</w:t>
      </w:r>
      <w:r>
        <w:rPr>
          <w:color w:val="000000"/>
          <w:spacing w:val="0"/>
          <w:w w:val="100"/>
          <w:position w:val="0"/>
        </w:rPr>
        <w:tab/>
        <w:t>--</w:t>
        <w:tab/>
      </w:r>
      <w:r>
        <w:rPr>
          <w:color w:val="000000"/>
          <w:spacing w:val="0"/>
          <w:w w:val="100"/>
          <w:position w:val="0"/>
          <w:u w:val="single"/>
        </w:rPr>
        <w:t>294,560</w:t>
      </w:r>
    </w:p>
    <w:p>
      <w:pPr>
        <w:pStyle w:val="Style72"/>
        <w:keepNext w:val="0"/>
        <w:keepLines w:val="0"/>
        <w:widowControl w:val="0"/>
        <w:shd w:val="clear" w:color="auto" w:fill="auto"/>
        <w:bidi w:val="0"/>
        <w:spacing w:before="0" w:after="280" w:line="314" w:lineRule="exact"/>
        <w:ind w:left="700" w:right="0" w:firstLine="2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日，对于本集团内记账本位币为人民币的公司各类美元 金融资产和金融负债，如果人民币对美元升值或贬值</w:t>
      </w:r>
      <w:r>
        <w:rPr>
          <w:rFonts w:ascii="Arial" w:eastAsia="Arial" w:hAnsi="Arial" w:cs="Arial"/>
          <w:color w:val="000000"/>
          <w:spacing w:val="0"/>
          <w:w w:val="100"/>
          <w:position w:val="0"/>
          <w:sz w:val="24"/>
          <w:szCs w:val="24"/>
        </w:rPr>
        <w:t>10%</w:t>
      </w:r>
      <w:r>
        <w:rPr>
          <w:color w:val="000000"/>
          <w:spacing w:val="0"/>
          <w:w w:val="100"/>
          <w:position w:val="0"/>
          <w:sz w:val="24"/>
          <w:szCs w:val="24"/>
        </w:rPr>
        <w:t>，其他因素保持不 变，则本集团将增加或减少利润总额约人民币</w:t>
      </w:r>
      <w:r>
        <w:rPr>
          <w:rFonts w:ascii="Arial" w:eastAsia="Arial" w:hAnsi="Arial" w:cs="Arial"/>
          <w:color w:val="000000"/>
          <w:spacing w:val="0"/>
          <w:w w:val="100"/>
          <w:position w:val="0"/>
          <w:sz w:val="24"/>
          <w:szCs w:val="24"/>
        </w:rPr>
        <w:t>303</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 增加或减少利润总额约人民币</w:t>
      </w:r>
      <w:r>
        <w:rPr>
          <w:rFonts w:ascii="Arial" w:eastAsia="Arial" w:hAnsi="Arial" w:cs="Arial"/>
          <w:color w:val="000000"/>
          <w:spacing w:val="0"/>
          <w:w w:val="100"/>
          <w:position w:val="0"/>
          <w:sz w:val="24"/>
          <w:szCs w:val="24"/>
        </w:rPr>
        <w:t>297</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80" w:line="331"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日及</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日，本集团内记账本位币为港元的 公司持有的外币金融资产和外币金融负债折算成人民币的金额列示如下：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bl>
      <w:tblPr>
        <w:tblOverlap w:val="never"/>
        <w:jc w:val="center"/>
        <w:tblLayout w:type="fixed"/>
      </w:tblPr>
      <w:tblGrid>
        <w:gridCol w:w="2285"/>
        <w:gridCol w:w="2050"/>
        <w:gridCol w:w="2098"/>
        <w:gridCol w:w="1526"/>
      </w:tblGrid>
      <w:tr>
        <w:trPr>
          <w:trHeight w:val="37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美元项目</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人民币项目</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合计</w:t>
            </w:r>
          </w:p>
        </w:tc>
      </w:tr>
      <w:tr>
        <w:trPr>
          <w:trHeight w:val="610" w:hRule="exact"/>
        </w:trPr>
        <w:tc>
          <w:tcPr>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8"/>
                <w:szCs w:val="18"/>
              </w:rPr>
            </w:pPr>
            <w:r>
              <w:rPr>
                <w:rFonts w:ascii="SimSun" w:eastAsia="SimSun" w:hAnsi="SimSun" w:cs="SimSun"/>
                <w:color w:val="000000"/>
                <w:spacing w:val="0"/>
                <w:w w:val="100"/>
                <w:position w:val="0"/>
                <w:sz w:val="18"/>
                <w:szCs w:val="18"/>
              </w:rPr>
              <w:t xml:space="preserve">外币金融资产 </w:t>
            </w:r>
            <w:r>
              <w:rPr>
                <w:rFonts w:ascii="SimSun" w:eastAsia="SimSun" w:hAnsi="SimSun" w:cs="SimSun"/>
                <w:color w:val="000000"/>
                <w:spacing w:val="0"/>
                <w:w w:val="100"/>
                <w:position w:val="0"/>
                <w:sz w:val="22"/>
                <w:szCs w:val="22"/>
              </w:rPr>
              <w:t>一</w:t>
            </w:r>
            <w:r>
              <w:rPr>
                <w:rFonts w:ascii="Arial" w:eastAsia="Arial" w:hAnsi="Arial" w:cs="Arial"/>
                <w:color w:val="000000"/>
                <w:spacing w:val="0"/>
                <w:w w:val="100"/>
                <w:position w:val="0"/>
                <w:sz w:val="18"/>
                <w:szCs w:val="18"/>
              </w:rPr>
              <w:t xml:space="preserve"> </w:t>
            </w:r>
            <w:r>
              <w:rPr>
                <w:rFonts w:ascii="SimSun" w:eastAsia="SimSun" w:hAnsi="SimSun" w:cs="SimSun"/>
                <w:color w:val="000000"/>
                <w:spacing w:val="0"/>
                <w:w w:val="100"/>
                <w:position w:val="0"/>
                <w:sz w:val="18"/>
                <w:szCs w:val="18"/>
              </w:rPr>
              <w:t>货币资金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2,448,802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30,109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2,478,911</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应收利息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16,424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16,424</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交易性金融资产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952,477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10,767,667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11,720,144</w:t>
            </w:r>
          </w:p>
        </w:tc>
      </w:tr>
      <w:tr>
        <w:trPr>
          <w:trHeight w:val="25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3,417,703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10,797,776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14,215,479</w:t>
            </w:r>
          </w:p>
        </w:tc>
      </w:tr>
      <w:tr>
        <w:trPr>
          <w:trHeight w:val="994"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 xml:space="preserve">外币金融负债 </w:t>
            </w:r>
            <w:r>
              <w:rPr>
                <w:rFonts w:ascii="SimSun" w:eastAsia="SimSun" w:hAnsi="SimSun" w:cs="SimSun"/>
                <w:color w:val="000000"/>
                <w:spacing w:val="0"/>
                <w:w w:val="100"/>
                <w:position w:val="0"/>
                <w:sz w:val="22"/>
                <w:szCs w:val="22"/>
              </w:rPr>
              <w:t>一</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一年内到期的非流动</w:t>
            </w:r>
          </w:p>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负债</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1,923,886</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1,923,886</w:t>
            </w:r>
          </w:p>
        </w:tc>
      </w:tr>
    </w:tbl>
    <w:p>
      <w:pPr>
        <w:sectPr>
          <w:footnotePr>
            <w:pos w:val="pageBottom"/>
            <w:numFmt w:val="decimal"/>
            <w:numStart w:val="1"/>
            <w:numRestart w:val="continuous"/>
            <w15:footnoteColumns w:val="1"/>
          </w:footnotePr>
          <w:pgSz w:w="11900" w:h="16840"/>
          <w:pgMar w:top="2406" w:right="1297" w:bottom="2406" w:left="1709" w:header="0" w:footer="3" w:gutter="0"/>
          <w:cols w:space="720"/>
          <w:noEndnote/>
          <w:rtlGutter w:val="0"/>
          <w:docGrid w:linePitch="360"/>
        </w:sectPr>
      </w:pPr>
    </w:p>
    <w:p>
      <w:pPr>
        <w:pStyle w:val="Style72"/>
        <w:keepNext w:val="0"/>
        <w:keepLines w:val="0"/>
        <w:widowControl w:val="0"/>
        <w:shd w:val="clear" w:color="auto" w:fill="auto"/>
        <w:bidi w:val="0"/>
        <w:spacing w:before="0" w:after="320" w:line="240" w:lineRule="auto"/>
        <w:ind w:left="0" w:right="0" w:firstLine="0"/>
        <w:jc w:val="left"/>
        <w:rPr>
          <w:sz w:val="28"/>
          <w:szCs w:val="28"/>
        </w:rPr>
      </w:pPr>
      <w:r>
        <w:rPr>
          <w:b/>
          <w:bCs/>
          <w:color w:val="000000"/>
          <w:spacing w:val="0"/>
          <w:w w:val="100"/>
          <w:position w:val="0"/>
          <w:sz w:val="24"/>
          <w:szCs w:val="24"/>
        </w:rPr>
        <w:t>十三金融工具及相关风险</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01" w:val="left"/>
        </w:tabs>
        <w:bidi w:val="0"/>
        <w:spacing w:before="0" w:after="280" w:line="240" w:lineRule="auto"/>
        <w:ind w:left="0" w:right="0" w:firstLine="0"/>
        <w:jc w:val="left"/>
        <w:rPr>
          <w:sz w:val="28"/>
          <w:szCs w:val="28"/>
        </w:rPr>
      </w:pPr>
      <w:r>
        <w:rPr>
          <w:color w:val="000000"/>
          <w:spacing w:val="0"/>
          <w:w w:val="100"/>
          <w:position w:val="0"/>
          <w:sz w:val="24"/>
          <w:szCs w:val="24"/>
        </w:rPr>
        <w:t>（1）</w:t>
        <w:tab/>
      </w:r>
      <w:r>
        <w:rPr>
          <w:rFonts w:ascii="SimSun" w:eastAsia="SimSun" w:hAnsi="SimSun" w:cs="SimSun"/>
          <w:b/>
          <w:bCs/>
          <w:color w:val="000000"/>
          <w:spacing w:val="0"/>
          <w:w w:val="100"/>
          <w:position w:val="0"/>
          <w:sz w:val="24"/>
          <w:szCs w:val="24"/>
        </w:rPr>
        <w:t>市场风险</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92"/>
        <w:keepNext w:val="0"/>
        <w:keepLines w:val="0"/>
        <w:widowControl w:val="0"/>
        <w:shd w:val="clear" w:color="auto" w:fill="auto"/>
        <w:tabs>
          <w:tab w:pos="701" w:val="left"/>
        </w:tabs>
        <w:bidi w:val="0"/>
        <w:spacing w:before="0" w:after="280" w:line="240" w:lineRule="auto"/>
        <w:ind w:left="0" w:right="0" w:firstLine="0"/>
        <w:jc w:val="left"/>
        <w:rPr>
          <w:sz w:val="28"/>
          <w:szCs w:val="28"/>
        </w:rPr>
      </w:pPr>
      <w:r>
        <w:rPr>
          <w:color w:val="000000"/>
          <w:spacing w:val="0"/>
          <w:w w:val="100"/>
          <w:position w:val="0"/>
          <w:sz w:val="24"/>
          <w:szCs w:val="24"/>
        </w:rPr>
        <w:t>（a）</w:t>
        <w:tab/>
      </w:r>
      <w:r>
        <w:rPr>
          <w:rFonts w:ascii="SimSun" w:eastAsia="SimSun" w:hAnsi="SimSun" w:cs="SimSun"/>
          <w:color w:val="000000"/>
          <w:spacing w:val="0"/>
          <w:w w:val="100"/>
          <w:position w:val="0"/>
          <w:sz w:val="24"/>
          <w:szCs w:val="24"/>
        </w:rPr>
        <w:t>外汇风险</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bl>
      <w:tblPr>
        <w:tblOverlap w:val="never"/>
        <w:jc w:val="right"/>
        <w:tblLayout w:type="fixed"/>
      </w:tblPr>
      <w:tblGrid>
        <w:gridCol w:w="2280"/>
        <w:gridCol w:w="2054"/>
        <w:gridCol w:w="2098"/>
        <w:gridCol w:w="1526"/>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美元项目</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人民币项目</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合计</w:t>
            </w: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外币金融资产</w:t>
            </w:r>
            <w:r>
              <w:rPr>
                <w:rFonts w:ascii="SimSun" w:eastAsia="SimSun" w:hAnsi="SimSun" w:cs="SimSun"/>
                <w:color w:val="000000"/>
                <w:spacing w:val="0"/>
                <w:w w:val="100"/>
                <w:position w:val="0"/>
                <w:sz w:val="22"/>
                <w:szCs w:val="22"/>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货币资金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6,958,767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114,061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7,072,828</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应收利息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45,877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45,877</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交易性金融资产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2,333,431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10,520,709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12,854,140</w:t>
            </w:r>
          </w:p>
        </w:tc>
      </w:tr>
      <w:tr>
        <w:trPr>
          <w:trHeight w:val="25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9,338,075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10,634,770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19,972,845</w:t>
            </w:r>
          </w:p>
        </w:tc>
      </w:tr>
      <w:tr>
        <w:trPr>
          <w:trHeight w:val="49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外币金融负债</w:t>
            </w:r>
            <w:r>
              <w:rPr>
                <w:rFonts w:ascii="SimSun" w:eastAsia="SimSun" w:hAnsi="SimSun" w:cs="SimSun"/>
                <w:color w:val="000000"/>
                <w:spacing w:val="0"/>
                <w:w w:val="100"/>
                <w:position w:val="0"/>
                <w:sz w:val="22"/>
                <w:szCs w:val="22"/>
              </w:rPr>
              <w:t>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一年内到期的非流动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3,099,328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3,099,328</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其他非流动负债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36,552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36,552</w:t>
            </w:r>
          </w:p>
        </w:tc>
      </w:tr>
      <w:tr>
        <w:trPr>
          <w:trHeight w:val="278"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3,135,880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3,135,880</w:t>
            </w:r>
          </w:p>
        </w:tc>
      </w:tr>
    </w:tbl>
    <w:p>
      <w:pPr>
        <w:widowControl w:val="0"/>
        <w:spacing w:after="279" w:line="1" w:lineRule="exact"/>
      </w:pPr>
    </w:p>
    <w:p>
      <w:pPr>
        <w:pStyle w:val="Style72"/>
        <w:keepNext w:val="0"/>
        <w:keepLines w:val="0"/>
        <w:widowControl w:val="0"/>
        <w:shd w:val="clear" w:color="auto" w:fill="auto"/>
        <w:bidi w:val="0"/>
        <w:spacing w:before="0" w:after="280" w:line="317"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日，对于本集团内记账本位币为港元的公司各类美元金 融资产和金融负债，由于港币和美元挂钩，因此不存在重大外汇风险。</w:t>
      </w:r>
    </w:p>
    <w:p>
      <w:pPr>
        <w:pStyle w:val="Style72"/>
        <w:keepNext w:val="0"/>
        <w:keepLines w:val="0"/>
        <w:widowControl w:val="0"/>
        <w:shd w:val="clear" w:color="auto" w:fill="auto"/>
        <w:bidi w:val="0"/>
        <w:spacing w:before="0" w:after="280" w:line="314" w:lineRule="exact"/>
        <w:ind w:left="700" w:right="0" w:firstLine="20"/>
        <w:jc w:val="both"/>
        <w:sectPr>
          <w:footnotePr>
            <w:pos w:val="pageBottom"/>
            <w:numFmt w:val="decimal"/>
            <w:numStart w:val="1"/>
            <w:numRestart w:val="continuous"/>
            <w15:footnoteColumns w:val="1"/>
          </w:footnotePr>
          <w:pgSz w:w="11900" w:h="16840"/>
          <w:pgMar w:top="2406" w:right="1417" w:bottom="2406" w:left="1709" w:header="0" w:footer="3" w:gutter="0"/>
          <w:cols w:space="720"/>
          <w:noEndnote/>
          <w:rtlGutter w:val="0"/>
          <w:docGrid w:linePitch="360"/>
        </w:sectPr>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日，对于本集团内记账本位币为港元的子公司各类人民 币金融资产和金融负债，如果港元对人民币升值或贬值</w:t>
      </w:r>
      <w:r>
        <w:rPr>
          <w:rFonts w:ascii="Arial" w:eastAsia="Arial" w:hAnsi="Arial" w:cs="Arial"/>
          <w:color w:val="000000"/>
          <w:spacing w:val="0"/>
          <w:w w:val="100"/>
          <w:position w:val="0"/>
          <w:sz w:val="24"/>
          <w:szCs w:val="24"/>
        </w:rPr>
        <w:t>10%</w:t>
      </w:r>
      <w:r>
        <w:rPr>
          <w:color w:val="000000"/>
          <w:spacing w:val="0"/>
          <w:w w:val="100"/>
          <w:position w:val="0"/>
          <w:sz w:val="24"/>
          <w:szCs w:val="24"/>
        </w:rPr>
        <w:t>，其他因素保持 不变，则本集团将减少或增加利润总额约人民币</w:t>
      </w:r>
      <w:r>
        <w:rPr>
          <w:rFonts w:ascii="Arial" w:eastAsia="Arial" w:hAnsi="Arial" w:cs="Arial"/>
          <w:color w:val="000000"/>
          <w:spacing w:val="0"/>
          <w:w w:val="100"/>
          <w:position w:val="0"/>
          <w:sz w:val="24"/>
          <w:szCs w:val="24"/>
        </w:rPr>
        <w:t>10.8</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 xml:space="preserve">31 </w:t>
      </w:r>
      <w:r>
        <w:rPr>
          <w:color w:val="000000"/>
          <w:spacing w:val="0"/>
          <w:w w:val="100"/>
          <w:position w:val="0"/>
          <w:sz w:val="24"/>
          <w:szCs w:val="24"/>
        </w:rPr>
        <w:t>日：减少或增加利润总额约人民币</w:t>
      </w:r>
      <w:r>
        <w:rPr>
          <w:rFonts w:ascii="Arial" w:eastAsia="Arial" w:hAnsi="Arial" w:cs="Arial"/>
          <w:color w:val="000000"/>
          <w:spacing w:val="0"/>
          <w:w w:val="100"/>
          <w:position w:val="0"/>
          <w:sz w:val="24"/>
          <w:szCs w:val="24"/>
        </w:rPr>
        <w:t>10.63</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320" w:line="240" w:lineRule="auto"/>
        <w:ind w:left="0" w:right="0" w:firstLine="0"/>
        <w:jc w:val="left"/>
        <w:rPr>
          <w:sz w:val="28"/>
          <w:szCs w:val="28"/>
        </w:rPr>
      </w:pPr>
      <w:r>
        <w:rPr>
          <w:b/>
          <w:bCs/>
          <w:color w:val="000000"/>
          <w:spacing w:val="0"/>
          <w:w w:val="100"/>
          <w:position w:val="0"/>
          <w:sz w:val="24"/>
          <w:szCs w:val="24"/>
        </w:rPr>
        <w:t>十三金融工具及相关风险</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10" w:val="left"/>
        </w:tabs>
        <w:bidi w:val="0"/>
        <w:spacing w:before="0" w:after="240"/>
        <w:ind w:left="0" w:right="0" w:firstLine="0"/>
        <w:jc w:val="left"/>
        <w:rPr>
          <w:sz w:val="28"/>
          <w:szCs w:val="28"/>
        </w:rPr>
      </w:pPr>
      <w:r>
        <w:rPr>
          <w:color w:val="000000"/>
          <w:spacing w:val="0"/>
          <w:w w:val="100"/>
          <w:position w:val="0"/>
          <w:sz w:val="24"/>
          <w:szCs w:val="24"/>
        </w:rPr>
        <w:t>（1）</w:t>
        <w:tab/>
      </w:r>
      <w:r>
        <w:rPr>
          <w:rFonts w:ascii="SimSun" w:eastAsia="SimSun" w:hAnsi="SimSun" w:cs="SimSun"/>
          <w:b/>
          <w:bCs/>
          <w:color w:val="000000"/>
          <w:spacing w:val="0"/>
          <w:w w:val="100"/>
          <w:position w:val="0"/>
          <w:sz w:val="24"/>
          <w:szCs w:val="24"/>
        </w:rPr>
        <w:t>市场风险</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710" w:val="left"/>
        </w:tabs>
        <w:bidi w:val="0"/>
        <w:spacing w:before="0" w:after="240" w:line="271" w:lineRule="auto"/>
        <w:ind w:left="0" w:right="0" w:firstLine="0"/>
        <w:jc w:val="left"/>
      </w:pPr>
      <w:bookmarkStart w:id="981" w:name="bookmark981"/>
      <w:r>
        <w:rPr>
          <w:rFonts w:ascii="Arial" w:eastAsia="Arial" w:hAnsi="Arial" w:cs="Arial"/>
          <w:color w:val="000000"/>
          <w:spacing w:val="0"/>
          <w:w w:val="100"/>
          <w:position w:val="0"/>
          <w:sz w:val="24"/>
          <w:szCs w:val="24"/>
        </w:rPr>
        <w:t>（</w:t>
      </w:r>
      <w:bookmarkEnd w:id="981"/>
      <w:r>
        <w:rPr>
          <w:rFonts w:ascii="Arial" w:eastAsia="Arial" w:hAnsi="Arial" w:cs="Arial"/>
          <w:color w:val="000000"/>
          <w:spacing w:val="0"/>
          <w:w w:val="100"/>
          <w:position w:val="0"/>
          <w:sz w:val="24"/>
          <w:szCs w:val="24"/>
        </w:rPr>
        <w:t>b）</w:t>
        <w:tab/>
      </w:r>
      <w:r>
        <w:rPr>
          <w:color w:val="000000"/>
          <w:spacing w:val="0"/>
          <w:w w:val="100"/>
          <w:position w:val="0"/>
          <w:sz w:val="24"/>
          <w:szCs w:val="24"/>
        </w:rPr>
        <w:t>利率风险</w:t>
      </w:r>
    </w:p>
    <w:p>
      <w:pPr>
        <w:pStyle w:val="Style72"/>
        <w:keepNext w:val="0"/>
        <w:keepLines w:val="0"/>
        <w:widowControl w:val="0"/>
        <w:shd w:val="clear" w:color="auto" w:fill="auto"/>
        <w:bidi w:val="0"/>
        <w:spacing w:before="0" w:after="320" w:line="319" w:lineRule="exact"/>
        <w:ind w:right="0" w:firstLine="0"/>
        <w:jc w:val="both"/>
      </w:pPr>
      <w:r>
        <w:rPr>
          <w:color w:val="000000"/>
          <w:spacing w:val="0"/>
          <w:w w:val="100"/>
          <w:position w:val="0"/>
          <w:sz w:val="24"/>
          <w:szCs w:val="24"/>
        </w:rPr>
        <w:t>本集团的利率风险主要产生于长期银行借款、应付债券等长期带息债务，以 及发放贷款及垫款等长期金融资产。浮动利率的金融负债使本集团面临现金 流量利率风险，固定利率的金融负债和金融资产使本集团面临公允价值利率 风险。本集团根据当时的市场环境来决定固定利率及浮动利率合同的相对比 例。于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日及</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日，本集团带息债务及资产主 要包括：</w:t>
      </w:r>
    </w:p>
    <w:p>
      <w:pPr>
        <w:pStyle w:val="Style92"/>
        <w:keepNext w:val="0"/>
        <w:keepLines w:val="0"/>
        <w:widowControl w:val="0"/>
        <w:shd w:val="clear" w:color="auto" w:fill="auto"/>
        <w:bidi w:val="0"/>
        <w:spacing w:before="0" w:after="240"/>
        <w:ind w:left="0" w:right="26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92"/>
        <w:keepNext w:val="0"/>
        <w:keepLines w:val="0"/>
        <w:widowControl w:val="0"/>
        <w:shd w:val="clear" w:color="auto" w:fill="auto"/>
        <w:tabs>
          <w:tab w:pos="6102" w:val="right"/>
          <w:tab w:pos="8563" w:val="right"/>
        </w:tabs>
        <w:bidi w:val="0"/>
        <w:spacing w:before="0" w:after="0" w:line="312" w:lineRule="exact"/>
        <w:ind w:left="0" w:right="0" w:firstLine="720"/>
        <w:jc w:val="both"/>
      </w:pPr>
      <w:r>
        <w:rPr>
          <w:rFonts w:ascii="SimSun" w:eastAsia="SimSun" w:hAnsi="SimSun" w:cs="SimSun"/>
          <w:color w:val="000000"/>
          <w:spacing w:val="0"/>
          <w:w w:val="100"/>
          <w:position w:val="0"/>
          <w:sz w:val="24"/>
          <w:szCs w:val="24"/>
        </w:rPr>
        <w:t>应付债券</w:t>
      </w:r>
      <w:r>
        <w:rPr>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color w:val="000000"/>
          <w:spacing w:val="0"/>
          <w:w w:val="100"/>
          <w:position w:val="0"/>
          <w:sz w:val="24"/>
          <w:szCs w:val="24"/>
        </w:rPr>
        <w:t>（35））</w:t>
        <w:tab/>
      </w:r>
      <w:r>
        <w:rPr>
          <w:color w:val="000000"/>
          <w:spacing w:val="0"/>
          <w:w w:val="100"/>
          <w:position w:val="0"/>
          <w:sz w:val="24"/>
          <w:szCs w:val="24"/>
          <w:u w:val="single"/>
        </w:rPr>
        <w:t>533,300</w:t>
      </w:r>
      <w:r>
        <w:rPr>
          <w:color w:val="000000"/>
          <w:spacing w:val="0"/>
          <w:w w:val="100"/>
          <w:position w:val="0"/>
          <w:sz w:val="24"/>
          <w:szCs w:val="24"/>
        </w:rPr>
        <w:tab/>
      </w:r>
      <w:r>
        <w:rPr>
          <w:color w:val="000000"/>
          <w:spacing w:val="0"/>
          <w:w w:val="100"/>
          <w:position w:val="0"/>
          <w:sz w:val="24"/>
          <w:szCs w:val="24"/>
          <w:u w:val="single"/>
        </w:rPr>
        <w:t>499,777</w:t>
      </w:r>
    </w:p>
    <w:p>
      <w:pPr>
        <w:pStyle w:val="Style92"/>
        <w:keepNext w:val="0"/>
        <w:keepLines w:val="0"/>
        <w:widowControl w:val="0"/>
        <w:shd w:val="clear" w:color="auto" w:fill="auto"/>
        <w:tabs>
          <w:tab w:pos="6102" w:val="right"/>
          <w:tab w:pos="8563" w:val="right"/>
        </w:tabs>
        <w:bidi w:val="0"/>
        <w:spacing w:before="0" w:after="0" w:line="312" w:lineRule="exact"/>
        <w:ind w:left="0" w:right="0" w:firstLine="720"/>
        <w:jc w:val="both"/>
      </w:pPr>
      <w:r>
        <w:rPr>
          <w:rFonts w:ascii="SimSun" w:eastAsia="SimSun" w:hAnsi="SimSun" w:cs="SimSun"/>
          <w:color w:val="000000"/>
          <w:spacing w:val="0"/>
          <w:w w:val="100"/>
          <w:position w:val="0"/>
          <w:sz w:val="24"/>
          <w:szCs w:val="24"/>
        </w:rPr>
        <w:t>长期带息债务合计</w:t>
        <w:tab/>
      </w:r>
      <w:r>
        <w:rPr>
          <w:color w:val="000000"/>
          <w:spacing w:val="0"/>
          <w:w w:val="100"/>
          <w:position w:val="0"/>
          <w:sz w:val="24"/>
          <w:szCs w:val="24"/>
          <w:u w:val="single"/>
        </w:rPr>
        <w:t>533,300</w:t>
        <w:tab/>
        <w:t>499,777</w:t>
      </w:r>
    </w:p>
    <w:p>
      <w:pPr>
        <w:pStyle w:val="Style72"/>
        <w:keepNext w:val="0"/>
        <w:keepLines w:val="0"/>
        <w:widowControl w:val="0"/>
        <w:shd w:val="clear" w:color="auto" w:fill="auto"/>
        <w:tabs>
          <w:tab w:pos="6005" w:val="left"/>
          <w:tab w:pos="8501" w:val="left"/>
        </w:tabs>
        <w:bidi w:val="0"/>
        <w:spacing w:before="0" w:after="40" w:line="312" w:lineRule="exact"/>
        <w:ind w:left="0" w:right="0" w:firstLine="720"/>
        <w:jc w:val="both"/>
      </w:pPr>
      <w:r>
        <w:rPr>
          <w:color w:val="000000"/>
          <w:spacing w:val="0"/>
          <w:w w:val="100"/>
          <w:position w:val="0"/>
          <w:sz w:val="24"/>
          <w:szCs w:val="24"/>
        </w:rPr>
        <w:t>其中：浮动利率债务</w:t>
        <w:tab/>
        <w:t>-</w:t>
        <w:tab/>
        <w:t>-</w:t>
      </w:r>
    </w:p>
    <w:p>
      <w:pPr>
        <w:pStyle w:val="Style92"/>
        <w:keepNext w:val="0"/>
        <w:keepLines w:val="0"/>
        <w:widowControl w:val="0"/>
        <w:shd w:val="clear" w:color="auto" w:fill="auto"/>
        <w:tabs>
          <w:tab w:pos="6102" w:val="right"/>
          <w:tab w:pos="8563" w:val="right"/>
        </w:tabs>
        <w:bidi w:val="0"/>
        <w:spacing w:before="0" w:after="240" w:line="312" w:lineRule="exact"/>
        <w:ind w:left="1440" w:right="0" w:firstLine="0"/>
        <w:jc w:val="left"/>
      </w:pPr>
      <w:r>
        <w:rPr>
          <w:rFonts w:ascii="SimSun" w:eastAsia="SimSun" w:hAnsi="SimSun" w:cs="SimSun"/>
          <w:color w:val="000000"/>
          <w:spacing w:val="0"/>
          <w:w w:val="100"/>
          <w:position w:val="0"/>
          <w:sz w:val="24"/>
          <w:szCs w:val="24"/>
        </w:rPr>
        <w:t>固定利率债务</w:t>
        <w:tab/>
      </w:r>
      <w:r>
        <w:rPr>
          <w:color w:val="000000"/>
          <w:spacing w:val="0"/>
          <w:w w:val="100"/>
          <w:position w:val="0"/>
          <w:sz w:val="24"/>
          <w:szCs w:val="24"/>
        </w:rPr>
        <w:t>533,300</w:t>
        <w:tab/>
        <w:t>499,777</w:t>
      </w:r>
    </w:p>
    <w:p>
      <w:pPr>
        <w:pStyle w:val="Style72"/>
        <w:keepNext w:val="0"/>
        <w:keepLines w:val="0"/>
        <w:widowControl w:val="0"/>
        <w:shd w:val="clear" w:color="auto" w:fill="auto"/>
        <w:bidi w:val="0"/>
        <w:spacing w:before="0" w:after="240" w:line="310" w:lineRule="exact"/>
        <w:ind w:right="0" w:firstLine="0"/>
        <w:jc w:val="both"/>
      </w:pPr>
      <w:r>
        <w:rPr>
          <w:color w:val="000000"/>
          <w:spacing w:val="0"/>
          <w:w w:val="100"/>
          <w:position w:val="0"/>
          <w:sz w:val="24"/>
          <w:szCs w:val="24"/>
        </w:rPr>
        <w:t>本集团持续监控集团利率水平。利率上升会增加新增带息债务的成本以及本 集团尚未付清的以浮动利率计息的带息债务的利息支出，并对本集团的财务 业绩产生重大的不利影响，管理层会依据最新的市场状况及时做出调整，这 些调整可能是进行利率互换的安排来降低利率风险。于</w:t>
      </w:r>
      <w:r>
        <w:rPr>
          <w:rFonts w:ascii="Arial" w:eastAsia="Arial" w:hAnsi="Arial" w:cs="Arial"/>
          <w:color w:val="000000"/>
          <w:spacing w:val="0"/>
          <w:w w:val="100"/>
          <w:position w:val="0"/>
          <w:sz w:val="24"/>
          <w:szCs w:val="24"/>
        </w:rPr>
        <w:t>2021</w:t>
      </w:r>
      <w:r>
        <w:rPr>
          <w:color w:val="000000"/>
          <w:spacing w:val="0"/>
          <w:w w:val="100"/>
          <w:position w:val="0"/>
          <w:sz w:val="24"/>
          <w:szCs w:val="24"/>
        </w:rPr>
        <w:t>年度和</w:t>
      </w:r>
      <w:r>
        <w:rPr>
          <w:rFonts w:ascii="Arial" w:eastAsia="Arial" w:hAnsi="Arial" w:cs="Arial"/>
          <w:color w:val="000000"/>
          <w:spacing w:val="0"/>
          <w:w w:val="100"/>
          <w:position w:val="0"/>
          <w:sz w:val="24"/>
          <w:szCs w:val="24"/>
        </w:rPr>
        <w:t>2020</w:t>
      </w:r>
      <w:r>
        <w:rPr>
          <w:color w:val="000000"/>
          <w:spacing w:val="0"/>
          <w:w w:val="100"/>
          <w:position w:val="0"/>
          <w:sz w:val="24"/>
          <w:szCs w:val="24"/>
        </w:rPr>
        <w:t>年， 本公司已与第三方商业银行签订利率互换合约以降低贷款的利率风险。</w:t>
      </w:r>
    </w:p>
    <w:p>
      <w:pPr>
        <w:pStyle w:val="Style72"/>
        <w:keepNext w:val="0"/>
        <w:keepLines w:val="0"/>
        <w:widowControl w:val="0"/>
        <w:shd w:val="clear" w:color="auto" w:fill="auto"/>
        <w:bidi w:val="0"/>
        <w:spacing w:before="0" w:after="240" w:line="319"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日，如果以浮动利率计算的借款利率上升或下降</w:t>
      </w:r>
      <w:r>
        <w:rPr>
          <w:rFonts w:ascii="Arial" w:eastAsia="Arial" w:hAnsi="Arial" w:cs="Arial"/>
          <w:color w:val="000000"/>
          <w:spacing w:val="0"/>
          <w:w w:val="100"/>
          <w:position w:val="0"/>
          <w:sz w:val="24"/>
          <w:szCs w:val="24"/>
        </w:rPr>
        <w:t>50</w:t>
      </w:r>
      <w:r>
        <w:rPr>
          <w:color w:val="000000"/>
          <w:spacing w:val="0"/>
          <w:w w:val="100"/>
          <w:position w:val="0"/>
          <w:sz w:val="24"/>
          <w:szCs w:val="24"/>
        </w:rPr>
        <w:t>个基 点，而其他因素保持不变，不会影响本集团的利润总额</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w:t>
      </w:r>
      <w:r>
        <w:rPr>
          <w:color w:val="000000"/>
          <w:spacing w:val="0"/>
          <w:w w:val="100"/>
          <w:position w:val="0"/>
          <w:sz w:val="28"/>
          <w:szCs w:val="28"/>
        </w:rPr>
        <w:t>：</w:t>
      </w:r>
      <w:r>
        <w:rPr>
          <w:color w:val="000000"/>
          <w:spacing w:val="0"/>
          <w:w w:val="100"/>
          <w:position w:val="0"/>
          <w:sz w:val="24"/>
          <w:szCs w:val="24"/>
        </w:rPr>
        <w:t>不 会影响本集团的利润总额</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tabs>
          <w:tab w:pos="710" w:val="left"/>
        </w:tabs>
        <w:bidi w:val="0"/>
        <w:spacing w:before="0" w:after="240" w:line="271" w:lineRule="auto"/>
        <w:ind w:left="0" w:right="0" w:firstLine="0"/>
        <w:jc w:val="left"/>
      </w:pPr>
      <w:bookmarkStart w:id="982" w:name="bookmark982"/>
      <w:r>
        <w:rPr>
          <w:rFonts w:ascii="Arial" w:eastAsia="Arial" w:hAnsi="Arial" w:cs="Arial"/>
          <w:color w:val="000000"/>
          <w:spacing w:val="0"/>
          <w:w w:val="100"/>
          <w:position w:val="0"/>
          <w:sz w:val="24"/>
          <w:szCs w:val="24"/>
        </w:rPr>
        <w:t>（</w:t>
      </w:r>
      <w:bookmarkEnd w:id="982"/>
      <w:r>
        <w:rPr>
          <w:rFonts w:ascii="Arial" w:eastAsia="Arial" w:hAnsi="Arial" w:cs="Arial"/>
          <w:color w:val="000000"/>
          <w:spacing w:val="0"/>
          <w:w w:val="100"/>
          <w:position w:val="0"/>
          <w:sz w:val="24"/>
          <w:szCs w:val="24"/>
        </w:rPr>
        <w:t>c）</w:t>
        <w:tab/>
      </w:r>
      <w:r>
        <w:rPr>
          <w:color w:val="000000"/>
          <w:spacing w:val="0"/>
          <w:w w:val="100"/>
          <w:position w:val="0"/>
          <w:sz w:val="24"/>
          <w:szCs w:val="24"/>
        </w:rPr>
        <w:t>其他价格风险</w:t>
      </w:r>
    </w:p>
    <w:p>
      <w:pPr>
        <w:pStyle w:val="Style72"/>
        <w:keepNext w:val="0"/>
        <w:keepLines w:val="0"/>
        <w:widowControl w:val="0"/>
        <w:shd w:val="clear" w:color="auto" w:fill="auto"/>
        <w:bidi w:val="0"/>
        <w:spacing w:before="0" w:after="240" w:line="312" w:lineRule="exact"/>
        <w:ind w:right="0" w:firstLine="0"/>
        <w:jc w:val="both"/>
      </w:pPr>
      <w:r>
        <w:rPr>
          <w:color w:val="000000"/>
          <w:spacing w:val="0"/>
          <w:w w:val="100"/>
          <w:position w:val="0"/>
          <w:sz w:val="24"/>
          <w:szCs w:val="24"/>
        </w:rPr>
        <w:t>本集团其他价格风险主要产生于各类权益工具投资，存在权益工具价格变动 的风险。</w:t>
      </w:r>
    </w:p>
    <w:p>
      <w:pPr>
        <w:pStyle w:val="Style72"/>
        <w:keepNext w:val="0"/>
        <w:keepLines w:val="0"/>
        <w:widowControl w:val="0"/>
        <w:shd w:val="clear" w:color="auto" w:fill="auto"/>
        <w:bidi w:val="0"/>
        <w:spacing w:before="0" w:after="240" w:line="309"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日，如果本集团各类权益工具投资的预期价格上涨或下 跌</w:t>
      </w:r>
      <w:r>
        <w:rPr>
          <w:rFonts w:ascii="Arial" w:eastAsia="Arial" w:hAnsi="Arial" w:cs="Arial"/>
          <w:color w:val="000000"/>
          <w:spacing w:val="0"/>
          <w:w w:val="100"/>
          <w:position w:val="0"/>
          <w:sz w:val="24"/>
          <w:szCs w:val="24"/>
        </w:rPr>
        <w:t>10%</w:t>
      </w:r>
      <w:r>
        <w:rPr>
          <w:color w:val="000000"/>
          <w:spacing w:val="0"/>
          <w:w w:val="100"/>
          <w:position w:val="0"/>
          <w:sz w:val="24"/>
          <w:szCs w:val="24"/>
        </w:rPr>
        <w:t>，其他因素保持不变，则本集团将增加或减少净利润约人民币</w:t>
      </w:r>
      <w:r>
        <w:rPr>
          <w:rFonts w:ascii="Arial" w:eastAsia="Arial" w:hAnsi="Arial" w:cs="Arial"/>
          <w:color w:val="000000"/>
          <w:spacing w:val="0"/>
          <w:w w:val="100"/>
          <w:position w:val="0"/>
          <w:sz w:val="24"/>
          <w:szCs w:val="24"/>
        </w:rPr>
        <w:t xml:space="preserve">12.10 </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14.36</w:t>
      </w:r>
      <w:r>
        <w:rPr>
          <w:color w:val="000000"/>
          <w:spacing w:val="0"/>
          <w:w w:val="100"/>
          <w:position w:val="0"/>
          <w:sz w:val="24"/>
          <w:szCs w:val="24"/>
        </w:rPr>
        <w:t>亿元</w:t>
      </w:r>
      <w:r>
        <w:rPr>
          <w:color w:val="000000"/>
          <w:spacing w:val="0"/>
          <w:w w:val="100"/>
          <w:position w:val="0"/>
          <w:sz w:val="28"/>
          <w:szCs w:val="28"/>
        </w:rPr>
        <w:t>）</w:t>
      </w:r>
      <w:r>
        <w:rPr>
          <w:color w:val="000000"/>
          <w:spacing w:val="0"/>
          <w:w w:val="100"/>
          <w:position w:val="0"/>
          <w:sz w:val="24"/>
          <w:szCs w:val="24"/>
        </w:rPr>
        <w:t>，增加或减少其他综合收益 约人民币</w:t>
      </w:r>
      <w:r>
        <w:rPr>
          <w:rFonts w:ascii="Arial" w:eastAsia="Arial" w:hAnsi="Arial" w:cs="Arial"/>
          <w:color w:val="000000"/>
          <w:spacing w:val="0"/>
          <w:w w:val="100"/>
          <w:position w:val="0"/>
          <w:sz w:val="24"/>
          <w:szCs w:val="24"/>
        </w:rPr>
        <w:t>4.37</w:t>
      </w:r>
      <w:r>
        <w:rPr>
          <w:color w:val="000000"/>
          <w:spacing w:val="0"/>
          <w:w w:val="100"/>
          <w:position w:val="0"/>
          <w:sz w:val="24"/>
          <w:szCs w:val="24"/>
        </w:rPr>
        <w:t>亿元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5.79</w:t>
      </w:r>
      <w:r>
        <w:rPr>
          <w:color w:val="000000"/>
          <w:spacing w:val="0"/>
          <w:w w:val="100"/>
          <w:position w:val="0"/>
          <w:sz w:val="24"/>
          <w:szCs w:val="24"/>
        </w:rPr>
        <w:t>亿元</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十三金融工具及相关风险</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131"/>
        </w:numPr>
        <w:shd w:val="clear" w:color="auto" w:fill="auto"/>
        <w:tabs>
          <w:tab w:pos="718" w:val="left"/>
        </w:tabs>
        <w:bidi w:val="0"/>
        <w:spacing w:before="0" w:after="260" w:line="240" w:lineRule="auto"/>
        <w:ind w:left="0" w:right="0" w:firstLine="0"/>
        <w:jc w:val="left"/>
      </w:pPr>
      <w:bookmarkStart w:id="983" w:name="bookmark983"/>
      <w:bookmarkEnd w:id="983"/>
      <w:r>
        <w:rPr>
          <w:b/>
          <w:bCs/>
          <w:color w:val="000000"/>
          <w:spacing w:val="0"/>
          <w:w w:val="100"/>
          <w:position w:val="0"/>
          <w:sz w:val="24"/>
          <w:szCs w:val="24"/>
        </w:rPr>
        <w:t>信用风险</w:t>
      </w:r>
    </w:p>
    <w:p>
      <w:pPr>
        <w:pStyle w:val="Style72"/>
        <w:keepNext w:val="0"/>
        <w:keepLines w:val="0"/>
        <w:widowControl w:val="0"/>
        <w:shd w:val="clear" w:color="auto" w:fill="auto"/>
        <w:bidi w:val="0"/>
        <w:spacing w:before="0" w:after="260" w:line="307" w:lineRule="exact"/>
        <w:ind w:right="0" w:firstLine="0"/>
        <w:jc w:val="both"/>
      </w:pPr>
      <w:r>
        <w:rPr>
          <w:color w:val="000000"/>
          <w:spacing w:val="0"/>
          <w:w w:val="100"/>
          <w:position w:val="0"/>
          <w:sz w:val="24"/>
          <w:szCs w:val="24"/>
        </w:rPr>
        <w:t>本集团信用风险主要产生于银行存款、应收票据、应收账款、其他应收款、 长期应收款、债权投资和财务担保合同等。于资产负债表日，本集团金融资 产的账面价值已代表其最大信用风险敞口；资产负债表表外的最大信用风险 敞口为履行财务担保所需支付的最大金额约人民币</w:t>
      </w:r>
      <w:r>
        <w:rPr>
          <w:rFonts w:ascii="Arial" w:eastAsia="Arial" w:hAnsi="Arial" w:cs="Arial"/>
          <w:color w:val="000000"/>
          <w:spacing w:val="0"/>
          <w:w w:val="100"/>
          <w:position w:val="0"/>
          <w:sz w:val="24"/>
          <w:szCs w:val="24"/>
        </w:rPr>
        <w:t>14.91</w:t>
      </w:r>
      <w:r>
        <w:rPr>
          <w:color w:val="000000"/>
          <w:spacing w:val="0"/>
          <w:w w:val="100"/>
          <w:position w:val="0"/>
          <w:sz w:val="24"/>
          <w:szCs w:val="24"/>
        </w:rPr>
        <w:t>亿元。</w:t>
      </w:r>
    </w:p>
    <w:p>
      <w:pPr>
        <w:pStyle w:val="Style72"/>
        <w:keepNext w:val="0"/>
        <w:keepLines w:val="0"/>
        <w:widowControl w:val="0"/>
        <w:shd w:val="clear" w:color="auto" w:fill="auto"/>
        <w:bidi w:val="0"/>
        <w:spacing w:before="0" w:after="260" w:line="305" w:lineRule="exact"/>
        <w:ind w:right="0" w:firstLine="0"/>
        <w:jc w:val="both"/>
      </w:pPr>
      <w:r>
        <w:rPr>
          <w:color w:val="000000"/>
          <w:spacing w:val="0"/>
          <w:w w:val="100"/>
          <w:position w:val="0"/>
          <w:sz w:val="24"/>
          <w:szCs w:val="24"/>
        </w:rPr>
        <w:t>本集团货币资金主要为存放于声誉良好并拥有较高信用评级的国有银行和其 他大中型上市银行的银行存款，本集团认为其不存在重大的信用风险，几乎 不会产生因银行违约而导致的重大损失。</w:t>
      </w:r>
    </w:p>
    <w:p>
      <w:pPr>
        <w:pStyle w:val="Style72"/>
        <w:keepNext w:val="0"/>
        <w:keepLines w:val="0"/>
        <w:widowControl w:val="0"/>
        <w:shd w:val="clear" w:color="auto" w:fill="auto"/>
        <w:bidi w:val="0"/>
        <w:spacing w:before="0" w:after="260" w:line="313" w:lineRule="exact"/>
        <w:ind w:right="0" w:firstLine="0"/>
        <w:jc w:val="both"/>
      </w:pPr>
      <w:r>
        <w:rPr>
          <w:color w:val="000000"/>
          <w:spacing w:val="0"/>
          <w:w w:val="100"/>
          <w:position w:val="0"/>
          <w:sz w:val="24"/>
          <w:szCs w:val="24"/>
        </w:rPr>
        <w:t>此外，对于应收票据、应收账款、合同资产、其他应收款和长期应收款等， 本集团设定相关政策以控制信用风险敞口。本集团基于对客户的财务状况、 从第三方获取担保的可能性、信用记录及其他因素诸如目前市场状况等评估 客户的信用资质并设置相应信用期。本集团会定期对客户信用记录进行监控， 对于信用记录不良的客户，本集团会采用书面催款、缩短信用期或取消信用 期等方式，以确保本集团的整体信用风险在可控的范围内。</w:t>
      </w:r>
    </w:p>
    <w:p>
      <w:pPr>
        <w:pStyle w:val="Style72"/>
        <w:keepNext w:val="0"/>
        <w:keepLines w:val="0"/>
        <w:widowControl w:val="0"/>
        <w:shd w:val="clear" w:color="auto" w:fill="auto"/>
        <w:bidi w:val="0"/>
        <w:spacing w:before="0" w:after="300" w:line="317"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日，本集团无重大的因债务人抵押而持有的担保物和其 他信用增级</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日：无</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numPr>
          <w:ilvl w:val="0"/>
          <w:numId w:val="131"/>
        </w:numPr>
        <w:shd w:val="clear" w:color="auto" w:fill="auto"/>
        <w:tabs>
          <w:tab w:pos="718" w:val="left"/>
        </w:tabs>
        <w:bidi w:val="0"/>
        <w:spacing w:before="0" w:after="260" w:line="240" w:lineRule="auto"/>
        <w:ind w:left="0" w:right="0" w:firstLine="0"/>
        <w:jc w:val="left"/>
      </w:pPr>
      <w:bookmarkStart w:id="984" w:name="bookmark984"/>
      <w:bookmarkEnd w:id="984"/>
      <w:r>
        <w:rPr>
          <w:b/>
          <w:bCs/>
          <w:color w:val="000000"/>
          <w:spacing w:val="0"/>
          <w:w w:val="100"/>
          <w:position w:val="0"/>
          <w:sz w:val="24"/>
          <w:szCs w:val="24"/>
        </w:rPr>
        <w:t>流动风险</w:t>
      </w:r>
    </w:p>
    <w:p>
      <w:pPr>
        <w:pStyle w:val="Style72"/>
        <w:keepNext w:val="0"/>
        <w:keepLines w:val="0"/>
        <w:widowControl w:val="0"/>
        <w:shd w:val="clear" w:color="auto" w:fill="auto"/>
        <w:bidi w:val="0"/>
        <w:spacing w:before="0" w:after="260" w:line="311" w:lineRule="exact"/>
        <w:ind w:right="0" w:firstLine="0"/>
        <w:jc w:val="both"/>
      </w:pPr>
      <w:r>
        <w:rPr>
          <w:color w:val="000000"/>
          <w:spacing w:val="0"/>
          <w:w w:val="100"/>
          <w:position w:val="0"/>
          <w:sz w:val="24"/>
          <w:szCs w:val="24"/>
        </w:rPr>
        <w:t>本集团内各子公司负责其自身的现金流量预测。本集团在汇总各子公司现金 流量预测的基础上，在集团层面持续监控短期和长期的资金需求，以确保维 持充裕的现金储备和可供随时变现的有价证券；同时持续监控是否符合借款 协议的规定，从主要金融机构获得提供足够备用资金的承诺，以满足短期和 长期的资金需求。</w:t>
      </w:r>
    </w:p>
    <w:p>
      <w:pPr>
        <w:pStyle w:val="Style72"/>
        <w:keepNext w:val="0"/>
        <w:keepLines w:val="0"/>
        <w:widowControl w:val="0"/>
        <w:shd w:val="clear" w:color="auto" w:fill="auto"/>
        <w:bidi w:val="0"/>
        <w:spacing w:before="0" w:after="260" w:line="311" w:lineRule="exact"/>
        <w:ind w:left="0" w:right="0" w:firstLine="720"/>
        <w:jc w:val="left"/>
        <w:sectPr>
          <w:footnotePr>
            <w:pos w:val="pageBottom"/>
            <w:numFmt w:val="decimal"/>
            <w:numStart w:val="1"/>
            <w:numRestart w:val="continuous"/>
            <w15:footnoteColumns w:val="1"/>
          </w:footnotePr>
          <w:pgSz w:w="11900" w:h="16840"/>
          <w:pgMar w:top="2406" w:right="1298" w:bottom="2699" w:left="1707" w:header="0" w:footer="3" w:gutter="0"/>
          <w:cols w:space="720"/>
          <w:noEndnote/>
          <w:rtlGutter w:val="0"/>
          <w:docGrid w:linePitch="360"/>
        </w:sectPr>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日，本公司管理层对现金流量的风险评估参见附注二</w:t>
      </w:r>
      <w:r>
        <w:rPr>
          <w:rFonts w:ascii="Arial" w:eastAsia="Arial" w:hAnsi="Arial" w:cs="Arial"/>
          <w:color w:val="000000"/>
          <w:spacing w:val="0"/>
          <w:w w:val="100"/>
          <w:position w:val="0"/>
          <w:sz w:val="24"/>
          <w:szCs w:val="24"/>
        </w:rPr>
        <w:t>(1)</w:t>
      </w:r>
      <w:r>
        <w:rPr>
          <w:color w:val="000000"/>
          <w:spacing w:val="0"/>
          <w:w w:val="100"/>
          <w:position w:val="0"/>
          <w:sz w:val="24"/>
          <w:szCs w:val="24"/>
        </w:rPr>
        <w:t>。</w:t>
      </w:r>
    </w:p>
    <w:p>
      <w:pPr>
        <w:pStyle w:val="Style72"/>
        <w:keepNext w:val="0"/>
        <w:keepLines w:val="0"/>
        <w:widowControl w:val="0"/>
        <w:shd w:val="clear" w:color="auto" w:fill="auto"/>
        <w:bidi w:val="0"/>
        <w:spacing w:before="0" w:after="280" w:line="240" w:lineRule="auto"/>
        <w:ind w:left="0" w:right="0" w:firstLine="0"/>
        <w:jc w:val="left"/>
        <w:rPr>
          <w:sz w:val="28"/>
          <w:szCs w:val="28"/>
        </w:rPr>
      </w:pPr>
      <w:r>
        <w:rPr>
          <w:b/>
          <w:bCs/>
          <w:color w:val="000000"/>
          <w:spacing w:val="0"/>
          <w:w w:val="100"/>
          <w:position w:val="0"/>
          <w:sz w:val="24"/>
          <w:szCs w:val="24"/>
        </w:rPr>
        <w:t>十三金融工具及相关风险</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after="280" w:line="240" w:lineRule="auto"/>
        <w:ind w:left="0" w:right="0" w:firstLine="0"/>
        <w:jc w:val="left"/>
        <w:rPr>
          <w:sz w:val="28"/>
          <w:szCs w:val="28"/>
        </w:rPr>
      </w:pPr>
      <w:r>
        <w:rPr>
          <w:color w:val="000000"/>
          <w:spacing w:val="0"/>
          <w:w w:val="100"/>
          <w:position w:val="0"/>
          <w:sz w:val="24"/>
          <w:szCs w:val="24"/>
        </w:rPr>
        <w:t xml:space="preserve">(3) </w:t>
      </w:r>
      <w:r>
        <w:rPr>
          <w:rFonts w:ascii="SimSun" w:eastAsia="SimSun" w:hAnsi="SimSun" w:cs="SimSun"/>
          <w:b/>
          <w:bCs/>
          <w:color w:val="000000"/>
          <w:spacing w:val="0"/>
          <w:w w:val="100"/>
          <w:position w:val="0"/>
          <w:sz w:val="24"/>
          <w:szCs w:val="24"/>
        </w:rPr>
        <w:t>流动风险</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280" w:line="317"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日，本集团考虑如附注二</w:t>
      </w:r>
      <w:r>
        <w:rPr>
          <w:rFonts w:ascii="Arial" w:eastAsia="Arial" w:hAnsi="Arial" w:cs="Arial"/>
          <w:color w:val="000000"/>
          <w:spacing w:val="0"/>
          <w:w w:val="100"/>
          <w:position w:val="0"/>
          <w:sz w:val="24"/>
          <w:szCs w:val="24"/>
        </w:rPr>
        <w:t>(1)</w:t>
      </w:r>
      <w:r>
        <w:rPr>
          <w:color w:val="000000"/>
          <w:spacing w:val="0"/>
          <w:w w:val="100"/>
          <w:position w:val="0"/>
          <w:sz w:val="24"/>
          <w:szCs w:val="24"/>
        </w:rPr>
        <w:t>所披露的违约事项导致相关 银行及其他金融机构有权要求本集团提前偿还相关借款全部本金及利息的影 响，将本集团各项金融负债以未折现的现金流量按到期日列示如下：</w:t>
      </w:r>
    </w:p>
    <w:tbl>
      <w:tblPr>
        <w:tblOverlap w:val="never"/>
        <w:jc w:val="center"/>
        <w:tblLayout w:type="fixed"/>
      </w:tblPr>
      <w:tblGrid>
        <w:gridCol w:w="1416"/>
        <w:gridCol w:w="1339"/>
        <w:gridCol w:w="1128"/>
        <w:gridCol w:w="1670"/>
        <w:gridCol w:w="1190"/>
        <w:gridCol w:w="1200"/>
      </w:tblGrid>
      <w:tr>
        <w:trPr>
          <w:trHeight w:val="235" w:hRule="exact"/>
        </w:trPr>
        <w:tc>
          <w:tcPr>
            <w:vMerge w:val="restart"/>
            <w:tcBorders/>
            <w:shd w:val="clear" w:color="auto" w:fill="FFFFFF"/>
            <w:vAlign w:val="top"/>
          </w:tcPr>
          <w:p>
            <w:pPr>
              <w:widowControl w:val="0"/>
              <w:rPr>
                <w:sz w:val="10"/>
                <w:szCs w:val="10"/>
              </w:rPr>
            </w:pPr>
          </w:p>
        </w:tc>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374"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一年以内</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一到二年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二到五年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SimSun" w:eastAsia="SimSun" w:hAnsi="SimSun" w:cs="SimSun"/>
                <w:color w:val="000000"/>
                <w:spacing w:val="0"/>
                <w:w w:val="100"/>
                <w:position w:val="0"/>
                <w:sz w:val="18"/>
                <w:szCs w:val="18"/>
              </w:rPr>
              <w:t>五年以上</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合计</w:t>
            </w: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短期借款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30,556,659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30,556,659</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应付票据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16,867,504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16,867,504</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20,135,826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20,135,826</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16,454,591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16,454,591</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6,581,235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6,581,235</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其他非流动负债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134,238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134,238</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应付债券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26,698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560,122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586,820</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7,570,067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5,010,746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10,612,601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16,304,787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39,498,201</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908,708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2,108,708</w:t>
            </w:r>
          </w:p>
        </w:tc>
      </w:tr>
      <w:tr>
        <w:trPr>
          <w:trHeight w:val="278" w:hRule="exact"/>
        </w:trPr>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99,392,580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6,479,576</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10,746,839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16,304,787</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132,923,782</w:t>
            </w:r>
          </w:p>
        </w:tc>
      </w:tr>
    </w:tbl>
    <w:p>
      <w:pPr>
        <w:widowControl w:val="0"/>
        <w:spacing w:after="179" w:line="1" w:lineRule="exact"/>
      </w:pPr>
    </w:p>
    <w:p>
      <w:pPr>
        <w:pStyle w:val="Style72"/>
        <w:keepNext w:val="0"/>
        <w:keepLines w:val="0"/>
        <w:widowControl w:val="0"/>
        <w:shd w:val="clear" w:color="auto" w:fill="auto"/>
        <w:bidi w:val="0"/>
        <w:spacing w:before="0" w:after="280" w:line="306" w:lineRule="exact"/>
        <w:ind w:left="700" w:right="0" w:firstLine="20"/>
        <w:jc w:val="both"/>
      </w:pPr>
      <w:r>
        <w:rPr>
          <w:color w:val="000000"/>
          <w:spacing w:val="0"/>
          <w:w w:val="100"/>
          <w:position w:val="0"/>
          <w:sz w:val="24"/>
          <w:szCs w:val="24"/>
        </w:rPr>
        <w:t>于本财务报表报出日，本集团基于借款合同约定的借款金额以及借款本息偿 还安排，以及考虑于附注二</w:t>
      </w:r>
      <w:r>
        <w:rPr>
          <w:rFonts w:ascii="Arial" w:eastAsia="Arial" w:hAnsi="Arial" w:cs="Arial"/>
          <w:color w:val="000000"/>
          <w:spacing w:val="0"/>
          <w:w w:val="100"/>
          <w:position w:val="0"/>
          <w:sz w:val="24"/>
          <w:szCs w:val="24"/>
        </w:rPr>
        <w:t>(1)</w:t>
      </w:r>
      <w:r>
        <w:rPr>
          <w:color w:val="000000"/>
          <w:spacing w:val="0"/>
          <w:w w:val="100"/>
          <w:position w:val="0"/>
          <w:sz w:val="24"/>
          <w:szCs w:val="24"/>
        </w:rPr>
        <w:t>所披露的就违约事项于资产负债表日后相关银 行实际并未宣布贷款提前到期、取消或暂停贷款额度的情况，将于</w:t>
      </w:r>
      <w:r>
        <w:rPr>
          <w:rFonts w:ascii="Arial" w:eastAsia="Arial" w:hAnsi="Arial" w:cs="Arial"/>
          <w:color w:val="000000"/>
          <w:spacing w:val="0"/>
          <w:w w:val="100"/>
          <w:position w:val="0"/>
          <w:sz w:val="24"/>
          <w:szCs w:val="24"/>
        </w:rPr>
        <w:t>2021</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日本集团各项金融负债以未折现的合同现金流量按到期日列示如下：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bl>
      <w:tblPr>
        <w:tblOverlap w:val="never"/>
        <w:jc w:val="center"/>
        <w:tblLayout w:type="fixed"/>
      </w:tblPr>
      <w:tblGrid>
        <w:gridCol w:w="1416"/>
        <w:gridCol w:w="1339"/>
        <w:gridCol w:w="1320"/>
        <w:gridCol w:w="1354"/>
        <w:gridCol w:w="1315"/>
        <w:gridCol w:w="1200"/>
      </w:tblGrid>
      <w:tr>
        <w:trPr>
          <w:trHeight w:val="379"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一年以内</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一到二年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二到五年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五年以上</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合计</w:t>
            </w: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短期借款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30,556,659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30,556,659</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应付票据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16,867,504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16,867,504</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20,135,826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20,135,826</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16,454,591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16,454,591</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5,114,535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507,529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1,087,631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6,709,695</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其他非流动负债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134,238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134,238</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应付债券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26,698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560,122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586,820</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租赁负债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7,570,067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5,010,746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10,612,601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16,304,787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39,498,201</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908,708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2,108,708</w:t>
            </w:r>
          </w:p>
        </w:tc>
      </w:tr>
      <w:tr>
        <w:trPr>
          <w:trHeight w:val="278" w:hRule="exact"/>
        </w:trPr>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97,925,880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6,987,105</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11,834,470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16,304,787</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133,052,242</w:t>
            </w:r>
          </w:p>
        </w:tc>
      </w:tr>
    </w:tbl>
    <w:p>
      <w:pPr>
        <w:sectPr>
          <w:footnotePr>
            <w:pos w:val="pageBottom"/>
            <w:numFmt w:val="decimal"/>
            <w:numStart w:val="1"/>
            <w:numRestart w:val="continuous"/>
            <w15:footnoteColumns w:val="1"/>
          </w:footnotePr>
          <w:pgSz w:w="11900" w:h="16840"/>
          <w:pgMar w:top="2406" w:right="1302" w:bottom="2406" w:left="1709" w:header="0" w:footer="3" w:gutter="0"/>
          <w:cols w:space="720"/>
          <w:noEndnote/>
          <w:rtlGutter w:val="0"/>
          <w:docGrid w:linePitch="360"/>
        </w:sectPr>
      </w:pPr>
    </w:p>
    <w:p>
      <w:pPr>
        <w:pStyle w:val="Style72"/>
        <w:keepNext w:val="0"/>
        <w:keepLines w:val="0"/>
        <w:widowControl w:val="0"/>
        <w:shd w:val="clear" w:color="auto" w:fill="auto"/>
        <w:bidi w:val="0"/>
        <w:spacing w:before="0" w:after="60" w:line="240" w:lineRule="auto"/>
        <w:ind w:left="0" w:right="0" w:firstLine="700"/>
        <w:jc w:val="both"/>
      </w:pPr>
      <w:r>
        <w:rPr>
          <w:b/>
          <w:bCs/>
          <w:color w:val="000000"/>
          <w:spacing w:val="0"/>
          <w:w w:val="100"/>
          <w:position w:val="0"/>
          <w:sz w:val="24"/>
          <w:szCs w:val="24"/>
        </w:rPr>
        <w:t>苏宁易购集团股份有限公司</w:t>
      </w:r>
    </w:p>
    <w:p>
      <w:pPr>
        <w:pStyle w:val="Style72"/>
        <w:keepNext w:val="0"/>
        <w:keepLines w:val="0"/>
        <w:widowControl w:val="0"/>
        <w:shd w:val="clear" w:color="auto" w:fill="auto"/>
        <w:bidi w:val="0"/>
        <w:spacing w:before="0" w:after="60" w:line="240" w:lineRule="auto"/>
        <w:ind w:left="0" w:right="0" w:firstLine="700"/>
        <w:jc w:val="both"/>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480" w:line="240" w:lineRule="auto"/>
        <w:ind w:left="0" w:right="0" w:firstLine="70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十三金融工具及相关风险</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01" w:val="left"/>
        </w:tabs>
        <w:bidi w:val="0"/>
        <w:spacing w:before="0" w:after="220" w:line="276" w:lineRule="auto"/>
        <w:ind w:left="0" w:right="0" w:firstLine="0"/>
        <w:jc w:val="left"/>
        <w:rPr>
          <w:sz w:val="28"/>
          <w:szCs w:val="28"/>
        </w:rPr>
      </w:pPr>
      <w:r>
        <w:rPr>
          <w:color w:val="000000"/>
          <w:spacing w:val="0"/>
          <w:w w:val="100"/>
          <w:position w:val="0"/>
          <w:sz w:val="24"/>
          <w:szCs w:val="24"/>
        </w:rPr>
        <w:t>（3）</w:t>
        <w:tab/>
      </w:r>
      <w:r>
        <w:rPr>
          <w:rFonts w:ascii="SimSun" w:eastAsia="SimSun" w:hAnsi="SimSun" w:cs="SimSun"/>
          <w:b/>
          <w:bCs/>
          <w:color w:val="000000"/>
          <w:spacing w:val="0"/>
          <w:w w:val="100"/>
          <w:position w:val="0"/>
          <w:sz w:val="24"/>
          <w:szCs w:val="24"/>
        </w:rPr>
        <w:t>流动风险</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bidi w:val="0"/>
        <w:spacing w:before="0" w:after="220" w:line="319"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日，本集团考虑违约事项导致相关银行及其他金融机构 有权要求本集团提前偿还相关借款全部本金及利息的影响，将本集团各项金 融负债以未折现的现金流量按到期日列示如下：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bl>
      <w:tblPr>
        <w:tblOverlap w:val="never"/>
        <w:jc w:val="right"/>
        <w:tblLayout w:type="fixed"/>
      </w:tblPr>
      <w:tblGrid>
        <w:gridCol w:w="1378"/>
        <w:gridCol w:w="1392"/>
        <w:gridCol w:w="1382"/>
        <w:gridCol w:w="1368"/>
        <w:gridCol w:w="1234"/>
        <w:gridCol w:w="1315"/>
      </w:tblGrid>
      <w:tr>
        <w:trPr>
          <w:trHeight w:val="379"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一年以内</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一到二年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二到五年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五年以上</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合计</w:t>
            </w: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短期借款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23,839,892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23,839,892</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应付票据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21,021,224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21,021,224</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31,051,572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31,051,572</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15,800,050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15,800,050</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9,285,749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9,285,749</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其他非流动负债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rPr>
              <w:t>67,210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67,210</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应付债券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7,713,429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25,000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524,777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8,263,206</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1,200,000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986,801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2,186,801</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109,911,916</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1,011,801</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591,987</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111,515,704</w:t>
            </w:r>
          </w:p>
        </w:tc>
      </w:tr>
    </w:tbl>
    <w:p>
      <w:pPr>
        <w:widowControl w:val="0"/>
        <w:spacing w:after="219" w:line="1" w:lineRule="exact"/>
      </w:pPr>
    </w:p>
    <w:p>
      <w:pPr>
        <w:pStyle w:val="Style72"/>
        <w:keepNext w:val="0"/>
        <w:keepLines w:val="0"/>
        <w:widowControl w:val="0"/>
        <w:shd w:val="clear" w:color="auto" w:fill="auto"/>
        <w:bidi w:val="0"/>
        <w:spacing w:before="0" w:line="310"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日，本集团基于借款合同约定的借款金额以及借款本息 偿还安排，以及考虑就违约事项于资产负债表日后已取得的相关银行及其他 金融机构书面豁免函件和相关银行对违约事项豁免条件的影响，将于</w:t>
      </w:r>
      <w:r>
        <w:rPr>
          <w:rFonts w:ascii="Arial" w:eastAsia="Arial" w:hAnsi="Arial" w:cs="Arial"/>
          <w:color w:val="000000"/>
          <w:spacing w:val="0"/>
          <w:w w:val="100"/>
          <w:position w:val="0"/>
          <w:sz w:val="24"/>
          <w:szCs w:val="24"/>
        </w:rPr>
        <w:t>2020</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日本集团各项金融负债以未折现的合同现金流量按到期日列示如下: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bl>
      <w:tblPr>
        <w:tblOverlap w:val="never"/>
        <w:jc w:val="center"/>
        <w:tblLayout w:type="fixed"/>
      </w:tblPr>
      <w:tblGrid>
        <w:gridCol w:w="1378"/>
        <w:gridCol w:w="1378"/>
        <w:gridCol w:w="1368"/>
        <w:gridCol w:w="1397"/>
        <w:gridCol w:w="1234"/>
        <w:gridCol w:w="1190"/>
      </w:tblGrid>
      <w:tr>
        <w:trPr>
          <w:trHeight w:val="475"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一年以内</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一到二年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二到五年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五年以上</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合计</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短期借款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23,839,892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23,839,892</w:t>
            </w:r>
          </w:p>
        </w:tc>
      </w:tr>
      <w:tr>
        <w:trPr>
          <w:trHeight w:val="31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应付票据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21,021,224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21,021,224</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31,051,572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31,051,572</w:t>
            </w:r>
          </w:p>
        </w:tc>
      </w:tr>
      <w:tr>
        <w:trPr>
          <w:trHeight w:val="31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15,800,050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15,800,050</w:t>
            </w:r>
          </w:p>
        </w:tc>
      </w:tr>
      <w:tr>
        <w:trPr>
          <w:trHeight w:val="30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长期借款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2,433,516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6,225,746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845,525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9,504,787</w:t>
            </w:r>
          </w:p>
        </w:tc>
      </w:tr>
      <w:tr>
        <w:trPr>
          <w:trHeight w:val="3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其他非流动负债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rPr>
              <w:t>67,210</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67,210</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应付债券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7,713,429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25,000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524,777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8,263,206</w:t>
            </w:r>
          </w:p>
        </w:tc>
      </w:tr>
      <w:tr>
        <w:trPr>
          <w:trHeight w:val="2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长期应付款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1,200,000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986,801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2,186,801</w:t>
            </w:r>
          </w:p>
        </w:tc>
      </w:tr>
      <w:tr>
        <w:trPr>
          <w:trHeight w:val="33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103,059,683</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7,237,547</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rPr>
              <w:t>1,437,512</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111,734,742</w:t>
            </w:r>
          </w:p>
        </w:tc>
      </w:tr>
    </w:tbl>
    <w:p>
      <w:pPr>
        <w:sectPr>
          <w:footnotePr>
            <w:pos w:val="pageBottom"/>
            <w:numFmt w:val="decimal"/>
            <w:numStart w:val="1"/>
            <w:numRestart w:val="continuous"/>
            <w15:footnoteColumns w:val="1"/>
          </w:footnotePr>
          <w:pgSz w:w="11900" w:h="16840"/>
          <w:pgMar w:top="778" w:right="1302" w:bottom="884" w:left="1709" w:header="0" w:footer="3" w:gutter="0"/>
          <w:cols w:space="720"/>
          <w:noEndnote/>
          <w:rtlGutter w:val="0"/>
          <w:docGrid w:linePitch="360"/>
        </w:sectPr>
      </w:pPr>
    </w:p>
    <w:p>
      <w:pPr>
        <w:pStyle w:val="Style72"/>
        <w:keepNext w:val="0"/>
        <w:keepLines w:val="0"/>
        <w:widowControl w:val="0"/>
        <w:shd w:val="clear" w:color="auto" w:fill="auto"/>
        <w:bidi w:val="0"/>
        <w:spacing w:before="0" w:after="460" w:line="240" w:lineRule="auto"/>
        <w:ind w:left="0" w:right="0" w:firstLine="0"/>
        <w:jc w:val="left"/>
        <w:rPr>
          <w:sz w:val="28"/>
          <w:szCs w:val="28"/>
        </w:rPr>
      </w:pPr>
      <w:r>
        <w:rPr>
          <w:b/>
          <w:bCs/>
          <w:color w:val="000000"/>
          <w:spacing w:val="0"/>
          <w:w w:val="100"/>
          <w:position w:val="0"/>
          <w:sz w:val="24"/>
          <w:szCs w:val="24"/>
        </w:rPr>
        <w:t>十三金融工具及相关风险</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bidi w:val="0"/>
        <w:spacing w:before="0" w:after="460" w:line="240" w:lineRule="auto"/>
        <w:ind w:left="0" w:right="0" w:firstLine="0"/>
        <w:jc w:val="left"/>
        <w:rPr>
          <w:sz w:val="28"/>
          <w:szCs w:val="28"/>
        </w:rPr>
      </w:pPr>
      <w:r>
        <w:rPr>
          <w:color w:val="000000"/>
          <w:spacing w:val="0"/>
          <w:w w:val="100"/>
          <w:position w:val="0"/>
          <w:sz w:val="24"/>
          <w:szCs w:val="24"/>
        </w:rPr>
        <w:t xml:space="preserve">(3) </w:t>
      </w:r>
      <w:r>
        <w:rPr>
          <w:rFonts w:ascii="SimSun" w:eastAsia="SimSun" w:hAnsi="SimSun" w:cs="SimSun"/>
          <w:b/>
          <w:bCs/>
          <w:color w:val="000000"/>
          <w:spacing w:val="0"/>
          <w:w w:val="100"/>
          <w:position w:val="0"/>
          <w:sz w:val="24"/>
          <w:szCs w:val="24"/>
        </w:rPr>
        <w:t>流动风险</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715" w:val="left"/>
        </w:tabs>
        <w:bidi w:val="0"/>
        <w:spacing w:before="0" w:after="0" w:line="240" w:lineRule="auto"/>
        <w:ind w:left="0" w:right="0" w:firstLine="0"/>
        <w:jc w:val="left"/>
      </w:pPr>
      <w:r>
        <w:rPr>
          <w:color w:val="000000"/>
          <w:spacing w:val="0"/>
          <w:w w:val="100"/>
          <w:position w:val="0"/>
          <w:sz w:val="24"/>
          <w:szCs w:val="24"/>
        </w:rPr>
        <w:t>⑴</w:t>
        <w:tab/>
        <w:t>于资产负债表日，本集团对外提供的财务担保的最大担保金额按照相关方能</w:t>
      </w:r>
    </w:p>
    <w:p>
      <w:pPr>
        <w:pStyle w:val="Style72"/>
        <w:keepNext w:val="0"/>
        <w:keepLines w:val="0"/>
        <w:widowControl w:val="0"/>
        <w:shd w:val="clear" w:color="auto" w:fill="auto"/>
        <w:bidi w:val="0"/>
        <w:spacing w:before="0" w:after="220" w:line="240" w:lineRule="auto"/>
        <w:ind w:left="0" w:right="0" w:firstLine="700"/>
        <w:jc w:val="left"/>
      </w:pPr>
      <w:r>
        <w:rPr>
          <w:color w:val="000000"/>
          <w:spacing w:val="0"/>
          <w:w w:val="100"/>
          <w:position w:val="0"/>
          <w:sz w:val="24"/>
          <w:szCs w:val="24"/>
        </w:rPr>
        <w:t>够要求支付的最早时间段列示如下：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bl>
      <w:tblPr>
        <w:tblOverlap w:val="never"/>
        <w:jc w:val="right"/>
        <w:tblLayout w:type="fixed"/>
      </w:tblPr>
      <w:tblGrid>
        <w:gridCol w:w="1296"/>
        <w:gridCol w:w="1498"/>
        <w:gridCol w:w="1363"/>
        <w:gridCol w:w="1358"/>
        <w:gridCol w:w="1320"/>
        <w:gridCol w:w="1234"/>
      </w:tblGrid>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一年以内</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一到二年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二到五年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五年以上</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合计</w:t>
            </w:r>
          </w:p>
        </w:tc>
      </w:tr>
      <w:tr>
        <w:trPr>
          <w:trHeight w:val="34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财务担保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1,491,008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1,491,008</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流动性支持</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134,238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134,238</w:t>
            </w:r>
          </w:p>
        </w:tc>
      </w:tr>
      <w:tr>
        <w:trPr>
          <w:trHeight w:val="245"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1,491,008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134,238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1,625,246</w:t>
            </w:r>
          </w:p>
        </w:tc>
      </w:tr>
    </w:tbl>
    <w:p>
      <w:pPr>
        <w:widowControl w:val="0"/>
        <w:spacing w:after="219" w:line="1" w:lineRule="exact"/>
      </w:pP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bl>
      <w:tblPr>
        <w:tblOverlap w:val="never"/>
        <w:jc w:val="right"/>
        <w:tblLayout w:type="fixed"/>
      </w:tblPr>
      <w:tblGrid>
        <w:gridCol w:w="1334"/>
        <w:gridCol w:w="1416"/>
        <w:gridCol w:w="1402"/>
        <w:gridCol w:w="1363"/>
        <w:gridCol w:w="1315"/>
        <w:gridCol w:w="1238"/>
      </w:tblGrid>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一年以内</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一到二年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二到五年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五年以上</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合计</w:t>
            </w:r>
          </w:p>
        </w:tc>
      </w:tr>
      <w:tr>
        <w:trPr>
          <w:trHeight w:val="34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财务担保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550,000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2,384,731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2,934,731</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流动性支持</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67,210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67,210</w:t>
            </w:r>
          </w:p>
        </w:tc>
      </w:tr>
      <w:tr>
        <w:trPr>
          <w:trHeight w:val="245"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550,000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2,384,731</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67,210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3,001,941</w:t>
            </w:r>
          </w:p>
        </w:tc>
      </w:tr>
    </w:tbl>
    <w:p>
      <w:pPr>
        <w:widowControl w:val="0"/>
        <w:spacing w:after="839" w:line="1" w:lineRule="exact"/>
      </w:pPr>
    </w:p>
    <w:p>
      <w:pPr>
        <w:pStyle w:val="Style7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4"/>
          <w:szCs w:val="24"/>
        </w:rPr>
        <w:t xml:space="preserve">(ii) </w:t>
      </w:r>
      <w:r>
        <w:rPr>
          <w:color w:val="000000"/>
          <w:spacing w:val="0"/>
          <w:w w:val="100"/>
          <w:position w:val="0"/>
          <w:sz w:val="24"/>
          <w:szCs w:val="24"/>
        </w:rPr>
        <w:t>于资产负债表日，本集团已签订但尚未开始执行的租赁合同现金流量按到期</w:t>
      </w:r>
    </w:p>
    <w:p>
      <w:pPr>
        <w:pStyle w:val="Style92"/>
        <w:keepNext w:val="0"/>
        <w:keepLines w:val="0"/>
        <w:widowControl w:val="0"/>
        <w:shd w:val="clear" w:color="auto" w:fill="auto"/>
        <w:bidi w:val="0"/>
        <w:spacing w:before="0" w:after="220" w:line="240" w:lineRule="auto"/>
        <w:ind w:left="0" w:right="0" w:firstLine="700"/>
        <w:jc w:val="left"/>
      </w:pPr>
      <w:r>
        <w:rPr>
          <w:rFonts w:ascii="SimSun" w:eastAsia="SimSun" w:hAnsi="SimSun" w:cs="SimSun"/>
          <w:color w:val="000000"/>
          <w:spacing w:val="0"/>
          <w:w w:val="100"/>
          <w:position w:val="0"/>
          <w:sz w:val="24"/>
          <w:szCs w:val="24"/>
        </w:rPr>
        <w:t>日列示如下</w:t>
      </w:r>
      <w:r>
        <w:rPr>
          <w:color w:val="000000"/>
          <w:spacing w:val="0"/>
          <w:w w:val="100"/>
          <w:position w:val="0"/>
          <w:sz w:val="24"/>
          <w:szCs w:val="24"/>
        </w:rPr>
        <w:t>(</w:t>
      </w:r>
      <w:r>
        <w:rPr>
          <w:rFonts w:ascii="SimSun" w:eastAsia="SimSun" w:hAnsi="SimSun" w:cs="SimSun"/>
          <w:color w:val="000000"/>
          <w:spacing w:val="0"/>
          <w:w w:val="100"/>
          <w:position w:val="0"/>
          <w:sz w:val="24"/>
          <w:szCs w:val="24"/>
        </w:rPr>
        <w:t>附注四</w:t>
      </w:r>
      <w:r>
        <w:rPr>
          <w:color w:val="000000"/>
          <w:spacing w:val="0"/>
          <w:w w:val="100"/>
          <w:position w:val="0"/>
          <w:sz w:val="24"/>
          <w:szCs w:val="24"/>
        </w:rPr>
        <w:t>(36)(a)(ii))</w:t>
      </w:r>
      <w:r>
        <w:rPr>
          <w:rFonts w:ascii="SimSun" w:eastAsia="SimSun" w:hAnsi="SimSun" w:cs="SimSun"/>
          <w:color w:val="000000"/>
          <w:spacing w:val="0"/>
          <w:w w:val="100"/>
          <w:position w:val="0"/>
          <w:sz w:val="24"/>
          <w:szCs w:val="24"/>
        </w:rPr>
        <w:t>：</w:t>
      </w:r>
    </w:p>
    <w:p>
      <w:pPr>
        <w:pStyle w:val="Style143"/>
        <w:keepNext w:val="0"/>
        <w:keepLines w:val="0"/>
        <w:widowControl w:val="0"/>
        <w:shd w:val="clear" w:color="auto" w:fill="auto"/>
        <w:bidi w:val="0"/>
        <w:spacing w:before="0" w:after="0" w:line="240" w:lineRule="auto"/>
        <w:ind w:left="462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5"/>
        <w:keepNext w:val="0"/>
        <w:keepLines w:val="0"/>
        <w:widowControl w:val="0"/>
        <w:pBdr>
          <w:top w:val="single" w:sz="4" w:space="0" w:color="auto"/>
        </w:pBdr>
        <w:shd w:val="clear" w:color="auto" w:fill="auto"/>
        <w:tabs>
          <w:tab w:pos="1354" w:val="left"/>
          <w:tab w:pos="2673" w:val="left"/>
          <w:tab w:pos="4075" w:val="left"/>
          <w:tab w:pos="5774" w:val="left"/>
        </w:tabs>
        <w:bidi w:val="0"/>
        <w:spacing w:before="0" w:after="220" w:line="240" w:lineRule="auto"/>
        <w:ind w:left="0" w:right="0" w:firstLine="0"/>
        <w:jc w:val="right"/>
      </w:pPr>
      <w:r>
        <w:rPr>
          <w:color w:val="000000"/>
          <w:spacing w:val="0"/>
          <w:w w:val="100"/>
          <w:position w:val="0"/>
        </w:rPr>
        <w:t>一年以内</w:t>
        <w:tab/>
        <w:t>一到二年</w:t>
        <w:tab/>
        <w:t>二到五年</w:t>
        <w:tab/>
        <w:t>五年以上</w:t>
        <w:tab/>
        <w:t>合计</w:t>
      </w:r>
      <w:r>
        <w:rPr>
          <w:color w:val="000000"/>
          <w:spacing w:val="0"/>
          <w:w w:val="100"/>
          <w:position w:val="0"/>
        </w:rPr>
        <w:t>'</w:t>
      </w:r>
    </w:p>
    <w:p>
      <w:pPr>
        <w:pStyle w:val="Style55"/>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未纳入租赁负债</w:t>
      </w:r>
    </w:p>
    <w:p>
      <w:pPr>
        <w:pStyle w:val="Style5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的未来合同现</w:t>
      </w:r>
    </w:p>
    <w:p>
      <w:pPr>
        <w:pStyle w:val="Style143"/>
        <w:keepNext w:val="0"/>
        <w:keepLines w:val="0"/>
        <w:widowControl w:val="0"/>
        <w:shd w:val="clear" w:color="auto" w:fill="auto"/>
        <w:tabs>
          <w:tab w:pos="2673" w:val="left"/>
        </w:tabs>
        <w:bidi w:val="0"/>
        <w:spacing w:before="0" w:after="220" w:line="240" w:lineRule="auto"/>
        <w:ind w:left="0" w:right="0" w:firstLine="920"/>
        <w:jc w:val="left"/>
        <w:sectPr>
          <w:footnotePr>
            <w:pos w:val="pageBottom"/>
            <w:numFmt w:val="decimal"/>
            <w:numStart w:val="1"/>
            <w:numRestart w:val="continuous"/>
            <w15:footnoteColumns w:val="1"/>
          </w:footnotePr>
          <w:pgSz w:w="11900" w:h="16840"/>
          <w:pgMar w:top="2449" w:right="1407" w:bottom="2449" w:left="1709" w:header="0" w:footer="3" w:gutter="0"/>
          <w:cols w:space="720"/>
          <w:noEndnote/>
          <w:rtlGutter w:val="0"/>
          <w:docGrid w:linePitch="360"/>
        </w:sectPr>
      </w:pPr>
      <w:r>
        <w:rPr>
          <w:rFonts w:ascii="SimSun" w:eastAsia="SimSun" w:hAnsi="SimSun" w:cs="SimSun"/>
          <w:color w:val="000000"/>
          <w:spacing w:val="0"/>
          <w:w w:val="100"/>
          <w:position w:val="0"/>
        </w:rPr>
        <w:t>金流</w:t>
        <w:tab/>
      </w:r>
      <w:r>
        <w:rPr>
          <w:color w:val="000000"/>
          <w:spacing w:val="0"/>
          <w:w w:val="100"/>
          <w:position w:val="0"/>
          <w:u w:val="single"/>
        </w:rPr>
        <w:t>16,336</w:t>
      </w:r>
      <w:r>
        <w:rPr>
          <w:color w:val="000000"/>
          <w:spacing w:val="0"/>
          <w:w w:val="100"/>
          <w:position w:val="0"/>
        </w:rPr>
        <w:t xml:space="preserve"> </w:t>
      </w:r>
      <w:r>
        <w:rPr>
          <w:color w:val="000000"/>
          <w:spacing w:val="0"/>
          <w:w w:val="100"/>
          <w:position w:val="0"/>
          <w:u w:val="single"/>
        </w:rPr>
        <w:t>18,561</w:t>
      </w:r>
      <w:r>
        <w:rPr>
          <w:color w:val="000000"/>
          <w:spacing w:val="0"/>
          <w:w w:val="100"/>
          <w:position w:val="0"/>
        </w:rPr>
        <w:t xml:space="preserve"> </w:t>
      </w:r>
      <w:r>
        <w:rPr>
          <w:color w:val="000000"/>
          <w:spacing w:val="0"/>
          <w:w w:val="100"/>
          <w:position w:val="0"/>
          <w:u w:val="single"/>
        </w:rPr>
        <w:t>48,942</w:t>
      </w:r>
      <w:r>
        <w:rPr>
          <w:color w:val="000000"/>
          <w:spacing w:val="0"/>
          <w:w w:val="100"/>
          <w:position w:val="0"/>
        </w:rPr>
        <w:t>-</w:t>
      </w:r>
      <w:r>
        <w:rPr>
          <w:color w:val="000000"/>
          <w:spacing w:val="0"/>
          <w:w w:val="100"/>
          <w:position w:val="0"/>
          <w:u w:val="single"/>
        </w:rPr>
        <w:t>83,839</w:t>
      </w:r>
    </w:p>
    <w:p>
      <w:pPr>
        <w:pStyle w:val="Style72"/>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rPr>
        <w:t>十四公允价值估计</w:t>
      </w:r>
    </w:p>
    <w:p>
      <w:pPr>
        <w:pStyle w:val="Style72"/>
        <w:keepNext w:val="0"/>
        <w:keepLines w:val="0"/>
        <w:widowControl w:val="0"/>
        <w:shd w:val="clear" w:color="auto" w:fill="auto"/>
        <w:bidi w:val="0"/>
        <w:spacing w:before="0" w:after="260" w:line="307" w:lineRule="exact"/>
        <w:ind w:right="0" w:firstLine="0"/>
        <w:jc w:val="left"/>
      </w:pPr>
      <w:r>
        <w:rPr>
          <w:color w:val="000000"/>
          <w:spacing w:val="0"/>
          <w:w w:val="100"/>
          <w:position w:val="0"/>
          <w:sz w:val="24"/>
          <w:szCs w:val="24"/>
        </w:rPr>
        <w:t>公允价值计量结果所属的层次，由对公允价值计量整体而言具有重要意义的 输入值所属的最低层次决定：</w:t>
      </w:r>
    </w:p>
    <w:p>
      <w:pPr>
        <w:pStyle w:val="Style72"/>
        <w:keepNext w:val="0"/>
        <w:keepLines w:val="0"/>
        <w:widowControl w:val="0"/>
        <w:shd w:val="clear" w:color="auto" w:fill="auto"/>
        <w:bidi w:val="0"/>
        <w:spacing w:before="0" w:after="260" w:line="307" w:lineRule="exact"/>
        <w:ind w:left="0" w:right="0" w:firstLine="720"/>
        <w:jc w:val="both"/>
      </w:pPr>
      <w:r>
        <w:rPr>
          <w:color w:val="000000"/>
          <w:spacing w:val="0"/>
          <w:w w:val="100"/>
          <w:position w:val="0"/>
          <w:sz w:val="24"/>
          <w:szCs w:val="24"/>
        </w:rPr>
        <w:t>第一层次：相同资产或负债在活跃市场上未经调整的报价。</w:t>
      </w:r>
    </w:p>
    <w:p>
      <w:pPr>
        <w:pStyle w:val="Style72"/>
        <w:keepNext w:val="0"/>
        <w:keepLines w:val="0"/>
        <w:widowControl w:val="0"/>
        <w:shd w:val="clear" w:color="auto" w:fill="auto"/>
        <w:bidi w:val="0"/>
        <w:spacing w:before="0" w:after="260" w:line="307" w:lineRule="exact"/>
        <w:ind w:left="0" w:right="0" w:firstLine="720"/>
        <w:jc w:val="both"/>
      </w:pPr>
      <w:r>
        <w:rPr>
          <w:color w:val="000000"/>
          <w:spacing w:val="0"/>
          <w:w w:val="100"/>
          <w:position w:val="0"/>
          <w:sz w:val="24"/>
          <w:szCs w:val="24"/>
        </w:rPr>
        <w:t>第二层次：除第一层次输入值外相关资产或负债直接或间接可观察的输入值。</w:t>
      </w:r>
    </w:p>
    <w:p>
      <w:pPr>
        <w:pStyle w:val="Style72"/>
        <w:keepNext w:val="0"/>
        <w:keepLines w:val="0"/>
        <w:widowControl w:val="0"/>
        <w:shd w:val="clear" w:color="auto" w:fill="auto"/>
        <w:bidi w:val="0"/>
        <w:spacing w:before="0" w:after="260" w:line="307" w:lineRule="exact"/>
        <w:ind w:left="0" w:right="0" w:firstLine="720"/>
        <w:jc w:val="both"/>
        <w:sectPr>
          <w:footnotePr>
            <w:pos w:val="pageBottom"/>
            <w:numFmt w:val="decimal"/>
            <w:numStart w:val="1"/>
            <w:numRestart w:val="continuous"/>
            <w15:footnoteColumns w:val="1"/>
          </w:footnotePr>
          <w:pgSz w:w="11900" w:h="16840"/>
          <w:pgMar w:top="2617" w:right="1302" w:bottom="2617" w:left="1709" w:header="0" w:footer="3" w:gutter="0"/>
          <w:cols w:space="720"/>
          <w:noEndnote/>
          <w:rtlGutter w:val="0"/>
          <w:docGrid w:linePitch="360"/>
        </w:sectPr>
      </w:pPr>
      <w:r>
        <w:rPr>
          <w:color w:val="000000"/>
          <w:spacing w:val="0"/>
          <w:w w:val="100"/>
          <w:position w:val="0"/>
          <w:sz w:val="24"/>
          <w:szCs w:val="24"/>
        </w:rPr>
        <w:t>第三层次：相关资产或负债的不可观察输入值。</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十四公允价值估计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20" w:line="240" w:lineRule="auto"/>
        <w:ind w:left="0" w:right="0" w:firstLine="0"/>
        <w:jc w:val="left"/>
      </w:pPr>
      <w:r>
        <w:rPr>
          <w:rFonts w:ascii="Arial" w:eastAsia="Arial" w:hAnsi="Arial" w:cs="Arial"/>
          <w:color w:val="000000"/>
          <w:spacing w:val="0"/>
          <w:w w:val="100"/>
          <w:position w:val="0"/>
          <w:sz w:val="24"/>
          <w:szCs w:val="24"/>
        </w:rPr>
        <w:t xml:space="preserve">（1） </w:t>
      </w:r>
      <w:r>
        <w:rPr>
          <w:b/>
          <w:bCs/>
          <w:color w:val="000000"/>
          <w:spacing w:val="0"/>
          <w:w w:val="100"/>
          <w:position w:val="0"/>
          <w:sz w:val="24"/>
          <w:szCs w:val="24"/>
        </w:rPr>
        <w:t>持续的以公允价值计量的资产和负债</w:t>
      </w:r>
    </w:p>
    <w:p>
      <w:pPr>
        <w:pStyle w:val="Style72"/>
        <w:keepNext w:val="0"/>
        <w:keepLines w:val="0"/>
        <w:widowControl w:val="0"/>
        <w:shd w:val="clear" w:color="auto" w:fill="auto"/>
        <w:bidi w:val="0"/>
        <w:spacing w:before="0" w:after="300" w:line="331" w:lineRule="exact"/>
        <w:ind w:left="700" w:right="0" w:firstLine="2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日，持续的以公允价值计量的资产按上述三个层次列示 如下：</w:t>
      </w:r>
    </w:p>
    <w:tbl>
      <w:tblPr>
        <w:tblOverlap w:val="never"/>
        <w:jc w:val="right"/>
        <w:tblLayout w:type="fixed"/>
      </w:tblPr>
      <w:tblGrid>
        <w:gridCol w:w="2237"/>
        <w:gridCol w:w="1454"/>
        <w:gridCol w:w="1488"/>
        <w:gridCol w:w="1536"/>
        <w:gridCol w:w="1354"/>
      </w:tblGrid>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第一层次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第二层次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第三层次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合计</w:t>
            </w:r>
          </w:p>
        </w:tc>
      </w:tr>
      <w:tr>
        <w:trPr>
          <w:trHeight w:val="8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金融资产</w:t>
            </w:r>
          </w:p>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交易性金融资产</w:t>
            </w:r>
            <w:r>
              <w:rPr>
                <w:rFonts w:ascii="SimSun" w:eastAsia="SimSun" w:hAnsi="SimSun" w:cs="SimSun"/>
                <w:color w:val="000000"/>
                <w:spacing w:val="0"/>
                <w:w w:val="100"/>
                <w:position w:val="0"/>
                <w:sz w:val="22"/>
                <w:szCs w:val="22"/>
              </w:rPr>
              <w:t>一</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理财产品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2,040,605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687,555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2,728,160</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40" w:lineRule="exact"/>
              <w:ind w:left="380" w:right="0" w:hanging="160"/>
              <w:jc w:val="left"/>
              <w:rPr>
                <w:sz w:val="18"/>
                <w:szCs w:val="18"/>
              </w:rPr>
            </w:pPr>
            <w:r>
              <w:rPr>
                <w:rFonts w:ascii="SimSun" w:eastAsia="SimSun" w:hAnsi="SimSun" w:cs="SimSun"/>
                <w:color w:val="000000"/>
                <w:spacing w:val="0"/>
                <w:w w:val="100"/>
                <w:position w:val="0"/>
                <w:sz w:val="18"/>
                <w:szCs w:val="18"/>
              </w:rPr>
              <w:t>以公允价值计量且其变 动计入当期损益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11,472,730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11,472,730</w:t>
            </w:r>
          </w:p>
        </w:tc>
      </w:tr>
      <w:tr>
        <w:trPr>
          <w:trHeight w:val="47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其他流动资产</w:t>
            </w:r>
            <w:r>
              <w:rPr>
                <w:rFonts w:ascii="SimSun" w:eastAsia="SimSun" w:hAnsi="SimSun" w:cs="SimSun"/>
                <w:color w:val="000000"/>
                <w:spacing w:val="0"/>
                <w:w w:val="100"/>
                <w:position w:val="0"/>
                <w:sz w:val="22"/>
                <w:szCs w:val="22"/>
              </w:rPr>
              <w:t>一</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上市公司股权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34,207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34,207</w:t>
            </w:r>
          </w:p>
        </w:tc>
      </w:tr>
      <w:tr>
        <w:trPr>
          <w:trHeight w:val="48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其他非流动金融资产</w:t>
            </w:r>
            <w:r>
              <w:rPr>
                <w:rFonts w:ascii="SimSun" w:eastAsia="SimSun" w:hAnsi="SimSun" w:cs="SimSun"/>
                <w:color w:val="000000"/>
                <w:spacing w:val="0"/>
                <w:w w:val="100"/>
                <w:position w:val="0"/>
                <w:sz w:val="22"/>
                <w:szCs w:val="22"/>
              </w:rPr>
              <w:t>一</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股权投资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136,488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136,488</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理财产品</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40,114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40,114</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契约型基金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453,375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453,375</w:t>
            </w:r>
          </w:p>
        </w:tc>
      </w:tr>
      <w:tr>
        <w:trPr>
          <w:trHeight w:val="494" w:hRule="exact"/>
        </w:trPr>
        <w:tc>
          <w:tcPr>
            <w:tcBorders/>
            <w:shd w:val="clear" w:color="auto" w:fill="FFFFFF"/>
            <w:vAlign w:val="top"/>
          </w:tcPr>
          <w:p>
            <w:pPr>
              <w:pStyle w:val="Style29"/>
              <w:keepNext w:val="0"/>
              <w:keepLines w:val="0"/>
              <w:widowControl w:val="0"/>
              <w:shd w:val="clear" w:color="auto" w:fill="auto"/>
              <w:bidi w:val="0"/>
              <w:spacing w:before="0" w:after="0" w:line="230" w:lineRule="exact"/>
              <w:ind w:left="220" w:right="0" w:hanging="220"/>
              <w:jc w:val="left"/>
              <w:rPr>
                <w:sz w:val="18"/>
                <w:szCs w:val="18"/>
              </w:rPr>
            </w:pPr>
            <w:r>
              <w:rPr>
                <w:rFonts w:ascii="SimSun" w:eastAsia="SimSun" w:hAnsi="SimSun" w:cs="SimSun"/>
                <w:color w:val="000000"/>
                <w:spacing w:val="0"/>
                <w:w w:val="100"/>
                <w:position w:val="0"/>
                <w:sz w:val="18"/>
                <w:szCs w:val="18"/>
              </w:rPr>
              <w:t>其他权益工具投资</w:t>
            </w:r>
            <w:r>
              <w:rPr>
                <w:rFonts w:ascii="SimSun" w:eastAsia="SimSun" w:hAnsi="SimSun" w:cs="SimSun"/>
                <w:color w:val="000000"/>
                <w:spacing w:val="0"/>
                <w:w w:val="100"/>
                <w:position w:val="0"/>
                <w:sz w:val="22"/>
                <w:szCs w:val="22"/>
              </w:rPr>
              <w:t>一</w:t>
            </w:r>
            <w:r>
              <w:rPr>
                <w:rFonts w:ascii="Arial" w:eastAsia="Arial" w:hAnsi="Arial" w:cs="Arial"/>
                <w:color w:val="000000"/>
                <w:spacing w:val="0"/>
                <w:w w:val="100"/>
                <w:position w:val="0"/>
                <w:sz w:val="18"/>
                <w:szCs w:val="18"/>
              </w:rPr>
              <w:t xml:space="preserve"> </w:t>
            </w:r>
            <w:r>
              <w:rPr>
                <w:rFonts w:ascii="SimSun" w:eastAsia="SimSun" w:hAnsi="SimSun" w:cs="SimSun"/>
                <w:color w:val="000000"/>
                <w:spacing w:val="0"/>
                <w:w w:val="100"/>
                <w:position w:val="0"/>
                <w:sz w:val="18"/>
                <w:szCs w:val="18"/>
              </w:rPr>
              <w:t>上市公司股权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2,301,611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2,301,611</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非上市公司股权</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2,036,589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2,036,589</w:t>
            </w:r>
          </w:p>
        </w:tc>
      </w:tr>
      <w:tr>
        <w:trPr>
          <w:trHeight w:val="259"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金融资产合计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2,335,818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2,040,605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14,826,851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19,203,274</w:t>
            </w:r>
          </w:p>
        </w:tc>
      </w:tr>
      <w:tr>
        <w:trPr>
          <w:trHeight w:val="562"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于</w:t>
            </w: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p>
        </w:tc>
        <w:tc>
          <w:tcPr>
            <w:gridSpan w:val="4"/>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日，持续的以公允价值计量的负债按上述三个层次列示</w:t>
            </w:r>
          </w:p>
        </w:tc>
      </w:tr>
      <w:tr>
        <w:trPr>
          <w:trHeight w:val="94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如下：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第一层次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第二层次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第三层次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合计</w:t>
            </w:r>
          </w:p>
        </w:tc>
      </w:tr>
      <w:tr>
        <w:trPr>
          <w:trHeight w:val="8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金融负债</w:t>
            </w:r>
          </w:p>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其他非流动负债</w:t>
            </w:r>
            <w:r>
              <w:rPr>
                <w:rFonts w:ascii="SimSun" w:eastAsia="SimSun" w:hAnsi="SimSun" w:cs="SimSun"/>
                <w:color w:val="000000"/>
                <w:spacing w:val="0"/>
                <w:w w:val="100"/>
                <w:position w:val="0"/>
                <w:sz w:val="22"/>
                <w:szCs w:val="22"/>
              </w:rPr>
              <w:t>一</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流动性支持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134,238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134,238</w:t>
            </w:r>
          </w:p>
        </w:tc>
      </w:tr>
      <w:tr>
        <w:trPr>
          <w:trHeight w:val="70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一年内到期的非流动负</w:t>
            </w:r>
          </w:p>
          <w:p>
            <w:pPr>
              <w:pStyle w:val="Style2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18"/>
                <w:szCs w:val="18"/>
              </w:rPr>
              <w:t>债</w:t>
            </w:r>
            <w:r>
              <w:rPr>
                <w:rFonts w:ascii="SimSun" w:eastAsia="SimSun" w:hAnsi="SimSun" w:cs="SimSun"/>
                <w:color w:val="000000"/>
                <w:spacing w:val="0"/>
                <w:w w:val="100"/>
                <w:position w:val="0"/>
                <w:sz w:val="22"/>
                <w:szCs w:val="22"/>
              </w:rPr>
              <w:t>一</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利率互换合同</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11,176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11,176</w:t>
            </w:r>
          </w:p>
        </w:tc>
      </w:tr>
      <w:tr>
        <w:trPr>
          <w:trHeight w:val="278"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金融负债合计</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145,414</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145,414</w:t>
            </w:r>
          </w:p>
        </w:tc>
      </w:tr>
    </w:tbl>
    <w:p>
      <w:pPr>
        <w:spacing w:lineRule="exact" w:line="1"/>
        <w:rPr>
          <w:sz w:val="2"/>
          <w:szCs w:val="2"/>
        </w:rPr>
      </w:pPr>
      <w:r>
        <w:br w:type="page"/>
      </w:r>
    </w:p>
    <w:p>
      <w:pPr>
        <w:pStyle w:val="Style72"/>
        <w:keepNext w:val="0"/>
        <w:keepLines w:val="0"/>
        <w:widowControl w:val="0"/>
        <w:shd w:val="clear" w:color="auto" w:fill="auto"/>
        <w:bidi w:val="0"/>
        <w:spacing w:before="0" w:after="320" w:line="240" w:lineRule="auto"/>
        <w:ind w:left="0" w:right="0" w:firstLine="0"/>
        <w:jc w:val="left"/>
        <w:rPr>
          <w:sz w:val="28"/>
          <w:szCs w:val="28"/>
        </w:rPr>
      </w:pPr>
      <w:r>
        <w:rPr>
          <w:b/>
          <w:bCs/>
          <w:color w:val="000000"/>
          <w:spacing w:val="0"/>
          <w:w w:val="100"/>
          <w:position w:val="0"/>
          <w:sz w:val="24"/>
          <w:szCs w:val="24"/>
        </w:rPr>
        <w:t>十四公允价值估计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00" w:line="240" w:lineRule="auto"/>
        <w:ind w:left="0" w:right="0" w:firstLine="0"/>
        <w:jc w:val="left"/>
        <w:rPr>
          <w:sz w:val="28"/>
          <w:szCs w:val="28"/>
        </w:rPr>
      </w:pPr>
      <w:r>
        <w:rPr>
          <w:rFonts w:ascii="Arial" w:eastAsia="Arial" w:hAnsi="Arial" w:cs="Arial"/>
          <w:color w:val="000000"/>
          <w:spacing w:val="0"/>
          <w:w w:val="100"/>
          <w:position w:val="0"/>
          <w:sz w:val="24"/>
          <w:szCs w:val="24"/>
        </w:rPr>
        <w:t xml:space="preserve">（1） </w:t>
      </w:r>
      <w:r>
        <w:rPr>
          <w:b/>
          <w:bCs/>
          <w:color w:val="000000"/>
          <w:spacing w:val="0"/>
          <w:w w:val="100"/>
          <w:position w:val="0"/>
          <w:sz w:val="24"/>
          <w:szCs w:val="24"/>
        </w:rPr>
        <w:t>持续的以公允价值计量的资产和负债</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00" w:line="331" w:lineRule="exact"/>
        <w:ind w:left="700" w:right="0" w:firstLine="2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日，持续的以公允价值计量的资产按上述三个层次列示 如下：</w:t>
      </w:r>
    </w:p>
    <w:tbl>
      <w:tblPr>
        <w:tblOverlap w:val="never"/>
        <w:jc w:val="right"/>
        <w:tblLayout w:type="fixed"/>
      </w:tblPr>
      <w:tblGrid>
        <w:gridCol w:w="2237"/>
        <w:gridCol w:w="1454"/>
        <w:gridCol w:w="1493"/>
        <w:gridCol w:w="1522"/>
        <w:gridCol w:w="1363"/>
      </w:tblGrid>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第一层次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第二层次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第三层次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合计</w:t>
            </w:r>
          </w:p>
        </w:tc>
      </w:tr>
      <w:tr>
        <w:trPr>
          <w:trHeight w:val="8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金融资产</w:t>
            </w:r>
          </w:p>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交易性金融资产</w:t>
            </w:r>
            <w:r>
              <w:rPr>
                <w:rFonts w:ascii="SimSun" w:eastAsia="SimSun" w:hAnsi="SimSun" w:cs="SimSun"/>
                <w:color w:val="000000"/>
                <w:spacing w:val="0"/>
                <w:w w:val="100"/>
                <w:position w:val="0"/>
                <w:sz w:val="22"/>
                <w:szCs w:val="22"/>
              </w:rPr>
              <w:t>一</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理财产品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3,514,285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3,514,285</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交易性权益工具投资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81,560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81,560</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30" w:lineRule="exact"/>
              <w:ind w:left="380" w:right="0" w:hanging="160"/>
              <w:jc w:val="left"/>
              <w:rPr>
                <w:sz w:val="18"/>
                <w:szCs w:val="18"/>
              </w:rPr>
            </w:pPr>
            <w:r>
              <w:rPr>
                <w:rFonts w:ascii="SimSun" w:eastAsia="SimSun" w:hAnsi="SimSun" w:cs="SimSun"/>
                <w:color w:val="000000"/>
                <w:spacing w:val="0"/>
                <w:w w:val="100"/>
                <w:position w:val="0"/>
                <w:sz w:val="18"/>
                <w:szCs w:val="18"/>
              </w:rPr>
              <w:t>以公允价值计量且其变 动计入当期损益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12,303,803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12,303,803</w:t>
            </w:r>
          </w:p>
        </w:tc>
      </w:tr>
      <w:tr>
        <w:trPr>
          <w:trHeight w:val="47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其他流动资产</w:t>
            </w:r>
            <w:r>
              <w:rPr>
                <w:rFonts w:ascii="SimSun" w:eastAsia="SimSun" w:hAnsi="SimSun" w:cs="SimSun"/>
                <w:color w:val="000000"/>
                <w:spacing w:val="0"/>
                <w:w w:val="100"/>
                <w:position w:val="0"/>
                <w:sz w:val="22"/>
                <w:szCs w:val="22"/>
              </w:rPr>
              <w:t>一</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上市公司股权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231,726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231,726</w:t>
            </w:r>
          </w:p>
        </w:tc>
      </w:tr>
      <w:tr>
        <w:trPr>
          <w:trHeight w:val="49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其他非流动金融资产</w:t>
            </w:r>
            <w:r>
              <w:rPr>
                <w:rFonts w:ascii="SimSun" w:eastAsia="SimSun" w:hAnsi="SimSun" w:cs="SimSun"/>
                <w:color w:val="000000"/>
                <w:spacing w:val="0"/>
                <w:w w:val="100"/>
                <w:position w:val="0"/>
                <w:sz w:val="22"/>
                <w:szCs w:val="22"/>
              </w:rPr>
              <w:t>一</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股权投资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1,842,935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1,842,935</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优先股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40,784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40,784</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可转换债券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53,017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53,017</w:t>
            </w:r>
          </w:p>
        </w:tc>
      </w:tr>
      <w:tr>
        <w:trPr>
          <w:trHeight w:val="23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理财产品</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39,004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39,004</w:t>
            </w:r>
          </w:p>
        </w:tc>
      </w:tr>
      <w:tr>
        <w:trPr>
          <w:trHeight w:val="485" w:hRule="exact"/>
        </w:trPr>
        <w:tc>
          <w:tcPr>
            <w:tcBorders/>
            <w:shd w:val="clear" w:color="auto" w:fill="FFFFFF"/>
            <w:vAlign w:val="top"/>
          </w:tcPr>
          <w:p>
            <w:pPr>
              <w:pStyle w:val="Style29"/>
              <w:keepNext w:val="0"/>
              <w:keepLines w:val="0"/>
              <w:widowControl w:val="0"/>
              <w:shd w:val="clear" w:color="auto" w:fill="auto"/>
              <w:bidi w:val="0"/>
              <w:spacing w:before="0" w:after="0" w:line="226" w:lineRule="exact"/>
              <w:ind w:left="220" w:right="0" w:hanging="220"/>
              <w:jc w:val="left"/>
              <w:rPr>
                <w:sz w:val="18"/>
                <w:szCs w:val="18"/>
              </w:rPr>
            </w:pPr>
            <w:r>
              <w:rPr>
                <w:rFonts w:ascii="SimSun" w:eastAsia="SimSun" w:hAnsi="SimSun" w:cs="SimSun"/>
                <w:color w:val="000000"/>
                <w:spacing w:val="0"/>
                <w:w w:val="100"/>
                <w:position w:val="0"/>
                <w:sz w:val="18"/>
                <w:szCs w:val="18"/>
              </w:rPr>
              <w:t>其他权益工具投资</w:t>
            </w:r>
            <w:r>
              <w:rPr>
                <w:rFonts w:ascii="SimSun" w:eastAsia="SimSun" w:hAnsi="SimSun" w:cs="SimSun"/>
                <w:color w:val="000000"/>
                <w:spacing w:val="0"/>
                <w:w w:val="100"/>
                <w:position w:val="0"/>
                <w:sz w:val="22"/>
                <w:szCs w:val="22"/>
              </w:rPr>
              <w:t>一</w:t>
            </w:r>
            <w:r>
              <w:rPr>
                <w:rFonts w:ascii="Arial" w:eastAsia="Arial" w:hAnsi="Arial" w:cs="Arial"/>
                <w:color w:val="000000"/>
                <w:spacing w:val="0"/>
                <w:w w:val="100"/>
                <w:position w:val="0"/>
                <w:sz w:val="18"/>
                <w:szCs w:val="18"/>
              </w:rPr>
              <w:t xml:space="preserve"> </w:t>
            </w:r>
            <w:r>
              <w:rPr>
                <w:rFonts w:ascii="SimSun" w:eastAsia="SimSun" w:hAnsi="SimSun" w:cs="SimSun"/>
                <w:color w:val="000000"/>
                <w:spacing w:val="0"/>
                <w:w w:val="100"/>
                <w:position w:val="0"/>
                <w:sz w:val="18"/>
                <w:szCs w:val="18"/>
              </w:rPr>
              <w:t>上市公司股权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1,306,003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1,244,359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2,550,362</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非上市公司股权</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3,007,707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3,007,707</w:t>
            </w:r>
          </w:p>
        </w:tc>
      </w:tr>
      <w:tr>
        <w:trPr>
          <w:trHeight w:val="25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金融资产合计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1,619,289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4,797,648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17,248,246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23,665,183</w:t>
            </w:r>
          </w:p>
        </w:tc>
      </w:tr>
      <w:tr>
        <w:trPr>
          <w:trHeight w:val="566"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于</w:t>
            </w: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p>
        </w:tc>
        <w:tc>
          <w:tcPr>
            <w:gridSpan w:val="4"/>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日，持续的以公允价值计量的负债按上述三个层次列示</w:t>
            </w:r>
          </w:p>
        </w:tc>
      </w:tr>
      <w:tr>
        <w:trPr>
          <w:trHeight w:val="94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如下：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第一层次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第二层次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第三层次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合计</w:t>
            </w:r>
          </w:p>
        </w:tc>
      </w:tr>
      <w:tr>
        <w:trPr>
          <w:trHeight w:val="634"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金融负债</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其他非流动负债</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36,552</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67,210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103,762</w:t>
            </w:r>
          </w:p>
        </w:tc>
      </w:tr>
    </w:tbl>
    <w:p>
      <w:pPr>
        <w:widowControl w:val="0"/>
        <w:spacing w:after="199" w:line="1" w:lineRule="exact"/>
      </w:pPr>
    </w:p>
    <w:p>
      <w:pPr>
        <w:pStyle w:val="Style72"/>
        <w:keepNext w:val="0"/>
        <w:keepLines w:val="0"/>
        <w:widowControl w:val="0"/>
        <w:shd w:val="clear" w:color="auto" w:fill="auto"/>
        <w:bidi w:val="0"/>
        <w:spacing w:before="0" w:after="280" w:line="307" w:lineRule="exact"/>
        <w:ind w:left="700" w:right="0" w:firstLine="20"/>
        <w:jc w:val="left"/>
      </w:pPr>
      <w:r>
        <w:rPr>
          <w:color w:val="000000"/>
          <w:spacing w:val="0"/>
          <w:w w:val="100"/>
          <w:position w:val="0"/>
          <w:sz w:val="24"/>
          <w:szCs w:val="24"/>
        </w:rPr>
        <w:t>本集团以导致各层次之间转换的事项发生日为确认各层次之间转换的时点。 本年度无第一层次与第二层次间的转换。</w:t>
      </w:r>
    </w:p>
    <w:p>
      <w:pPr>
        <w:pStyle w:val="Style72"/>
        <w:keepNext w:val="0"/>
        <w:keepLines w:val="0"/>
        <w:widowControl w:val="0"/>
        <w:shd w:val="clear" w:color="auto" w:fill="auto"/>
        <w:bidi w:val="0"/>
        <w:spacing w:before="0" w:after="240" w:line="308" w:lineRule="exact"/>
        <w:ind w:left="700" w:right="0" w:firstLine="20"/>
        <w:jc w:val="left"/>
        <w:sectPr>
          <w:footnotePr>
            <w:pos w:val="pageBottom"/>
            <w:numFmt w:val="decimal"/>
            <w:numStart w:val="1"/>
            <w:numRestart w:val="continuous"/>
            <w15:footnoteColumns w:val="1"/>
          </w:footnotePr>
          <w:pgSz w:w="11900" w:h="16840"/>
          <w:pgMar w:top="2410" w:right="1328" w:bottom="3149" w:left="1682" w:header="0" w:footer="3" w:gutter="0"/>
          <w:cols w:space="720"/>
          <w:noEndnote/>
          <w:rtlGutter w:val="0"/>
          <w:docGrid w:linePitch="360"/>
        </w:sectPr>
      </w:pPr>
      <w:r>
        <w:rPr>
          <w:color w:val="000000"/>
          <w:spacing w:val="0"/>
          <w:w w:val="100"/>
          <w:position w:val="0"/>
          <w:sz w:val="24"/>
          <w:szCs w:val="24"/>
        </w:rPr>
        <w:t>对于在活跃市场上交易的金融工具，本集团以其活跃市场报价确定其公允价 值；对于不在活跃市场上交易的金融工具，本集团采用估值技术确定其公允 价值。所使用的估值模型主要为现金流量折现模型和市场法模型等。估值技 术的输入值主要包括无风险利率、基准利率、汇率、信用点差、流动性溢价、 可比上市公司价值比率、缺乏流动性折价等。</w:t>
      </w:r>
    </w:p>
    <w:p>
      <w:pPr>
        <w:pStyle w:val="Style72"/>
        <w:keepNext w:val="0"/>
        <w:keepLines w:val="0"/>
        <w:widowControl w:val="0"/>
        <w:shd w:val="clear" w:color="auto" w:fill="auto"/>
        <w:bidi w:val="0"/>
        <w:spacing w:before="0" w:after="260" w:line="240" w:lineRule="auto"/>
        <w:ind w:left="0" w:right="0" w:firstLine="0"/>
        <w:jc w:val="left"/>
        <w:rPr>
          <w:sz w:val="28"/>
          <w:szCs w:val="28"/>
        </w:rPr>
      </w:pPr>
      <w:r>
        <w:rPr>
          <w:b/>
          <w:bCs/>
          <w:color w:val="000000"/>
          <w:spacing w:val="0"/>
          <w:w w:val="100"/>
          <w:position w:val="0"/>
          <w:sz w:val="24"/>
          <w:szCs w:val="24"/>
        </w:rPr>
        <w:t>十四公允价值估计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sz w:val="24"/>
          <w:szCs w:val="24"/>
        </w:rPr>
        <w:t xml:space="preserve">（1） </w:t>
      </w:r>
      <w:r>
        <w:rPr>
          <w:b/>
          <w:bCs/>
          <w:color w:val="000000"/>
          <w:spacing w:val="0"/>
          <w:w w:val="100"/>
          <w:position w:val="0"/>
          <w:sz w:val="24"/>
          <w:szCs w:val="24"/>
        </w:rPr>
        <w:t>持续的以公允价值计量的资产和负债</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bidi w:val="0"/>
        <w:spacing w:before="0" w:after="260" w:line="240" w:lineRule="auto"/>
        <w:ind w:left="0" w:right="0" w:firstLine="740"/>
        <w:jc w:val="left"/>
      </w:pPr>
      <w:r>
        <w:rPr>
          <w:color w:val="000000"/>
          <w:spacing w:val="0"/>
          <w:w w:val="100"/>
          <w:position w:val="0"/>
          <w:sz w:val="24"/>
          <w:szCs w:val="24"/>
        </w:rPr>
        <w:t>上述第三层次资产和负债变动如下：</w:t>
      </w:r>
    </w:p>
    <w:p>
      <w:pPr>
        <w:pStyle w:val="Style2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其他非流动一年内到期的非</w:t>
      </w:r>
    </w:p>
    <w:p>
      <w:pPr>
        <w:pStyle w:val="Style26"/>
        <w:keepNext w:val="0"/>
        <w:keepLines w:val="0"/>
        <w:widowControl w:val="0"/>
        <w:shd w:val="clear" w:color="auto" w:fill="auto"/>
        <w:tabs>
          <w:tab w:leader="underscore" w:pos="4094" w:val="left"/>
          <w:tab w:pos="6029" w:val="left"/>
          <w:tab w:leader="underscore" w:pos="8261" w:val="left"/>
          <w:tab w:pos="9240" w:val="left"/>
        </w:tabs>
        <w:bidi w:val="0"/>
        <w:spacing w:before="0" w:after="0" w:line="240" w:lineRule="auto"/>
        <w:ind w:left="0" w:right="0" w:firstLine="0"/>
        <w:jc w:val="right"/>
        <w:rPr>
          <w:sz w:val="15"/>
          <w:szCs w:val="15"/>
        </w:rPr>
      </w:pPr>
      <w:r>
        <w:rPr>
          <w:color w:val="000000"/>
          <w:spacing w:val="0"/>
          <w:w w:val="100"/>
          <w:position w:val="0"/>
          <w:sz w:val="15"/>
          <w:szCs w:val="15"/>
          <w:u w:val="single"/>
        </w:rPr>
        <w:t>其他非流动金融资产</w:t>
      </w:r>
      <w:r>
        <w:rPr>
          <w:color w:val="000000"/>
          <w:spacing w:val="0"/>
          <w:w w:val="100"/>
          <w:position w:val="0"/>
          <w:sz w:val="15"/>
          <w:szCs w:val="15"/>
        </w:rPr>
        <w:tab/>
      </w:r>
      <w:r>
        <w:rPr>
          <w:color w:val="000000"/>
          <w:spacing w:val="0"/>
          <w:w w:val="100"/>
          <w:position w:val="0"/>
          <w:sz w:val="15"/>
          <w:szCs w:val="15"/>
          <w:u w:val="single"/>
        </w:rPr>
        <w:t>交易性金融资产</w:t>
        <w:tab/>
        <w:t>其他权益工具投资</w:t>
      </w:r>
      <w:r>
        <w:rPr>
          <w:color w:val="000000"/>
          <w:spacing w:val="0"/>
          <w:w w:val="100"/>
          <w:position w:val="0"/>
          <w:sz w:val="15"/>
          <w:szCs w:val="15"/>
        </w:rPr>
        <w:tab/>
      </w:r>
      <w:r>
        <w:rPr>
          <w:color w:val="000000"/>
          <w:spacing w:val="0"/>
          <w:w w:val="100"/>
          <w:position w:val="0"/>
          <w:sz w:val="15"/>
          <w:szCs w:val="15"/>
          <w:u w:val="single"/>
        </w:rPr>
        <w:t>负债</w:t>
        <w:tab/>
        <w:t>流动负债</w:t>
      </w:r>
    </w:p>
    <w:tbl>
      <w:tblPr>
        <w:tblOverlap w:val="never"/>
        <w:jc w:val="center"/>
        <w:tblLayout w:type="fixed"/>
      </w:tblPr>
      <w:tblGrid>
        <w:gridCol w:w="1795"/>
        <w:gridCol w:w="1090"/>
        <w:gridCol w:w="989"/>
        <w:gridCol w:w="1176"/>
        <w:gridCol w:w="1258"/>
        <w:gridCol w:w="994"/>
        <w:gridCol w:w="1272"/>
        <w:gridCol w:w="1397"/>
        <w:gridCol w:w="1493"/>
        <w:gridCol w:w="1114"/>
        <w:gridCol w:w="1258"/>
      </w:tblGrid>
      <w:tr>
        <w:trPr>
          <w:trHeight w:val="123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契约型基金</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优先股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股权投资</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可转换债券</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理财产品</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05" w:lineRule="exact"/>
              <w:ind w:left="0" w:right="0" w:firstLine="0"/>
              <w:jc w:val="right"/>
              <w:rPr>
                <w:sz w:val="15"/>
                <w:szCs w:val="15"/>
              </w:rPr>
            </w:pPr>
            <w:r>
              <w:rPr>
                <w:rFonts w:ascii="SimSun" w:eastAsia="SimSun" w:hAnsi="SimSun" w:cs="SimSun"/>
                <w:color w:val="000000"/>
                <w:spacing w:val="0"/>
                <w:w w:val="100"/>
                <w:position w:val="0"/>
                <w:sz w:val="15"/>
                <w:szCs w:val="15"/>
              </w:rPr>
              <w:t>以公允 价值计量且其 变动计入当期 损益的金融资产</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交易性金融</w:t>
            </w:r>
          </w:p>
          <w:p>
            <w:pPr>
              <w:pStyle w:val="Style29"/>
              <w:keepNext w:val="0"/>
              <w:keepLines w:val="0"/>
              <w:widowControl w:val="0"/>
              <w:shd w:val="clear" w:color="auto" w:fill="auto"/>
              <w:bidi w:val="0"/>
              <w:spacing w:before="0" w:after="0" w:line="240" w:lineRule="auto"/>
              <w:ind w:left="0" w:right="0" w:firstLine="480"/>
              <w:jc w:val="both"/>
              <w:rPr>
                <w:sz w:val="15"/>
                <w:szCs w:val="15"/>
              </w:rPr>
            </w:pPr>
            <w:r>
              <w:rPr>
                <w:rFonts w:ascii="SimSun" w:eastAsia="SimSun" w:hAnsi="SimSun" w:cs="SimSun"/>
                <w:color w:val="000000"/>
                <w:spacing w:val="0"/>
                <w:w w:val="100"/>
                <w:position w:val="0"/>
                <w:sz w:val="15"/>
                <w:szCs w:val="15"/>
              </w:rPr>
              <w:t>资产</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02" w:lineRule="exact"/>
              <w:ind w:left="0" w:right="180" w:firstLine="0"/>
              <w:jc w:val="right"/>
              <w:rPr>
                <w:sz w:val="15"/>
                <w:szCs w:val="15"/>
              </w:rPr>
            </w:pPr>
            <w:r>
              <w:rPr>
                <w:rFonts w:ascii="SimSun" w:eastAsia="SimSun" w:hAnsi="SimSun" w:cs="SimSun"/>
                <w:color w:val="000000"/>
                <w:spacing w:val="0"/>
                <w:w w:val="100"/>
                <w:position w:val="0"/>
                <w:sz w:val="15"/>
                <w:szCs w:val="15"/>
              </w:rPr>
              <w:t>非上市 公司股权</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流动性支持</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利率互换合同</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40,784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1,842,935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53,017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12,303,803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3,007,707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(67,210)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购买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444,000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30,434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w:t>
            </w:r>
          </w:p>
        </w:tc>
      </w:tr>
      <w:tr>
        <w:trPr>
          <w:trHeight w:val="20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(1,500,000)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(992,627)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w:t>
            </w:r>
          </w:p>
        </w:tc>
      </w:tr>
      <w:tr>
        <w:trPr>
          <w:trHeight w:val="2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期末重分类</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(25,623)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25,623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转入第三层次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39,004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635,594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(33,309)</w:t>
            </w:r>
          </w:p>
        </w:tc>
      </w:tr>
      <w:tr>
        <w:trPr>
          <w:trHeight w:val="2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当期利得或损失总额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9,375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(15,161)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(232,070)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(53,017)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1,110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131,120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51,961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(971,118)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(67,028)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22,133</w:t>
            </w:r>
          </w:p>
        </w:tc>
      </w:tr>
      <w:tr>
        <w:trPr>
          <w:trHeight w:val="413" w:hRule="exact"/>
        </w:trPr>
        <w:tc>
          <w:tcPr>
            <w:tcBorders/>
            <w:shd w:val="clear" w:color="auto" w:fill="FFFFFF"/>
            <w:vAlign w:val="bottom"/>
          </w:tcPr>
          <w:p>
            <w:pPr>
              <w:pStyle w:val="Style29"/>
              <w:keepNext w:val="0"/>
              <w:keepLines w:val="0"/>
              <w:widowControl w:val="0"/>
              <w:shd w:val="clear" w:color="auto" w:fill="auto"/>
              <w:bidi w:val="0"/>
              <w:spacing w:before="0" w:after="0" w:line="216" w:lineRule="exact"/>
              <w:ind w:left="360" w:right="0" w:hanging="140"/>
              <w:jc w:val="left"/>
              <w:rPr>
                <w:sz w:val="16"/>
                <w:szCs w:val="16"/>
              </w:rPr>
            </w:pPr>
            <w:r>
              <w:rPr>
                <w:rFonts w:ascii="SimSun" w:eastAsia="SimSun" w:hAnsi="SimSun" w:cs="SimSun"/>
                <w:color w:val="000000"/>
                <w:spacing w:val="0"/>
                <w:w w:val="100"/>
                <w:position w:val="0"/>
                <w:sz w:val="15"/>
                <w:szCs w:val="15"/>
              </w:rPr>
              <w:t>计入损益的利得 或损失</w:t>
            </w:r>
            <w:r>
              <w:rPr>
                <w:rFonts w:ascii="Arial" w:eastAsia="Arial" w:hAnsi="Arial" w:cs="Arial"/>
                <w:color w:val="000000"/>
                <w:spacing w:val="0"/>
                <w:w w:val="100"/>
                <w:position w:val="0"/>
                <w:sz w:val="16"/>
                <w:szCs w:val="16"/>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9,375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(15,161)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(232,070)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(53,017)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1,110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388,967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51,961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(67,028)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22,133</w:t>
            </w:r>
          </w:p>
        </w:tc>
      </w:tr>
      <w:tr>
        <w:trPr>
          <w:trHeight w:val="413" w:hRule="exact"/>
        </w:trPr>
        <w:tc>
          <w:tcPr>
            <w:tcBorders/>
            <w:shd w:val="clear" w:color="auto" w:fill="FFFFFF"/>
            <w:vAlign w:val="top"/>
          </w:tcPr>
          <w:p>
            <w:pPr>
              <w:pStyle w:val="Style29"/>
              <w:keepNext w:val="0"/>
              <w:keepLines w:val="0"/>
              <w:widowControl w:val="0"/>
              <w:shd w:val="clear" w:color="auto" w:fill="auto"/>
              <w:bidi w:val="0"/>
              <w:spacing w:before="0" w:after="0" w:line="202" w:lineRule="exact"/>
              <w:ind w:left="360" w:right="0" w:hanging="140"/>
              <w:jc w:val="left"/>
              <w:rPr>
                <w:sz w:val="15"/>
                <w:szCs w:val="15"/>
              </w:rPr>
            </w:pPr>
            <w:r>
              <w:rPr>
                <w:rFonts w:ascii="SimSun" w:eastAsia="SimSun" w:hAnsi="SimSun" w:cs="SimSun"/>
                <w:color w:val="000000"/>
                <w:spacing w:val="0"/>
                <w:w w:val="100"/>
                <w:position w:val="0"/>
                <w:sz w:val="15"/>
                <w:szCs w:val="15"/>
              </w:rPr>
              <w:t>计入其他综合收益的 利得或损失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(257,847)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(971,118)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w:t>
            </w:r>
          </w:p>
        </w:tc>
      </w:tr>
      <w:tr>
        <w:trPr>
          <w:trHeight w:val="331" w:hRule="exact"/>
        </w:trPr>
        <w:tc>
          <w:tcPr>
            <w:tcBorders>
              <w:top w:val="single" w:sz="4"/>
            </w:tcBorders>
            <w:shd w:val="clear" w:color="auto" w:fill="FFFFFF"/>
            <w:vAlign w:val="center"/>
          </w:tcPr>
          <w:p>
            <w:pPr>
              <w:pStyle w:val="Style29"/>
              <w:keepNext w:val="0"/>
              <w:keepLines w:val="0"/>
              <w:widowControl w:val="0"/>
              <w:shd w:val="clear" w:color="auto" w:fill="auto"/>
              <w:tabs>
                <w:tab w:pos="1646" w:val="left"/>
              </w:tabs>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tab/>
            </w:r>
            <w:r>
              <w:rPr>
                <w:rFonts w:ascii="SimSun" w:eastAsia="SimSun" w:hAnsi="SimSun" w:cs="SimSun"/>
                <w:color w:val="000000"/>
                <w:spacing w:val="0"/>
                <w:w w:val="100"/>
                <w:position w:val="0"/>
                <w:sz w:val="15"/>
                <w:szCs w:val="15"/>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453,375</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136,488</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40,114</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11,472,730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687,555</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2,036,589</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(134,238)</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(11,176)</w:t>
            </w:r>
          </w:p>
        </w:tc>
      </w:tr>
      <w:tr>
        <w:trPr>
          <w:trHeight w:val="1402"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06" w:lineRule="exact"/>
              <w:ind w:left="200" w:right="0" w:hanging="200"/>
              <w:jc w:val="left"/>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日仍持 有的资产计入</w:t>
            </w:r>
            <w:r>
              <w:rPr>
                <w:rFonts w:ascii="Arial" w:eastAsia="Arial" w:hAnsi="Arial" w:cs="Arial"/>
                <w:color w:val="000000"/>
                <w:spacing w:val="0"/>
                <w:w w:val="100"/>
                <w:position w:val="0"/>
                <w:sz w:val="16"/>
                <w:szCs w:val="16"/>
              </w:rPr>
              <w:t xml:space="preserve">2021 </w:t>
            </w:r>
            <w:r>
              <w:rPr>
                <w:rFonts w:ascii="SimSun" w:eastAsia="SimSun" w:hAnsi="SimSun" w:cs="SimSun"/>
                <w:color w:val="000000"/>
                <w:spacing w:val="0"/>
                <w:w w:val="100"/>
                <w:position w:val="0"/>
                <w:sz w:val="15"/>
                <w:szCs w:val="15"/>
              </w:rPr>
              <w:t>年度损益的未实现利 得或损失的变动</w:t>
            </w:r>
          </w:p>
          <w:p>
            <w:pPr>
              <w:pStyle w:val="Style29"/>
              <w:keepNext w:val="0"/>
              <w:keepLines w:val="0"/>
              <w:widowControl w:val="0"/>
              <w:shd w:val="clear" w:color="auto" w:fill="auto"/>
              <w:bidi w:val="0"/>
              <w:spacing w:before="0" w:after="0" w:line="206" w:lineRule="exact"/>
              <w:ind w:left="480" w:right="0" w:hanging="480"/>
              <w:jc w:val="left"/>
              <w:rPr>
                <w:sz w:val="16"/>
                <w:szCs w:val="16"/>
              </w:rPr>
            </w:pP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公允价值变动收益</w:t>
            </w:r>
            <w:r>
              <w:rPr>
                <w:rFonts w:ascii="Arial" w:eastAsia="Arial" w:hAnsi="Arial" w:cs="Arial"/>
                <w:color w:val="000000"/>
                <w:spacing w:val="0"/>
                <w:w w:val="100"/>
                <w:position w:val="0"/>
                <w:sz w:val="16"/>
                <w:szCs w:val="16"/>
              </w:rPr>
              <w:t>/ （</w:t>
            </w:r>
            <w:r>
              <w:rPr>
                <w:rFonts w:ascii="SimSun" w:eastAsia="SimSun" w:hAnsi="SimSun" w:cs="SimSun"/>
                <w:color w:val="000000"/>
                <w:spacing w:val="0"/>
                <w:w w:val="100"/>
                <w:position w:val="0"/>
                <w:sz w:val="15"/>
                <w:szCs w:val="15"/>
              </w:rPr>
              <w:t>损失</w:t>
            </w:r>
            <w:r>
              <w:rPr>
                <w:rFonts w:ascii="Arial" w:eastAsia="Arial" w:hAnsi="Arial" w:cs="Arial"/>
                <w:color w:val="000000"/>
                <w:spacing w:val="0"/>
                <w:w w:val="100"/>
                <w:position w:val="0"/>
                <w:sz w:val="16"/>
                <w:szCs w:val="16"/>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9,375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(15,161)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(232,070)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(53,017)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1,110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388,967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51,961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(67,028)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22,133</w:t>
            </w:r>
          </w:p>
        </w:tc>
      </w:tr>
    </w:tbl>
    <w:p>
      <w:pPr>
        <w:widowControl w:val="0"/>
        <w:spacing w:after="259" w:line="1" w:lineRule="exact"/>
      </w:pPr>
    </w:p>
    <w:p>
      <w:pPr>
        <w:pStyle w:val="Style72"/>
        <w:keepNext w:val="0"/>
        <w:keepLines w:val="0"/>
        <w:widowControl w:val="0"/>
        <w:shd w:val="clear" w:color="auto" w:fill="auto"/>
        <w:tabs>
          <w:tab w:pos="1195" w:val="left"/>
        </w:tabs>
        <w:bidi w:val="0"/>
        <w:spacing w:before="0" w:after="260" w:line="240" w:lineRule="auto"/>
        <w:ind w:left="0" w:right="0" w:firstLine="0"/>
        <w:jc w:val="left"/>
      </w:pPr>
      <w:r>
        <w:rPr>
          <w:color w:val="000000"/>
          <w:spacing w:val="0"/>
          <w:w w:val="100"/>
          <w:position w:val="0"/>
          <w:sz w:val="24"/>
          <w:szCs w:val="24"/>
        </w:rPr>
        <w:t>⑴</w:t>
        <w:tab/>
        <w:t>计入当期损益的利得或损失分别计入利润表中的公允价值变动收益、投资收益等项目。</w:t>
      </w:r>
      <w:r>
        <w:br w:type="page"/>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十四公允价值估计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0000"/>
          <w:spacing w:val="0"/>
          <w:w w:val="100"/>
          <w:position w:val="0"/>
          <w:sz w:val="24"/>
          <w:szCs w:val="24"/>
        </w:rPr>
        <w:t xml:space="preserve">（1） </w:t>
      </w:r>
      <w:r>
        <w:rPr>
          <w:b/>
          <w:bCs/>
          <w:color w:val="000000"/>
          <w:spacing w:val="0"/>
          <w:w w:val="100"/>
          <w:position w:val="0"/>
          <w:sz w:val="24"/>
          <w:szCs w:val="24"/>
        </w:rPr>
        <w:t>持续的以公允价值后续计量的资产和负债</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bidi w:val="0"/>
        <w:spacing w:before="0" w:after="300" w:line="240" w:lineRule="auto"/>
        <w:ind w:left="0" w:right="0" w:firstLine="740"/>
        <w:jc w:val="left"/>
      </w:pPr>
      <w:r>
        <w:rPr>
          <w:color w:val="000000"/>
          <w:spacing w:val="0"/>
          <w:w w:val="100"/>
          <w:position w:val="0"/>
          <w:sz w:val="24"/>
          <w:szCs w:val="24"/>
        </w:rPr>
        <w:t>上述第三层次资产和负债变动如下</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26"/>
        <w:keepNext w:val="0"/>
        <w:keepLines w:val="0"/>
        <w:widowControl w:val="0"/>
        <w:shd w:val="clear" w:color="auto" w:fill="auto"/>
        <w:tabs>
          <w:tab w:leader="underscore" w:pos="3926" w:val="left"/>
          <w:tab w:leader="underscore" w:pos="7618" w:val="left"/>
          <w:tab w:pos="9576" w:val="left"/>
          <w:tab w:pos="11506" w:val="left"/>
        </w:tabs>
        <w:bidi w:val="0"/>
        <w:spacing w:before="0" w:after="0" w:line="240" w:lineRule="auto"/>
        <w:ind w:left="1656" w:right="0" w:firstLine="0"/>
        <w:jc w:val="left"/>
        <w:rPr>
          <w:sz w:val="15"/>
          <w:szCs w:val="15"/>
        </w:rPr>
      </w:pPr>
      <w:r>
        <w:rPr>
          <w:color w:val="000000"/>
          <w:spacing w:val="0"/>
          <w:w w:val="100"/>
          <w:position w:val="0"/>
          <w:sz w:val="15"/>
          <w:szCs w:val="15"/>
        </w:rPr>
        <w:tab/>
      </w:r>
      <w:r>
        <w:rPr>
          <w:color w:val="000000"/>
          <w:spacing w:val="0"/>
          <w:w w:val="100"/>
          <w:position w:val="0"/>
          <w:sz w:val="15"/>
          <w:szCs w:val="15"/>
          <w:u w:val="single"/>
        </w:rPr>
        <w:t>其他非流动金融资产</w:t>
      </w:r>
      <w:r>
        <w:rPr>
          <w:color w:val="000000"/>
          <w:spacing w:val="0"/>
          <w:w w:val="100"/>
          <w:position w:val="0"/>
          <w:sz w:val="15"/>
          <w:szCs w:val="15"/>
        </w:rPr>
        <w:tab/>
      </w:r>
      <w:r>
        <w:rPr>
          <w:color w:val="000000"/>
          <w:spacing w:val="0"/>
          <w:w w:val="100"/>
          <w:position w:val="0"/>
          <w:sz w:val="15"/>
          <w:szCs w:val="15"/>
          <w:u w:val="single"/>
        </w:rPr>
        <w:t>交易性金融资产</w:t>
        <w:tab/>
        <w:t>其他权益工具投资</w:t>
        <w:tab/>
        <w:t>应收款项融资其他非流动负债</w:t>
      </w:r>
    </w:p>
    <w:tbl>
      <w:tblPr>
        <w:tblOverlap w:val="never"/>
        <w:jc w:val="center"/>
        <w:tblLayout w:type="fixed"/>
      </w:tblPr>
      <w:tblGrid>
        <w:gridCol w:w="2035"/>
        <w:gridCol w:w="970"/>
        <w:gridCol w:w="1099"/>
        <w:gridCol w:w="1248"/>
        <w:gridCol w:w="1109"/>
        <w:gridCol w:w="1229"/>
        <w:gridCol w:w="1416"/>
        <w:gridCol w:w="1248"/>
        <w:gridCol w:w="1099"/>
        <w:gridCol w:w="1344"/>
        <w:gridCol w:w="1157"/>
      </w:tblGrid>
      <w:tr>
        <w:trPr>
          <w:trHeight w:val="123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基金</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优先股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股权投资</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可转换债券</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衍生金融工具</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06" w:lineRule="exact"/>
              <w:ind w:left="0" w:right="180" w:firstLine="0"/>
              <w:jc w:val="right"/>
              <w:rPr>
                <w:sz w:val="15"/>
                <w:szCs w:val="15"/>
              </w:rPr>
            </w:pPr>
            <w:r>
              <w:rPr>
                <w:rFonts w:ascii="SimSun" w:eastAsia="SimSun" w:hAnsi="SimSun" w:cs="SimSun"/>
                <w:color w:val="000000"/>
                <w:spacing w:val="0"/>
                <w:w w:val="100"/>
                <w:position w:val="0"/>
                <w:sz w:val="15"/>
                <w:szCs w:val="15"/>
              </w:rPr>
              <w:t>以公允</w:t>
            </w:r>
          </w:p>
          <w:p>
            <w:pPr>
              <w:pStyle w:val="Style29"/>
              <w:keepNext w:val="0"/>
              <w:keepLines w:val="0"/>
              <w:widowControl w:val="0"/>
              <w:shd w:val="clear" w:color="auto" w:fill="auto"/>
              <w:bidi w:val="0"/>
              <w:spacing w:before="0" w:after="0" w:line="206" w:lineRule="exact"/>
              <w:ind w:left="0" w:right="0" w:firstLine="240"/>
              <w:jc w:val="left"/>
              <w:rPr>
                <w:sz w:val="15"/>
                <w:szCs w:val="15"/>
              </w:rPr>
            </w:pPr>
            <w:r>
              <w:rPr>
                <w:rFonts w:ascii="SimSun" w:eastAsia="SimSun" w:hAnsi="SimSun" w:cs="SimSun"/>
                <w:color w:val="000000"/>
                <w:spacing w:val="0"/>
                <w:w w:val="100"/>
                <w:position w:val="0"/>
                <w:sz w:val="15"/>
                <w:szCs w:val="15"/>
              </w:rPr>
              <w:t>价值计量且其</w:t>
            </w:r>
          </w:p>
          <w:p>
            <w:pPr>
              <w:pStyle w:val="Style29"/>
              <w:keepNext w:val="0"/>
              <w:keepLines w:val="0"/>
              <w:widowControl w:val="0"/>
              <w:shd w:val="clear" w:color="auto" w:fill="auto"/>
              <w:bidi w:val="0"/>
              <w:spacing w:before="0" w:after="0" w:line="206" w:lineRule="exact"/>
              <w:ind w:left="0" w:right="180" w:firstLine="0"/>
              <w:jc w:val="right"/>
              <w:rPr>
                <w:sz w:val="15"/>
                <w:szCs w:val="15"/>
              </w:rPr>
            </w:pPr>
            <w:r>
              <w:rPr>
                <w:rFonts w:ascii="SimSun" w:eastAsia="SimSun" w:hAnsi="SimSun" w:cs="SimSun"/>
                <w:color w:val="000000"/>
                <w:spacing w:val="0"/>
                <w:w w:val="100"/>
                <w:position w:val="0"/>
                <w:sz w:val="15"/>
                <w:szCs w:val="15"/>
              </w:rPr>
              <w:t>变动计入当期 损益的金融资产</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197" w:lineRule="exact"/>
              <w:ind w:left="0" w:right="260" w:firstLine="0"/>
              <w:jc w:val="right"/>
              <w:rPr>
                <w:sz w:val="15"/>
                <w:szCs w:val="15"/>
              </w:rPr>
            </w:pPr>
            <w:r>
              <w:rPr>
                <w:rFonts w:ascii="SimSun" w:eastAsia="SimSun" w:hAnsi="SimSun" w:cs="SimSun"/>
                <w:color w:val="000000"/>
                <w:spacing w:val="0"/>
                <w:w w:val="100"/>
                <w:position w:val="0"/>
                <w:sz w:val="15"/>
                <w:szCs w:val="15"/>
              </w:rPr>
              <w:t>上市公司 优先股股权</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06" w:lineRule="exact"/>
              <w:ind w:left="0" w:right="140" w:firstLine="0"/>
              <w:jc w:val="right"/>
              <w:rPr>
                <w:sz w:val="15"/>
                <w:szCs w:val="15"/>
              </w:rPr>
            </w:pPr>
            <w:r>
              <w:rPr>
                <w:rFonts w:ascii="SimSun" w:eastAsia="SimSun" w:hAnsi="SimSun" w:cs="SimSun"/>
                <w:color w:val="000000"/>
                <w:spacing w:val="0"/>
                <w:w w:val="100"/>
                <w:position w:val="0"/>
                <w:sz w:val="15"/>
                <w:szCs w:val="15"/>
              </w:rPr>
              <w:t>非上市 公司股权</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5"/>
                <w:szCs w:val="15"/>
              </w:rPr>
            </w:pPr>
            <w:r>
              <w:rPr>
                <w:rFonts w:ascii="SimSun" w:eastAsia="SimSun" w:hAnsi="SimSun" w:cs="SimSun"/>
                <w:color w:val="000000"/>
                <w:spacing w:val="0"/>
                <w:w w:val="100"/>
                <w:position w:val="0"/>
                <w:sz w:val="15"/>
                <w:szCs w:val="15"/>
              </w:rPr>
              <w:t>应收款项融资</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流动性支持</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2019</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106,501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12,091,088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50,885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61,884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2,848,671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36,725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3,008,341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497,858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购买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100,000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189,300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(63,900)</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出售</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(235,943)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(1,040,781)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(33,937)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(497,858)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0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期末重分类</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(10,507,020)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10,507,020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当期利得或损失总额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(65,717)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394,810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2,132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(61,884)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(200,407)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(2,788)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(634)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(3,310)</w:t>
            </w:r>
          </w:p>
        </w:tc>
      </w:tr>
      <w:tr>
        <w:trPr>
          <w:trHeight w:val="413" w:hRule="exact"/>
        </w:trPr>
        <w:tc>
          <w:tcPr>
            <w:tcBorders/>
            <w:shd w:val="clear" w:color="auto" w:fill="FFFFFF"/>
            <w:vAlign w:val="bottom"/>
          </w:tcPr>
          <w:p>
            <w:pPr>
              <w:pStyle w:val="Style29"/>
              <w:keepNext w:val="0"/>
              <w:keepLines w:val="0"/>
              <w:widowControl w:val="0"/>
              <w:shd w:val="clear" w:color="auto" w:fill="auto"/>
              <w:bidi w:val="0"/>
              <w:spacing w:before="0" w:after="0" w:line="216" w:lineRule="exact"/>
              <w:ind w:left="360" w:right="0" w:hanging="140"/>
              <w:jc w:val="left"/>
              <w:rPr>
                <w:sz w:val="16"/>
                <w:szCs w:val="16"/>
              </w:rPr>
            </w:pPr>
            <w:r>
              <w:rPr>
                <w:rFonts w:ascii="SimSun" w:eastAsia="SimSun" w:hAnsi="SimSun" w:cs="SimSun"/>
                <w:color w:val="000000"/>
                <w:spacing w:val="0"/>
                <w:w w:val="100"/>
                <w:position w:val="0"/>
                <w:sz w:val="15"/>
                <w:szCs w:val="15"/>
              </w:rPr>
              <w:t>计入损益的利得 或损失</w:t>
            </w:r>
            <w:r>
              <w:rPr>
                <w:rFonts w:ascii="Arial" w:eastAsia="Arial" w:hAnsi="Arial" w:cs="Arial"/>
                <w:color w:val="000000"/>
                <w:spacing w:val="0"/>
                <w:w w:val="100"/>
                <w:position w:val="0"/>
                <w:sz w:val="16"/>
                <w:szCs w:val="16"/>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(65,819)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394,810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2,132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(58,077)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577,956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(3,310)</w:t>
            </w:r>
          </w:p>
        </w:tc>
      </w:tr>
      <w:tr>
        <w:trPr>
          <w:trHeight w:val="432" w:hRule="exact"/>
        </w:trPr>
        <w:tc>
          <w:tcPr>
            <w:tcBorders/>
            <w:shd w:val="clear" w:color="auto" w:fill="FFFFFF"/>
            <w:vAlign w:val="top"/>
          </w:tcPr>
          <w:p>
            <w:pPr>
              <w:pStyle w:val="Style29"/>
              <w:keepNext w:val="0"/>
              <w:keepLines w:val="0"/>
              <w:widowControl w:val="0"/>
              <w:shd w:val="clear" w:color="auto" w:fill="auto"/>
              <w:bidi w:val="0"/>
              <w:spacing w:before="0" w:after="0" w:line="202" w:lineRule="exact"/>
              <w:ind w:left="360" w:right="0" w:hanging="140"/>
              <w:jc w:val="left"/>
              <w:rPr>
                <w:sz w:val="15"/>
                <w:szCs w:val="15"/>
              </w:rPr>
            </w:pPr>
            <w:r>
              <w:rPr>
                <w:rFonts w:ascii="SimSun" w:eastAsia="SimSun" w:hAnsi="SimSun" w:cs="SimSun"/>
                <w:color w:val="000000"/>
                <w:spacing w:val="0"/>
                <w:w w:val="100"/>
                <w:position w:val="0"/>
                <w:sz w:val="15"/>
                <w:szCs w:val="15"/>
              </w:rPr>
              <w:t>计入其他综合收益的 利得或损失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102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(778,363)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(2,788)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000000"/>
                <w:spacing w:val="0"/>
                <w:w w:val="100"/>
                <w:position w:val="0"/>
                <w:sz w:val="16"/>
                <w:szCs w:val="16"/>
              </w:rPr>
              <w:t>-</w:t>
            </w:r>
          </w:p>
        </w:tc>
      </w:tr>
      <w:tr>
        <w:trPr>
          <w:trHeight w:val="206"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40,784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1,842,935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53,017</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12,303,803</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3,007,707</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(67,210)</w:t>
            </w:r>
          </w:p>
        </w:tc>
      </w:tr>
      <w:tr>
        <w:trPr>
          <w:trHeight w:val="1478"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08" w:lineRule="exact"/>
              <w:ind w:left="200" w:right="0" w:hanging="20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日仍持 有的资产计入</w:t>
            </w:r>
            <w:r>
              <w:rPr>
                <w:rFonts w:ascii="Arial" w:eastAsia="Arial" w:hAnsi="Arial" w:cs="Arial"/>
                <w:color w:val="000000"/>
                <w:spacing w:val="0"/>
                <w:w w:val="100"/>
                <w:position w:val="0"/>
                <w:sz w:val="16"/>
                <w:szCs w:val="16"/>
              </w:rPr>
              <w:t xml:space="preserve">2020 </w:t>
            </w:r>
            <w:r>
              <w:rPr>
                <w:rFonts w:ascii="SimSun" w:eastAsia="SimSun" w:hAnsi="SimSun" w:cs="SimSun"/>
                <w:color w:val="000000"/>
                <w:spacing w:val="0"/>
                <w:w w:val="100"/>
                <w:position w:val="0"/>
                <w:sz w:val="15"/>
                <w:szCs w:val="15"/>
              </w:rPr>
              <w:t>年度损益的未实现利 得或损失的变动</w:t>
            </w:r>
          </w:p>
          <w:p>
            <w:pPr>
              <w:pStyle w:val="Style29"/>
              <w:keepNext w:val="0"/>
              <w:keepLines w:val="0"/>
              <w:widowControl w:val="0"/>
              <w:shd w:val="clear" w:color="auto" w:fill="auto"/>
              <w:bidi w:val="0"/>
              <w:spacing w:before="0" w:after="0" w:line="208" w:lineRule="exact"/>
              <w:ind w:left="480" w:right="0" w:hanging="480"/>
              <w:jc w:val="left"/>
              <w:rPr>
                <w:sz w:val="16"/>
                <w:szCs w:val="16"/>
              </w:rPr>
            </w:pP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公允价值变动收益</w:t>
            </w:r>
            <w:r>
              <w:rPr>
                <w:rFonts w:ascii="Arial" w:eastAsia="Arial" w:hAnsi="Arial" w:cs="Arial"/>
                <w:color w:val="000000"/>
                <w:spacing w:val="0"/>
                <w:w w:val="100"/>
                <w:position w:val="0"/>
                <w:sz w:val="16"/>
                <w:szCs w:val="16"/>
              </w:rPr>
              <w:t>/ （</w:t>
            </w:r>
            <w:r>
              <w:rPr>
                <w:rFonts w:ascii="SimSun" w:eastAsia="SimSun" w:hAnsi="SimSun" w:cs="SimSun"/>
                <w:color w:val="000000"/>
                <w:spacing w:val="0"/>
                <w:w w:val="100"/>
                <w:position w:val="0"/>
                <w:sz w:val="15"/>
                <w:szCs w:val="15"/>
              </w:rPr>
              <w:t>损失</w:t>
            </w: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(65,819)</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249,719</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2,132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(58,077)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748,271</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(3,310)</w:t>
            </w:r>
          </w:p>
        </w:tc>
      </w:tr>
    </w:tbl>
    <w:p>
      <w:pPr>
        <w:widowControl w:val="0"/>
        <w:spacing w:after="199" w:line="1" w:lineRule="exact"/>
      </w:pPr>
    </w:p>
    <w:p>
      <w:pPr>
        <w:pStyle w:val="Style72"/>
        <w:keepNext w:val="0"/>
        <w:keepLines w:val="0"/>
        <w:widowControl w:val="0"/>
        <w:shd w:val="clear" w:color="auto" w:fill="auto"/>
        <w:tabs>
          <w:tab w:pos="1195" w:val="left"/>
        </w:tabs>
        <w:bidi w:val="0"/>
        <w:spacing w:before="0" w:after="200" w:line="240" w:lineRule="auto"/>
        <w:ind w:left="0" w:right="0" w:firstLine="0"/>
        <w:jc w:val="left"/>
      </w:pPr>
      <w:r>
        <w:rPr>
          <w:color w:val="000000"/>
          <w:spacing w:val="0"/>
          <w:w w:val="100"/>
          <w:position w:val="0"/>
          <w:sz w:val="24"/>
          <w:szCs w:val="24"/>
        </w:rPr>
        <w:t>⑴</w:t>
        <w:tab/>
        <w:t>计入当期损益的利得或损失分别计入利润表中的公允价值变动收益、投资收益、信用减值损失等项目。</w:t>
      </w:r>
    </w:p>
    <w:p>
      <w:pPr>
        <w:pStyle w:val="Style72"/>
        <w:keepNext w:val="0"/>
        <w:keepLines w:val="0"/>
        <w:widowControl w:val="0"/>
        <w:shd w:val="clear" w:color="auto" w:fill="auto"/>
        <w:bidi w:val="0"/>
        <w:spacing w:before="0" w:after="240" w:line="307" w:lineRule="exact"/>
        <w:ind w:left="740" w:right="0" w:firstLine="0"/>
        <w:jc w:val="left"/>
        <w:sectPr>
          <w:footnotePr>
            <w:pos w:val="pageBottom"/>
            <w:numFmt w:val="decimal"/>
            <w:numStart w:val="1"/>
            <w:numRestart w:val="continuous"/>
            <w15:footnoteColumns w:val="1"/>
          </w:footnotePr>
          <w:pgSz w:w="16840" w:h="11900" w:orient="landscape"/>
          <w:pgMar w:top="2338" w:right="1216" w:bottom="1494" w:left="1670" w:header="0" w:footer="3" w:gutter="0"/>
          <w:cols w:space="720"/>
          <w:noEndnote/>
          <w:rtlGutter w:val="0"/>
          <w:docGrid w:linePitch="360"/>
        </w:sectPr>
      </w:pPr>
      <w:r>
        <w:rPr>
          <w:color w:val="000000"/>
          <w:spacing w:val="0"/>
          <w:w w:val="100"/>
          <w:position w:val="0"/>
          <w:sz w:val="24"/>
          <w:szCs w:val="24"/>
        </w:rPr>
        <w:t>本集团由投资部门委托外部独立评估师负责金融资产及金融负债的估值工作，上述估值结果由本集团财务部门进行独立验证 及账务处理，并基于经验证的估值结果编制与公允价值有关的披露信息。</w:t>
      </w:r>
    </w:p>
    <w:p>
      <w:pPr>
        <w:pStyle w:val="Style72"/>
        <w:keepNext w:val="0"/>
        <w:keepLines w:val="0"/>
        <w:widowControl w:val="0"/>
        <w:shd w:val="clear" w:color="auto" w:fill="auto"/>
        <w:bidi w:val="0"/>
        <w:spacing w:before="0" w:after="300" w:line="240" w:lineRule="auto"/>
        <w:ind w:left="0" w:right="0" w:firstLine="940"/>
        <w:jc w:val="left"/>
      </w:pPr>
      <w:r>
        <w:rPr>
          <w:b/>
          <w:bCs/>
          <w:color w:val="000000"/>
          <w:spacing w:val="0"/>
          <w:w w:val="100"/>
          <w:position w:val="0"/>
          <w:sz w:val="24"/>
          <w:szCs w:val="24"/>
        </w:rPr>
        <w:t>十四公允价值估计(续)</w:t>
      </w:r>
    </w:p>
    <w:p>
      <w:pPr>
        <w:pStyle w:val="Style72"/>
        <w:keepNext w:val="0"/>
        <w:keepLines w:val="0"/>
        <w:widowControl w:val="0"/>
        <w:shd w:val="clear" w:color="auto" w:fill="auto"/>
        <w:tabs>
          <w:tab w:pos="1574" w:val="left"/>
        </w:tabs>
        <w:bidi w:val="0"/>
        <w:spacing w:before="0" w:after="300" w:line="240" w:lineRule="auto"/>
        <w:ind w:left="0" w:right="0" w:firstLine="940"/>
        <w:jc w:val="left"/>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持续的以公允价值后续计量的资产和负债(续)</w:t>
      </w:r>
    </w:p>
    <w:p>
      <w:pPr>
        <w:pStyle w:val="Style72"/>
        <w:keepNext w:val="0"/>
        <w:keepLines w:val="0"/>
        <w:widowControl w:val="0"/>
        <w:shd w:val="clear" w:color="auto" w:fill="auto"/>
        <w:bidi w:val="0"/>
        <w:spacing w:before="0" w:after="300" w:line="240" w:lineRule="auto"/>
        <w:ind w:left="1640" w:right="0" w:firstLine="0"/>
        <w:jc w:val="left"/>
      </w:pPr>
      <w:r>
        <w:rPr>
          <w:color w:val="000000"/>
          <w:spacing w:val="0"/>
          <w:w w:val="100"/>
          <w:position w:val="0"/>
          <w:sz w:val="24"/>
          <w:szCs w:val="24"/>
        </w:rPr>
        <w:t>第三层次公允价值计量的相关信息如下：</w:t>
      </w:r>
    </w:p>
    <w:tbl>
      <w:tblPr>
        <w:tblOverlap w:val="never"/>
        <w:jc w:val="right"/>
        <w:tblLayout w:type="fixed"/>
      </w:tblPr>
      <w:tblGrid>
        <w:gridCol w:w="1925"/>
        <w:gridCol w:w="1176"/>
      </w:tblGrid>
      <w:tr>
        <w:trPr>
          <w:trHeight w:val="202" w:hRule="exact"/>
        </w:trPr>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公允价值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估值技术</w:t>
            </w:r>
          </w:p>
        </w:tc>
      </w:tr>
    </w:tbl>
    <w:p>
      <w:pPr>
        <w:widowControl w:val="0"/>
        <w:spacing w:after="499" w:line="1" w:lineRule="exact"/>
      </w:pPr>
    </w:p>
    <w:tbl>
      <w:tblPr>
        <w:tblOverlap w:val="never"/>
        <w:jc w:val="right"/>
        <w:tblLayout w:type="fixed"/>
      </w:tblPr>
      <w:tblGrid>
        <w:gridCol w:w="2371"/>
        <w:gridCol w:w="1589"/>
        <w:gridCol w:w="1512"/>
      </w:tblGrid>
      <w:tr>
        <w:trPr>
          <w:trHeight w:val="312"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交易性金融金融资产一</w:t>
            </w:r>
          </w:p>
        </w:tc>
      </w:tr>
      <w:tr>
        <w:trPr>
          <w:trHeight w:val="1450" w:hRule="exact"/>
        </w:trPr>
        <w:tc>
          <w:tcPr>
            <w:tcBorders/>
            <w:shd w:val="clear" w:color="auto" w:fill="FFFFFF"/>
            <w:vAlign w:val="top"/>
          </w:tcPr>
          <w:p>
            <w:pPr>
              <w:pStyle w:val="Style29"/>
              <w:keepNext w:val="0"/>
              <w:keepLines w:val="0"/>
              <w:widowControl w:val="0"/>
              <w:shd w:val="clear" w:color="auto" w:fill="auto"/>
              <w:bidi w:val="0"/>
              <w:spacing w:before="120" w:after="440" w:line="240" w:lineRule="auto"/>
              <w:ind w:left="0" w:right="0" w:firstLine="0"/>
              <w:jc w:val="left"/>
              <w:rPr>
                <w:sz w:val="15"/>
                <w:szCs w:val="15"/>
              </w:rPr>
            </w:pPr>
            <w:r>
              <w:rPr>
                <w:rFonts w:ascii="SimSun" w:eastAsia="SimSun" w:hAnsi="SimSun" w:cs="SimSun"/>
                <w:color w:val="000000"/>
                <w:spacing w:val="0"/>
                <w:w w:val="100"/>
                <w:position w:val="0"/>
                <w:sz w:val="15"/>
                <w:szCs w:val="15"/>
              </w:rPr>
              <w:t>理财产品</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交易性金融资产的投资</w:t>
            </w:r>
            <w:r>
              <w:rPr>
                <w:rFonts w:ascii="Arial" w:eastAsia="Arial" w:hAnsi="Arial" w:cs="Arial"/>
                <w:color w:val="000000"/>
                <w:spacing w:val="0"/>
                <w:w w:val="100"/>
                <w:position w:val="0"/>
                <w:sz w:val="16"/>
                <w:szCs w:val="16"/>
              </w:rPr>
              <w:t>1</w:t>
            </w:r>
          </w:p>
        </w:tc>
        <w:tc>
          <w:tcPr>
            <w:tcBorders/>
            <w:shd w:val="clear" w:color="auto" w:fill="FFFFFF"/>
            <w:vAlign w:val="top"/>
          </w:tcPr>
          <w:p>
            <w:pPr>
              <w:pStyle w:val="Style29"/>
              <w:keepNext w:val="0"/>
              <w:keepLines w:val="0"/>
              <w:widowControl w:val="0"/>
              <w:shd w:val="clear" w:color="auto" w:fill="auto"/>
              <w:bidi w:val="0"/>
              <w:spacing w:before="120" w:after="440" w:line="240" w:lineRule="auto"/>
              <w:ind w:left="0" w:right="0" w:firstLine="820"/>
              <w:jc w:val="left"/>
              <w:rPr>
                <w:sz w:val="16"/>
                <w:szCs w:val="16"/>
              </w:rPr>
            </w:pPr>
            <w:r>
              <w:rPr>
                <w:rFonts w:ascii="Arial" w:eastAsia="Arial" w:hAnsi="Arial" w:cs="Arial"/>
                <w:color w:val="000000"/>
                <w:spacing w:val="0"/>
                <w:w w:val="100"/>
                <w:position w:val="0"/>
                <w:sz w:val="16"/>
                <w:szCs w:val="16"/>
              </w:rPr>
              <w:t>687,555</w:t>
            </w:r>
          </w:p>
          <w:p>
            <w:pPr>
              <w:pStyle w:val="Style29"/>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10,767,667</w:t>
            </w:r>
          </w:p>
        </w:tc>
        <w:tc>
          <w:tcPr>
            <w:tcBorders/>
            <w:shd w:val="clear" w:color="auto" w:fill="FFFFFF"/>
            <w:vAlign w:val="top"/>
          </w:tcPr>
          <w:p>
            <w:pPr>
              <w:pStyle w:val="Style29"/>
              <w:keepNext w:val="0"/>
              <w:keepLines w:val="0"/>
              <w:widowControl w:val="0"/>
              <w:shd w:val="clear" w:color="auto" w:fill="auto"/>
              <w:bidi w:val="0"/>
              <w:spacing w:before="80" w:after="0" w:line="210" w:lineRule="exact"/>
              <w:ind w:left="0" w:right="0" w:firstLine="0"/>
              <w:jc w:val="right"/>
              <w:rPr>
                <w:sz w:val="15"/>
                <w:szCs w:val="15"/>
              </w:rPr>
            </w:pPr>
            <w:r>
              <w:rPr>
                <w:rFonts w:ascii="SimSun" w:eastAsia="SimSun" w:hAnsi="SimSun" w:cs="SimSun"/>
                <w:color w:val="000000"/>
                <w:spacing w:val="0"/>
                <w:w w:val="100"/>
                <w:position w:val="0"/>
                <w:sz w:val="15"/>
                <w:szCs w:val="15"/>
              </w:rPr>
              <w:t>收益法 可比上市公司 价值比率/股权价值 分配模型</w:t>
            </w:r>
          </w:p>
        </w:tc>
      </w:tr>
      <w:tr>
        <w:trPr>
          <w:trHeight w:val="74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交易性金融资产的投资</w:t>
            </w:r>
            <w:r>
              <w:rPr>
                <w:rFonts w:ascii="Arial" w:eastAsia="Arial" w:hAnsi="Arial" w:cs="Arial"/>
                <w:color w:val="000000"/>
                <w:spacing w:val="0"/>
                <w:w w:val="100"/>
                <w:position w:val="0"/>
                <w:sz w:val="16"/>
                <w:szCs w:val="16"/>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205,558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5"/>
                <w:szCs w:val="15"/>
              </w:rPr>
              <w:t>资产基础法</w:t>
            </w:r>
            <w:r>
              <w:rPr>
                <w:rFonts w:ascii="Arial" w:eastAsia="Arial" w:hAnsi="Arial" w:cs="Arial"/>
                <w:color w:val="000000"/>
                <w:spacing w:val="0"/>
                <w:w w:val="100"/>
                <w:position w:val="0"/>
                <w:sz w:val="16"/>
                <w:szCs w:val="16"/>
              </w:rPr>
              <w:t>(i)</w:t>
            </w:r>
          </w:p>
        </w:tc>
      </w:tr>
    </w:tbl>
    <w:p>
      <w:pPr>
        <w:widowControl w:val="0"/>
        <w:spacing w:after="2259" w:line="1" w:lineRule="exact"/>
      </w:pPr>
    </w:p>
    <w:tbl>
      <w:tblPr>
        <w:tblOverlap w:val="never"/>
        <w:jc w:val="right"/>
        <w:tblLayout w:type="fixed"/>
      </w:tblPr>
      <w:tblGrid>
        <w:gridCol w:w="2520"/>
        <w:gridCol w:w="1627"/>
        <w:gridCol w:w="1315"/>
      </w:tblGrid>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交易性金融资产的投资</w:t>
            </w:r>
            <w:r>
              <w:rPr>
                <w:rFonts w:ascii="Arial" w:eastAsia="Arial" w:hAnsi="Arial" w:cs="Arial"/>
                <w:color w:val="000000"/>
                <w:spacing w:val="0"/>
                <w:w w:val="100"/>
                <w:position w:val="0"/>
                <w:sz w:val="16"/>
                <w:szCs w:val="16"/>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50,768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资产基础法</w:t>
            </w:r>
            <w:r>
              <w:rPr>
                <w:rFonts w:ascii="Arial" w:eastAsia="Arial" w:hAnsi="Arial" w:cs="Arial"/>
                <w:color w:val="000000"/>
                <w:spacing w:val="0"/>
                <w:w w:val="100"/>
                <w:position w:val="0"/>
                <w:sz w:val="16"/>
                <w:szCs w:val="16"/>
              </w:rPr>
              <w:t>(i)</w:t>
            </w: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交易性金融资产的投资</w:t>
            </w:r>
            <w:r>
              <w:rPr>
                <w:rFonts w:ascii="Arial" w:eastAsia="Arial" w:hAnsi="Arial" w:cs="Arial"/>
                <w:color w:val="000000"/>
                <w:spacing w:val="0"/>
                <w:w w:val="100"/>
                <w:position w:val="0"/>
                <w:sz w:val="16"/>
                <w:szCs w:val="16"/>
              </w:rPr>
              <w:t>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51,780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5"/>
                <w:szCs w:val="15"/>
              </w:rPr>
              <w:t>资产基础法</w:t>
            </w:r>
            <w:r>
              <w:rPr>
                <w:rFonts w:ascii="Arial" w:eastAsia="Arial" w:hAnsi="Arial" w:cs="Arial"/>
                <w:color w:val="000000"/>
                <w:spacing w:val="0"/>
                <w:w w:val="100"/>
                <w:position w:val="0"/>
                <w:sz w:val="16"/>
                <w:szCs w:val="16"/>
              </w:rPr>
              <w:t>(i)</w:t>
            </w:r>
          </w:p>
        </w:tc>
      </w:tr>
    </w:tbl>
    <w:p>
      <w:pPr>
        <w:sectPr>
          <w:footnotePr>
            <w:pos w:val="pageBottom"/>
            <w:numFmt w:val="decimal"/>
            <w:numStart w:val="1"/>
            <w:numRestart w:val="continuous"/>
            <w15:footnoteColumns w:val="1"/>
          </w:footnotePr>
          <w:pgSz w:w="8400" w:h="11900"/>
          <w:pgMar w:top="2339" w:right="329" w:bottom="1501" w:left="943" w:header="0" w:footer="3" w:gutter="0"/>
          <w:cols w:space="720"/>
          <w:noEndnote/>
          <w:rtlGutter w:val="0"/>
          <w:docGrid w:linePitch="360"/>
        </w:sectPr>
      </w:pPr>
    </w:p>
    <w:p>
      <w:pPr>
        <w:pStyle w:val="Style29"/>
        <w:keepNext w:val="0"/>
        <w:keepLines w:val="0"/>
        <w:widowControl w:val="0"/>
        <w:shd w:val="clear" w:color="auto" w:fill="auto"/>
        <w:tabs>
          <w:tab w:pos="907" w:val="left"/>
          <w:tab w:pos="4493" w:val="left"/>
        </w:tabs>
        <w:bidi w:val="0"/>
        <w:spacing w:before="0" w:after="480" w:line="240" w:lineRule="auto"/>
        <w:ind w:left="0" w:right="0" w:firstLine="0"/>
        <w:jc w:val="right"/>
        <w:rPr>
          <w:sz w:val="15"/>
          <w:szCs w:val="15"/>
        </w:rPr>
      </w:pPr>
      <w:r>
        <w:rPr>
          <w:rFonts w:ascii="SimSun" w:eastAsia="SimSun" w:hAnsi="SimSun" w:cs="SimSun"/>
          <w:color w:val="000000"/>
          <w:spacing w:val="0"/>
          <w:w w:val="100"/>
          <w:position w:val="0"/>
          <w:sz w:val="15"/>
          <w:szCs w:val="15"/>
        </w:rPr>
        <w:t>名称</w:t>
        <w:tab/>
        <w:t>范围/加权平均值与公允价值之间的关系</w:t>
        <w:tab/>
        <w:t>可观察/不可观察</w:t>
      </w:r>
    </w:p>
    <w:tbl>
      <w:tblPr>
        <w:tblOverlap w:val="never"/>
        <w:jc w:val="center"/>
        <w:tblLayout w:type="fixed"/>
      </w:tblPr>
      <w:tblGrid>
        <w:gridCol w:w="1891"/>
        <w:gridCol w:w="1704"/>
        <w:gridCol w:w="2285"/>
        <w:gridCol w:w="1248"/>
      </w:tblGrid>
      <w:tr>
        <w:trPr>
          <w:trHeight w:val="51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5"/>
                <w:szCs w:val="15"/>
              </w:rPr>
            </w:pPr>
            <w:r>
              <w:rPr>
                <w:rFonts w:ascii="SimSun" w:eastAsia="SimSun" w:hAnsi="SimSun" w:cs="SimSun"/>
                <w:color w:val="000000"/>
                <w:spacing w:val="0"/>
                <w:w w:val="100"/>
                <w:position w:val="0"/>
                <w:sz w:val="15"/>
                <w:szCs w:val="15"/>
              </w:rPr>
              <w:t>单位净值</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1.1539/1.0681</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rPr>
                <w:sz w:val="15"/>
                <w:szCs w:val="15"/>
              </w:rPr>
            </w:pPr>
            <w:r>
              <w:rPr>
                <w:rFonts w:ascii="SimSun" w:eastAsia="SimSun" w:hAnsi="SimSun" w:cs="SimSun"/>
                <w:color w:val="000000"/>
                <w:spacing w:val="0"/>
                <w:w w:val="100"/>
                <w:position w:val="0"/>
                <w:sz w:val="15"/>
                <w:szCs w:val="15"/>
              </w:rPr>
              <w:t>与金融资产公允价值同</w:t>
            </w:r>
          </w:p>
          <w:p>
            <w:pPr>
              <w:pStyle w:val="Style29"/>
              <w:keepNext w:val="0"/>
              <w:keepLines w:val="0"/>
              <w:widowControl w:val="0"/>
              <w:shd w:val="clear" w:color="auto" w:fill="auto"/>
              <w:bidi w:val="0"/>
              <w:spacing w:before="0" w:after="0" w:line="240" w:lineRule="auto"/>
              <w:ind w:left="0" w:right="580" w:firstLine="0"/>
              <w:jc w:val="right"/>
              <w:rPr>
                <w:sz w:val="15"/>
                <w:szCs w:val="15"/>
              </w:rPr>
            </w:pPr>
            <w:r>
              <w:rPr>
                <w:rFonts w:ascii="SimSun" w:eastAsia="SimSun" w:hAnsi="SimSun" w:cs="SimSun"/>
                <w:color w:val="000000"/>
                <w:spacing w:val="0"/>
                <w:w w:val="100"/>
                <w:position w:val="0"/>
                <w:sz w:val="15"/>
                <w:szCs w:val="15"/>
              </w:rPr>
              <w:t>向变动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5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5"/>
                <w:szCs w:val="15"/>
              </w:rPr>
            </w:pPr>
            <w:r>
              <w:rPr>
                <w:rFonts w:ascii="SimSun" w:eastAsia="SimSun" w:hAnsi="SimSun" w:cs="SimSun"/>
                <w:color w:val="000000"/>
                <w:spacing w:val="0"/>
                <w:w w:val="100"/>
                <w:position w:val="0"/>
                <w:sz w:val="15"/>
                <w:szCs w:val="15"/>
              </w:rPr>
              <w:t>市净率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11" w:lineRule="exact"/>
              <w:ind w:left="1040" w:right="0" w:hanging="800"/>
              <w:jc w:val="both"/>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4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预计清算/赎回年限</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6"/>
                <w:szCs w:val="16"/>
              </w:rPr>
              <w:t xml:space="preserve">NA/1.8 </w:t>
            </w:r>
            <w:r>
              <w:rPr>
                <w:rFonts w:ascii="SimSun" w:eastAsia="SimSun" w:hAnsi="SimSun" w:cs="SimSun"/>
                <w:color w:val="000000"/>
                <w:spacing w:val="0"/>
                <w:w w:val="100"/>
                <w:position w:val="0"/>
                <w:sz w:val="15"/>
                <w:szCs w:val="15"/>
              </w:rPr>
              <w:t>年</w:t>
            </w:r>
          </w:p>
        </w:tc>
        <w:tc>
          <w:tcPr>
            <w:tcBorders/>
            <w:shd w:val="clear" w:color="auto" w:fill="FFFFFF"/>
            <w:vAlign w:val="bottom"/>
          </w:tcPr>
          <w:p>
            <w:pPr>
              <w:pStyle w:val="Style29"/>
              <w:keepNext w:val="0"/>
              <w:keepLines w:val="0"/>
              <w:widowControl w:val="0"/>
              <w:shd w:val="clear" w:color="auto" w:fill="auto"/>
              <w:bidi w:val="0"/>
              <w:spacing w:before="0" w:after="0" w:line="211" w:lineRule="exact"/>
              <w:ind w:left="1040" w:right="0" w:hanging="800"/>
              <w:jc w:val="both"/>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41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保底利润折现率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13.00%</w:t>
            </w:r>
          </w:p>
        </w:tc>
        <w:tc>
          <w:tcPr>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40"/>
              <w:jc w:val="both"/>
              <w:rPr>
                <w:sz w:val="15"/>
                <w:szCs w:val="15"/>
              </w:rPr>
            </w:pPr>
            <w:r>
              <w:rPr>
                <w:rFonts w:ascii="SimSun" w:eastAsia="SimSun" w:hAnsi="SimSun" w:cs="SimSun"/>
                <w:color w:val="000000"/>
                <w:spacing w:val="0"/>
                <w:w w:val="100"/>
                <w:position w:val="0"/>
                <w:sz w:val="15"/>
                <w:szCs w:val="15"/>
              </w:rPr>
              <w:t>与金融资产公允价值</w:t>
            </w:r>
          </w:p>
          <w:p>
            <w:pPr>
              <w:pStyle w:val="Style29"/>
              <w:keepNext w:val="0"/>
              <w:keepLines w:val="0"/>
              <w:widowControl w:val="0"/>
              <w:shd w:val="clear" w:color="auto" w:fill="auto"/>
              <w:bidi w:val="0"/>
              <w:spacing w:before="0" w:after="0" w:line="240" w:lineRule="auto"/>
              <w:ind w:left="1040" w:right="0" w:firstLine="0"/>
              <w:jc w:val="both"/>
              <w:rPr>
                <w:sz w:val="15"/>
                <w:szCs w:val="15"/>
              </w:rPr>
            </w:pPr>
            <w:r>
              <w:rPr>
                <w:rFonts w:ascii="SimSun" w:eastAsia="SimSun" w:hAnsi="SimSun" w:cs="SimSun"/>
                <w:color w:val="000000"/>
                <w:spacing w:val="0"/>
                <w:w w:val="100"/>
                <w:position w:val="0"/>
                <w:sz w:val="15"/>
                <w:szCs w:val="15"/>
              </w:rPr>
              <w:t>反向变动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4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5"/>
                <w:szCs w:val="15"/>
              </w:rPr>
            </w:pPr>
            <w:r>
              <w:rPr>
                <w:rFonts w:ascii="SimSun" w:eastAsia="SimSun" w:hAnsi="SimSun" w:cs="SimSun"/>
                <w:color w:val="000000"/>
                <w:spacing w:val="0"/>
                <w:w w:val="100"/>
                <w:position w:val="0"/>
                <w:sz w:val="15"/>
                <w:szCs w:val="15"/>
              </w:rPr>
              <w:t>重置全价</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299,9075,113,158</w:t>
            </w:r>
          </w:p>
        </w:tc>
        <w:tc>
          <w:tcPr>
            <w:tcBorders/>
            <w:shd w:val="clear" w:color="auto" w:fill="FFFFFF"/>
            <w:vAlign w:val="bottom"/>
          </w:tcPr>
          <w:p>
            <w:pPr>
              <w:pStyle w:val="Style29"/>
              <w:keepNext w:val="0"/>
              <w:keepLines w:val="0"/>
              <w:widowControl w:val="0"/>
              <w:shd w:val="clear" w:color="auto" w:fill="auto"/>
              <w:bidi w:val="0"/>
              <w:spacing w:before="0" w:after="0" w:line="211" w:lineRule="exact"/>
              <w:ind w:left="1040" w:right="0" w:hanging="800"/>
              <w:jc w:val="both"/>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41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5"/>
                <w:szCs w:val="15"/>
              </w:rPr>
            </w:pPr>
            <w:r>
              <w:rPr>
                <w:rFonts w:ascii="SimSun" w:eastAsia="SimSun" w:hAnsi="SimSun" w:cs="SimSun"/>
                <w:color w:val="000000"/>
                <w:spacing w:val="0"/>
                <w:w w:val="100"/>
                <w:position w:val="0"/>
                <w:sz w:val="15"/>
                <w:szCs w:val="15"/>
              </w:rPr>
              <w:t>成新率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88%~98%</w:t>
            </w:r>
          </w:p>
        </w:tc>
        <w:tc>
          <w:tcPr>
            <w:tcBorders/>
            <w:shd w:val="clear" w:color="auto" w:fill="FFFFFF"/>
            <w:vAlign w:val="top"/>
          </w:tcPr>
          <w:p>
            <w:pPr>
              <w:pStyle w:val="Style29"/>
              <w:keepNext w:val="0"/>
              <w:keepLines w:val="0"/>
              <w:widowControl w:val="0"/>
              <w:shd w:val="clear" w:color="auto" w:fill="auto"/>
              <w:bidi w:val="0"/>
              <w:spacing w:before="0" w:after="0" w:line="211" w:lineRule="exact"/>
              <w:ind w:left="1040" w:right="0" w:hanging="800"/>
              <w:jc w:val="both"/>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413" w:hRule="exact"/>
        </w:trPr>
        <w:tc>
          <w:tcPr>
            <w:tcBorders/>
            <w:shd w:val="clear" w:color="auto" w:fill="FFFFFF"/>
            <w:vAlign w:val="bottom"/>
          </w:tcPr>
          <w:p>
            <w:pPr>
              <w:pStyle w:val="Style29"/>
              <w:keepNext w:val="0"/>
              <w:keepLines w:val="0"/>
              <w:widowControl w:val="0"/>
              <w:shd w:val="clear" w:color="auto" w:fill="auto"/>
              <w:bidi w:val="0"/>
              <w:spacing w:before="0" w:after="0" w:line="230" w:lineRule="exact"/>
              <w:ind w:left="0" w:right="200" w:firstLine="0"/>
              <w:jc w:val="right"/>
              <w:rPr>
                <w:sz w:val="15"/>
                <w:szCs w:val="15"/>
              </w:rPr>
            </w:pPr>
            <w:r>
              <w:rPr>
                <w:rFonts w:ascii="SimSun" w:eastAsia="SimSun" w:hAnsi="SimSun" w:cs="SimSun"/>
                <w:color w:val="000000"/>
                <w:spacing w:val="0"/>
                <w:w w:val="100"/>
                <w:position w:val="0"/>
                <w:sz w:val="15"/>
                <w:szCs w:val="15"/>
              </w:rPr>
              <w:t>租期内日租金（元//）（含 管理服务费）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0.821'1.009</w:t>
            </w:r>
          </w:p>
        </w:tc>
        <w:tc>
          <w:tcPr>
            <w:tcBorders/>
            <w:shd w:val="clear" w:color="auto" w:fill="FFFFFF"/>
            <w:vAlign w:val="bottom"/>
          </w:tcPr>
          <w:p>
            <w:pPr>
              <w:pStyle w:val="Style29"/>
              <w:keepNext w:val="0"/>
              <w:keepLines w:val="0"/>
              <w:widowControl w:val="0"/>
              <w:shd w:val="clear" w:color="auto" w:fill="auto"/>
              <w:bidi w:val="0"/>
              <w:spacing w:before="0" w:after="0" w:line="211" w:lineRule="exact"/>
              <w:ind w:left="1040" w:right="0" w:hanging="800"/>
              <w:jc w:val="both"/>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4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5"/>
                <w:szCs w:val="15"/>
              </w:rPr>
              <w:t>租期外日租金（元</w:t>
            </w:r>
            <w:r>
              <w:rPr>
                <w:rFonts w:ascii="Arial" w:eastAsia="Arial" w:hAnsi="Arial" w:cs="Arial"/>
                <w:color w:val="000000"/>
                <w:spacing w:val="0"/>
                <w:w w:val="100"/>
                <w:position w:val="0"/>
                <w:sz w:val="16"/>
                <w:szCs w:val="16"/>
              </w:rPr>
              <w:t>/rtf）</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0.945.164</w:t>
            </w:r>
          </w:p>
        </w:tc>
        <w:tc>
          <w:tcPr>
            <w:tcBorders/>
            <w:shd w:val="clear" w:color="auto" w:fill="FFFFFF"/>
            <w:vAlign w:val="bottom"/>
          </w:tcPr>
          <w:p>
            <w:pPr>
              <w:pStyle w:val="Style29"/>
              <w:keepNext w:val="0"/>
              <w:keepLines w:val="0"/>
              <w:widowControl w:val="0"/>
              <w:shd w:val="clear" w:color="auto" w:fill="auto"/>
              <w:bidi w:val="0"/>
              <w:spacing w:before="0" w:after="0" w:line="216" w:lineRule="exact"/>
              <w:ind w:left="1040" w:right="0" w:hanging="800"/>
              <w:jc w:val="both"/>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40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5"/>
                <w:szCs w:val="15"/>
              </w:rPr>
            </w:pPr>
            <w:r>
              <w:rPr>
                <w:rFonts w:ascii="SimSun" w:eastAsia="SimSun" w:hAnsi="SimSun" w:cs="SimSun"/>
                <w:color w:val="000000"/>
                <w:spacing w:val="0"/>
                <w:w w:val="100"/>
                <w:position w:val="0"/>
                <w:sz w:val="15"/>
                <w:szCs w:val="15"/>
              </w:rPr>
              <w:t>折现率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5.50%~5.75%</w:t>
            </w:r>
          </w:p>
        </w:tc>
        <w:tc>
          <w:tcPr>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40"/>
              <w:jc w:val="both"/>
              <w:rPr>
                <w:sz w:val="15"/>
                <w:szCs w:val="15"/>
              </w:rPr>
            </w:pPr>
            <w:r>
              <w:rPr>
                <w:rFonts w:ascii="SimSun" w:eastAsia="SimSun" w:hAnsi="SimSun" w:cs="SimSun"/>
                <w:color w:val="000000"/>
                <w:spacing w:val="0"/>
                <w:w w:val="100"/>
                <w:position w:val="0"/>
                <w:sz w:val="15"/>
                <w:szCs w:val="15"/>
              </w:rPr>
              <w:t>与金融资产公允价值</w:t>
            </w:r>
          </w:p>
          <w:p>
            <w:pPr>
              <w:pStyle w:val="Style29"/>
              <w:keepNext w:val="0"/>
              <w:keepLines w:val="0"/>
              <w:widowControl w:val="0"/>
              <w:shd w:val="clear" w:color="auto" w:fill="auto"/>
              <w:bidi w:val="0"/>
              <w:spacing w:before="0" w:after="0" w:line="240" w:lineRule="auto"/>
              <w:ind w:left="1040" w:right="0" w:firstLine="0"/>
              <w:jc w:val="both"/>
              <w:rPr>
                <w:sz w:val="15"/>
                <w:szCs w:val="15"/>
              </w:rPr>
            </w:pPr>
            <w:r>
              <w:rPr>
                <w:rFonts w:ascii="SimSun" w:eastAsia="SimSun" w:hAnsi="SimSun" w:cs="SimSun"/>
                <w:color w:val="000000"/>
                <w:spacing w:val="0"/>
                <w:w w:val="100"/>
                <w:position w:val="0"/>
                <w:sz w:val="15"/>
                <w:szCs w:val="15"/>
              </w:rPr>
              <w:t>反向变动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4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相关债券折现率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4.73%/5.23%</w:t>
            </w:r>
          </w:p>
        </w:tc>
        <w:tc>
          <w:tcPr>
            <w:tcBorders/>
            <w:shd w:val="clear" w:color="auto" w:fill="FFFFFF"/>
            <w:vAlign w:val="bottom"/>
          </w:tcPr>
          <w:p>
            <w:pPr>
              <w:pStyle w:val="Style29"/>
              <w:keepNext w:val="0"/>
              <w:keepLines w:val="0"/>
              <w:widowControl w:val="0"/>
              <w:shd w:val="clear" w:color="auto" w:fill="auto"/>
              <w:bidi w:val="0"/>
              <w:spacing w:before="0" w:after="0" w:line="216" w:lineRule="exact"/>
              <w:ind w:left="1040" w:right="0" w:hanging="800"/>
              <w:jc w:val="both"/>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4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投资标的评估值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7,481,957</w:t>
            </w:r>
          </w:p>
        </w:tc>
        <w:tc>
          <w:tcPr>
            <w:tcBorders/>
            <w:shd w:val="clear" w:color="auto" w:fill="FFFFFF"/>
            <w:vAlign w:val="bottom"/>
          </w:tcPr>
          <w:p>
            <w:pPr>
              <w:pStyle w:val="Style29"/>
              <w:keepNext w:val="0"/>
              <w:keepLines w:val="0"/>
              <w:widowControl w:val="0"/>
              <w:shd w:val="clear" w:color="auto" w:fill="auto"/>
              <w:bidi w:val="0"/>
              <w:spacing w:before="0" w:after="0" w:line="211" w:lineRule="exact"/>
              <w:ind w:left="1040" w:right="0" w:hanging="800"/>
              <w:jc w:val="both"/>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43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投资标的评估值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501,295</w:t>
            </w:r>
          </w:p>
        </w:tc>
        <w:tc>
          <w:tcPr>
            <w:tcBorders/>
            <w:shd w:val="clear" w:color="auto" w:fill="FFFFFF"/>
            <w:vAlign w:val="top"/>
          </w:tcPr>
          <w:p>
            <w:pPr>
              <w:pStyle w:val="Style29"/>
              <w:keepNext w:val="0"/>
              <w:keepLines w:val="0"/>
              <w:widowControl w:val="0"/>
              <w:shd w:val="clear" w:color="auto" w:fill="auto"/>
              <w:bidi w:val="0"/>
              <w:spacing w:before="0" w:after="0" w:line="216" w:lineRule="exact"/>
              <w:ind w:left="1040" w:right="0" w:hanging="800"/>
              <w:jc w:val="both"/>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bl>
    <w:p>
      <w:pPr>
        <w:sectPr>
          <w:footnotePr>
            <w:pos w:val="pageBottom"/>
            <w:numFmt w:val="decimal"/>
            <w:numStart w:val="1"/>
            <w:numRestart w:val="continuous"/>
            <w15:footnoteColumns w:val="1"/>
          </w:footnotePr>
          <w:pgSz w:w="8400" w:h="11900"/>
          <w:pgMar w:top="4505" w:right="1181" w:bottom="1511" w:left="91" w:header="0" w:footer="3" w:gutter="0"/>
          <w:cols w:space="720"/>
          <w:noEndnote/>
          <w:rtlGutter w:val="0"/>
          <w:docGrid w:linePitch="360"/>
        </w:sectPr>
      </w:pPr>
    </w:p>
    <w:p>
      <w:pPr>
        <w:pStyle w:val="Style72"/>
        <w:keepNext w:val="0"/>
        <w:keepLines w:val="0"/>
        <w:widowControl w:val="0"/>
        <w:shd w:val="clear" w:color="auto" w:fill="auto"/>
        <w:bidi w:val="0"/>
        <w:spacing w:before="0" w:after="300" w:line="240" w:lineRule="auto"/>
        <w:ind w:left="0" w:right="0" w:firstLine="500"/>
        <w:jc w:val="left"/>
      </w:pPr>
      <w:r>
        <w:rPr>
          <w:b/>
          <w:bCs/>
          <w:color w:val="000000"/>
          <w:spacing w:val="0"/>
          <w:w w:val="100"/>
          <w:position w:val="0"/>
          <w:sz w:val="24"/>
          <w:szCs w:val="24"/>
        </w:rPr>
        <w:t>十四公允价值估计(续)</w:t>
      </w:r>
    </w:p>
    <w:p>
      <w:pPr>
        <w:pStyle w:val="Style72"/>
        <w:keepNext w:val="0"/>
        <w:keepLines w:val="0"/>
        <w:widowControl w:val="0"/>
        <w:shd w:val="clear" w:color="auto" w:fill="auto"/>
        <w:tabs>
          <w:tab w:pos="1124" w:val="left"/>
        </w:tabs>
        <w:bidi w:val="0"/>
        <w:spacing w:before="0" w:after="300" w:line="240" w:lineRule="auto"/>
        <w:ind w:left="0" w:right="0" w:firstLine="500"/>
        <w:jc w:val="left"/>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持续的以公允价值后续计量的资产和负债(续)</w:t>
      </w:r>
    </w:p>
    <w:p>
      <w:pPr>
        <w:widowControl w:val="0"/>
        <w:spacing w:line="1" w:lineRule="exact"/>
      </w:pPr>
      <w:r>
        <mc:AlternateContent>
          <mc:Choice Requires="wps">
            <w:drawing>
              <wp:anchor distT="469900" distB="0" distL="0" distR="0" simplePos="0" relativeHeight="125829468" behindDoc="0" locked="0" layoutInCell="1" allowOverlap="1">
                <wp:simplePos x="0" y="0"/>
                <wp:positionH relativeFrom="page">
                  <wp:posOffset>1565275</wp:posOffset>
                </wp:positionH>
                <wp:positionV relativeFrom="paragraph">
                  <wp:posOffset>469900</wp:posOffset>
                </wp:positionV>
                <wp:extent cx="1127760" cy="143510"/>
                <wp:wrapTopAndBottom/>
                <wp:docPr id="118" name="Shape 118"/>
                <a:graphic xmlns:a="http://schemas.openxmlformats.org/drawingml/2006/main">
                  <a:graphicData uri="http://schemas.microsoft.com/office/word/2010/wordprocessingShape">
                    <wps:wsp>
                      <wps:cNvSpPr txBox="1"/>
                      <wps:spPr>
                        <a:xfrm>
                          <a:ext cx="112776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交易性金融资产的投资</w:t>
                            </w:r>
                            <w:r>
                              <w:rPr>
                                <w:rFonts w:ascii="Arial" w:eastAsia="Arial" w:hAnsi="Arial" w:cs="Arial"/>
                                <w:color w:val="000000"/>
                                <w:spacing w:val="0"/>
                                <w:w w:val="100"/>
                                <w:position w:val="0"/>
                                <w:sz w:val="16"/>
                                <w:szCs w:val="16"/>
                              </w:rPr>
                              <w:t>6</w:t>
                            </w:r>
                          </w:p>
                        </w:txbxContent>
                      </wps:txbx>
                      <wps:bodyPr wrap="none" lIns="0" tIns="0" rIns="0" bIns="0">
                        <a:noAutoFit/>
                      </wps:bodyPr>
                    </wps:wsp>
                  </a:graphicData>
                </a:graphic>
              </wp:anchor>
            </w:drawing>
          </mc:Choice>
          <mc:Fallback>
            <w:pict>
              <v:shape id="_x0000_s1144" type="#_x0000_t202" style="position:absolute;margin-left:123.25pt;margin-top:37.pt;width:88.799999999999997pt;height:11.300000000000001pt;z-index:-125829285;mso-wrap-distance-left:0;mso-wrap-distance-top:37.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交易性金融资产的投资</w:t>
                      </w:r>
                      <w:r>
                        <w:rPr>
                          <w:rFonts w:ascii="Arial" w:eastAsia="Arial" w:hAnsi="Arial" w:cs="Arial"/>
                          <w:color w:val="000000"/>
                          <w:spacing w:val="0"/>
                          <w:w w:val="100"/>
                          <w:position w:val="0"/>
                          <w:sz w:val="16"/>
                          <w:szCs w:val="16"/>
                        </w:rPr>
                        <w:t>6</w:t>
                      </w:r>
                    </w:p>
                  </w:txbxContent>
                </v:textbox>
                <w10:wrap type="topAndBottom" anchorx="page"/>
              </v:shape>
            </w:pict>
          </mc:Fallback>
        </mc:AlternateContent>
      </w:r>
      <w:r>
        <mc:AlternateContent>
          <mc:Choice Requires="wps">
            <w:drawing>
              <wp:anchor distT="485140" distB="0" distL="0" distR="0" simplePos="0" relativeHeight="125829470" behindDoc="0" locked="0" layoutInCell="1" allowOverlap="1">
                <wp:simplePos x="0" y="0"/>
                <wp:positionH relativeFrom="page">
                  <wp:posOffset>3558540</wp:posOffset>
                </wp:positionH>
                <wp:positionV relativeFrom="paragraph">
                  <wp:posOffset>485140</wp:posOffset>
                </wp:positionV>
                <wp:extent cx="402590" cy="128270"/>
                <wp:wrapTopAndBottom/>
                <wp:docPr id="120" name="Shape 120"/>
                <a:graphic xmlns:a="http://schemas.openxmlformats.org/drawingml/2006/main">
                  <a:graphicData uri="http://schemas.microsoft.com/office/word/2010/wordprocessingShape">
                    <wps:wsp>
                      <wps:cNvSpPr txBox="1"/>
                      <wps:spPr>
                        <a:xfrm>
                          <a:ext cx="402590" cy="1282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453,375</w:t>
                            </w:r>
                          </w:p>
                        </w:txbxContent>
                      </wps:txbx>
                      <wps:bodyPr wrap="none" lIns="0" tIns="0" rIns="0" bIns="0">
                        <a:noAutoFit/>
                      </wps:bodyPr>
                    </wps:wsp>
                  </a:graphicData>
                </a:graphic>
              </wp:anchor>
            </w:drawing>
          </mc:Choice>
          <mc:Fallback>
            <w:pict>
              <v:shape id="_x0000_s1146" type="#_x0000_t202" style="position:absolute;margin-left:280.19999999999999pt;margin-top:38.200000000000003pt;width:31.699999999999999pt;height:10.1pt;z-index:-125829283;mso-wrap-distance-left:0;mso-wrap-distance-top:38.200000000000003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453,375</w:t>
                      </w:r>
                    </w:p>
                  </w:txbxContent>
                </v:textbox>
                <w10:wrap type="topAndBottom" anchorx="page"/>
              </v:shape>
            </w:pict>
          </mc:Fallback>
        </mc:AlternateContent>
      </w:r>
      <w:r>
        <mc:AlternateContent>
          <mc:Choice Requires="wps">
            <w:drawing>
              <wp:anchor distT="469900" distB="0" distL="0" distR="0" simplePos="0" relativeHeight="125829472" behindDoc="0" locked="0" layoutInCell="1" allowOverlap="1">
                <wp:simplePos x="0" y="0"/>
                <wp:positionH relativeFrom="page">
                  <wp:posOffset>4512945</wp:posOffset>
                </wp:positionH>
                <wp:positionV relativeFrom="paragraph">
                  <wp:posOffset>469900</wp:posOffset>
                </wp:positionV>
                <wp:extent cx="621665" cy="143510"/>
                <wp:wrapTopAndBottom/>
                <wp:docPr id="122" name="Shape 122"/>
                <a:graphic xmlns:a="http://schemas.openxmlformats.org/drawingml/2006/main">
                  <a:graphicData uri="http://schemas.microsoft.com/office/word/2010/wordprocessingShape">
                    <wps:wsp>
                      <wps:cNvSpPr txBox="1"/>
                      <wps:spPr>
                        <a:xfrm>
                          <a:ext cx="62166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5"/>
                                <w:szCs w:val="15"/>
                              </w:rPr>
                              <w:t>资产基础法</w:t>
                            </w:r>
                            <w:r>
                              <w:rPr>
                                <w:rFonts w:ascii="Arial" w:eastAsia="Arial" w:hAnsi="Arial" w:cs="Arial"/>
                                <w:color w:val="000000"/>
                                <w:spacing w:val="0"/>
                                <w:w w:val="100"/>
                                <w:position w:val="0"/>
                                <w:sz w:val="16"/>
                                <w:szCs w:val="16"/>
                              </w:rPr>
                              <w:t>(i)</w:t>
                            </w:r>
                          </w:p>
                        </w:txbxContent>
                      </wps:txbx>
                      <wps:bodyPr wrap="none" lIns="0" tIns="0" rIns="0" bIns="0">
                        <a:noAutoFit/>
                      </wps:bodyPr>
                    </wps:wsp>
                  </a:graphicData>
                </a:graphic>
              </wp:anchor>
            </w:drawing>
          </mc:Choice>
          <mc:Fallback>
            <w:pict>
              <v:shape id="_x0000_s1148" type="#_x0000_t202" style="position:absolute;margin-left:355.35000000000002pt;margin-top:37.pt;width:48.950000000000003pt;height:11.300000000000001pt;z-index:-125829281;mso-wrap-distance-left:0;mso-wrap-distance-top:37.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5"/>
                          <w:szCs w:val="15"/>
                        </w:rPr>
                        <w:t>资产基础法</w:t>
                      </w:r>
                      <w:r>
                        <w:rPr>
                          <w:rFonts w:ascii="Arial" w:eastAsia="Arial" w:hAnsi="Arial" w:cs="Arial"/>
                          <w:color w:val="000000"/>
                          <w:spacing w:val="0"/>
                          <w:w w:val="100"/>
                          <w:position w:val="0"/>
                          <w:sz w:val="16"/>
                          <w:szCs w:val="16"/>
                        </w:rPr>
                        <w:t>(i)</w:t>
                      </w:r>
                    </w:p>
                  </w:txbxContent>
                </v:textbox>
                <w10:wrap type="topAndBottom" anchorx="page"/>
              </v:shape>
            </w:pict>
          </mc:Fallback>
        </mc:AlternateContent>
      </w:r>
    </w:p>
    <w:tbl>
      <w:tblPr>
        <w:tblOverlap w:val="never"/>
        <w:jc w:val="right"/>
        <w:tblLayout w:type="fixed"/>
      </w:tblPr>
      <w:tblGrid>
        <w:gridCol w:w="2059"/>
        <w:gridCol w:w="1829"/>
        <w:gridCol w:w="2026"/>
      </w:tblGrid>
      <w:tr>
        <w:trPr>
          <w:trHeight w:val="437"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第三层次公允价值计量的相关信息如下(续)：</w:t>
            </w:r>
          </w:p>
        </w:tc>
      </w:tr>
      <w:tr>
        <w:trPr>
          <w:trHeight w:val="8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right"/>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公允价值</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color w:val="000000"/>
                <w:spacing w:val="0"/>
                <w:w w:val="100"/>
                <w:position w:val="0"/>
                <w:sz w:val="15"/>
                <w:szCs w:val="15"/>
              </w:rPr>
              <w:t>估值技术_</w:t>
            </w:r>
          </w:p>
        </w:tc>
      </w:tr>
      <w:tr>
        <w:trPr>
          <w:trHeight w:val="69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交易性金融资产的投资</w:t>
            </w:r>
            <w:r>
              <w:rPr>
                <w:rFonts w:ascii="Arial" w:eastAsia="Arial" w:hAnsi="Arial" w:cs="Arial"/>
                <w:color w:val="000000"/>
                <w:spacing w:val="0"/>
                <w:w w:val="100"/>
                <w:position w:val="0"/>
                <w:sz w:val="16"/>
                <w:szCs w:val="16"/>
              </w:rPr>
              <w:t>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396,957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5"/>
                <w:szCs w:val="15"/>
              </w:rPr>
              <w:t>资产基础法</w:t>
            </w:r>
            <w:r>
              <w:rPr>
                <w:rFonts w:ascii="Arial" w:eastAsia="Arial" w:hAnsi="Arial" w:cs="Arial"/>
                <w:color w:val="000000"/>
                <w:spacing w:val="0"/>
                <w:w w:val="100"/>
                <w:position w:val="0"/>
                <w:sz w:val="16"/>
                <w:szCs w:val="16"/>
              </w:rPr>
              <w:t>(i)</w:t>
            </w:r>
          </w:p>
        </w:tc>
      </w:tr>
      <w:tr>
        <w:trPr>
          <w:trHeight w:val="54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其他非流动金融资产一</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color w:val="000000"/>
                <w:spacing w:val="0"/>
                <w:w w:val="100"/>
                <w:position w:val="0"/>
                <w:sz w:val="15"/>
                <w:szCs w:val="15"/>
              </w:rPr>
              <w:t>可比上市公司</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价值比率/股权价值</w:t>
            </w:r>
          </w:p>
        </w:tc>
      </w:tr>
      <w:tr>
        <w:trPr>
          <w:trHeight w:val="8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股权投资</w:t>
            </w:r>
            <w:r>
              <w:rPr>
                <w:rFonts w:ascii="Arial" w:eastAsia="Arial" w:hAnsi="Arial" w:cs="Arial"/>
                <w:color w:val="000000"/>
                <w:spacing w:val="0"/>
                <w:w w:val="100"/>
                <w:position w:val="0"/>
                <w:sz w:val="16"/>
                <w:szCs w:val="16"/>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10,932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color w:val="000000"/>
                <w:spacing w:val="0"/>
                <w:w w:val="100"/>
                <w:position w:val="0"/>
                <w:sz w:val="15"/>
                <w:szCs w:val="15"/>
              </w:rPr>
              <w:t>分配模型</w:t>
            </w:r>
          </w:p>
        </w:tc>
      </w:tr>
      <w:tr>
        <w:trPr>
          <w:trHeight w:val="10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股权投资</w:t>
            </w:r>
            <w:r>
              <w:rPr>
                <w:rFonts w:ascii="Arial" w:eastAsia="Arial" w:hAnsi="Arial" w:cs="Arial"/>
                <w:color w:val="000000"/>
                <w:spacing w:val="0"/>
                <w:w w:val="100"/>
                <w:position w:val="0"/>
                <w:sz w:val="16"/>
                <w:szCs w:val="16"/>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99,933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5"/>
                <w:szCs w:val="15"/>
              </w:rPr>
              <w:t>资产基础法</w:t>
            </w:r>
            <w:r>
              <w:rPr>
                <w:rFonts w:ascii="Arial" w:eastAsia="Arial" w:hAnsi="Arial" w:cs="Arial"/>
                <w:color w:val="000000"/>
                <w:spacing w:val="0"/>
                <w:w w:val="100"/>
                <w:position w:val="0"/>
                <w:sz w:val="16"/>
                <w:szCs w:val="16"/>
              </w:rPr>
              <w:t>(i)</w:t>
            </w:r>
          </w:p>
        </w:tc>
      </w:tr>
      <w:tr>
        <w:trPr>
          <w:trHeight w:val="44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5"/>
                <w:szCs w:val="15"/>
              </w:rPr>
              <w:t>股权投资</w:t>
            </w:r>
            <w:r>
              <w:rPr>
                <w:rFonts w:ascii="Arial" w:eastAsia="Arial" w:hAnsi="Arial" w:cs="Arial"/>
                <w:color w:val="000000"/>
                <w:spacing w:val="0"/>
                <w:w w:val="100"/>
                <w:position w:val="0"/>
                <w:sz w:val="16"/>
                <w:szCs w:val="16"/>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25,623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5"/>
                <w:szCs w:val="15"/>
              </w:rPr>
            </w:pPr>
            <w:r>
              <w:rPr>
                <w:rFonts w:ascii="SimSun" w:eastAsia="SimSun" w:hAnsi="SimSun" w:cs="SimSun"/>
                <w:color w:val="000000"/>
                <w:spacing w:val="0"/>
                <w:w w:val="100"/>
                <w:position w:val="0"/>
                <w:sz w:val="15"/>
                <w:szCs w:val="15"/>
              </w:rPr>
              <w:t>可比上市公司价值比率</w:t>
            </w:r>
          </w:p>
        </w:tc>
      </w:tr>
    </w:tbl>
    <w:p>
      <w:pPr>
        <w:sectPr>
          <w:footnotePr>
            <w:pos w:val="pageBottom"/>
            <w:numFmt w:val="decimal"/>
            <w:numStart w:val="1"/>
            <w:numRestart w:val="continuous"/>
            <w15:footnoteColumns w:val="1"/>
          </w:footnotePr>
          <w:pgSz w:w="8400" w:h="11900"/>
          <w:pgMar w:top="2383" w:right="31" w:bottom="2173" w:left="1241" w:header="0" w:footer="3" w:gutter="0"/>
          <w:cols w:space="720"/>
          <w:noEndnote/>
          <w:rtlGutter w:val="0"/>
          <w:docGrid w:linePitch="360"/>
        </w:sectPr>
      </w:pPr>
    </w:p>
    <w:tbl>
      <w:tblPr>
        <w:tblOverlap w:val="never"/>
        <w:jc w:val="left"/>
        <w:tblLayout w:type="fixed"/>
      </w:tblPr>
      <w:tblGrid>
        <w:gridCol w:w="1757"/>
        <w:gridCol w:w="1387"/>
        <w:gridCol w:w="2213"/>
        <w:gridCol w:w="1248"/>
      </w:tblGrid>
      <w:tr>
        <w:trPr>
          <w:trHeight w:val="211" w:hRule="exact"/>
        </w:trPr>
        <w:tc>
          <w:tcPr>
            <w:tcBorders/>
            <w:shd w:val="clear" w:color="auto" w:fill="FFFFFF"/>
            <w:vAlign w:val="top"/>
          </w:tcPr>
          <w:p>
            <w:pPr>
              <w:framePr w:w="6605" w:h="432" w:hSpace="5" w:vSpace="446" w:wrap="notBeside" w:vAnchor="text" w:hAnchor="text" w:x="101" w:y="447"/>
              <w:widowControl w:val="0"/>
              <w:rPr>
                <w:sz w:val="10"/>
                <w:szCs w:val="10"/>
              </w:rPr>
            </w:pPr>
          </w:p>
        </w:tc>
        <w:tc>
          <w:tcPr>
            <w:tcBorders/>
            <w:shd w:val="clear" w:color="auto" w:fill="FFFFFF"/>
            <w:vAlign w:val="top"/>
          </w:tcPr>
          <w:p>
            <w:pPr>
              <w:framePr w:w="6605" w:h="432" w:hSpace="5" w:vSpace="446" w:wrap="notBeside" w:vAnchor="text" w:hAnchor="text" w:x="101" w:y="447"/>
              <w:widowControl w:val="0"/>
              <w:rPr>
                <w:sz w:val="10"/>
                <w:szCs w:val="10"/>
              </w:rPr>
            </w:pPr>
          </w:p>
        </w:tc>
        <w:tc>
          <w:tcPr>
            <w:tcBorders/>
            <w:shd w:val="clear" w:color="auto" w:fill="FFFFFF"/>
            <w:vAlign w:val="top"/>
          </w:tcPr>
          <w:p>
            <w:pPr>
              <w:pStyle w:val="Style29"/>
              <w:keepNext w:val="0"/>
              <w:keepLines w:val="0"/>
              <w:framePr w:w="6605" w:h="432" w:hSpace="5" w:vSpace="446" w:wrap="notBeside" w:vAnchor="text" w:hAnchor="text" w:x="101" w:y="447"/>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与金融资产公允价值</w:t>
            </w:r>
          </w:p>
        </w:tc>
        <w:tc>
          <w:tcPr>
            <w:tcBorders/>
            <w:shd w:val="clear" w:color="auto" w:fill="FFFFFF"/>
            <w:vAlign w:val="top"/>
          </w:tcPr>
          <w:p>
            <w:pPr>
              <w:framePr w:w="6605" w:h="432" w:hSpace="5" w:vSpace="446" w:wrap="notBeside" w:vAnchor="text" w:hAnchor="text" w:x="101" w:y="447"/>
              <w:widowControl w:val="0"/>
              <w:rPr>
                <w:sz w:val="10"/>
                <w:szCs w:val="10"/>
              </w:rPr>
            </w:pPr>
          </w:p>
        </w:tc>
      </w:tr>
      <w:tr>
        <w:trPr>
          <w:trHeight w:val="221" w:hRule="exact"/>
        </w:trPr>
        <w:tc>
          <w:tcPr>
            <w:tcBorders/>
            <w:shd w:val="clear" w:color="auto" w:fill="FFFFFF"/>
            <w:vAlign w:val="top"/>
          </w:tcPr>
          <w:p>
            <w:pPr>
              <w:pStyle w:val="Style29"/>
              <w:keepNext w:val="0"/>
              <w:keepLines w:val="0"/>
              <w:framePr w:w="6605" w:h="432" w:hSpace="5" w:vSpace="446" w:wrap="notBeside" w:vAnchor="text" w:hAnchor="text" w:x="101" w:y="447"/>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投资标的评估值</w:t>
            </w:r>
          </w:p>
        </w:tc>
        <w:tc>
          <w:tcPr>
            <w:tcBorders/>
            <w:shd w:val="clear" w:color="auto" w:fill="FFFFFF"/>
            <w:vAlign w:val="top"/>
          </w:tcPr>
          <w:p>
            <w:pPr>
              <w:pStyle w:val="Style29"/>
              <w:keepNext w:val="0"/>
              <w:keepLines w:val="0"/>
              <w:framePr w:w="6605" w:h="432" w:hSpace="5" w:vSpace="446" w:wrap="notBeside" w:vAnchor="text" w:hAnchor="text" w:x="101" w:y="447"/>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944,446</w:t>
            </w:r>
          </w:p>
        </w:tc>
        <w:tc>
          <w:tcPr>
            <w:tcBorders/>
            <w:shd w:val="clear" w:color="auto" w:fill="FFFFFF"/>
            <w:vAlign w:val="top"/>
          </w:tcPr>
          <w:p>
            <w:pPr>
              <w:pStyle w:val="Style29"/>
              <w:keepNext w:val="0"/>
              <w:keepLines w:val="0"/>
              <w:framePr w:w="6605" w:h="432" w:hSpace="5" w:vSpace="446" w:wrap="notBeside" w:vAnchor="text" w:hAnchor="text" w:x="101" w:y="447"/>
              <w:widowControl w:val="0"/>
              <w:shd w:val="clear" w:color="auto" w:fill="auto"/>
              <w:bidi w:val="0"/>
              <w:spacing w:before="0" w:after="0" w:line="240" w:lineRule="auto"/>
              <w:ind w:left="0" w:right="0" w:firstLine="980"/>
              <w:jc w:val="left"/>
              <w:rPr>
                <w:sz w:val="15"/>
                <w:szCs w:val="15"/>
              </w:rPr>
            </w:pPr>
            <w:r>
              <w:rPr>
                <w:rFonts w:ascii="SimSun" w:eastAsia="SimSun" w:hAnsi="SimSun" w:cs="SimSun"/>
                <w:color w:val="000000"/>
                <w:spacing w:val="0"/>
                <w:w w:val="100"/>
                <w:position w:val="0"/>
                <w:sz w:val="15"/>
                <w:szCs w:val="15"/>
              </w:rPr>
              <w:t>同向变动</w:t>
            </w:r>
          </w:p>
        </w:tc>
        <w:tc>
          <w:tcPr>
            <w:tcBorders/>
            <w:shd w:val="clear" w:color="auto" w:fill="FFFFFF"/>
            <w:vAlign w:val="top"/>
          </w:tcPr>
          <w:p>
            <w:pPr>
              <w:pStyle w:val="Style29"/>
              <w:keepNext w:val="0"/>
              <w:keepLines w:val="0"/>
              <w:framePr w:w="6605" w:h="432" w:hSpace="5" w:vSpace="446" w:wrap="notBeside" w:vAnchor="text" w:hAnchor="text" w:x="101" w:y="447"/>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bl>
    <w:p>
      <w:pPr>
        <w:pStyle w:val="Style26"/>
        <w:keepNext w:val="0"/>
        <w:keepLines w:val="0"/>
        <w:framePr w:w="3984" w:h="211" w:hSpace="100" w:wrap="notBeside" w:vAnchor="text" w:hAnchor="text" w:x="907" w:y="1"/>
        <w:widowControl w:val="0"/>
        <w:shd w:val="clear" w:color="auto" w:fill="auto"/>
        <w:tabs>
          <w:tab w:pos="912" w:val="left"/>
        </w:tabs>
        <w:bidi w:val="0"/>
        <w:spacing w:before="0" w:after="0" w:line="240" w:lineRule="auto"/>
        <w:ind w:left="0" w:right="0" w:firstLine="0"/>
        <w:jc w:val="left"/>
        <w:rPr>
          <w:sz w:val="15"/>
          <w:szCs w:val="15"/>
        </w:rPr>
      </w:pPr>
      <w:r>
        <w:rPr>
          <w:color w:val="000000"/>
          <w:spacing w:val="0"/>
          <w:w w:val="100"/>
          <w:position w:val="0"/>
          <w:sz w:val="15"/>
          <w:szCs w:val="15"/>
        </w:rPr>
        <w:t>名称</w:t>
        <w:tab/>
        <w:t>范围/加权平均值与公允价值之间的关系</w:t>
      </w:r>
    </w:p>
    <w:p>
      <w:pPr>
        <w:pStyle w:val="Style26"/>
        <w:keepNext w:val="0"/>
        <w:keepLines w:val="0"/>
        <w:framePr w:w="1210" w:h="211" w:hSpace="100" w:wrap="notBeside" w:vAnchor="text" w:hAnchor="text" w:x="5501"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可观察/不可观察</w:t>
      </w:r>
    </w:p>
    <w:p>
      <w:pPr>
        <w:widowControl w:val="0"/>
        <w:spacing w:line="1" w:lineRule="exact"/>
      </w:pPr>
    </w:p>
    <w:tbl>
      <w:tblPr>
        <w:tblOverlap w:val="never"/>
        <w:jc w:val="center"/>
        <w:tblLayout w:type="fixed"/>
      </w:tblPr>
      <w:tblGrid>
        <w:gridCol w:w="1723"/>
        <w:gridCol w:w="1618"/>
        <w:gridCol w:w="2218"/>
        <w:gridCol w:w="1248"/>
      </w:tblGrid>
      <w:tr>
        <w:trPr>
          <w:trHeight w:val="1358" w:hRule="exact"/>
        </w:trPr>
        <w:tc>
          <w:tcPr>
            <w:tcBorders/>
            <w:shd w:val="clear" w:color="auto" w:fill="FFFFFF"/>
            <w:vAlign w:val="center"/>
          </w:tcPr>
          <w:p>
            <w:pPr>
              <w:pStyle w:val="Style29"/>
              <w:keepNext w:val="0"/>
              <w:keepLines w:val="0"/>
              <w:widowControl w:val="0"/>
              <w:shd w:val="clear" w:color="auto" w:fill="auto"/>
              <w:bidi w:val="0"/>
              <w:spacing w:before="0" w:after="240" w:line="240" w:lineRule="auto"/>
              <w:ind w:left="0" w:right="0" w:firstLine="0"/>
              <w:jc w:val="left"/>
              <w:rPr>
                <w:sz w:val="15"/>
                <w:szCs w:val="15"/>
              </w:rPr>
            </w:pPr>
            <w:r>
              <w:rPr>
                <w:rFonts w:ascii="SimSun" w:eastAsia="SimSun" w:hAnsi="SimSun" w:cs="SimSun"/>
                <w:color w:val="000000"/>
                <w:spacing w:val="0"/>
                <w:w w:val="100"/>
                <w:position w:val="0"/>
                <w:sz w:val="15"/>
                <w:szCs w:val="15"/>
              </w:rPr>
              <w:t>企业价值/销售收入</w:t>
            </w:r>
          </w:p>
          <w:p>
            <w:pPr>
              <w:pStyle w:val="Style29"/>
              <w:keepNext w:val="0"/>
              <w:keepLines w:val="0"/>
              <w:widowControl w:val="0"/>
              <w:shd w:val="clear" w:color="auto" w:fill="auto"/>
              <w:bidi w:val="0"/>
              <w:spacing w:before="0" w:after="240" w:line="240" w:lineRule="auto"/>
              <w:ind w:left="0" w:right="0" w:firstLine="0"/>
              <w:jc w:val="left"/>
              <w:rPr>
                <w:sz w:val="15"/>
                <w:szCs w:val="15"/>
              </w:rPr>
            </w:pPr>
            <w:r>
              <w:rPr>
                <w:rFonts w:ascii="SimSun" w:eastAsia="SimSun" w:hAnsi="SimSun" w:cs="SimSun"/>
                <w:color w:val="000000"/>
                <w:spacing w:val="0"/>
                <w:w w:val="100"/>
                <w:position w:val="0"/>
                <w:sz w:val="15"/>
                <w:szCs w:val="15"/>
              </w:rPr>
              <w:t>预计清算/赎回年限</w:t>
            </w:r>
          </w:p>
          <w:p>
            <w:pPr>
              <w:pStyle w:val="Style29"/>
              <w:keepNext w:val="0"/>
              <w:keepLines w:val="0"/>
              <w:widowControl w:val="0"/>
              <w:shd w:val="clear" w:color="auto" w:fill="auto"/>
              <w:bidi w:val="0"/>
              <w:spacing w:before="0" w:after="240" w:line="240" w:lineRule="auto"/>
              <w:ind w:left="0" w:right="0" w:firstLine="200"/>
              <w:jc w:val="left"/>
              <w:rPr>
                <w:sz w:val="15"/>
                <w:szCs w:val="15"/>
              </w:rPr>
            </w:pPr>
            <w:r>
              <w:rPr>
                <w:rFonts w:ascii="SimSun" w:eastAsia="SimSun" w:hAnsi="SimSun" w:cs="SimSun"/>
                <w:color w:val="000000"/>
                <w:spacing w:val="0"/>
                <w:w w:val="100"/>
                <w:position w:val="0"/>
                <w:sz w:val="15"/>
                <w:szCs w:val="15"/>
              </w:rPr>
              <w:t>缺乏流动性折扣</w:t>
            </w:r>
          </w:p>
        </w:tc>
        <w:tc>
          <w:tcPr>
            <w:tcBorders/>
            <w:shd w:val="clear" w:color="auto" w:fill="FFFFFF"/>
            <w:vAlign w:val="center"/>
          </w:tcPr>
          <w:p>
            <w:pPr>
              <w:pStyle w:val="Style29"/>
              <w:keepNext w:val="0"/>
              <w:keepLines w:val="0"/>
              <w:widowControl w:val="0"/>
              <w:shd w:val="clear" w:color="auto" w:fill="auto"/>
              <w:bidi w:val="0"/>
              <w:spacing w:before="0" w:after="220" w:line="240" w:lineRule="auto"/>
              <w:ind w:left="1100" w:right="0" w:firstLine="0"/>
              <w:jc w:val="left"/>
              <w:rPr>
                <w:sz w:val="16"/>
                <w:szCs w:val="16"/>
              </w:rPr>
            </w:pPr>
            <w:r>
              <w:rPr>
                <w:rFonts w:ascii="Arial" w:eastAsia="Arial" w:hAnsi="Arial" w:cs="Arial"/>
                <w:color w:val="000000"/>
                <w:spacing w:val="0"/>
                <w:w w:val="100"/>
                <w:position w:val="0"/>
                <w:sz w:val="16"/>
                <w:szCs w:val="16"/>
              </w:rPr>
              <w:t>3.84</w:t>
            </w:r>
          </w:p>
          <w:p>
            <w:pPr>
              <w:pStyle w:val="Style29"/>
              <w:keepNext w:val="0"/>
              <w:keepLines w:val="0"/>
              <w:widowControl w:val="0"/>
              <w:shd w:val="clear" w:color="auto" w:fill="auto"/>
              <w:bidi w:val="0"/>
              <w:spacing w:before="0" w:after="220" w:line="240" w:lineRule="auto"/>
              <w:ind w:left="0" w:right="0" w:firstLine="340"/>
              <w:jc w:val="left"/>
              <w:rPr>
                <w:sz w:val="15"/>
                <w:szCs w:val="15"/>
              </w:rPr>
            </w:pPr>
            <w:r>
              <w:rPr>
                <w:rFonts w:ascii="Arial" w:eastAsia="Arial" w:hAnsi="Arial" w:cs="Arial"/>
                <w:color w:val="000000"/>
                <w:spacing w:val="0"/>
                <w:w w:val="100"/>
                <w:position w:val="0"/>
                <w:sz w:val="16"/>
                <w:szCs w:val="16"/>
              </w:rPr>
              <w:t xml:space="preserve">0.67 </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 xml:space="preserve">/0.67 </w:t>
            </w:r>
            <w:r>
              <w:rPr>
                <w:rFonts w:ascii="SimSun" w:eastAsia="SimSun" w:hAnsi="SimSun" w:cs="SimSun"/>
                <w:color w:val="000000"/>
                <w:spacing w:val="0"/>
                <w:w w:val="100"/>
                <w:position w:val="0"/>
                <w:sz w:val="15"/>
                <w:szCs w:val="15"/>
              </w:rPr>
              <w:t>年</w:t>
            </w:r>
          </w:p>
          <w:p>
            <w:pPr>
              <w:pStyle w:val="Style29"/>
              <w:keepNext w:val="0"/>
              <w:keepLines w:val="0"/>
              <w:widowControl w:val="0"/>
              <w:shd w:val="clear" w:color="auto" w:fill="auto"/>
              <w:bidi w:val="0"/>
              <w:spacing w:before="0" w:after="220" w:line="240" w:lineRule="auto"/>
              <w:ind w:left="0" w:right="0" w:firstLine="880"/>
              <w:jc w:val="left"/>
              <w:rPr>
                <w:sz w:val="16"/>
                <w:szCs w:val="16"/>
              </w:rPr>
            </w:pPr>
            <w:r>
              <w:rPr>
                <w:rFonts w:ascii="Arial" w:eastAsia="Arial" w:hAnsi="Arial" w:cs="Arial"/>
                <w:color w:val="000000"/>
                <w:spacing w:val="0"/>
                <w:w w:val="100"/>
                <w:position w:val="0"/>
                <w:sz w:val="16"/>
                <w:szCs w:val="16"/>
              </w:rPr>
              <w:t>20.00%</w:t>
            </w:r>
          </w:p>
        </w:tc>
        <w:tc>
          <w:tcPr>
            <w:tcBorders/>
            <w:shd w:val="clear" w:color="auto" w:fill="FFFFFF"/>
            <w:vAlign w:val="top"/>
          </w:tcPr>
          <w:p>
            <w:pPr>
              <w:pStyle w:val="Style29"/>
              <w:keepNext w:val="0"/>
              <w:keepLines w:val="0"/>
              <w:widowControl w:val="0"/>
              <w:shd w:val="clear" w:color="auto" w:fill="auto"/>
              <w:bidi w:val="0"/>
              <w:spacing w:before="0" w:after="0" w:line="208" w:lineRule="exact"/>
              <w:ind w:left="0" w:right="580" w:firstLine="0"/>
              <w:jc w:val="right"/>
              <w:rPr>
                <w:sz w:val="15"/>
                <w:szCs w:val="15"/>
              </w:rPr>
            </w:pPr>
            <w:r>
              <w:rPr>
                <w:rFonts w:ascii="SimSun" w:eastAsia="SimSun" w:hAnsi="SimSun" w:cs="SimSun"/>
                <w:color w:val="000000"/>
                <w:spacing w:val="0"/>
                <w:w w:val="100"/>
                <w:position w:val="0"/>
                <w:sz w:val="15"/>
                <w:szCs w:val="15"/>
              </w:rPr>
              <w:t>与金融资产公允价值 同向变动 与金融资产公允价值 反向变动 与金融资产公允价值 反向变动</w:t>
            </w:r>
          </w:p>
        </w:tc>
        <w:tc>
          <w:tcPr>
            <w:tcBorders/>
            <w:shd w:val="clear" w:color="auto" w:fill="FFFFFF"/>
            <w:vAlign w:val="center"/>
          </w:tcPr>
          <w:p>
            <w:pPr>
              <w:pStyle w:val="Style29"/>
              <w:keepNext w:val="0"/>
              <w:keepLines w:val="0"/>
              <w:widowControl w:val="0"/>
              <w:shd w:val="clear" w:color="auto" w:fill="auto"/>
              <w:bidi w:val="0"/>
              <w:spacing w:before="0" w:after="24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p>
            <w:pPr>
              <w:pStyle w:val="Style29"/>
              <w:keepNext w:val="0"/>
              <w:keepLines w:val="0"/>
              <w:widowControl w:val="0"/>
              <w:shd w:val="clear" w:color="auto" w:fill="auto"/>
              <w:bidi w:val="0"/>
              <w:spacing w:before="0" w:after="24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p>
            <w:pPr>
              <w:pStyle w:val="Style29"/>
              <w:keepNext w:val="0"/>
              <w:keepLines w:val="0"/>
              <w:widowControl w:val="0"/>
              <w:shd w:val="clear" w:color="auto" w:fill="auto"/>
              <w:bidi w:val="0"/>
              <w:spacing w:before="0" w:after="24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65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投资标的评估值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1,065,001</w:t>
            </w:r>
          </w:p>
        </w:tc>
        <w:tc>
          <w:tcPr>
            <w:tcBorders/>
            <w:shd w:val="clear" w:color="auto" w:fill="FFFFFF"/>
            <w:vAlign w:val="center"/>
          </w:tcPr>
          <w:p>
            <w:pPr>
              <w:pStyle w:val="Style29"/>
              <w:keepNext w:val="0"/>
              <w:keepLines w:val="0"/>
              <w:widowControl w:val="0"/>
              <w:shd w:val="clear" w:color="auto" w:fill="auto"/>
              <w:bidi w:val="0"/>
              <w:spacing w:before="0" w:after="0" w:line="211" w:lineRule="exact"/>
              <w:ind w:left="980" w:right="0" w:hanging="800"/>
              <w:jc w:val="left"/>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52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15"/>
                <w:szCs w:val="15"/>
              </w:rPr>
            </w:pPr>
            <w:r>
              <w:rPr>
                <w:rFonts w:ascii="SimSun" w:eastAsia="SimSun" w:hAnsi="SimSun" w:cs="SimSun"/>
                <w:color w:val="000000"/>
                <w:spacing w:val="0"/>
                <w:w w:val="100"/>
                <w:position w:val="0"/>
                <w:sz w:val="15"/>
                <w:szCs w:val="15"/>
              </w:rPr>
              <w:t>市销率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29"/>
              <w:keepNext w:val="0"/>
              <w:keepLines w:val="0"/>
              <w:widowControl w:val="0"/>
              <w:shd w:val="clear" w:color="auto" w:fill="auto"/>
              <w:bidi w:val="0"/>
              <w:spacing w:before="0" w:after="0" w:line="211" w:lineRule="exact"/>
              <w:ind w:left="980" w:right="0" w:hanging="800"/>
              <w:jc w:val="left"/>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53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缺乏流动性折扣</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30.00%</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80"/>
              <w:jc w:val="both"/>
              <w:rPr>
                <w:sz w:val="15"/>
                <w:szCs w:val="15"/>
              </w:rPr>
            </w:pPr>
            <w:r>
              <w:rPr>
                <w:rFonts w:ascii="SimSun" w:eastAsia="SimSun" w:hAnsi="SimSun" w:cs="SimSun"/>
                <w:color w:val="000000"/>
                <w:spacing w:val="0"/>
                <w:w w:val="100"/>
                <w:position w:val="0"/>
                <w:sz w:val="15"/>
                <w:szCs w:val="15"/>
              </w:rPr>
              <w:t>与金融资产公允价值</w:t>
            </w:r>
          </w:p>
          <w:p>
            <w:pPr>
              <w:pStyle w:val="Style29"/>
              <w:keepNext w:val="0"/>
              <w:keepLines w:val="0"/>
              <w:widowControl w:val="0"/>
              <w:shd w:val="clear" w:color="auto" w:fill="auto"/>
              <w:bidi w:val="0"/>
              <w:spacing w:before="0" w:after="0" w:line="240" w:lineRule="auto"/>
              <w:ind w:left="0" w:right="0" w:firstLine="980"/>
              <w:jc w:val="both"/>
              <w:rPr>
                <w:sz w:val="15"/>
                <w:szCs w:val="15"/>
              </w:rPr>
            </w:pPr>
            <w:r>
              <w:rPr>
                <w:rFonts w:ascii="SimSun" w:eastAsia="SimSun" w:hAnsi="SimSun" w:cs="SimSun"/>
                <w:color w:val="000000"/>
                <w:spacing w:val="0"/>
                <w:w w:val="100"/>
                <w:position w:val="0"/>
                <w:sz w:val="15"/>
                <w:szCs w:val="15"/>
              </w:rPr>
              <w:t>反向变动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r>
        <w:trPr>
          <w:trHeight w:val="55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投资标的评估值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2,267,957</w:t>
            </w:r>
          </w:p>
        </w:tc>
        <w:tc>
          <w:tcPr>
            <w:tcBorders/>
            <w:shd w:val="clear" w:color="auto" w:fill="FFFFFF"/>
            <w:vAlign w:val="bottom"/>
          </w:tcPr>
          <w:p>
            <w:pPr>
              <w:pStyle w:val="Style29"/>
              <w:keepNext w:val="0"/>
              <w:keepLines w:val="0"/>
              <w:widowControl w:val="0"/>
              <w:shd w:val="clear" w:color="auto" w:fill="auto"/>
              <w:bidi w:val="0"/>
              <w:spacing w:before="0" w:after="0" w:line="211" w:lineRule="exact"/>
              <w:ind w:left="980" w:right="0" w:hanging="800"/>
              <w:jc w:val="left"/>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不可观察</w:t>
            </w:r>
          </w:p>
        </w:tc>
      </w:tr>
    </w:tbl>
    <w:p>
      <w:pPr>
        <w:sectPr>
          <w:footnotePr>
            <w:pos w:val="pageBottom"/>
            <w:numFmt w:val="decimal"/>
            <w:numStart w:val="1"/>
            <w:numRestart w:val="continuous"/>
            <w15:footnoteColumns w:val="1"/>
          </w:footnotePr>
          <w:pgSz w:w="8400" w:h="11900"/>
          <w:pgMar w:top="4543" w:right="1436" w:bottom="2178" w:left="153" w:header="0" w:footer="3" w:gutter="0"/>
          <w:cols w:space="720"/>
          <w:noEndnote/>
          <w:rtlGutter w:val="0"/>
          <w:docGrid w:linePitch="360"/>
        </w:sectPr>
      </w:pPr>
    </w:p>
    <w:p>
      <w:pPr>
        <w:pStyle w:val="Style72"/>
        <w:keepNext w:val="0"/>
        <w:keepLines w:val="0"/>
        <w:widowControl w:val="0"/>
        <w:shd w:val="clear" w:color="auto" w:fill="auto"/>
        <w:bidi w:val="0"/>
        <w:spacing w:before="0" w:after="300" w:line="240" w:lineRule="auto"/>
        <w:ind w:left="0" w:right="0" w:firstLine="560"/>
        <w:jc w:val="left"/>
      </w:pPr>
      <w:r>
        <w:rPr>
          <w:b/>
          <w:bCs/>
          <w:color w:val="000000"/>
          <w:spacing w:val="0"/>
          <w:w w:val="100"/>
          <w:position w:val="0"/>
          <w:sz w:val="24"/>
          <w:szCs w:val="24"/>
        </w:rPr>
        <w:t>十四公允价值估计（续）</w:t>
      </w:r>
    </w:p>
    <w:p>
      <w:pPr>
        <w:pStyle w:val="Style72"/>
        <w:keepNext w:val="0"/>
        <w:keepLines w:val="0"/>
        <w:widowControl w:val="0"/>
        <w:shd w:val="clear" w:color="auto" w:fill="auto"/>
        <w:tabs>
          <w:tab w:pos="1203" w:val="left"/>
        </w:tabs>
        <w:bidi w:val="0"/>
        <w:spacing w:before="0" w:after="220" w:line="240" w:lineRule="auto"/>
        <w:ind w:left="0" w:right="0" w:firstLine="560"/>
        <w:jc w:val="left"/>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持续的以公允价值后续计量的资产和负债（续）</w:t>
      </w:r>
    </w:p>
    <w:p>
      <w:pPr>
        <w:pStyle w:val="Style72"/>
        <w:keepNext w:val="0"/>
        <w:keepLines w:val="0"/>
        <w:widowControl w:val="0"/>
        <w:shd w:val="clear" w:color="auto" w:fill="auto"/>
        <w:bidi w:val="0"/>
        <w:spacing w:before="0" w:after="300" w:line="240" w:lineRule="auto"/>
        <w:ind w:left="1280" w:right="0" w:firstLine="0"/>
        <w:jc w:val="left"/>
      </w:pPr>
      <w:r>
        <w:rPr>
          <w:color w:val="000000"/>
          <w:spacing w:val="0"/>
          <w:w w:val="100"/>
          <w:position w:val="0"/>
          <w:sz w:val="24"/>
          <w:szCs w:val="24"/>
        </w:rPr>
        <w:t>第三层次公允价值计量的相关信息如下（续）：</w:t>
      </w:r>
    </w:p>
    <w:tbl>
      <w:tblPr>
        <w:tblOverlap w:val="never"/>
        <w:jc w:val="right"/>
        <w:tblLayout w:type="fixed"/>
      </w:tblPr>
      <w:tblGrid>
        <w:gridCol w:w="2150"/>
        <w:gridCol w:w="1742"/>
        <w:gridCol w:w="1742"/>
      </w:tblGrid>
      <w:tr>
        <w:trPr>
          <w:trHeight w:val="67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公允价值</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估值技术</w:t>
            </w:r>
          </w:p>
        </w:tc>
      </w:tr>
      <w:tr>
        <w:trPr>
          <w:trHeight w:val="888" w:hRule="exact"/>
        </w:trPr>
        <w:tc>
          <w:tcPr>
            <w:tcBorders/>
            <w:shd w:val="clear" w:color="auto" w:fill="FFFFFF"/>
            <w:vAlign w:val="bottom"/>
          </w:tcPr>
          <w:p>
            <w:pPr>
              <w:pStyle w:val="Style29"/>
              <w:keepNext w:val="0"/>
              <w:keepLines w:val="0"/>
              <w:widowControl w:val="0"/>
              <w:shd w:val="clear" w:color="auto" w:fill="auto"/>
              <w:bidi w:val="0"/>
              <w:spacing w:before="0" w:after="240" w:line="240" w:lineRule="auto"/>
              <w:ind w:left="0" w:right="0" w:firstLine="0"/>
              <w:jc w:val="left"/>
              <w:rPr>
                <w:sz w:val="15"/>
                <w:szCs w:val="15"/>
              </w:rPr>
            </w:pPr>
            <w:r>
              <w:rPr>
                <w:rFonts w:ascii="SimSun" w:eastAsia="SimSun" w:hAnsi="SimSun" w:cs="SimSun"/>
                <w:color w:val="000000"/>
                <w:spacing w:val="0"/>
                <w:w w:val="100"/>
                <w:position w:val="0"/>
                <w:sz w:val="15"/>
                <w:szCs w:val="15"/>
              </w:rPr>
              <w:t>其他非流动金融资产（续）一</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理财产品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40,114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收益法</w:t>
            </w:r>
          </w:p>
        </w:tc>
      </w:tr>
      <w:tr>
        <w:trPr>
          <w:trHeight w:val="82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优先股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11" w:lineRule="exact"/>
              <w:ind w:left="0" w:right="0" w:firstLine="0"/>
              <w:jc w:val="right"/>
              <w:rPr>
                <w:sz w:val="15"/>
                <w:szCs w:val="15"/>
              </w:rPr>
            </w:pPr>
            <w:r>
              <w:rPr>
                <w:rFonts w:ascii="SimSun" w:eastAsia="SimSun" w:hAnsi="SimSun" w:cs="SimSun"/>
                <w:color w:val="000000"/>
                <w:spacing w:val="0"/>
                <w:w w:val="100"/>
                <w:position w:val="0"/>
                <w:sz w:val="15"/>
                <w:szCs w:val="15"/>
              </w:rPr>
              <w:t>可比上市公司 价值比率/股权价值 分配模型</w:t>
            </w:r>
          </w:p>
        </w:tc>
      </w:tr>
      <w:tr>
        <w:trPr>
          <w:trHeight w:val="62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可转债</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叽金流量折现法/股权价</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值分配模型</w:t>
            </w:r>
          </w:p>
        </w:tc>
      </w:tr>
    </w:tbl>
    <w:p>
      <w:pPr>
        <w:sectPr>
          <w:footnotePr>
            <w:pos w:val="pageBottom"/>
            <w:numFmt w:val="decimal"/>
            <w:numStart w:val="1"/>
            <w:numRestart w:val="continuous"/>
            <w15:footnoteColumns w:val="1"/>
          </w:footnotePr>
          <w:pgSz w:w="8400" w:h="11900"/>
          <w:pgMar w:top="2413" w:right="356" w:bottom="2413" w:left="1128" w:header="0" w:footer="3" w:gutter="0"/>
          <w:cols w:space="720"/>
          <w:noEndnote/>
          <w:rtlGutter w:val="0"/>
          <w:docGrid w:linePitch="360"/>
        </w:sectPr>
      </w:pPr>
    </w:p>
    <w:tbl>
      <w:tblPr>
        <w:tblOverlap w:val="never"/>
        <w:jc w:val="center"/>
        <w:tblLayout w:type="fixed"/>
      </w:tblPr>
      <w:tblGrid>
        <w:gridCol w:w="1738"/>
        <w:gridCol w:w="1589"/>
        <w:gridCol w:w="2035"/>
        <w:gridCol w:w="1555"/>
      </w:tblGrid>
      <w:tr>
        <w:trPr>
          <w:trHeight w:val="25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color w:val="000000"/>
                <w:spacing w:val="0"/>
                <w:w w:val="100"/>
                <w:position w:val="0"/>
                <w:sz w:val="15"/>
                <w:szCs w:val="15"/>
              </w:rPr>
              <w:t>名称</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范围/加权平均值</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与公允价值之间的关系</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可观察/不可观察</w:t>
            </w:r>
          </w:p>
        </w:tc>
      </w:tr>
      <w:tr>
        <w:trPr>
          <w:trHeight w:val="99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预期收益率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11" w:lineRule="exact"/>
              <w:ind w:left="1040" w:right="0" w:hanging="800"/>
              <w:jc w:val="left"/>
              <w:rPr>
                <w:sz w:val="15"/>
                <w:szCs w:val="15"/>
              </w:rPr>
            </w:pPr>
            <w:r>
              <w:rPr>
                <w:rFonts w:ascii="SimSun" w:eastAsia="SimSun" w:hAnsi="SimSun" w:cs="SimSun"/>
                <w:color w:val="000000"/>
                <w:spacing w:val="0"/>
                <w:w w:val="100"/>
                <w:position w:val="0"/>
                <w:sz w:val="15"/>
                <w:szCs w:val="15"/>
              </w:rPr>
              <w:t>与金融资产公允价值 同向变动</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5"/>
                <w:szCs w:val="15"/>
              </w:rPr>
            </w:pPr>
            <w:r>
              <w:rPr>
                <w:rFonts w:ascii="SimSun" w:eastAsia="SimSun" w:hAnsi="SimSun" w:cs="SimSun"/>
                <w:color w:val="000000"/>
                <w:spacing w:val="0"/>
                <w:w w:val="100"/>
                <w:position w:val="0"/>
                <w:sz w:val="15"/>
                <w:szCs w:val="15"/>
              </w:rPr>
              <w:t>不可观察</w:t>
            </w:r>
          </w:p>
        </w:tc>
      </w:tr>
      <w:tr>
        <w:trPr>
          <w:trHeight w:val="52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企业价值/销售收入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7.28</w:t>
            </w:r>
          </w:p>
        </w:tc>
        <w:tc>
          <w:tcPr>
            <w:tcBorders/>
            <w:shd w:val="clear" w:color="auto" w:fill="FFFFFF"/>
            <w:vAlign w:val="bottom"/>
          </w:tcPr>
          <w:p>
            <w:pPr>
              <w:pStyle w:val="Style29"/>
              <w:keepNext w:val="0"/>
              <w:keepLines w:val="0"/>
              <w:widowControl w:val="0"/>
              <w:shd w:val="clear" w:color="auto" w:fill="auto"/>
              <w:bidi w:val="0"/>
              <w:spacing w:before="0" w:after="0" w:line="211" w:lineRule="exact"/>
              <w:ind w:left="1040" w:right="0" w:hanging="800"/>
              <w:jc w:val="left"/>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5"/>
                <w:szCs w:val="15"/>
              </w:rPr>
            </w:pPr>
            <w:r>
              <w:rPr>
                <w:rFonts w:ascii="SimSun" w:eastAsia="SimSun" w:hAnsi="SimSun" w:cs="SimSun"/>
                <w:color w:val="000000"/>
                <w:spacing w:val="0"/>
                <w:w w:val="100"/>
                <w:position w:val="0"/>
                <w:sz w:val="15"/>
                <w:szCs w:val="15"/>
              </w:rPr>
              <w:t>不可观察</w:t>
            </w:r>
          </w:p>
        </w:tc>
      </w:tr>
      <w:tr>
        <w:trPr>
          <w:trHeight w:val="41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预计清算/赎回年限</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6"/>
                <w:szCs w:val="16"/>
              </w:rPr>
              <w:t xml:space="preserve">NA/2.5 </w:t>
            </w:r>
            <w:r>
              <w:rPr>
                <w:rFonts w:ascii="SimSun" w:eastAsia="SimSun" w:hAnsi="SimSun" w:cs="SimSun"/>
                <w:color w:val="000000"/>
                <w:spacing w:val="0"/>
                <w:w w:val="100"/>
                <w:position w:val="0"/>
                <w:sz w:val="15"/>
                <w:szCs w:val="15"/>
              </w:rPr>
              <w:t>年</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240"/>
              <w:jc w:val="left"/>
              <w:rPr>
                <w:sz w:val="15"/>
                <w:szCs w:val="15"/>
              </w:rPr>
            </w:pPr>
            <w:r>
              <w:rPr>
                <w:rFonts w:ascii="SimSun" w:eastAsia="SimSun" w:hAnsi="SimSun" w:cs="SimSun"/>
                <w:color w:val="000000"/>
                <w:spacing w:val="0"/>
                <w:w w:val="100"/>
                <w:position w:val="0"/>
                <w:sz w:val="15"/>
                <w:szCs w:val="15"/>
              </w:rPr>
              <w:t>与金融资产公允价值</w:t>
            </w:r>
          </w:p>
          <w:p>
            <w:pPr>
              <w:pStyle w:val="Style29"/>
              <w:keepNext w:val="0"/>
              <w:keepLines w:val="0"/>
              <w:widowControl w:val="0"/>
              <w:shd w:val="clear" w:color="auto" w:fill="auto"/>
              <w:bidi w:val="0"/>
              <w:spacing w:before="0" w:after="0" w:line="240" w:lineRule="auto"/>
              <w:ind w:left="1040" w:right="0" w:firstLine="0"/>
              <w:jc w:val="left"/>
              <w:rPr>
                <w:sz w:val="15"/>
                <w:szCs w:val="15"/>
              </w:rPr>
            </w:pPr>
            <w:r>
              <w:rPr>
                <w:rFonts w:ascii="SimSun" w:eastAsia="SimSun" w:hAnsi="SimSun" w:cs="SimSun"/>
                <w:color w:val="000000"/>
                <w:spacing w:val="0"/>
                <w:w w:val="100"/>
                <w:position w:val="0"/>
                <w:sz w:val="15"/>
                <w:szCs w:val="15"/>
              </w:rPr>
              <w:t>反向变动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5"/>
                <w:szCs w:val="15"/>
              </w:rPr>
            </w:pPr>
            <w:r>
              <w:rPr>
                <w:rFonts w:ascii="SimSun" w:eastAsia="SimSun" w:hAnsi="SimSun" w:cs="SimSun"/>
                <w:color w:val="000000"/>
                <w:spacing w:val="0"/>
                <w:w w:val="100"/>
                <w:position w:val="0"/>
                <w:sz w:val="15"/>
                <w:szCs w:val="15"/>
              </w:rPr>
              <w:t>不可观察</w:t>
            </w:r>
          </w:p>
        </w:tc>
      </w:tr>
      <w:tr>
        <w:trPr>
          <w:trHeight w:val="41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5"/>
                <w:szCs w:val="15"/>
              </w:rPr>
            </w:pPr>
            <w:r>
              <w:rPr>
                <w:rFonts w:ascii="SimSun" w:eastAsia="SimSun" w:hAnsi="SimSun" w:cs="SimSun"/>
                <w:color w:val="000000"/>
                <w:spacing w:val="0"/>
                <w:w w:val="100"/>
                <w:position w:val="0"/>
                <w:sz w:val="15"/>
                <w:szCs w:val="15"/>
              </w:rPr>
              <w:t>折现率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20.00%</w:t>
            </w:r>
          </w:p>
        </w:tc>
        <w:tc>
          <w:tcPr>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240"/>
              <w:jc w:val="left"/>
              <w:rPr>
                <w:sz w:val="15"/>
                <w:szCs w:val="15"/>
              </w:rPr>
            </w:pPr>
            <w:r>
              <w:rPr>
                <w:rFonts w:ascii="SimSun" w:eastAsia="SimSun" w:hAnsi="SimSun" w:cs="SimSun"/>
                <w:color w:val="000000"/>
                <w:spacing w:val="0"/>
                <w:w w:val="100"/>
                <w:position w:val="0"/>
                <w:sz w:val="15"/>
                <w:szCs w:val="15"/>
              </w:rPr>
              <w:t>与金融资产公允价值</w:t>
            </w:r>
          </w:p>
          <w:p>
            <w:pPr>
              <w:pStyle w:val="Style29"/>
              <w:keepNext w:val="0"/>
              <w:keepLines w:val="0"/>
              <w:widowControl w:val="0"/>
              <w:shd w:val="clear" w:color="auto" w:fill="auto"/>
              <w:bidi w:val="0"/>
              <w:spacing w:before="0" w:after="0" w:line="240" w:lineRule="auto"/>
              <w:ind w:left="1040" w:right="0" w:firstLine="0"/>
              <w:jc w:val="left"/>
              <w:rPr>
                <w:sz w:val="15"/>
                <w:szCs w:val="15"/>
              </w:rPr>
            </w:pPr>
            <w:r>
              <w:rPr>
                <w:rFonts w:ascii="SimSun" w:eastAsia="SimSun" w:hAnsi="SimSun" w:cs="SimSun"/>
                <w:color w:val="000000"/>
                <w:spacing w:val="0"/>
                <w:w w:val="100"/>
                <w:position w:val="0"/>
                <w:sz w:val="15"/>
                <w:szCs w:val="15"/>
              </w:rPr>
              <w:t>反向变动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5"/>
                <w:szCs w:val="15"/>
              </w:rPr>
            </w:pPr>
            <w:r>
              <w:rPr>
                <w:rFonts w:ascii="SimSun" w:eastAsia="SimSun" w:hAnsi="SimSun" w:cs="SimSun"/>
                <w:color w:val="000000"/>
                <w:spacing w:val="0"/>
                <w:w w:val="100"/>
                <w:position w:val="0"/>
                <w:sz w:val="15"/>
                <w:szCs w:val="15"/>
              </w:rPr>
              <w:t>不可观察</w:t>
            </w:r>
          </w:p>
        </w:tc>
      </w:tr>
      <w:tr>
        <w:trPr>
          <w:trHeight w:val="4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永续增长率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2.50%</w:t>
            </w:r>
          </w:p>
        </w:tc>
        <w:tc>
          <w:tcPr>
            <w:tcBorders/>
            <w:shd w:val="clear" w:color="auto" w:fill="FFFFFF"/>
            <w:vAlign w:val="bottom"/>
          </w:tcPr>
          <w:p>
            <w:pPr>
              <w:pStyle w:val="Style29"/>
              <w:keepNext w:val="0"/>
              <w:keepLines w:val="0"/>
              <w:widowControl w:val="0"/>
              <w:shd w:val="clear" w:color="auto" w:fill="auto"/>
              <w:bidi w:val="0"/>
              <w:spacing w:before="0" w:after="0" w:line="211" w:lineRule="exact"/>
              <w:ind w:left="1040" w:right="0" w:hanging="800"/>
              <w:jc w:val="left"/>
              <w:rPr>
                <w:sz w:val="15"/>
                <w:szCs w:val="15"/>
              </w:rPr>
            </w:pPr>
            <w:r>
              <w:rPr>
                <w:rFonts w:ascii="SimSun" w:eastAsia="SimSun" w:hAnsi="SimSun" w:cs="SimSun"/>
                <w:color w:val="000000"/>
                <w:spacing w:val="0"/>
                <w:w w:val="100"/>
                <w:position w:val="0"/>
                <w:sz w:val="15"/>
                <w:szCs w:val="15"/>
              </w:rPr>
              <w:t>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5"/>
                <w:szCs w:val="15"/>
              </w:rPr>
            </w:pPr>
            <w:r>
              <w:rPr>
                <w:rFonts w:ascii="SimSun" w:eastAsia="SimSun" w:hAnsi="SimSun" w:cs="SimSun"/>
                <w:color w:val="000000"/>
                <w:spacing w:val="0"/>
                <w:w w:val="100"/>
                <w:position w:val="0"/>
                <w:sz w:val="15"/>
                <w:szCs w:val="15"/>
              </w:rPr>
              <w:t>不可观察</w:t>
            </w:r>
          </w:p>
        </w:tc>
      </w:tr>
    </w:tbl>
    <w:p>
      <w:pPr>
        <w:sectPr>
          <w:footnotePr>
            <w:pos w:val="pageBottom"/>
            <w:numFmt w:val="decimal"/>
            <w:numStart w:val="1"/>
            <w:numRestart w:val="continuous"/>
            <w15:footnoteColumns w:val="1"/>
          </w:footnotePr>
          <w:pgSz w:w="8400" w:h="11900"/>
          <w:pgMar w:top="4461" w:right="1460" w:bottom="4424" w:left="24" w:header="0" w:footer="3" w:gutter="0"/>
          <w:cols w:space="720"/>
          <w:noEndnote/>
          <w:rtlGutter w:val="0"/>
          <w:docGrid w:linePitch="360"/>
        </w:sectPr>
      </w:pPr>
    </w:p>
    <w:p>
      <w:pPr>
        <w:pStyle w:val="Style7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十四公允价值估计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220" w:line="240" w:lineRule="auto"/>
        <w:ind w:left="0" w:right="0" w:firstLine="0"/>
        <w:jc w:val="left"/>
      </w:pPr>
      <w:r>
        <w:rPr>
          <w:rFonts w:ascii="Arial" w:eastAsia="Arial" w:hAnsi="Arial" w:cs="Arial"/>
          <w:color w:val="000000"/>
          <w:spacing w:val="0"/>
          <w:w w:val="100"/>
          <w:position w:val="0"/>
          <w:sz w:val="24"/>
          <w:szCs w:val="24"/>
        </w:rPr>
        <w:t xml:space="preserve">（1） </w:t>
      </w:r>
      <w:r>
        <w:rPr>
          <w:b/>
          <w:bCs/>
          <w:color w:val="000000"/>
          <w:spacing w:val="0"/>
          <w:w w:val="100"/>
          <w:position w:val="0"/>
          <w:sz w:val="24"/>
          <w:szCs w:val="24"/>
        </w:rPr>
        <w:t>持续的以公允价值后续计量的资产和负债</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bidi w:val="0"/>
        <w:spacing w:before="0" w:after="300" w:line="240" w:lineRule="auto"/>
        <w:ind w:left="0" w:right="0" w:firstLine="700"/>
        <w:jc w:val="left"/>
      </w:pPr>
      <w:r>
        <w:rPr>
          <w:color w:val="000000"/>
          <w:spacing w:val="0"/>
          <w:w w:val="100"/>
          <w:position w:val="0"/>
          <w:sz w:val="24"/>
          <w:szCs w:val="24"/>
        </w:rPr>
        <w:t>第三层次公允价值计量的相关信息如下</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tbl>
      <w:tblPr>
        <w:tblOverlap w:val="never"/>
        <w:jc w:val="center"/>
        <w:tblLayout w:type="fixed"/>
      </w:tblPr>
      <w:tblGrid>
        <w:gridCol w:w="2078"/>
        <w:gridCol w:w="1714"/>
        <w:gridCol w:w="2160"/>
        <w:gridCol w:w="1800"/>
        <w:gridCol w:w="1594"/>
        <w:gridCol w:w="2030"/>
        <w:gridCol w:w="1603"/>
      </w:tblGrid>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w:t>
            </w: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p>
            <w:pPr>
              <w:pStyle w:val="Style29"/>
              <w:keepNext w:val="0"/>
              <w:keepLines w:val="0"/>
              <w:widowControl w:val="0"/>
              <w:shd w:val="clear" w:color="auto" w:fill="auto"/>
              <w:bidi w:val="0"/>
              <w:spacing w:before="0" w:after="0" w:line="240" w:lineRule="auto"/>
              <w:ind w:left="0" w:right="180" w:firstLine="0"/>
              <w:jc w:val="right"/>
              <w:rPr>
                <w:sz w:val="15"/>
                <w:szCs w:val="15"/>
              </w:rPr>
            </w:pPr>
            <w:r>
              <w:rPr>
                <w:rFonts w:ascii="SimSun" w:eastAsia="SimSun" w:hAnsi="SimSun" w:cs="SimSun"/>
                <w:color w:val="000000"/>
                <w:spacing w:val="0"/>
                <w:w w:val="100"/>
                <w:position w:val="0"/>
                <w:sz w:val="15"/>
                <w:szCs w:val="15"/>
              </w:rPr>
              <w:t>公允价值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5"/>
                <w:szCs w:val="15"/>
              </w:rPr>
            </w:pPr>
            <w:r>
              <w:rPr>
                <w:rFonts w:ascii="SimSun" w:eastAsia="SimSun" w:hAnsi="SimSun" w:cs="SimSun"/>
                <w:color w:val="000000"/>
                <w:spacing w:val="0"/>
                <w:w w:val="100"/>
                <w:position w:val="0"/>
                <w:sz w:val="15"/>
                <w:szCs w:val="15"/>
              </w:rPr>
              <w:t>估值技术</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输入值</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15"/>
                <w:szCs w:val="15"/>
              </w:rPr>
            </w:pPr>
            <w:r>
              <w:rPr>
                <w:rFonts w:ascii="SimSun" w:eastAsia="SimSun" w:hAnsi="SimSun" w:cs="SimSun"/>
                <w:color w:val="000000"/>
                <w:spacing w:val="0"/>
                <w:w w:val="100"/>
                <w:position w:val="0"/>
                <w:sz w:val="15"/>
                <w:szCs w:val="15"/>
              </w:rPr>
              <w:t>名称</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范围</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加权平均值</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15"/>
                <w:szCs w:val="15"/>
              </w:rPr>
            </w:pPr>
            <w:r>
              <w:rPr>
                <w:rFonts w:ascii="SimSun" w:eastAsia="SimSun" w:hAnsi="SimSun" w:cs="SimSun"/>
                <w:color w:val="000000"/>
                <w:spacing w:val="0"/>
                <w:w w:val="100"/>
                <w:position w:val="0"/>
                <w:sz w:val="15"/>
                <w:szCs w:val="15"/>
              </w:rPr>
              <w:t>与公允价值之间的关系</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可观察</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不可观察</w:t>
            </w:r>
          </w:p>
        </w:tc>
      </w:tr>
      <w:tr>
        <w:trPr>
          <w:trHeight w:val="1858" w:hRule="exact"/>
        </w:trPr>
        <w:tc>
          <w:tcPr>
            <w:tcBorders/>
            <w:shd w:val="clear" w:color="auto" w:fill="FFFFFF"/>
            <w:vAlign w:val="center"/>
          </w:tcPr>
          <w:p>
            <w:pPr>
              <w:pStyle w:val="Style29"/>
              <w:keepNext w:val="0"/>
              <w:keepLines w:val="0"/>
              <w:widowControl w:val="0"/>
              <w:shd w:val="clear" w:color="auto" w:fill="auto"/>
              <w:bidi w:val="0"/>
              <w:spacing w:before="0" w:after="220" w:line="240" w:lineRule="auto"/>
              <w:ind w:left="0" w:right="0" w:firstLine="0"/>
              <w:jc w:val="left"/>
              <w:rPr>
                <w:sz w:val="15"/>
                <w:szCs w:val="15"/>
              </w:rPr>
            </w:pPr>
            <w:r>
              <w:rPr>
                <w:rFonts w:ascii="SimSun" w:eastAsia="SimSun" w:hAnsi="SimSun" w:cs="SimSun"/>
                <w:color w:val="000000"/>
                <w:spacing w:val="0"/>
                <w:w w:val="100"/>
                <w:position w:val="0"/>
                <w:sz w:val="15"/>
                <w:szCs w:val="15"/>
              </w:rPr>
              <w:t>其他权益工具投资</w:t>
            </w:r>
            <w:r>
              <w:rPr>
                <w:rFonts w:ascii="SimSun" w:eastAsia="SimSun" w:hAnsi="SimSun" w:cs="SimSun"/>
                <w:b/>
                <w:bCs/>
                <w:color w:val="000000"/>
                <w:spacing w:val="0"/>
                <w:w w:val="100"/>
                <w:position w:val="0"/>
                <w:sz w:val="15"/>
                <w:szCs w:val="15"/>
              </w:rPr>
              <w:t>一</w:t>
            </w:r>
          </w:p>
          <w:p>
            <w:pPr>
              <w:pStyle w:val="Style29"/>
              <w:keepNext w:val="0"/>
              <w:keepLines w:val="0"/>
              <w:widowControl w:val="0"/>
              <w:shd w:val="clear" w:color="auto" w:fill="auto"/>
              <w:bidi w:val="0"/>
              <w:spacing w:before="0" w:after="220" w:line="240" w:lineRule="auto"/>
              <w:ind w:left="0" w:right="0" w:firstLine="0"/>
              <w:jc w:val="left"/>
              <w:rPr>
                <w:sz w:val="16"/>
                <w:szCs w:val="16"/>
              </w:rPr>
            </w:pPr>
            <w:r>
              <w:rPr>
                <w:rFonts w:ascii="SimSun" w:eastAsia="SimSun" w:hAnsi="SimSun" w:cs="SimSun"/>
                <w:color w:val="000000"/>
                <w:spacing w:val="0"/>
                <w:w w:val="100"/>
                <w:position w:val="0"/>
                <w:sz w:val="15"/>
                <w:szCs w:val="15"/>
              </w:rPr>
              <w:t>非上市公司股权投资</w:t>
            </w:r>
            <w:r>
              <w:rPr>
                <w:rFonts w:ascii="Arial" w:eastAsia="Arial" w:hAnsi="Arial" w:cs="Arial"/>
                <w:color w:val="000000"/>
                <w:spacing w:val="0"/>
                <w:w w:val="100"/>
                <w:position w:val="0"/>
                <w:sz w:val="16"/>
                <w:szCs w:val="16"/>
              </w:rPr>
              <w:t>1</w:t>
            </w:r>
          </w:p>
          <w:p>
            <w:pPr>
              <w:pStyle w:val="Style29"/>
              <w:keepNext w:val="0"/>
              <w:keepLines w:val="0"/>
              <w:widowControl w:val="0"/>
              <w:shd w:val="clear" w:color="auto" w:fill="auto"/>
              <w:bidi w:val="0"/>
              <w:spacing w:before="0" w:after="220" w:line="240" w:lineRule="auto"/>
              <w:ind w:left="0" w:right="0" w:firstLine="0"/>
              <w:jc w:val="left"/>
              <w:rPr>
                <w:sz w:val="16"/>
                <w:szCs w:val="16"/>
              </w:rPr>
            </w:pPr>
            <w:r>
              <w:rPr>
                <w:rFonts w:ascii="SimSun" w:eastAsia="SimSun" w:hAnsi="SimSun" w:cs="SimSun"/>
                <w:color w:val="000000"/>
                <w:spacing w:val="0"/>
                <w:w w:val="100"/>
                <w:position w:val="0"/>
                <w:sz w:val="15"/>
                <w:szCs w:val="15"/>
              </w:rPr>
              <w:t>非上市公司股权投资</w:t>
            </w:r>
            <w:r>
              <w:rPr>
                <w:rFonts w:ascii="Arial" w:eastAsia="Arial" w:hAnsi="Arial" w:cs="Arial"/>
                <w:color w:val="000000"/>
                <w:spacing w:val="0"/>
                <w:w w:val="100"/>
                <w:position w:val="0"/>
                <w:sz w:val="16"/>
                <w:szCs w:val="16"/>
              </w:rPr>
              <w:t>2</w:t>
            </w:r>
          </w:p>
        </w:tc>
        <w:tc>
          <w:tcPr>
            <w:tcBorders/>
            <w:shd w:val="clear" w:color="auto" w:fill="FFFFFF"/>
            <w:vAlign w:val="center"/>
          </w:tcPr>
          <w:p>
            <w:pPr>
              <w:pStyle w:val="Style29"/>
              <w:keepNext w:val="0"/>
              <w:keepLines w:val="0"/>
              <w:widowControl w:val="0"/>
              <w:shd w:val="clear" w:color="auto" w:fill="auto"/>
              <w:bidi w:val="0"/>
              <w:spacing w:before="0" w:after="220" w:line="240" w:lineRule="auto"/>
              <w:ind w:left="0" w:right="0" w:firstLine="800"/>
              <w:jc w:val="left"/>
              <w:rPr>
                <w:sz w:val="16"/>
                <w:szCs w:val="16"/>
              </w:rPr>
            </w:pPr>
            <w:r>
              <w:rPr>
                <w:rFonts w:ascii="Arial" w:eastAsia="Arial" w:hAnsi="Arial" w:cs="Arial"/>
                <w:color w:val="000000"/>
                <w:spacing w:val="0"/>
                <w:w w:val="100"/>
                <w:position w:val="0"/>
                <w:sz w:val="16"/>
                <w:szCs w:val="16"/>
              </w:rPr>
              <w:t>2,030,414</w:t>
            </w:r>
          </w:p>
          <w:p>
            <w:pPr>
              <w:pStyle w:val="Style29"/>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6,175</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06" w:lineRule="exact"/>
              <w:ind w:left="0" w:right="340" w:firstLine="0"/>
              <w:jc w:val="right"/>
              <w:rPr>
                <w:sz w:val="15"/>
                <w:szCs w:val="15"/>
              </w:rPr>
            </w:pPr>
            <w:r>
              <w:rPr>
                <w:rFonts w:ascii="SimSun" w:eastAsia="SimSun" w:hAnsi="SimSun" w:cs="SimSun"/>
                <w:color w:val="000000"/>
                <w:spacing w:val="0"/>
                <w:w w:val="100"/>
                <w:position w:val="0"/>
                <w:sz w:val="15"/>
                <w:szCs w:val="15"/>
              </w:rPr>
              <w:t>资产基础法</w:t>
            </w:r>
            <w:r>
              <w:rPr>
                <w:rFonts w:ascii="Arial" w:eastAsia="Arial" w:hAnsi="Arial" w:cs="Arial"/>
                <w:color w:val="000000"/>
                <w:spacing w:val="0"/>
                <w:w w:val="100"/>
                <w:position w:val="0"/>
                <w:sz w:val="16"/>
                <w:szCs w:val="16"/>
              </w:rPr>
              <w:t xml:space="preserve">（i） </w:t>
            </w:r>
            <w:r>
              <w:rPr>
                <w:rFonts w:ascii="SimSun" w:eastAsia="SimSun" w:hAnsi="SimSun" w:cs="SimSun"/>
                <w:color w:val="000000"/>
                <w:spacing w:val="0"/>
                <w:w w:val="100"/>
                <w:position w:val="0"/>
                <w:sz w:val="15"/>
                <w:szCs w:val="15"/>
              </w:rPr>
              <w:t>可比上市公司价值比率</w:t>
            </w:r>
            <w:r>
              <w:rPr>
                <w:rFonts w:ascii="Arial" w:eastAsia="Arial" w:hAnsi="Arial" w:cs="Arial"/>
                <w:color w:val="000000"/>
                <w:spacing w:val="0"/>
                <w:w w:val="100"/>
                <w:position w:val="0"/>
                <w:sz w:val="16"/>
                <w:szCs w:val="16"/>
              </w:rPr>
              <w:t xml:space="preserve">/ </w:t>
            </w:r>
            <w:r>
              <w:rPr>
                <w:rFonts w:ascii="SimSun" w:eastAsia="SimSun" w:hAnsi="SimSun" w:cs="SimSun"/>
                <w:color w:val="000000"/>
                <w:spacing w:val="0"/>
                <w:w w:val="100"/>
                <w:position w:val="0"/>
                <w:sz w:val="15"/>
                <w:szCs w:val="15"/>
              </w:rPr>
              <w:t>股权价值分配模型</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240" w:line="240" w:lineRule="auto"/>
              <w:ind w:left="0" w:right="0" w:firstLine="340"/>
              <w:jc w:val="left"/>
              <w:rPr>
                <w:sz w:val="15"/>
                <w:szCs w:val="15"/>
              </w:rPr>
            </w:pPr>
            <w:r>
              <w:rPr>
                <w:rFonts w:ascii="SimSun" w:eastAsia="SimSun" w:hAnsi="SimSun" w:cs="SimSun"/>
                <w:color w:val="000000"/>
                <w:spacing w:val="0"/>
                <w:w w:val="100"/>
                <w:position w:val="0"/>
                <w:sz w:val="15"/>
                <w:szCs w:val="15"/>
              </w:rPr>
              <w:t>投资标的评估值</w:t>
            </w:r>
          </w:p>
          <w:p>
            <w:pPr>
              <w:pStyle w:val="Style29"/>
              <w:keepNext w:val="0"/>
              <w:keepLines w:val="0"/>
              <w:widowControl w:val="0"/>
              <w:shd w:val="clear" w:color="auto" w:fill="auto"/>
              <w:bidi w:val="0"/>
              <w:spacing w:before="0" w:after="240" w:line="240" w:lineRule="auto"/>
              <w:ind w:left="0" w:right="0" w:firstLine="980"/>
              <w:jc w:val="left"/>
              <w:rPr>
                <w:sz w:val="15"/>
                <w:szCs w:val="15"/>
              </w:rPr>
            </w:pPr>
            <w:r>
              <w:rPr>
                <w:rFonts w:ascii="SimSun" w:eastAsia="SimSun" w:hAnsi="SimSun" w:cs="SimSun"/>
                <w:color w:val="000000"/>
                <w:spacing w:val="0"/>
                <w:w w:val="100"/>
                <w:position w:val="0"/>
                <w:sz w:val="15"/>
                <w:szCs w:val="15"/>
              </w:rPr>
              <w:t>市净率</w:t>
            </w:r>
          </w:p>
          <w:p>
            <w:pPr>
              <w:pStyle w:val="Style29"/>
              <w:keepNext w:val="0"/>
              <w:keepLines w:val="0"/>
              <w:widowControl w:val="0"/>
              <w:shd w:val="clear" w:color="auto" w:fill="auto"/>
              <w:bidi w:val="0"/>
              <w:spacing w:before="0" w:after="240" w:line="240" w:lineRule="auto"/>
              <w:ind w:left="0" w:right="0" w:firstLine="340"/>
              <w:jc w:val="left"/>
              <w:rPr>
                <w:sz w:val="15"/>
                <w:szCs w:val="15"/>
              </w:rPr>
            </w:pPr>
            <w:r>
              <w:rPr>
                <w:rFonts w:ascii="SimSun" w:eastAsia="SimSun" w:hAnsi="SimSun" w:cs="SimSun"/>
                <w:color w:val="000000"/>
                <w:spacing w:val="0"/>
                <w:w w:val="100"/>
                <w:position w:val="0"/>
                <w:sz w:val="15"/>
                <w:szCs w:val="15"/>
              </w:rPr>
              <w:t>缺乏流动性折扣</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220" w:line="240" w:lineRule="auto"/>
              <w:ind w:left="0" w:right="0" w:firstLine="0"/>
              <w:jc w:val="right"/>
              <w:rPr>
                <w:sz w:val="16"/>
                <w:szCs w:val="16"/>
              </w:rPr>
            </w:pPr>
            <w:r>
              <w:rPr>
                <w:rFonts w:ascii="Arial" w:eastAsia="Arial" w:hAnsi="Arial" w:cs="Arial"/>
                <w:color w:val="000000"/>
                <w:spacing w:val="0"/>
                <w:w w:val="100"/>
                <w:position w:val="0"/>
                <w:sz w:val="16"/>
                <w:szCs w:val="16"/>
              </w:rPr>
              <w:t>8,460,059</w:t>
            </w:r>
          </w:p>
          <w:p>
            <w:pPr>
              <w:pStyle w:val="Style29"/>
              <w:keepNext w:val="0"/>
              <w:keepLines w:val="0"/>
              <w:widowControl w:val="0"/>
              <w:shd w:val="clear" w:color="auto" w:fill="auto"/>
              <w:bidi w:val="0"/>
              <w:spacing w:before="0" w:after="220" w:line="240" w:lineRule="auto"/>
              <w:ind w:left="0" w:right="0" w:firstLine="920"/>
              <w:jc w:val="left"/>
              <w:rPr>
                <w:sz w:val="16"/>
                <w:szCs w:val="16"/>
              </w:rPr>
            </w:pPr>
            <w:r>
              <w:rPr>
                <w:rFonts w:ascii="Arial" w:eastAsia="Arial" w:hAnsi="Arial" w:cs="Arial"/>
                <w:color w:val="000000"/>
                <w:spacing w:val="0"/>
                <w:w w:val="100"/>
                <w:position w:val="0"/>
                <w:sz w:val="16"/>
                <w:szCs w:val="16"/>
              </w:rPr>
              <w:t>67.24%</w:t>
            </w:r>
          </w:p>
          <w:p>
            <w:pPr>
              <w:pStyle w:val="Style29"/>
              <w:keepNext w:val="0"/>
              <w:keepLines w:val="0"/>
              <w:widowControl w:val="0"/>
              <w:shd w:val="clear" w:color="auto" w:fill="auto"/>
              <w:bidi w:val="0"/>
              <w:spacing w:before="0" w:after="220" w:line="240" w:lineRule="auto"/>
              <w:ind w:left="0" w:right="0" w:firstLine="920"/>
              <w:jc w:val="left"/>
              <w:rPr>
                <w:sz w:val="16"/>
                <w:szCs w:val="16"/>
              </w:rPr>
            </w:pPr>
            <w:r>
              <w:rPr>
                <w:rFonts w:ascii="Arial" w:eastAsia="Arial" w:hAnsi="Arial" w:cs="Arial"/>
                <w:color w:val="000000"/>
                <w:spacing w:val="0"/>
                <w:w w:val="100"/>
                <w:position w:val="0"/>
                <w:sz w:val="16"/>
                <w:szCs w:val="16"/>
              </w:rPr>
              <w:t>19.00%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08" w:lineRule="exact"/>
              <w:ind w:left="0" w:right="320" w:firstLine="0"/>
              <w:jc w:val="right"/>
              <w:rPr>
                <w:sz w:val="15"/>
                <w:szCs w:val="15"/>
              </w:rPr>
            </w:pPr>
            <w:r>
              <w:rPr>
                <w:rFonts w:ascii="SimSun" w:eastAsia="SimSun" w:hAnsi="SimSun" w:cs="SimSun"/>
                <w:color w:val="000000"/>
                <w:spacing w:val="0"/>
                <w:w w:val="100"/>
                <w:position w:val="0"/>
                <w:sz w:val="15"/>
                <w:szCs w:val="15"/>
              </w:rPr>
              <w:t>与金融资产公允价值 同向变动 与金融资产公允价值 同向变动 与金融资产公允价值 反向变动</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240" w:line="240" w:lineRule="auto"/>
              <w:ind w:left="0" w:right="0" w:firstLine="840"/>
              <w:jc w:val="left"/>
              <w:rPr>
                <w:sz w:val="15"/>
                <w:szCs w:val="15"/>
              </w:rPr>
            </w:pPr>
            <w:r>
              <w:rPr>
                <w:rFonts w:ascii="SimSun" w:eastAsia="SimSun" w:hAnsi="SimSun" w:cs="SimSun"/>
                <w:color w:val="000000"/>
                <w:spacing w:val="0"/>
                <w:w w:val="100"/>
                <w:position w:val="0"/>
                <w:sz w:val="15"/>
                <w:szCs w:val="15"/>
              </w:rPr>
              <w:t>不可观察</w:t>
            </w:r>
          </w:p>
          <w:p>
            <w:pPr>
              <w:pStyle w:val="Style29"/>
              <w:keepNext w:val="0"/>
              <w:keepLines w:val="0"/>
              <w:widowControl w:val="0"/>
              <w:shd w:val="clear" w:color="auto" w:fill="auto"/>
              <w:bidi w:val="0"/>
              <w:spacing w:before="0" w:after="240" w:line="240" w:lineRule="auto"/>
              <w:ind w:left="0" w:right="0" w:firstLine="840"/>
              <w:jc w:val="left"/>
              <w:rPr>
                <w:sz w:val="15"/>
                <w:szCs w:val="15"/>
              </w:rPr>
            </w:pPr>
            <w:r>
              <w:rPr>
                <w:rFonts w:ascii="SimSun" w:eastAsia="SimSun" w:hAnsi="SimSun" w:cs="SimSun"/>
                <w:color w:val="000000"/>
                <w:spacing w:val="0"/>
                <w:w w:val="100"/>
                <w:position w:val="0"/>
                <w:sz w:val="15"/>
                <w:szCs w:val="15"/>
              </w:rPr>
              <w:t>不可观察</w:t>
            </w:r>
          </w:p>
          <w:p>
            <w:pPr>
              <w:pStyle w:val="Style29"/>
              <w:keepNext w:val="0"/>
              <w:keepLines w:val="0"/>
              <w:widowControl w:val="0"/>
              <w:shd w:val="clear" w:color="auto" w:fill="auto"/>
              <w:bidi w:val="0"/>
              <w:spacing w:before="0" w:after="240" w:line="240" w:lineRule="auto"/>
              <w:ind w:left="0" w:right="0" w:firstLine="840"/>
              <w:jc w:val="left"/>
              <w:rPr>
                <w:sz w:val="15"/>
                <w:szCs w:val="15"/>
              </w:rPr>
            </w:pPr>
            <w:r>
              <w:rPr>
                <w:rFonts w:ascii="SimSun" w:eastAsia="SimSun" w:hAnsi="SimSun" w:cs="SimSun"/>
                <w:color w:val="000000"/>
                <w:spacing w:val="0"/>
                <w:w w:val="100"/>
                <w:position w:val="0"/>
                <w:sz w:val="15"/>
                <w:szCs w:val="15"/>
              </w:rPr>
              <w:t>不可观察</w:t>
            </w:r>
          </w:p>
        </w:tc>
      </w:tr>
      <w:tr>
        <w:trPr>
          <w:trHeight w:val="1310" w:hRule="exact"/>
        </w:trPr>
        <w:tc>
          <w:tcPr>
            <w:tcBorders/>
            <w:shd w:val="clear" w:color="auto" w:fill="FFFFFF"/>
            <w:vAlign w:val="top"/>
          </w:tcPr>
          <w:p>
            <w:pPr>
              <w:pStyle w:val="Style29"/>
              <w:keepNext w:val="0"/>
              <w:keepLines w:val="0"/>
              <w:widowControl w:val="0"/>
              <w:shd w:val="clear" w:color="auto" w:fill="auto"/>
              <w:bidi w:val="0"/>
              <w:spacing w:before="160" w:after="240" w:line="240" w:lineRule="auto"/>
              <w:ind w:left="0" w:right="0" w:firstLine="0"/>
              <w:jc w:val="left"/>
              <w:rPr>
                <w:sz w:val="15"/>
                <w:szCs w:val="15"/>
              </w:rPr>
            </w:pPr>
            <w:r>
              <w:rPr>
                <w:rFonts w:ascii="SimSun" w:eastAsia="SimSun" w:hAnsi="SimSun" w:cs="SimSun"/>
                <w:color w:val="000000"/>
                <w:spacing w:val="0"/>
                <w:w w:val="100"/>
                <w:position w:val="0"/>
                <w:sz w:val="15"/>
                <w:szCs w:val="15"/>
              </w:rPr>
              <w:t>其他非流动负债</w:t>
            </w:r>
            <w:r>
              <w:rPr>
                <w:rFonts w:ascii="SimSun" w:eastAsia="SimSun" w:hAnsi="SimSun" w:cs="SimSun"/>
                <w:b/>
                <w:bCs/>
                <w:color w:val="000000"/>
                <w:spacing w:val="0"/>
                <w:w w:val="100"/>
                <w:position w:val="0"/>
                <w:sz w:val="15"/>
                <w:szCs w:val="15"/>
              </w:rPr>
              <w:t>一</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流动性支持</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134,238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5"/>
                <w:szCs w:val="15"/>
              </w:rPr>
            </w:pPr>
            <w:r>
              <w:rPr>
                <w:rFonts w:ascii="SimSun" w:eastAsia="SimSun" w:hAnsi="SimSun" w:cs="SimSun"/>
                <w:color w:val="000000"/>
                <w:spacing w:val="0"/>
                <w:w w:val="100"/>
                <w:position w:val="0"/>
                <w:sz w:val="15"/>
                <w:szCs w:val="15"/>
              </w:rPr>
              <w:t>期权定价模型</w:t>
            </w:r>
          </w:p>
        </w:tc>
        <w:tc>
          <w:tcPr>
            <w:tcBorders/>
            <w:shd w:val="clear" w:color="auto" w:fill="FFFFFF"/>
            <w:vAlign w:val="bottom"/>
          </w:tcPr>
          <w:p>
            <w:pPr>
              <w:pStyle w:val="Style29"/>
              <w:keepNext w:val="0"/>
              <w:keepLines w:val="0"/>
              <w:widowControl w:val="0"/>
              <w:shd w:val="clear" w:color="auto" w:fill="auto"/>
              <w:bidi w:val="0"/>
              <w:spacing w:before="0" w:after="220" w:line="240" w:lineRule="auto"/>
              <w:ind w:left="0" w:right="0" w:firstLine="500"/>
              <w:jc w:val="left"/>
              <w:rPr>
                <w:sz w:val="15"/>
                <w:szCs w:val="15"/>
              </w:rPr>
            </w:pPr>
            <w:r>
              <w:rPr>
                <w:rFonts w:ascii="Arial" w:eastAsia="Arial" w:hAnsi="Arial" w:cs="Arial"/>
                <w:color w:val="000000"/>
                <w:spacing w:val="0"/>
                <w:w w:val="100"/>
                <w:position w:val="0"/>
                <w:sz w:val="16"/>
                <w:szCs w:val="16"/>
              </w:rPr>
              <w:t>A</w:t>
            </w:r>
            <w:r>
              <w:rPr>
                <w:rFonts w:ascii="SimSun" w:eastAsia="SimSun" w:hAnsi="SimSun" w:cs="SimSun"/>
                <w:color w:val="000000"/>
                <w:spacing w:val="0"/>
                <w:w w:val="100"/>
                <w:position w:val="0"/>
                <w:sz w:val="15"/>
                <w:szCs w:val="15"/>
              </w:rPr>
              <w:t>类风险溢价</w:t>
            </w:r>
          </w:p>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6"/>
                <w:szCs w:val="16"/>
              </w:rPr>
              <w:t>B</w:t>
            </w:r>
            <w:r>
              <w:rPr>
                <w:rFonts w:ascii="SimSun" w:eastAsia="SimSun" w:hAnsi="SimSun" w:cs="SimSun"/>
                <w:color w:val="000000"/>
                <w:spacing w:val="0"/>
                <w:w w:val="100"/>
                <w:position w:val="0"/>
                <w:sz w:val="15"/>
                <w:szCs w:val="15"/>
              </w:rPr>
              <w:t>类风险溢价</w:t>
            </w:r>
          </w:p>
        </w:tc>
        <w:tc>
          <w:tcPr>
            <w:tcBorders/>
            <w:shd w:val="clear" w:color="auto" w:fill="FFFFFF"/>
            <w:vAlign w:val="bottom"/>
          </w:tcPr>
          <w:p>
            <w:pPr>
              <w:pStyle w:val="Style29"/>
              <w:keepNext w:val="0"/>
              <w:keepLines w:val="0"/>
              <w:widowControl w:val="0"/>
              <w:shd w:val="clear" w:color="auto" w:fill="auto"/>
              <w:bidi w:val="0"/>
              <w:spacing w:before="0" w:after="220" w:line="240" w:lineRule="auto"/>
              <w:ind w:left="0" w:right="0" w:firstLine="0"/>
              <w:jc w:val="right"/>
              <w:rPr>
                <w:sz w:val="16"/>
                <w:szCs w:val="16"/>
              </w:rPr>
            </w:pPr>
            <w:r>
              <w:rPr>
                <w:rFonts w:ascii="Arial" w:eastAsia="Arial" w:hAnsi="Arial" w:cs="Arial"/>
                <w:color w:val="000000"/>
                <w:spacing w:val="0"/>
                <w:w w:val="100"/>
                <w:position w:val="0"/>
                <w:sz w:val="16"/>
                <w:szCs w:val="16"/>
              </w:rPr>
              <w:t>1.15%</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1.04%</w:t>
            </w:r>
          </w:p>
        </w:tc>
        <w:tc>
          <w:tcPr>
            <w:tcBorders/>
            <w:shd w:val="clear" w:color="auto" w:fill="FFFFFF"/>
            <w:vAlign w:val="bottom"/>
          </w:tcPr>
          <w:p>
            <w:pPr>
              <w:pStyle w:val="Style29"/>
              <w:keepNext w:val="0"/>
              <w:keepLines w:val="0"/>
              <w:widowControl w:val="0"/>
              <w:shd w:val="clear" w:color="auto" w:fill="auto"/>
              <w:bidi w:val="0"/>
              <w:spacing w:before="0" w:after="0" w:line="208" w:lineRule="exact"/>
              <w:ind w:left="0" w:right="320" w:firstLine="0"/>
              <w:jc w:val="right"/>
              <w:rPr>
                <w:sz w:val="15"/>
                <w:szCs w:val="15"/>
              </w:rPr>
            </w:pPr>
            <w:r>
              <w:rPr>
                <w:rFonts w:ascii="SimSun" w:eastAsia="SimSun" w:hAnsi="SimSun" w:cs="SimSun"/>
                <w:color w:val="000000"/>
                <w:spacing w:val="0"/>
                <w:w w:val="100"/>
                <w:position w:val="0"/>
                <w:sz w:val="15"/>
                <w:szCs w:val="15"/>
              </w:rPr>
              <w:t>与金融资产公允价值 同向变动 与金融资产公允价值 同向变动</w:t>
            </w:r>
          </w:p>
        </w:tc>
        <w:tc>
          <w:tcPr>
            <w:tcBorders/>
            <w:shd w:val="clear" w:color="auto" w:fill="FFFFFF"/>
            <w:vAlign w:val="bottom"/>
          </w:tcPr>
          <w:p>
            <w:pPr>
              <w:pStyle w:val="Style29"/>
              <w:keepNext w:val="0"/>
              <w:keepLines w:val="0"/>
              <w:widowControl w:val="0"/>
              <w:shd w:val="clear" w:color="auto" w:fill="auto"/>
              <w:bidi w:val="0"/>
              <w:spacing w:before="0" w:after="240" w:line="240" w:lineRule="auto"/>
              <w:ind w:left="0" w:right="0" w:firstLine="840"/>
              <w:jc w:val="left"/>
              <w:rPr>
                <w:sz w:val="15"/>
                <w:szCs w:val="15"/>
              </w:rPr>
            </w:pPr>
            <w:r>
              <w:rPr>
                <w:rFonts w:ascii="SimSun" w:eastAsia="SimSun" w:hAnsi="SimSun" w:cs="SimSun"/>
                <w:color w:val="000000"/>
                <w:spacing w:val="0"/>
                <w:w w:val="100"/>
                <w:position w:val="0"/>
                <w:sz w:val="15"/>
                <w:szCs w:val="15"/>
              </w:rPr>
              <w:t>不可观察</w:t>
            </w:r>
          </w:p>
          <w:p>
            <w:pPr>
              <w:pStyle w:val="Style29"/>
              <w:keepNext w:val="0"/>
              <w:keepLines w:val="0"/>
              <w:widowControl w:val="0"/>
              <w:shd w:val="clear" w:color="auto" w:fill="auto"/>
              <w:bidi w:val="0"/>
              <w:spacing w:before="0" w:after="0" w:line="240" w:lineRule="auto"/>
              <w:ind w:left="0" w:right="0" w:firstLine="840"/>
              <w:jc w:val="left"/>
              <w:rPr>
                <w:sz w:val="15"/>
                <w:szCs w:val="15"/>
              </w:rPr>
            </w:pPr>
            <w:r>
              <w:rPr>
                <w:rFonts w:ascii="SimSun" w:eastAsia="SimSun" w:hAnsi="SimSun" w:cs="SimSun"/>
                <w:color w:val="000000"/>
                <w:spacing w:val="0"/>
                <w:w w:val="100"/>
                <w:position w:val="0"/>
                <w:sz w:val="15"/>
                <w:szCs w:val="15"/>
              </w:rPr>
              <w:t>不可观察</w:t>
            </w:r>
          </w:p>
        </w:tc>
      </w:tr>
      <w:tr>
        <w:trPr>
          <w:trHeight w:val="994" w:hRule="exact"/>
        </w:trPr>
        <w:tc>
          <w:tcPr>
            <w:tcBorders/>
            <w:shd w:val="clear" w:color="auto" w:fill="FFFFFF"/>
            <w:vAlign w:val="center"/>
          </w:tcPr>
          <w:p>
            <w:pPr>
              <w:pStyle w:val="Style29"/>
              <w:keepNext w:val="0"/>
              <w:keepLines w:val="0"/>
              <w:widowControl w:val="0"/>
              <w:shd w:val="clear" w:color="auto" w:fill="auto"/>
              <w:bidi w:val="0"/>
              <w:spacing w:before="0" w:after="240" w:line="240" w:lineRule="auto"/>
              <w:ind w:left="0" w:right="0" w:firstLine="0"/>
              <w:jc w:val="left"/>
              <w:rPr>
                <w:sz w:val="15"/>
                <w:szCs w:val="15"/>
              </w:rPr>
            </w:pPr>
            <w:r>
              <w:rPr>
                <w:rFonts w:ascii="SimSun" w:eastAsia="SimSun" w:hAnsi="SimSun" w:cs="SimSun"/>
                <w:color w:val="000000"/>
                <w:spacing w:val="0"/>
                <w:w w:val="100"/>
                <w:position w:val="0"/>
                <w:sz w:val="15"/>
                <w:szCs w:val="15"/>
              </w:rPr>
              <w:t>一年内到期的非流动负债</w:t>
            </w:r>
            <w:r>
              <w:rPr>
                <w:rFonts w:ascii="SimSun" w:eastAsia="SimSun" w:hAnsi="SimSun" w:cs="SimSun"/>
                <w:b/>
                <w:bCs/>
                <w:color w:val="000000"/>
                <w:spacing w:val="0"/>
                <w:w w:val="100"/>
                <w:position w:val="0"/>
                <w:sz w:val="15"/>
                <w:szCs w:val="15"/>
              </w:rPr>
              <w:t>一</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利率互换合同</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11,176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5"/>
                <w:szCs w:val="15"/>
              </w:rPr>
            </w:pPr>
            <w:r>
              <w:rPr>
                <w:rFonts w:ascii="SimSun" w:eastAsia="SimSun" w:hAnsi="SimSun" w:cs="SimSun"/>
                <w:color w:val="000000"/>
                <w:spacing w:val="0"/>
                <w:w w:val="100"/>
                <w:position w:val="0"/>
                <w:sz w:val="15"/>
                <w:szCs w:val="15"/>
              </w:rPr>
              <w:t>现金流量折现法</w:t>
            </w:r>
          </w:p>
        </w:tc>
        <w:tc>
          <w:tcPr>
            <w:tcBorders/>
            <w:shd w:val="clear" w:color="auto" w:fill="FFFFFF"/>
            <w:vAlign w:val="bottom"/>
          </w:tcPr>
          <w:p>
            <w:pPr>
              <w:pStyle w:val="Style29"/>
              <w:keepNext w:val="0"/>
              <w:keepLines w:val="0"/>
              <w:widowControl w:val="0"/>
              <w:shd w:val="clear" w:color="auto" w:fill="auto"/>
              <w:bidi w:val="0"/>
              <w:spacing w:before="0" w:after="40" w:line="240" w:lineRule="auto"/>
              <w:ind w:left="0" w:right="320" w:firstLine="0"/>
              <w:jc w:val="right"/>
              <w:rPr>
                <w:sz w:val="15"/>
                <w:szCs w:val="15"/>
              </w:rPr>
            </w:pPr>
            <w:r>
              <w:rPr>
                <w:rFonts w:ascii="SimSun" w:eastAsia="SimSun" w:hAnsi="SimSun" w:cs="SimSun"/>
                <w:color w:val="000000"/>
                <w:spacing w:val="0"/>
                <w:w w:val="100"/>
                <w:position w:val="0"/>
                <w:sz w:val="15"/>
                <w:szCs w:val="15"/>
              </w:rPr>
              <w:t>远期利率</w:t>
            </w:r>
          </w:p>
          <w:p>
            <w:pPr>
              <w:pStyle w:val="Style29"/>
              <w:keepNext w:val="0"/>
              <w:keepLines w:val="0"/>
              <w:widowControl w:val="0"/>
              <w:shd w:val="clear" w:color="auto" w:fill="auto"/>
              <w:bidi w:val="0"/>
              <w:spacing w:before="0" w:after="0" w:line="240" w:lineRule="auto"/>
              <w:ind w:left="0" w:right="0" w:firstLine="980"/>
              <w:jc w:val="left"/>
              <w:rPr>
                <w:sz w:val="15"/>
                <w:szCs w:val="15"/>
              </w:rPr>
            </w:pPr>
            <w:r>
              <w:rPr>
                <w:rFonts w:ascii="SimSun" w:eastAsia="SimSun" w:hAnsi="SimSun" w:cs="SimSun"/>
                <w:color w:val="000000"/>
                <w:spacing w:val="0"/>
                <w:w w:val="100"/>
                <w:position w:val="0"/>
                <w:sz w:val="15"/>
                <w:szCs w:val="15"/>
              </w:rPr>
              <w:t>折现率</w:t>
            </w:r>
          </w:p>
        </w:tc>
        <w:tc>
          <w:tcPr>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460"/>
              <w:jc w:val="both"/>
              <w:rPr>
                <w:sz w:val="16"/>
                <w:szCs w:val="16"/>
              </w:rPr>
            </w:pPr>
            <w:r>
              <w:rPr>
                <w:rFonts w:ascii="Arial" w:eastAsia="Arial" w:hAnsi="Arial" w:cs="Arial"/>
                <w:color w:val="000000"/>
                <w:spacing w:val="0"/>
                <w:w w:val="100"/>
                <w:position w:val="0"/>
                <w:sz w:val="16"/>
                <w:szCs w:val="16"/>
              </w:rPr>
              <w:t xml:space="preserve">0.21 </w:t>
            </w:r>
            <w:r>
              <w:rPr>
                <w:rFonts w:ascii="Arial" w:eastAsia="Arial" w:hAnsi="Arial" w:cs="Arial"/>
                <w:color w:val="000000"/>
                <w:spacing w:val="0"/>
                <w:w w:val="100"/>
                <w:position w:val="0"/>
                <w:sz w:val="16"/>
                <w:szCs w:val="16"/>
              </w:rPr>
              <w:t>%~0.61%</w:t>
            </w:r>
          </w:p>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0.08%~0.28%</w:t>
            </w:r>
          </w:p>
        </w:tc>
        <w:tc>
          <w:tcPr>
            <w:tcBorders/>
            <w:shd w:val="clear" w:color="auto" w:fill="FFFFFF"/>
            <w:vAlign w:val="bottom"/>
          </w:tcPr>
          <w:p>
            <w:pPr>
              <w:pStyle w:val="Style29"/>
              <w:keepNext w:val="0"/>
              <w:keepLines w:val="0"/>
              <w:widowControl w:val="0"/>
              <w:shd w:val="clear" w:color="auto" w:fill="auto"/>
              <w:bidi w:val="0"/>
              <w:spacing w:before="0" w:after="0" w:line="230" w:lineRule="exact"/>
              <w:ind w:left="0" w:right="320" w:firstLine="0"/>
              <w:jc w:val="right"/>
              <w:rPr>
                <w:sz w:val="15"/>
                <w:szCs w:val="15"/>
              </w:rPr>
            </w:pPr>
            <w:r>
              <w:rPr>
                <w:rFonts w:ascii="SimSun" w:eastAsia="SimSun" w:hAnsi="SimSun" w:cs="SimSun"/>
                <w:color w:val="000000"/>
                <w:spacing w:val="0"/>
                <w:w w:val="100"/>
                <w:position w:val="0"/>
                <w:sz w:val="15"/>
                <w:szCs w:val="15"/>
              </w:rPr>
              <w:t>与金融负债公允价值 同向变动 不适用</w:t>
            </w:r>
          </w:p>
        </w:tc>
        <w:tc>
          <w:tcPr>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840"/>
              <w:jc w:val="left"/>
              <w:rPr>
                <w:sz w:val="15"/>
                <w:szCs w:val="15"/>
              </w:rPr>
            </w:pPr>
            <w:r>
              <w:rPr>
                <w:rFonts w:ascii="SimSun" w:eastAsia="SimSun" w:hAnsi="SimSun" w:cs="SimSun"/>
                <w:color w:val="000000"/>
                <w:spacing w:val="0"/>
                <w:w w:val="100"/>
                <w:position w:val="0"/>
                <w:sz w:val="15"/>
                <w:szCs w:val="15"/>
              </w:rPr>
              <w:t>不可观察</w:t>
            </w:r>
          </w:p>
          <w:p>
            <w:pPr>
              <w:pStyle w:val="Style29"/>
              <w:keepNext w:val="0"/>
              <w:keepLines w:val="0"/>
              <w:widowControl w:val="0"/>
              <w:shd w:val="clear" w:color="auto" w:fill="auto"/>
              <w:bidi w:val="0"/>
              <w:spacing w:before="0" w:after="0" w:line="240" w:lineRule="auto"/>
              <w:ind w:left="0" w:right="0" w:firstLine="840"/>
              <w:jc w:val="left"/>
              <w:rPr>
                <w:sz w:val="15"/>
                <w:szCs w:val="15"/>
              </w:rPr>
            </w:pPr>
            <w:r>
              <w:rPr>
                <w:rFonts w:ascii="SimSun" w:eastAsia="SimSun" w:hAnsi="SimSun" w:cs="SimSun"/>
                <w:color w:val="000000"/>
                <w:spacing w:val="0"/>
                <w:w w:val="100"/>
                <w:position w:val="0"/>
                <w:sz w:val="15"/>
                <w:szCs w:val="15"/>
              </w:rPr>
              <w:t>不可观察</w:t>
            </w:r>
          </w:p>
        </w:tc>
      </w:tr>
    </w:tbl>
    <w:p>
      <w:pPr>
        <w:widowControl w:val="0"/>
        <w:spacing w:after="299" w:line="1" w:lineRule="exact"/>
      </w:pPr>
    </w:p>
    <w:p>
      <w:pPr>
        <w:pStyle w:val="Style29"/>
        <w:keepNext w:val="0"/>
        <w:keepLines w:val="0"/>
        <w:widowControl w:val="0"/>
        <w:shd w:val="clear" w:color="auto" w:fill="auto"/>
        <w:tabs>
          <w:tab w:pos="706" w:val="left"/>
        </w:tabs>
        <w:bidi w:val="0"/>
        <w:spacing w:before="0" w:after="300" w:line="240" w:lineRule="auto"/>
        <w:ind w:left="0" w:right="0" w:firstLine="0"/>
        <w:jc w:val="both"/>
        <w:rPr>
          <w:sz w:val="15"/>
          <w:szCs w:val="15"/>
        </w:rPr>
        <w:sectPr>
          <w:footnotePr>
            <w:pos w:val="pageBottom"/>
            <w:numFmt w:val="decimal"/>
            <w:numStart w:val="1"/>
            <w:numRestart w:val="continuous"/>
            <w15:footnoteColumns w:val="1"/>
          </w:footnotePr>
          <w:pgSz w:w="16840" w:h="11900" w:orient="landscape"/>
          <w:pgMar w:top="2338" w:right="1431" w:bottom="2338" w:left="1714" w:header="0" w:footer="3" w:gutter="0"/>
          <w:cols w:space="720"/>
          <w:noEndnote/>
          <w:rtlGutter w:val="0"/>
          <w:docGrid w:linePitch="360"/>
        </w:sectPr>
      </w:pPr>
      <w:r>
        <w:rPr>
          <w:rFonts w:ascii="Arial" w:eastAsia="Arial" w:hAnsi="Arial" w:cs="Arial"/>
          <w:color w:val="000000"/>
          <w:spacing w:val="0"/>
          <w:w w:val="100"/>
          <w:position w:val="0"/>
          <w:sz w:val="16"/>
          <w:szCs w:val="16"/>
        </w:rPr>
        <w:t>（i）</w:t>
        <w:tab/>
      </w:r>
      <w:r>
        <w:rPr>
          <w:rFonts w:ascii="SimSun" w:eastAsia="SimSun" w:hAnsi="SimSun" w:cs="SimSun"/>
          <w:color w:val="000000"/>
          <w:spacing w:val="0"/>
          <w:w w:val="100"/>
          <w:position w:val="0"/>
          <w:sz w:val="15"/>
          <w:szCs w:val="15"/>
        </w:rPr>
        <w:t>本集团采用资产基础法评估公允价值的金融资产是按照本集团所占对应投资标的资产的公允价值的份额予以计算。</w:t>
      </w:r>
    </w:p>
    <w:p>
      <w:pPr>
        <w:pStyle w:val="Style72"/>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sz w:val="24"/>
          <w:szCs w:val="24"/>
        </w:rPr>
        <w:t>十四公允价值估计（续）</w:t>
      </w:r>
    </w:p>
    <w:p>
      <w:pPr>
        <w:pStyle w:val="Style72"/>
        <w:keepNext w:val="0"/>
        <w:keepLines w:val="0"/>
        <w:widowControl w:val="0"/>
        <w:shd w:val="clear" w:color="auto" w:fill="auto"/>
        <w:tabs>
          <w:tab w:pos="624"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（1）</w:t>
        <w:tab/>
      </w:r>
      <w:r>
        <w:rPr>
          <w:b/>
          <w:bCs/>
          <w:color w:val="000000"/>
          <w:spacing w:val="0"/>
          <w:w w:val="100"/>
          <w:position w:val="0"/>
          <w:sz w:val="24"/>
          <w:szCs w:val="24"/>
        </w:rPr>
        <w:t>持续的以公允价值后续计量的资产和负债（续）</w:t>
      </w:r>
    </w:p>
    <w:p>
      <w:pPr>
        <w:pStyle w:val="Style72"/>
        <w:keepNext w:val="0"/>
        <w:keepLines w:val="0"/>
        <w:widowControl w:val="0"/>
        <w:shd w:val="clear" w:color="auto" w:fill="auto"/>
        <w:bidi w:val="0"/>
        <w:spacing w:before="0" w:after="300" w:line="240" w:lineRule="auto"/>
        <w:ind w:left="0" w:right="0" w:firstLine="720"/>
        <w:jc w:val="left"/>
      </w:pPr>
      <w:r>
        <w:rPr>
          <w:color w:val="000000"/>
          <w:spacing w:val="0"/>
          <w:w w:val="100"/>
          <w:position w:val="0"/>
          <w:sz w:val="24"/>
          <w:szCs w:val="24"/>
        </w:rPr>
        <w:t>第二层次公允价值计量的相关信息如下：</w:t>
      </w:r>
    </w:p>
    <w:p>
      <w:pPr>
        <w:pStyle w:val="Style9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72"/>
        <w:keepNext w:val="0"/>
        <w:keepLines w:val="0"/>
        <w:widowControl w:val="0"/>
        <w:shd w:val="clear" w:color="auto" w:fill="auto"/>
        <w:bidi w:val="0"/>
        <w:spacing w:before="0" w:after="620" w:line="240" w:lineRule="auto"/>
        <w:ind w:left="0" w:right="0" w:firstLine="0"/>
        <w:jc w:val="right"/>
      </w:pPr>
      <w:r>
        <w:rPr>
          <w:color w:val="000000"/>
          <w:spacing w:val="0"/>
          <w:w w:val="100"/>
          <w:position w:val="0"/>
          <w:sz w:val="24"/>
          <w:szCs w:val="24"/>
        </w:rPr>
        <w:t>公允价值</w:t>
      </w:r>
    </w:p>
    <w:p>
      <w:pPr>
        <w:pStyle w:val="Style7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交易性金融资产一</w:t>
      </w:r>
    </w:p>
    <w:p>
      <w:pPr>
        <w:pStyle w:val="Style92"/>
        <w:keepNext w:val="0"/>
        <w:keepLines w:val="0"/>
        <w:widowControl w:val="0"/>
        <w:shd w:val="clear" w:color="auto" w:fill="auto"/>
        <w:tabs>
          <w:tab w:pos="5803" w:val="left"/>
        </w:tabs>
        <w:bidi w:val="0"/>
        <w:spacing w:before="0" w:after="300" w:line="240" w:lineRule="auto"/>
        <w:ind w:left="0" w:right="0" w:firstLine="960"/>
        <w:jc w:val="left"/>
        <w:sectPr>
          <w:footnotePr>
            <w:pos w:val="pageBottom"/>
            <w:numFmt w:val="decimal"/>
            <w:numStart w:val="1"/>
            <w:numRestart w:val="continuous"/>
            <w15:footnoteColumns w:val="1"/>
          </w:footnotePr>
          <w:pgSz w:w="8400" w:h="11900"/>
          <w:pgMar w:top="2341" w:right="229" w:bottom="2341" w:left="1183" w:header="0" w:footer="3" w:gutter="0"/>
          <w:cols w:space="720"/>
          <w:noEndnote/>
          <w:rtlGutter w:val="0"/>
          <w:docGrid w:linePitch="360"/>
        </w:sectPr>
      </w:pPr>
      <w:r>
        <w:rPr>
          <w:rFonts w:ascii="SimSun" w:eastAsia="SimSun" w:hAnsi="SimSun" w:cs="SimSun"/>
          <w:color w:val="000000"/>
          <w:spacing w:val="0"/>
          <w:w w:val="100"/>
          <w:position w:val="0"/>
          <w:sz w:val="24"/>
          <w:szCs w:val="24"/>
        </w:rPr>
        <w:t>理财产品</w:t>
        <w:tab/>
      </w:r>
      <w:r>
        <w:rPr>
          <w:color w:val="000000"/>
          <w:spacing w:val="0"/>
          <w:w w:val="100"/>
          <w:position w:val="0"/>
          <w:sz w:val="24"/>
          <w:szCs w:val="24"/>
        </w:rPr>
        <w:t>2,040,605</w:t>
      </w:r>
    </w:p>
    <w:p>
      <w:pPr>
        <w:pStyle w:val="Style72"/>
        <w:keepNext w:val="0"/>
        <w:keepLines w:val="0"/>
        <w:widowControl w:val="0"/>
        <w:shd w:val="clear" w:color="auto" w:fill="auto"/>
        <w:tabs>
          <w:tab w:leader="underscore" w:pos="2534" w:val="left"/>
          <w:tab w:leader="underscore" w:pos="5285" w:val="left"/>
        </w:tabs>
        <w:bidi w:val="0"/>
        <w:spacing w:before="0" w:after="0" w:line="240" w:lineRule="auto"/>
        <w:ind w:left="0" w:right="0" w:firstLine="0"/>
        <w:jc w:val="both"/>
      </w:pPr>
      <w:r>
        <w:rPr>
          <w:color w:val="000000"/>
          <w:spacing w:val="0"/>
          <w:w w:val="100"/>
          <w:position w:val="0"/>
          <w:sz w:val="24"/>
          <w:szCs w:val="24"/>
        </w:rPr>
        <w:t xml:space="preserve">估值技术 </w:t>
        <w:tab/>
      </w:r>
      <w:r>
        <w:rPr>
          <w:color w:val="000000"/>
          <w:spacing w:val="0"/>
          <w:w w:val="100"/>
          <w:position w:val="0"/>
          <w:sz w:val="24"/>
          <w:szCs w:val="24"/>
          <w:u w:val="single"/>
        </w:rPr>
        <w:t>可观察输入值</w:t>
      </w:r>
      <w:r>
        <w:rPr>
          <w:color w:val="000000"/>
          <w:spacing w:val="0"/>
          <w:w w:val="100"/>
          <w:position w:val="0"/>
          <w:sz w:val="24"/>
          <w:szCs w:val="24"/>
        </w:rPr>
        <w:tab/>
      </w:r>
    </w:p>
    <w:p>
      <w:pPr>
        <w:pStyle w:val="Style72"/>
        <w:keepNext w:val="0"/>
        <w:keepLines w:val="0"/>
        <w:widowControl w:val="0"/>
        <w:shd w:val="clear" w:color="auto" w:fill="auto"/>
        <w:bidi w:val="0"/>
        <w:spacing w:before="0" w:after="620" w:line="240" w:lineRule="auto"/>
        <w:ind w:left="0" w:right="140" w:firstLine="0"/>
        <w:jc w:val="right"/>
      </w:pPr>
      <w:r>
        <w:rPr>
          <w:color w:val="000000"/>
          <w:spacing w:val="0"/>
          <w:w w:val="100"/>
          <w:position w:val="0"/>
          <w:sz w:val="24"/>
          <w:szCs w:val="24"/>
        </w:rPr>
        <w:t>名称范围/加权平均值</w:t>
      </w:r>
    </w:p>
    <w:p>
      <w:pPr>
        <w:pStyle w:val="Style92"/>
        <w:keepNext w:val="0"/>
        <w:keepLines w:val="0"/>
        <w:widowControl w:val="0"/>
        <w:shd w:val="clear" w:color="auto" w:fill="auto"/>
        <w:tabs>
          <w:tab w:pos="1526" w:val="left"/>
          <w:tab w:pos="3374" w:val="left"/>
        </w:tabs>
        <w:bidi w:val="0"/>
        <w:spacing w:before="0" w:after="300" w:line="240" w:lineRule="auto"/>
        <w:ind w:left="0" w:right="140" w:firstLine="0"/>
        <w:jc w:val="right"/>
        <w:sectPr>
          <w:footnotePr>
            <w:pos w:val="pageBottom"/>
            <w:numFmt w:val="decimal"/>
            <w:numStart w:val="1"/>
            <w:numRestart w:val="continuous"/>
            <w15:footnoteColumns w:val="1"/>
          </w:footnotePr>
          <w:pgSz w:w="8400" w:h="11900"/>
          <w:pgMar w:top="4375" w:right="1728" w:bottom="4375" w:left="1330" w:header="0" w:footer="3" w:gutter="0"/>
          <w:cols w:space="720"/>
          <w:noEndnote/>
          <w:rtlGutter w:val="0"/>
          <w:docGrid w:linePitch="360"/>
        </w:sectPr>
      </w:pPr>
      <w:r>
        <w:rPr>
          <w:rFonts w:ascii="SimSun" w:eastAsia="SimSun" w:hAnsi="SimSun" w:cs="SimSun"/>
          <w:color w:val="000000"/>
          <w:spacing w:val="0"/>
          <w:w w:val="100"/>
          <w:position w:val="0"/>
          <w:sz w:val="24"/>
          <w:szCs w:val="24"/>
        </w:rPr>
        <w:t>收益法</w:t>
        <w:tab/>
        <w:t>预期收益率</w:t>
        <w:tab/>
      </w:r>
      <w:r>
        <w:rPr>
          <w:color w:val="000000"/>
          <w:spacing w:val="0"/>
          <w:w w:val="100"/>
          <w:position w:val="0"/>
          <w:sz w:val="24"/>
          <w:szCs w:val="24"/>
        </w:rPr>
        <w:t>1.55%</w:t>
      </w:r>
      <w:r>
        <w:rPr>
          <w:rFonts w:ascii="SimSun" w:eastAsia="SimSun" w:hAnsi="SimSun" w:cs="SimSun"/>
          <w:color w:val="000000"/>
          <w:spacing w:val="0"/>
          <w:w w:val="100"/>
          <w:position w:val="0"/>
          <w:sz w:val="28"/>
          <w:szCs w:val="28"/>
        </w:rPr>
        <w:t>〜</w:t>
      </w:r>
      <w:r>
        <w:rPr>
          <w:color w:val="000000"/>
          <w:spacing w:val="0"/>
          <w:w w:val="100"/>
          <w:position w:val="0"/>
          <w:sz w:val="24"/>
          <w:szCs w:val="24"/>
        </w:rPr>
        <w:t>3.45%</w:t>
      </w:r>
    </w:p>
    <w:p>
      <w:pPr>
        <w:pStyle w:val="Style72"/>
        <w:keepNext w:val="0"/>
        <w:keepLines w:val="0"/>
        <w:widowControl w:val="0"/>
        <w:shd w:val="clear" w:color="auto" w:fill="auto"/>
        <w:bidi w:val="0"/>
        <w:spacing w:before="0" w:after="320" w:line="240" w:lineRule="auto"/>
        <w:ind w:left="0" w:right="0" w:firstLine="0"/>
        <w:jc w:val="left"/>
        <w:rPr>
          <w:sz w:val="28"/>
          <w:szCs w:val="28"/>
        </w:rPr>
      </w:pPr>
      <w:r>
        <w:rPr>
          <w:b/>
          <w:bCs/>
          <w:color w:val="000000"/>
          <w:spacing w:val="0"/>
          <w:w w:val="100"/>
          <w:position w:val="0"/>
          <w:sz w:val="24"/>
          <w:szCs w:val="24"/>
        </w:rPr>
        <w:t>十四公允价值估计</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133"/>
        </w:numPr>
        <w:shd w:val="clear" w:color="auto" w:fill="auto"/>
        <w:tabs>
          <w:tab w:pos="720" w:val="left"/>
        </w:tabs>
        <w:bidi w:val="0"/>
        <w:spacing w:before="0" w:after="280" w:line="240" w:lineRule="auto"/>
        <w:ind w:left="0" w:right="0" w:firstLine="0"/>
        <w:jc w:val="left"/>
      </w:pPr>
      <w:bookmarkStart w:id="985" w:name="bookmark985"/>
      <w:bookmarkEnd w:id="985"/>
      <w:r>
        <w:rPr>
          <w:b/>
          <w:bCs/>
          <w:color w:val="000000"/>
          <w:spacing w:val="0"/>
          <w:w w:val="100"/>
          <w:position w:val="0"/>
          <w:sz w:val="24"/>
          <w:szCs w:val="24"/>
        </w:rPr>
        <w:t>非持续的以公允价值计量的资产</w:t>
      </w:r>
    </w:p>
    <w:p>
      <w:pPr>
        <w:pStyle w:val="Style72"/>
        <w:keepNext w:val="0"/>
        <w:keepLines w:val="0"/>
        <w:widowControl w:val="0"/>
        <w:shd w:val="clear" w:color="auto" w:fill="auto"/>
        <w:bidi w:val="0"/>
        <w:spacing w:before="0" w:after="280" w:line="312" w:lineRule="exact"/>
        <w:ind w:right="0" w:firstLine="0"/>
        <w:jc w:val="both"/>
      </w:pPr>
      <w:r>
        <w:rPr>
          <w:color w:val="000000"/>
          <w:spacing w:val="0"/>
          <w:w w:val="100"/>
          <w:position w:val="0"/>
          <w:sz w:val="24"/>
          <w:szCs w:val="24"/>
        </w:rPr>
        <w:t>本集团非持续的以公允价值计量的资产主要包括：长期股权投资、固定资产、 在建工程及投资性房地产等。</w:t>
      </w:r>
    </w:p>
    <w:p>
      <w:pPr>
        <w:pStyle w:val="Style72"/>
        <w:keepNext w:val="0"/>
        <w:keepLines w:val="0"/>
        <w:widowControl w:val="0"/>
        <w:numPr>
          <w:ilvl w:val="0"/>
          <w:numId w:val="133"/>
        </w:numPr>
        <w:shd w:val="clear" w:color="auto" w:fill="auto"/>
        <w:tabs>
          <w:tab w:pos="720" w:val="left"/>
        </w:tabs>
        <w:bidi w:val="0"/>
        <w:spacing w:before="0" w:after="280" w:line="240" w:lineRule="auto"/>
        <w:ind w:left="0" w:right="0" w:firstLine="0"/>
        <w:jc w:val="left"/>
      </w:pPr>
      <w:bookmarkStart w:id="986" w:name="bookmark986"/>
      <w:bookmarkEnd w:id="986"/>
      <w:r>
        <w:rPr>
          <w:b/>
          <w:bCs/>
          <w:color w:val="000000"/>
          <w:spacing w:val="0"/>
          <w:w w:val="100"/>
          <w:position w:val="0"/>
          <w:sz w:val="24"/>
          <w:szCs w:val="24"/>
        </w:rPr>
        <w:t>不以公允价值计量但披露其公允价值的资产和负债</w:t>
      </w:r>
    </w:p>
    <w:p>
      <w:pPr>
        <w:pStyle w:val="Style72"/>
        <w:keepNext w:val="0"/>
        <w:keepLines w:val="0"/>
        <w:widowControl w:val="0"/>
        <w:shd w:val="clear" w:color="auto" w:fill="auto"/>
        <w:bidi w:val="0"/>
        <w:spacing w:before="0" w:after="280" w:line="305" w:lineRule="exact"/>
        <w:ind w:right="0" w:firstLine="0"/>
        <w:jc w:val="both"/>
      </w:pPr>
      <w:r>
        <w:rPr>
          <w:color w:val="000000"/>
          <w:spacing w:val="0"/>
          <w:w w:val="100"/>
          <w:position w:val="0"/>
          <w:sz w:val="24"/>
          <w:szCs w:val="24"/>
        </w:rPr>
        <w:t>本集团以摊余成本计量的金融资产和金融负债主要包括：应收票据、应收账 款、其他应收款、债权投资、长期应收款、短期借款、应付款项、租赁负债、 长期借款、应付债券和长期应付款等。</w:t>
      </w:r>
    </w:p>
    <w:p>
      <w:pPr>
        <w:pStyle w:val="Style72"/>
        <w:keepNext w:val="0"/>
        <w:keepLines w:val="0"/>
        <w:widowControl w:val="0"/>
        <w:shd w:val="clear" w:color="auto" w:fill="auto"/>
        <w:bidi w:val="0"/>
        <w:spacing w:before="0" w:after="280" w:line="322" w:lineRule="exact"/>
        <w:ind w:right="0" w:firstLine="0"/>
        <w:jc w:val="both"/>
      </w:pPr>
      <w:r>
        <w:rPr>
          <w:color w:val="000000"/>
          <w:spacing w:val="0"/>
          <w:w w:val="100"/>
          <w:position w:val="0"/>
          <w:sz w:val="24"/>
          <w:szCs w:val="24"/>
        </w:rPr>
        <w:t>本集团不以公允价值作为后续计量的金融资产和金融负债的账面价值与公允 价值差异不重大。</w:t>
      </w:r>
    </w:p>
    <w:p>
      <w:pPr>
        <w:pStyle w:val="Style72"/>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z w:val="24"/>
          <w:szCs w:val="24"/>
        </w:rPr>
        <w:t>十五资本管理</w:t>
      </w:r>
    </w:p>
    <w:p>
      <w:pPr>
        <w:pStyle w:val="Style72"/>
        <w:keepNext w:val="0"/>
        <w:keepLines w:val="0"/>
        <w:widowControl w:val="0"/>
        <w:shd w:val="clear" w:color="auto" w:fill="auto"/>
        <w:bidi w:val="0"/>
        <w:spacing w:before="0" w:after="280" w:line="305" w:lineRule="exact"/>
        <w:ind w:right="0" w:firstLine="0"/>
        <w:jc w:val="both"/>
      </w:pPr>
      <w:r>
        <w:rPr>
          <w:color w:val="000000"/>
          <w:spacing w:val="0"/>
          <w:w w:val="100"/>
          <w:position w:val="0"/>
          <w:sz w:val="24"/>
          <w:szCs w:val="24"/>
        </w:rPr>
        <w:t>本集团资本管理政策的目标是为了保障本集团能够持续经营，从而为股东提 供回报，并使其他利益相关者获益，同时维持最佳的资本结构以降低资本成 本。</w:t>
      </w:r>
    </w:p>
    <w:p>
      <w:pPr>
        <w:pStyle w:val="Style72"/>
        <w:keepNext w:val="0"/>
        <w:keepLines w:val="0"/>
        <w:widowControl w:val="0"/>
        <w:shd w:val="clear" w:color="auto" w:fill="auto"/>
        <w:bidi w:val="0"/>
        <w:spacing w:before="0" w:after="280" w:line="302" w:lineRule="exact"/>
        <w:ind w:right="0" w:firstLine="0"/>
        <w:jc w:val="both"/>
      </w:pPr>
      <w:r>
        <w:rPr>
          <w:color w:val="000000"/>
          <w:spacing w:val="0"/>
          <w:w w:val="100"/>
          <w:position w:val="0"/>
          <w:sz w:val="24"/>
          <w:szCs w:val="24"/>
        </w:rPr>
        <w:t>为了维持或调整资本结构，本集团可能会调整支付给股东的股利金额、向股 东返还资本、发行新股或出售资产以减低债务。</w:t>
      </w:r>
    </w:p>
    <w:p>
      <w:pPr>
        <w:pStyle w:val="Style72"/>
        <w:keepNext w:val="0"/>
        <w:keepLines w:val="0"/>
        <w:widowControl w:val="0"/>
        <w:shd w:val="clear" w:color="auto" w:fill="auto"/>
        <w:bidi w:val="0"/>
        <w:spacing w:before="0" w:after="280" w:line="307" w:lineRule="exact"/>
        <w:ind w:right="0" w:firstLine="0"/>
        <w:jc w:val="both"/>
      </w:pPr>
      <w:r>
        <w:rPr>
          <w:color w:val="000000"/>
          <w:spacing w:val="0"/>
          <w:w w:val="100"/>
          <w:position w:val="0"/>
          <w:sz w:val="24"/>
          <w:szCs w:val="24"/>
        </w:rPr>
        <w:t>本集团的总资本为合并资产负债表中所列示的股东权益。本集团不受制于外 部强制性资本要求，利用资产负债率监控资本。</w:t>
      </w:r>
    </w:p>
    <w:p>
      <w:pPr>
        <w:pStyle w:val="Style72"/>
        <w:keepNext w:val="0"/>
        <w:keepLines w:val="0"/>
        <w:widowControl w:val="0"/>
        <w:shd w:val="clear" w:color="auto" w:fill="auto"/>
        <w:bidi w:val="0"/>
        <w:spacing w:before="0" w:after="320" w:line="305"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日及</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日，本集团的资产负债率列示如下:</w:t>
      </w:r>
    </w:p>
    <w:p>
      <w:pPr>
        <w:pStyle w:val="Style92"/>
        <w:keepNext w:val="0"/>
        <w:keepLines w:val="0"/>
        <w:widowControl w:val="0"/>
        <w:shd w:val="clear" w:color="auto" w:fill="auto"/>
        <w:bidi w:val="0"/>
        <w:spacing w:before="0" w:after="280" w:line="266" w:lineRule="auto"/>
        <w:ind w:left="0" w:right="24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92"/>
        <w:keepNext w:val="0"/>
        <w:keepLines w:val="0"/>
        <w:widowControl w:val="0"/>
        <w:shd w:val="clear" w:color="auto" w:fill="auto"/>
        <w:tabs>
          <w:tab w:pos="5280" w:val="left"/>
          <w:tab w:pos="7771" w:val="left"/>
        </w:tabs>
        <w:bidi w:val="0"/>
        <w:spacing w:before="0" w:after="280" w:line="305" w:lineRule="exact"/>
        <w:ind w:left="0" w:right="0" w:firstLine="720"/>
        <w:jc w:val="both"/>
      </w:pPr>
      <w:r>
        <w:rPr>
          <w:rFonts w:ascii="SimSun" w:eastAsia="SimSun" w:hAnsi="SimSun" w:cs="SimSun"/>
          <w:color w:val="000000"/>
          <w:spacing w:val="0"/>
          <w:w w:val="100"/>
          <w:position w:val="0"/>
          <w:sz w:val="24"/>
          <w:szCs w:val="24"/>
        </w:rPr>
        <w:t>资产负债率</w:t>
        <w:tab/>
      </w:r>
      <w:r>
        <w:rPr>
          <w:color w:val="000000"/>
          <w:spacing w:val="0"/>
          <w:w w:val="100"/>
          <w:position w:val="0"/>
          <w:sz w:val="24"/>
          <w:szCs w:val="24"/>
        </w:rPr>
        <w:t>81.83%</w:t>
        <w:tab/>
        <w:t>63.77%</w:t>
      </w:r>
      <w:r>
        <w:br w:type="page"/>
      </w:r>
    </w:p>
    <w:p>
      <w:pPr>
        <w:pStyle w:val="Style7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rPr>
        <w:t>十六公司财务报表附注</w:t>
      </w:r>
    </w:p>
    <w:p>
      <w:pPr>
        <w:pStyle w:val="Style2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 xml:space="preserve">(1) </w:t>
      </w:r>
      <w:r>
        <w:rPr>
          <w:b/>
          <w:bCs/>
          <w:color w:val="000000"/>
          <w:spacing w:val="0"/>
          <w:w w:val="100"/>
          <w:position w:val="0"/>
          <w:sz w:val="24"/>
          <w:szCs w:val="24"/>
        </w:rPr>
        <w:t>应收票据</w:t>
      </w:r>
    </w:p>
    <w:tbl>
      <w:tblPr>
        <w:tblOverlap w:val="never"/>
        <w:jc w:val="center"/>
        <w:tblLayout w:type="fixed"/>
      </w:tblPr>
      <w:tblGrid>
        <w:gridCol w:w="3274"/>
        <w:gridCol w:w="3082"/>
        <w:gridCol w:w="2429"/>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商业承兑票据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24"/>
                <w:szCs w:val="24"/>
              </w:rPr>
            </w:pPr>
            <w:r>
              <w:rPr>
                <w:rFonts w:ascii="Arial" w:eastAsia="Arial" w:hAnsi="Arial" w:cs="Arial"/>
                <w:color w:val="000000"/>
                <w:spacing w:val="0"/>
                <w:w w:val="100"/>
                <w:position w:val="0"/>
                <w:sz w:val="24"/>
                <w:szCs w:val="24"/>
              </w:rPr>
              <w:t>123,183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2,394,368</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银行承兑票据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36,426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1,014,280</w:t>
            </w:r>
          </w:p>
        </w:tc>
      </w:tr>
      <w:tr>
        <w:trPr>
          <w:trHeight w:val="307"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24"/>
                <w:szCs w:val="24"/>
              </w:rPr>
            </w:pPr>
            <w:r>
              <w:rPr>
                <w:rFonts w:ascii="Arial" w:eastAsia="Arial" w:hAnsi="Arial" w:cs="Arial"/>
                <w:color w:val="000000"/>
                <w:spacing w:val="0"/>
                <w:w w:val="100"/>
                <w:position w:val="0"/>
                <w:sz w:val="24"/>
                <w:szCs w:val="24"/>
              </w:rPr>
              <w:t>159,609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3,408,648</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减：坏账准备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(83,320)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(24,177)</w:t>
            </w:r>
          </w:p>
        </w:tc>
      </w:tr>
      <w:tr>
        <w:trPr>
          <w:trHeight w:val="293"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76,289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3,384,471</w:t>
            </w:r>
          </w:p>
        </w:tc>
      </w:tr>
      <w:tr>
        <w:trPr>
          <w:trHeight w:val="739" w:hRule="exact"/>
        </w:trPr>
        <w:tc>
          <w:tcPr>
            <w:tcBorders/>
            <w:shd w:val="clear" w:color="auto" w:fill="FFFFFF"/>
            <w:vAlign w:val="center"/>
          </w:tcPr>
          <w:p>
            <w:pPr>
              <w:pStyle w:val="Style29"/>
              <w:keepNext w:val="0"/>
              <w:keepLines w:val="0"/>
              <w:widowControl w:val="0"/>
              <w:shd w:val="clear" w:color="auto" w:fill="auto"/>
              <w:tabs>
                <w:tab w:pos="715"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(a)</w:t>
              <w:tab/>
            </w:r>
            <w:r>
              <w:rPr>
                <w:rFonts w:ascii="SimSun" w:eastAsia="SimSun" w:hAnsi="SimSun" w:cs="SimSun"/>
                <w:color w:val="000000"/>
                <w:spacing w:val="0"/>
                <w:w w:val="100"/>
                <w:position w:val="0"/>
                <w:sz w:val="24"/>
                <w:szCs w:val="24"/>
              </w:rPr>
              <w:t>于</w:t>
            </w: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gridSpan w:val="2"/>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本公司已背书或已贴现但尚未到期的应收票据如下：</w:t>
            </w: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SimSun" w:eastAsia="SimSun" w:hAnsi="SimSun" w:cs="SimSun"/>
                <w:color w:val="000000"/>
                <w:spacing w:val="0"/>
                <w:w w:val="100"/>
                <w:position w:val="0"/>
                <w:sz w:val="24"/>
                <w:szCs w:val="24"/>
              </w:rPr>
              <w:t>已终止确认</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SimSun" w:eastAsia="SimSun" w:hAnsi="SimSun" w:cs="SimSun"/>
                <w:color w:val="000000"/>
                <w:spacing w:val="0"/>
                <w:w w:val="100"/>
                <w:position w:val="0"/>
                <w:sz w:val="24"/>
                <w:szCs w:val="24"/>
              </w:rPr>
              <w:t>未终止确认</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商业承兑汇票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3,421</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银行承兑汇票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24"/>
                <w:szCs w:val="24"/>
              </w:rPr>
            </w:pPr>
            <w:r>
              <w:rPr>
                <w:rFonts w:ascii="Arial" w:eastAsia="Arial" w:hAnsi="Arial" w:cs="Arial"/>
                <w:color w:val="000000"/>
                <w:spacing w:val="0"/>
                <w:w w:val="100"/>
                <w:position w:val="0"/>
                <w:sz w:val="24"/>
                <w:szCs w:val="24"/>
              </w:rPr>
              <w:t>547,466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24"/>
                <w:szCs w:val="24"/>
              </w:rPr>
            </w:pPr>
            <w:r>
              <w:rPr>
                <w:rFonts w:ascii="Arial" w:eastAsia="Arial" w:hAnsi="Arial" w:cs="Arial"/>
                <w:color w:val="000000"/>
                <w:spacing w:val="0"/>
                <w:w w:val="100"/>
                <w:position w:val="0"/>
                <w:sz w:val="24"/>
                <w:szCs w:val="24"/>
              </w:rPr>
              <w:t>27,306</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24"/>
                <w:szCs w:val="24"/>
              </w:rPr>
            </w:pPr>
            <w:r>
              <w:rPr>
                <w:rFonts w:ascii="Arial" w:eastAsia="Arial" w:hAnsi="Arial" w:cs="Arial"/>
                <w:color w:val="000000"/>
                <w:spacing w:val="0"/>
                <w:w w:val="100"/>
                <w:position w:val="0"/>
                <w:sz w:val="24"/>
                <w:szCs w:val="24"/>
              </w:rPr>
              <w:t>547,466</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24"/>
                <w:szCs w:val="24"/>
              </w:rPr>
            </w:pPr>
            <w:r>
              <w:rPr>
                <w:rFonts w:ascii="Arial" w:eastAsia="Arial" w:hAnsi="Arial" w:cs="Arial"/>
                <w:color w:val="000000"/>
                <w:spacing w:val="0"/>
                <w:w w:val="100"/>
                <w:position w:val="0"/>
                <w:sz w:val="24"/>
                <w:szCs w:val="24"/>
              </w:rPr>
              <w:t>30,727</w:t>
            </w:r>
          </w:p>
        </w:tc>
      </w:tr>
    </w:tbl>
    <w:p>
      <w:pPr>
        <w:widowControl w:val="0"/>
        <w:spacing w:after="259" w:line="1" w:lineRule="exact"/>
      </w:pPr>
    </w:p>
    <w:p>
      <w:pPr>
        <w:pStyle w:val="Style72"/>
        <w:keepNext w:val="0"/>
        <w:keepLines w:val="0"/>
        <w:widowControl w:val="0"/>
        <w:shd w:val="clear" w:color="auto" w:fill="auto"/>
        <w:bidi w:val="0"/>
        <w:spacing w:before="0" w:after="260" w:line="313" w:lineRule="exact"/>
        <w:ind w:left="0" w:right="0" w:firstLine="0"/>
        <w:jc w:val="left"/>
      </w:pPr>
      <w:r>
        <w:rPr>
          <w:rFonts w:ascii="Arial" w:eastAsia="Arial" w:hAnsi="Arial" w:cs="Arial"/>
          <w:color w:val="000000"/>
          <w:spacing w:val="0"/>
          <w:w w:val="100"/>
          <w:position w:val="0"/>
          <w:sz w:val="24"/>
          <w:szCs w:val="24"/>
        </w:rPr>
        <w:t xml:space="preserve">(b) </w:t>
      </w:r>
      <w:r>
        <w:rPr>
          <w:color w:val="000000"/>
          <w:spacing w:val="0"/>
          <w:w w:val="100"/>
          <w:position w:val="0"/>
          <w:sz w:val="24"/>
          <w:szCs w:val="24"/>
        </w:rPr>
        <w:t>坏账准备</w:t>
      </w:r>
    </w:p>
    <w:p>
      <w:pPr>
        <w:pStyle w:val="Style72"/>
        <w:keepNext w:val="0"/>
        <w:keepLines w:val="0"/>
        <w:widowControl w:val="0"/>
        <w:shd w:val="clear" w:color="auto" w:fill="auto"/>
        <w:bidi w:val="0"/>
        <w:spacing w:before="0" w:after="260" w:line="317" w:lineRule="exact"/>
        <w:ind w:right="0" w:firstLine="0"/>
        <w:jc w:val="both"/>
      </w:pPr>
      <w:r>
        <w:rPr>
          <w:color w:val="000000"/>
          <w:spacing w:val="0"/>
          <w:w w:val="100"/>
          <w:position w:val="0"/>
          <w:sz w:val="24"/>
          <w:szCs w:val="24"/>
        </w:rPr>
        <w:t>本集团的应收票据均因销售商品、提供劳务等日常经营活动产生，无论是否 存在重大融资成分，均按照整个存续期的预期信用损失计量损失准备。</w:t>
      </w:r>
    </w:p>
    <w:p>
      <w:pPr>
        <w:pStyle w:val="Style72"/>
        <w:keepNext w:val="0"/>
        <w:keepLines w:val="0"/>
        <w:widowControl w:val="0"/>
        <w:shd w:val="clear" w:color="auto" w:fill="auto"/>
        <w:bidi w:val="0"/>
        <w:spacing w:before="0" w:after="260" w:line="313" w:lineRule="exact"/>
        <w:ind w:right="0" w:firstLine="0"/>
        <w:jc w:val="both"/>
        <w:sectPr>
          <w:footnotePr>
            <w:pos w:val="pageBottom"/>
            <w:numFmt w:val="decimal"/>
            <w:numStart w:val="1"/>
            <w:numRestart w:val="continuous"/>
            <w15:footnoteColumns w:val="1"/>
          </w:footnotePr>
          <w:pgSz w:w="11900" w:h="16840"/>
          <w:pgMar w:top="2338" w:right="1328" w:bottom="4296" w:left="1682" w:header="0" w:footer="3" w:gutter="0"/>
          <w:cols w:space="720"/>
          <w:noEndnote/>
          <w:rtlGutter w:val="0"/>
          <w:docGrid w:linePitch="360"/>
        </w:sectPr>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日，原计入组合中的应收</w:t>
      </w:r>
      <w:r>
        <w:rPr>
          <w:rFonts w:ascii="Arial" w:eastAsia="Arial" w:hAnsi="Arial" w:cs="Arial"/>
          <w:color w:val="000000"/>
          <w:spacing w:val="0"/>
          <w:w w:val="100"/>
          <w:position w:val="0"/>
          <w:sz w:val="24"/>
          <w:szCs w:val="24"/>
        </w:rPr>
        <w:t>A</w:t>
      </w:r>
      <w:r>
        <w:rPr>
          <w:color w:val="000000"/>
          <w:spacing w:val="0"/>
          <w:w w:val="100"/>
          <w:position w:val="0"/>
          <w:sz w:val="24"/>
          <w:szCs w:val="24"/>
        </w:rPr>
        <w:t>类公司及其控股股东控制的 子公司商业承兑汇票约人民币</w:t>
      </w:r>
      <w:r>
        <w:rPr>
          <w:rFonts w:ascii="Arial" w:eastAsia="Arial" w:hAnsi="Arial" w:cs="Arial"/>
          <w:color w:val="000000"/>
          <w:spacing w:val="0"/>
          <w:w w:val="100"/>
          <w:position w:val="0"/>
          <w:sz w:val="24"/>
          <w:szCs w:val="24"/>
        </w:rPr>
        <w:t>1.2</w:t>
      </w:r>
      <w:r>
        <w:rPr>
          <w:color w:val="000000"/>
          <w:spacing w:val="0"/>
          <w:w w:val="100"/>
          <w:position w:val="0"/>
          <w:sz w:val="24"/>
          <w:szCs w:val="24"/>
        </w:rPr>
        <w:t>亿元，这些公司已发生重大财务困难，信用 风险已显著增加，本集团针对该笔款项评估了不同场景下预计可能回收的现 金流量，并根据其与合同应收的现金流量之间差额的现值，计提坏账准备约 人民币</w:t>
      </w:r>
      <w:r>
        <w:rPr>
          <w:rFonts w:ascii="Arial" w:eastAsia="Arial" w:hAnsi="Arial" w:cs="Arial"/>
          <w:color w:val="000000"/>
          <w:spacing w:val="0"/>
          <w:w w:val="100"/>
          <w:position w:val="0"/>
          <w:sz w:val="24"/>
          <w:szCs w:val="24"/>
        </w:rPr>
        <w:t>8,144.56</w:t>
      </w:r>
      <w:r>
        <w:rPr>
          <w:color w:val="000000"/>
          <w:spacing w:val="0"/>
          <w:w w:val="100"/>
          <w:position w:val="0"/>
          <w:sz w:val="24"/>
          <w:szCs w:val="24"/>
        </w:rPr>
        <w:t>万元。于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日，原计入组合中的应收</w:t>
      </w:r>
      <w:r>
        <w:rPr>
          <w:rFonts w:ascii="Arial" w:eastAsia="Arial" w:hAnsi="Arial" w:cs="Arial"/>
          <w:color w:val="000000"/>
          <w:spacing w:val="0"/>
          <w:w w:val="100"/>
          <w:position w:val="0"/>
          <w:sz w:val="24"/>
          <w:szCs w:val="24"/>
        </w:rPr>
        <w:t>B</w:t>
      </w:r>
      <w:r>
        <w:rPr>
          <w:color w:val="000000"/>
          <w:spacing w:val="0"/>
          <w:w w:val="100"/>
          <w:position w:val="0"/>
          <w:sz w:val="24"/>
          <w:szCs w:val="24"/>
        </w:rPr>
        <w:t>类公 司及其控股股东控制的子公司商业承兑汇票约人民币</w:t>
      </w:r>
      <w:r>
        <w:rPr>
          <w:rFonts w:ascii="Arial" w:eastAsia="Arial" w:hAnsi="Arial" w:cs="Arial"/>
          <w:color w:val="000000"/>
          <w:spacing w:val="0"/>
          <w:w w:val="100"/>
          <w:position w:val="0"/>
          <w:sz w:val="24"/>
          <w:szCs w:val="24"/>
        </w:rPr>
        <w:t>318.24</w:t>
      </w:r>
      <w:r>
        <w:rPr>
          <w:color w:val="000000"/>
          <w:spacing w:val="0"/>
          <w:w w:val="100"/>
          <w:position w:val="0"/>
          <w:sz w:val="24"/>
          <w:szCs w:val="24"/>
        </w:rPr>
        <w:t>万元，这些公司 已发生重大财务困难，信用风险已显著增加，本集团针对该笔款项评估了不 同场景下预计可能回收的现金流量，并根据其与合同应收的现金流量之间差 额的现值，计提坏账准备约人民币</w:t>
      </w:r>
      <w:r>
        <w:rPr>
          <w:rFonts w:ascii="Arial" w:eastAsia="Arial" w:hAnsi="Arial" w:cs="Arial"/>
          <w:color w:val="000000"/>
          <w:spacing w:val="0"/>
          <w:w w:val="100"/>
          <w:position w:val="0"/>
          <w:sz w:val="24"/>
          <w:szCs w:val="24"/>
        </w:rPr>
        <w:t>180.03</w:t>
      </w:r>
      <w:r>
        <w:rPr>
          <w:color w:val="000000"/>
          <w:spacing w:val="0"/>
          <w:w w:val="100"/>
          <w:position w:val="0"/>
          <w:sz w:val="24"/>
          <w:szCs w:val="24"/>
        </w:rPr>
        <w:t>万元。</w:t>
      </w:r>
    </w:p>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40" w:line="240" w:lineRule="auto"/>
        <w:ind w:left="0" w:right="0" w:firstLine="72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z w:val="24"/>
          <w:szCs w:val="24"/>
        </w:rPr>
        <w:t>十六公司财务报表附注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tabs>
          <w:tab w:pos="2054" w:val="right"/>
        </w:tabs>
        <w:bidi w:val="0"/>
        <w:spacing w:before="0" w:after="280" w:line="240" w:lineRule="auto"/>
        <w:ind w:left="0" w:right="0" w:firstLine="0"/>
        <w:jc w:val="left"/>
        <w:rPr>
          <w:sz w:val="28"/>
          <w:szCs w:val="28"/>
        </w:rPr>
      </w:pPr>
      <w:r>
        <w:rPr>
          <w:b/>
          <w:bCs/>
          <w:color w:val="000000"/>
          <w:spacing w:val="0"/>
          <w:w w:val="100"/>
          <w:position w:val="0"/>
          <w:sz w:val="24"/>
          <w:szCs w:val="24"/>
        </w:rPr>
        <w:t>⑴</w:t>
        <w:tab/>
        <w:t>应收票据</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2054" w:val="right"/>
        </w:tabs>
        <w:bidi w:val="0"/>
        <w:spacing w:before="0" w:after="280" w:line="240" w:lineRule="auto"/>
        <w:ind w:left="0" w:right="0" w:firstLine="0"/>
        <w:jc w:val="left"/>
        <w:rPr>
          <w:sz w:val="28"/>
          <w:szCs w:val="28"/>
        </w:rPr>
      </w:pPr>
      <w:r>
        <w:rPr>
          <w:color w:val="000000"/>
          <w:spacing w:val="0"/>
          <w:w w:val="100"/>
          <w:position w:val="0"/>
          <w:sz w:val="24"/>
          <w:szCs w:val="24"/>
        </w:rPr>
        <w:t>（b）</w:t>
        <w:tab/>
      </w:r>
      <w:r>
        <w:rPr>
          <w:rFonts w:ascii="SimSun" w:eastAsia="SimSun" w:hAnsi="SimSun" w:cs="SimSun"/>
          <w:color w:val="000000"/>
          <w:spacing w:val="0"/>
          <w:w w:val="100"/>
          <w:position w:val="0"/>
          <w:sz w:val="24"/>
          <w:szCs w:val="24"/>
        </w:rPr>
        <w:t>坏账准备</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4848" w:val="right"/>
        </w:tabs>
        <w:bidi w:val="0"/>
        <w:spacing w:before="0" w:line="240" w:lineRule="auto"/>
        <w:ind w:left="0" w:right="0" w:firstLine="0"/>
        <w:jc w:val="left"/>
      </w:pPr>
      <w:r>
        <w:rPr>
          <w:color w:val="000000"/>
          <w:spacing w:val="0"/>
          <w:w w:val="100"/>
          <w:position w:val="0"/>
          <w:sz w:val="24"/>
          <w:szCs w:val="24"/>
        </w:rPr>
        <w:t>⑴</w:t>
        <w:tab/>
        <w:t>组合计提坏账准备的应收票据分析如下:</w:t>
      </w:r>
    </w:p>
    <w:p>
      <w:pPr>
        <w:pStyle w:val="Style72"/>
        <w:keepNext w:val="0"/>
        <w:keepLines w:val="0"/>
        <w:widowControl w:val="0"/>
        <w:shd w:val="clear" w:color="auto" w:fill="auto"/>
        <w:bidi w:val="0"/>
        <w:spacing w:before="0" w:after="280" w:line="240" w:lineRule="auto"/>
        <w:ind w:left="0" w:right="0" w:firstLine="720"/>
        <w:jc w:val="both"/>
      </w:pPr>
      <w:r>
        <w:rPr>
          <w:color w:val="000000"/>
          <w:spacing w:val="0"/>
          <w:w w:val="100"/>
          <w:position w:val="0"/>
          <w:sz w:val="24"/>
          <w:szCs w:val="24"/>
        </w:rPr>
        <w:t>组合</w:t>
      </w:r>
      <w:r>
        <w:rPr>
          <w:color w:val="000000"/>
          <w:spacing w:val="0"/>
          <w:w w:val="100"/>
          <w:position w:val="0"/>
          <w:sz w:val="28"/>
          <w:szCs w:val="28"/>
        </w:rPr>
        <w:t>一</w:t>
      </w:r>
      <w:r>
        <w:rPr>
          <w:color w:val="000000"/>
          <w:spacing w:val="0"/>
          <w:w w:val="100"/>
          <w:position w:val="0"/>
          <w:sz w:val="24"/>
          <w:szCs w:val="24"/>
        </w:rPr>
        <w:t>银行承兑汇票及商业承兑汇票:</w:t>
      </w:r>
    </w:p>
    <w:p>
      <w:pPr>
        <w:pStyle w:val="Style72"/>
        <w:keepNext w:val="0"/>
        <w:keepLines w:val="0"/>
        <w:widowControl w:val="0"/>
        <w:shd w:val="clear" w:color="auto" w:fill="auto"/>
        <w:bidi w:val="0"/>
        <w:spacing w:before="0" w:after="280" w:line="314"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日，本集团按照整个存续期预期信用损失计量坏账准备， 相关金额约人民币</w:t>
      </w:r>
      <w:r>
        <w:rPr>
          <w:rFonts w:ascii="Arial" w:eastAsia="Arial" w:hAnsi="Arial" w:cs="Arial"/>
          <w:color w:val="000000"/>
          <w:spacing w:val="0"/>
          <w:w w:val="100"/>
          <w:position w:val="0"/>
          <w:sz w:val="24"/>
          <w:szCs w:val="24"/>
        </w:rPr>
        <w:t>7.4</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日：约人民币</w:t>
      </w:r>
      <w:r>
        <w:rPr>
          <w:rFonts w:ascii="Arial" w:eastAsia="Arial" w:hAnsi="Arial" w:cs="Arial"/>
          <w:color w:val="000000"/>
          <w:spacing w:val="0"/>
          <w:w w:val="100"/>
          <w:position w:val="0"/>
          <w:sz w:val="24"/>
          <w:szCs w:val="24"/>
        </w:rPr>
        <w:t>2,418</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。本 集团认为所持有的应收承兑汇票不存在重大的信用风险，不会因交易对手方 违约而产生重大损失。</w:t>
      </w:r>
    </w:p>
    <w:p>
      <w:pPr>
        <w:pStyle w:val="Style72"/>
        <w:keepNext w:val="0"/>
        <w:keepLines w:val="0"/>
        <w:widowControl w:val="0"/>
        <w:shd w:val="clear" w:color="auto" w:fill="auto"/>
        <w:bidi w:val="0"/>
        <w:spacing w:before="0" w:after="280" w:line="317" w:lineRule="exact"/>
        <w:ind w:left="240" w:right="0" w:firstLine="0"/>
        <w:jc w:val="both"/>
      </w:pPr>
      <w:r>
        <mc:AlternateContent>
          <mc:Choice Requires="wps">
            <w:drawing>
              <wp:anchor distT="0" distB="0" distL="114300" distR="114300" simplePos="0" relativeHeight="125829474" behindDoc="0" locked="0" layoutInCell="1" allowOverlap="1">
                <wp:simplePos x="0" y="0"/>
                <wp:positionH relativeFrom="page">
                  <wp:posOffset>1083945</wp:posOffset>
                </wp:positionH>
                <wp:positionV relativeFrom="paragraph">
                  <wp:posOffset>25400</wp:posOffset>
                </wp:positionV>
                <wp:extent cx="189230" cy="204470"/>
                <wp:wrapSquare wrapText="bothSides"/>
                <wp:docPr id="124" name="Shape 124"/>
                <a:graphic xmlns:a="http://schemas.openxmlformats.org/drawingml/2006/main">
                  <a:graphicData uri="http://schemas.microsoft.com/office/word/2010/wordprocessingShape">
                    <wps:wsp>
                      <wps:cNvSpPr txBox="1"/>
                      <wps:spPr>
                        <a:xfrm>
                          <a:ext cx="189230" cy="20447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(ii)</w:t>
                            </w:r>
                          </w:p>
                        </w:txbxContent>
                      </wps:txbx>
                      <wps:bodyPr wrap="none" lIns="0" tIns="0" rIns="0" bIns="0">
                        <a:noAutoFit/>
                      </wps:bodyPr>
                    </wps:wsp>
                  </a:graphicData>
                </a:graphic>
              </wp:anchor>
            </w:drawing>
          </mc:Choice>
          <mc:Fallback>
            <w:pict>
              <v:shape id="_x0000_s1150" type="#_x0000_t202" style="position:absolute;margin-left:85.350000000000009pt;margin-top:2.pt;width:14.9pt;height:16.100000000000001pt;z-index:-125829279;mso-wrap-distance-left:9.pt;mso-wrap-distance-right:9.pt;mso-position-horizontal-relative:page" filled="f" stroked="f">
                <v:textbox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(ii)</w:t>
                      </w:r>
                    </w:p>
                  </w:txbxContent>
                </v:textbox>
                <w10:wrap type="square" anchorx="page"/>
              </v:shape>
            </w:pict>
          </mc:Fallback>
        </mc:AlternateContent>
      </w:r>
      <w:r>
        <w:rPr>
          <w:color w:val="000000"/>
          <w:spacing w:val="0"/>
          <w:w w:val="100"/>
          <w:position w:val="0"/>
          <w:sz w:val="24"/>
          <w:szCs w:val="24"/>
        </w:rPr>
        <w:t>本年度计提的坏账准备金额约人民币</w:t>
      </w:r>
      <w:r>
        <w:rPr>
          <w:rFonts w:ascii="Arial" w:eastAsia="Arial" w:hAnsi="Arial" w:cs="Arial"/>
          <w:color w:val="000000"/>
          <w:spacing w:val="0"/>
          <w:w w:val="100"/>
          <w:position w:val="0"/>
          <w:sz w:val="24"/>
          <w:szCs w:val="24"/>
        </w:rPr>
        <w:t>8,260</w:t>
      </w:r>
      <w:r>
        <w:rPr>
          <w:color w:val="000000"/>
          <w:spacing w:val="0"/>
          <w:w w:val="100"/>
          <w:position w:val="0"/>
          <w:sz w:val="24"/>
          <w:szCs w:val="24"/>
        </w:rPr>
        <w:t>万元，其中收回或转回的坏账准 备金额约人民币</w:t>
      </w:r>
      <w:r>
        <w:rPr>
          <w:rFonts w:ascii="Arial" w:eastAsia="Arial" w:hAnsi="Arial" w:cs="Arial"/>
          <w:color w:val="000000"/>
          <w:spacing w:val="0"/>
          <w:w w:val="100"/>
          <w:position w:val="0"/>
          <w:sz w:val="24"/>
          <w:szCs w:val="24"/>
        </w:rPr>
        <w:t>2,345</w:t>
      </w:r>
      <w:r>
        <w:rPr>
          <w:color w:val="000000"/>
          <w:spacing w:val="0"/>
          <w:w w:val="100"/>
          <w:position w:val="0"/>
          <w:sz w:val="24"/>
          <w:szCs w:val="24"/>
        </w:rPr>
        <w:t>万元，相应的账面余额约人民币</w:t>
      </w:r>
      <w:r>
        <w:rPr>
          <w:rFonts w:ascii="Arial" w:eastAsia="Arial" w:hAnsi="Arial" w:cs="Arial"/>
          <w:color w:val="000000"/>
          <w:spacing w:val="0"/>
          <w:w w:val="100"/>
          <w:position w:val="0"/>
          <w:sz w:val="24"/>
          <w:szCs w:val="24"/>
        </w:rPr>
        <w:t>14.95</w:t>
      </w:r>
      <w:r>
        <w:rPr>
          <w:color w:val="000000"/>
          <w:spacing w:val="0"/>
          <w:w w:val="100"/>
          <w:position w:val="0"/>
          <w:sz w:val="24"/>
          <w:szCs w:val="24"/>
        </w:rPr>
        <w:t>亿元。重要的 收回或转回金额列式如下：</w:t>
      </w:r>
    </w:p>
    <w:p>
      <w:pPr>
        <w:widowControl w:val="0"/>
        <w:spacing w:line="1" w:lineRule="exact"/>
      </w:pPr>
      <w:r>
        <mc:AlternateContent>
          <mc:Choice Requires="wps">
            <w:drawing>
              <wp:anchor distT="101600" distB="618490" distL="0" distR="0" simplePos="0" relativeHeight="125829476" behindDoc="0" locked="0" layoutInCell="1" allowOverlap="1">
                <wp:simplePos x="0" y="0"/>
                <wp:positionH relativeFrom="page">
                  <wp:posOffset>3086735</wp:posOffset>
                </wp:positionH>
                <wp:positionV relativeFrom="paragraph">
                  <wp:posOffset>101600</wp:posOffset>
                </wp:positionV>
                <wp:extent cx="594360" cy="295910"/>
                <wp:wrapTopAndBottom/>
                <wp:docPr id="126" name="Shape 126"/>
                <a:graphic xmlns:a="http://schemas.openxmlformats.org/drawingml/2006/main">
                  <a:graphicData uri="http://schemas.microsoft.com/office/word/2010/wordprocessingShape">
                    <wps:wsp>
                      <wps:cNvSpPr txBox="1"/>
                      <wps:spPr>
                        <a:xfrm>
                          <a:ext cx="594360" cy="2959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转回或收回</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原因</w:t>
                            </w:r>
                          </w:p>
                        </w:txbxContent>
                      </wps:txbx>
                      <wps:bodyPr lIns="0" tIns="0" rIns="0" bIns="0">
                        <a:noAutoFit/>
                      </wps:bodyPr>
                    </wps:wsp>
                  </a:graphicData>
                </a:graphic>
              </wp:anchor>
            </w:drawing>
          </mc:Choice>
          <mc:Fallback>
            <w:pict>
              <v:shape id="_x0000_s1152" type="#_x0000_t202" style="position:absolute;margin-left:243.05000000000001pt;margin-top:8.pt;width:46.800000000000004pt;height:23.300000000000001pt;z-index:-125829277;mso-wrap-distance-left:0;mso-wrap-distance-top:8.pt;mso-wrap-distance-right:0;mso-wrap-distance-bottom:48.700000000000003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转回或收回</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原因</w:t>
                      </w:r>
                    </w:p>
                  </w:txbxContent>
                </v:textbox>
                <w10:wrap type="topAndBottom" anchorx="page"/>
              </v:shape>
            </w:pict>
          </mc:Fallback>
        </mc:AlternateContent>
      </w:r>
      <w:r>
        <mc:AlternateContent>
          <mc:Choice Requires="wps">
            <w:drawing>
              <wp:anchor distT="101600" distB="618490" distL="0" distR="0" simplePos="0" relativeHeight="125829478" behindDoc="0" locked="0" layoutInCell="1" allowOverlap="1">
                <wp:simplePos x="0" y="0"/>
                <wp:positionH relativeFrom="page">
                  <wp:posOffset>3888740</wp:posOffset>
                </wp:positionH>
                <wp:positionV relativeFrom="paragraph">
                  <wp:posOffset>101600</wp:posOffset>
                </wp:positionV>
                <wp:extent cx="1054735" cy="295910"/>
                <wp:wrapTopAndBottom/>
                <wp:docPr id="128" name="Shape 128"/>
                <a:graphic xmlns:a="http://schemas.openxmlformats.org/drawingml/2006/main">
                  <a:graphicData uri="http://schemas.microsoft.com/office/word/2010/wordprocessingShape">
                    <wps:wsp>
                      <wps:cNvSpPr txBox="1"/>
                      <wps:spPr>
                        <a:xfrm>
                          <a:ext cx="1054735" cy="2959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确定原坏账</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准备的依据及合理性</w:t>
                            </w:r>
                          </w:p>
                        </w:txbxContent>
                      </wps:txbx>
                      <wps:bodyPr lIns="0" tIns="0" rIns="0" bIns="0">
                        <a:noAutoFit/>
                      </wps:bodyPr>
                    </wps:wsp>
                  </a:graphicData>
                </a:graphic>
              </wp:anchor>
            </w:drawing>
          </mc:Choice>
          <mc:Fallback>
            <w:pict>
              <v:shape id="_x0000_s1154" type="#_x0000_t202" style="position:absolute;margin-left:306.19999999999999pt;margin-top:8.pt;width:83.049999999999997pt;height:23.300000000000001pt;z-index:-125829275;mso-wrap-distance-left:0;mso-wrap-distance-top:8.pt;mso-wrap-distance-right:0;mso-wrap-distance-bottom:48.700000000000003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确定原坏账</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准备的依据及合理性</w:t>
                      </w:r>
                    </w:p>
                  </w:txbxContent>
                </v:textbox>
                <w10:wrap type="topAndBottom" anchorx="page"/>
              </v:shape>
            </w:pict>
          </mc:Fallback>
        </mc:AlternateContent>
      </w:r>
      <w:r>
        <mc:AlternateContent>
          <mc:Choice Requires="wps">
            <w:drawing>
              <wp:anchor distT="101600" distB="624840" distL="0" distR="0" simplePos="0" relativeHeight="125829480" behindDoc="0" locked="0" layoutInCell="1" allowOverlap="1">
                <wp:simplePos x="0" y="0"/>
                <wp:positionH relativeFrom="page">
                  <wp:posOffset>5104765</wp:posOffset>
                </wp:positionH>
                <wp:positionV relativeFrom="paragraph">
                  <wp:posOffset>101600</wp:posOffset>
                </wp:positionV>
                <wp:extent cx="597535" cy="289560"/>
                <wp:wrapTopAndBottom/>
                <wp:docPr id="130" name="Shape 130"/>
                <a:graphic xmlns:a="http://schemas.openxmlformats.org/drawingml/2006/main">
                  <a:graphicData uri="http://schemas.microsoft.com/office/word/2010/wordprocessingShape">
                    <wps:wsp>
                      <wps:cNvSpPr txBox="1"/>
                      <wps:spPr>
                        <a:xfrm>
                          <a:ext cx="597535" cy="28956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转回或收回</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xbxContent>
                      </wps:txbx>
                      <wps:bodyPr lIns="0" tIns="0" rIns="0" bIns="0">
                        <a:noAutoFit/>
                      </wps:bodyPr>
                    </wps:wsp>
                  </a:graphicData>
                </a:graphic>
              </wp:anchor>
            </w:drawing>
          </mc:Choice>
          <mc:Fallback>
            <w:pict>
              <v:shape id="_x0000_s1156" type="#_x0000_t202" style="position:absolute;margin-left:401.94999999999999pt;margin-top:8.pt;width:47.050000000000004pt;height:22.800000000000001pt;z-index:-125829273;mso-wrap-distance-left:0;mso-wrap-distance-top:8.pt;mso-wrap-distance-right:0;mso-wrap-distance-bottom:49.200000000000003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转回或收回</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xbxContent>
                </v:textbox>
                <w10:wrap type="topAndBottom" anchorx="page"/>
              </v:shape>
            </w:pict>
          </mc:Fallback>
        </mc:AlternateContent>
      </w:r>
      <w:r>
        <mc:AlternateContent>
          <mc:Choice Requires="wps">
            <w:drawing>
              <wp:anchor distT="101600" distB="765175" distL="0" distR="0" simplePos="0" relativeHeight="125829482" behindDoc="0" locked="0" layoutInCell="1" allowOverlap="1">
                <wp:simplePos x="0" y="0"/>
                <wp:positionH relativeFrom="page">
                  <wp:posOffset>6141085</wp:posOffset>
                </wp:positionH>
                <wp:positionV relativeFrom="paragraph">
                  <wp:posOffset>101600</wp:posOffset>
                </wp:positionV>
                <wp:extent cx="478790" cy="149225"/>
                <wp:wrapTopAndBottom/>
                <wp:docPr id="132" name="Shape 132"/>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收回方式</w:t>
                            </w:r>
                          </w:p>
                        </w:txbxContent>
                      </wps:txbx>
                      <wps:bodyPr wrap="none" lIns="0" tIns="0" rIns="0" bIns="0">
                        <a:noAutoFit/>
                      </wps:bodyPr>
                    </wps:wsp>
                  </a:graphicData>
                </a:graphic>
              </wp:anchor>
            </w:drawing>
          </mc:Choice>
          <mc:Fallback>
            <w:pict>
              <v:shape id="_x0000_s1158" type="#_x0000_t202" style="position:absolute;margin-left:483.55000000000001pt;margin-top:8.pt;width:37.700000000000003pt;height:11.75pt;z-index:-125829271;mso-wrap-distance-left:0;mso-wrap-distance-top:8.pt;mso-wrap-distance-right:0;mso-wrap-distance-bottom:60.2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收回方式</w:t>
                      </w:r>
                    </w:p>
                  </w:txbxContent>
                </v:textbox>
                <w10:wrap type="topAndBottom" anchorx="page"/>
              </v:shape>
            </w:pict>
          </mc:Fallback>
        </mc:AlternateContent>
      </w:r>
      <w:r>
        <mc:AlternateContent>
          <mc:Choice Requires="wps">
            <w:drawing>
              <wp:anchor distT="558800" distB="8890" distL="0" distR="0" simplePos="0" relativeHeight="125829484" behindDoc="0" locked="0" layoutInCell="1" allowOverlap="1">
                <wp:simplePos x="0" y="0"/>
                <wp:positionH relativeFrom="page">
                  <wp:posOffset>1569085</wp:posOffset>
                </wp:positionH>
                <wp:positionV relativeFrom="paragraph">
                  <wp:posOffset>558800</wp:posOffset>
                </wp:positionV>
                <wp:extent cx="2115185" cy="448310"/>
                <wp:wrapTopAndBottom/>
                <wp:docPr id="134" name="Shape 134"/>
                <a:graphic xmlns:a="http://schemas.openxmlformats.org/drawingml/2006/main">
                  <a:graphicData uri="http://schemas.microsoft.com/office/word/2010/wordprocessingShape">
                    <wps:wsp>
                      <wps:cNvSpPr txBox="1"/>
                      <wps:spPr>
                        <a:xfrm>
                          <a:ext cx="2115185" cy="4483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r>
                              <w:rPr>
                                <w:color w:val="000000"/>
                                <w:spacing w:val="0"/>
                                <w:w w:val="100"/>
                                <w:position w:val="0"/>
                              </w:rPr>
                              <w:t>一</w:t>
                            </w:r>
                            <w:r>
                              <w:rPr>
                                <w:rFonts w:ascii="Arial" w:eastAsia="Arial" w:hAnsi="Arial" w:cs="Arial"/>
                                <w:color w:val="000000"/>
                                <w:spacing w:val="0"/>
                                <w:w w:val="100"/>
                                <w:position w:val="0"/>
                              </w:rPr>
                              <w:t>A</w:t>
                            </w:r>
                            <w:r>
                              <w:rPr>
                                <w:color w:val="000000"/>
                                <w:spacing w:val="0"/>
                                <w:w w:val="100"/>
                                <w:position w:val="0"/>
                              </w:rPr>
                              <w:t>类公司及</w:t>
                            </w:r>
                          </w:p>
                          <w:p>
                            <w:pPr>
                              <w:pStyle w:val="Style5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其控股股东控制的子</w:t>
                            </w:r>
                          </w:p>
                          <w:p>
                            <w:pPr>
                              <w:pStyle w:val="Style55"/>
                              <w:keepNext w:val="0"/>
                              <w:keepLines w:val="0"/>
                              <w:widowControl w:val="0"/>
                              <w:shd w:val="clear" w:color="auto" w:fill="auto"/>
                              <w:tabs>
                                <w:tab w:pos="2202" w:val="left"/>
                              </w:tabs>
                              <w:bidi w:val="0"/>
                              <w:spacing w:before="0" w:after="0" w:line="240" w:lineRule="auto"/>
                              <w:ind w:left="0" w:right="0" w:firstLine="200"/>
                              <w:jc w:val="left"/>
                            </w:pPr>
                            <w:r>
                              <w:rPr>
                                <w:color w:val="000000"/>
                                <w:spacing w:val="0"/>
                                <w:w w:val="100"/>
                                <w:position w:val="0"/>
                              </w:rPr>
                              <w:t>公司</w:t>
                              <w:tab/>
                              <w:t>票据到期兑付</w:t>
                            </w:r>
                          </w:p>
                        </w:txbxContent>
                      </wps:txbx>
                      <wps:bodyPr lIns="0" tIns="0" rIns="0" bIns="0">
                        <a:noAutoFit/>
                      </wps:bodyPr>
                    </wps:wsp>
                  </a:graphicData>
                </a:graphic>
              </wp:anchor>
            </w:drawing>
          </mc:Choice>
          <mc:Fallback>
            <w:pict>
              <v:shape id="_x0000_s1160" type="#_x0000_t202" style="position:absolute;margin-left:123.55pt;margin-top:44.pt;width:166.55000000000001pt;height:35.300000000000004pt;z-index:-125829269;mso-wrap-distance-left:0;mso-wrap-distance-top:44.pt;mso-wrap-distance-right:0;mso-wrap-distance-bottom:0.70000000000000007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r>
                        <w:rPr>
                          <w:color w:val="000000"/>
                          <w:spacing w:val="0"/>
                          <w:w w:val="100"/>
                          <w:position w:val="0"/>
                        </w:rPr>
                        <w:t>一</w:t>
                      </w:r>
                      <w:r>
                        <w:rPr>
                          <w:rFonts w:ascii="Arial" w:eastAsia="Arial" w:hAnsi="Arial" w:cs="Arial"/>
                          <w:color w:val="000000"/>
                          <w:spacing w:val="0"/>
                          <w:w w:val="100"/>
                          <w:position w:val="0"/>
                        </w:rPr>
                        <w:t>A</w:t>
                      </w:r>
                      <w:r>
                        <w:rPr>
                          <w:color w:val="000000"/>
                          <w:spacing w:val="0"/>
                          <w:w w:val="100"/>
                          <w:position w:val="0"/>
                        </w:rPr>
                        <w:t>类公司及</w:t>
                      </w:r>
                    </w:p>
                    <w:p>
                      <w:pPr>
                        <w:pStyle w:val="Style5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其控股股东控制的子</w:t>
                      </w:r>
                    </w:p>
                    <w:p>
                      <w:pPr>
                        <w:pStyle w:val="Style55"/>
                        <w:keepNext w:val="0"/>
                        <w:keepLines w:val="0"/>
                        <w:widowControl w:val="0"/>
                        <w:shd w:val="clear" w:color="auto" w:fill="auto"/>
                        <w:tabs>
                          <w:tab w:pos="2202" w:val="left"/>
                        </w:tabs>
                        <w:bidi w:val="0"/>
                        <w:spacing w:before="0" w:after="0" w:line="240" w:lineRule="auto"/>
                        <w:ind w:left="0" w:right="0" w:firstLine="200"/>
                        <w:jc w:val="left"/>
                      </w:pPr>
                      <w:r>
                        <w:rPr>
                          <w:color w:val="000000"/>
                          <w:spacing w:val="0"/>
                          <w:w w:val="100"/>
                          <w:position w:val="0"/>
                        </w:rPr>
                        <w:t>公司</w:t>
                        <w:tab/>
                        <w:t>票据到期兑付</w:t>
                      </w:r>
                    </w:p>
                  </w:txbxContent>
                </v:textbox>
                <w10:wrap type="topAndBottom" anchorx="page"/>
              </v:shape>
            </w:pict>
          </mc:Fallback>
        </mc:AlternateContent>
      </w:r>
      <w:r>
        <mc:AlternateContent>
          <mc:Choice Requires="wps">
            <w:drawing>
              <wp:anchor distT="689610" distB="9525" distL="0" distR="0" simplePos="0" relativeHeight="125829486" behindDoc="0" locked="0" layoutInCell="1" allowOverlap="1">
                <wp:simplePos x="0" y="0"/>
                <wp:positionH relativeFrom="page">
                  <wp:posOffset>3775710</wp:posOffset>
                </wp:positionH>
                <wp:positionV relativeFrom="paragraph">
                  <wp:posOffset>689610</wp:posOffset>
                </wp:positionV>
                <wp:extent cx="1167130" cy="316865"/>
                <wp:wrapTopAndBottom/>
                <wp:docPr id="136" name="Shape 136"/>
                <a:graphic xmlns:a="http://schemas.openxmlformats.org/drawingml/2006/main">
                  <a:graphicData uri="http://schemas.microsoft.com/office/word/2010/wordprocessingShape">
                    <wps:wsp>
                      <wps:cNvSpPr txBox="1"/>
                      <wps:spPr>
                        <a:xfrm>
                          <a:ext cx="1167130" cy="316865"/>
                        </a:xfrm>
                        <a:prstGeom prst="rect"/>
                        <a:noFill/>
                      </wps:spPr>
                      <wps:txbx>
                        <w:txbxContent>
                          <w:p>
                            <w:pPr>
                              <w:pStyle w:val="Style55"/>
                              <w:keepNext w:val="0"/>
                              <w:keepLines w:val="0"/>
                              <w:widowControl w:val="0"/>
                              <w:shd w:val="clear" w:color="auto" w:fill="auto"/>
                              <w:bidi w:val="0"/>
                              <w:spacing w:before="0" w:after="0" w:line="240" w:lineRule="exact"/>
                              <w:ind w:left="0" w:right="0" w:firstLine="0"/>
                              <w:jc w:val="right"/>
                            </w:pPr>
                            <w:r>
                              <w:rPr>
                                <w:color w:val="000000"/>
                                <w:spacing w:val="0"/>
                                <w:w w:val="100"/>
                                <w:position w:val="0"/>
                              </w:rPr>
                              <w:t>按照整个存续期预期 信用损失计量坏账准备</w:t>
                            </w:r>
                          </w:p>
                        </w:txbxContent>
                      </wps:txbx>
                      <wps:bodyPr lIns="0" tIns="0" rIns="0" bIns="0">
                        <a:noAutoFit/>
                      </wps:bodyPr>
                    </wps:wsp>
                  </a:graphicData>
                </a:graphic>
              </wp:anchor>
            </w:drawing>
          </mc:Choice>
          <mc:Fallback>
            <w:pict>
              <v:shape id="_x0000_s1162" type="#_x0000_t202" style="position:absolute;margin-left:297.30000000000001pt;margin-top:54.300000000000004pt;width:91.900000000000006pt;height:24.949999999999999pt;z-index:-125829267;mso-wrap-distance-left:0;mso-wrap-distance-top:54.300000000000004pt;mso-wrap-distance-right:0;mso-wrap-distance-bottom:0.75pt;mso-position-horizontal-relative:page" filled="f" stroked="f">
                <v:textbox inset="0,0,0,0">
                  <w:txbxContent>
                    <w:p>
                      <w:pPr>
                        <w:pStyle w:val="Style55"/>
                        <w:keepNext w:val="0"/>
                        <w:keepLines w:val="0"/>
                        <w:widowControl w:val="0"/>
                        <w:shd w:val="clear" w:color="auto" w:fill="auto"/>
                        <w:bidi w:val="0"/>
                        <w:spacing w:before="0" w:after="0" w:line="240" w:lineRule="exact"/>
                        <w:ind w:left="0" w:right="0" w:firstLine="0"/>
                        <w:jc w:val="right"/>
                      </w:pPr>
                      <w:r>
                        <w:rPr>
                          <w:color w:val="000000"/>
                          <w:spacing w:val="0"/>
                          <w:w w:val="100"/>
                          <w:position w:val="0"/>
                        </w:rPr>
                        <w:t>按照整个存续期预期 信用损失计量坏账准备</w:t>
                      </w:r>
                    </w:p>
                  </w:txbxContent>
                </v:textbox>
                <w10:wrap type="topAndBottom" anchorx="page"/>
              </v:shape>
            </w:pict>
          </mc:Fallback>
        </mc:AlternateContent>
      </w:r>
      <w:r>
        <mc:AlternateContent>
          <mc:Choice Requires="wps">
            <w:drawing>
              <wp:anchor distT="872490" distB="0" distL="0" distR="0" simplePos="0" relativeHeight="125829488" behindDoc="0" locked="0" layoutInCell="1" allowOverlap="1">
                <wp:simplePos x="0" y="0"/>
                <wp:positionH relativeFrom="page">
                  <wp:posOffset>5324475</wp:posOffset>
                </wp:positionH>
                <wp:positionV relativeFrom="paragraph">
                  <wp:posOffset>872490</wp:posOffset>
                </wp:positionV>
                <wp:extent cx="377825" cy="143510"/>
                <wp:wrapTopAndBottom/>
                <wp:docPr id="138" name="Shape 138"/>
                <a:graphic xmlns:a="http://schemas.openxmlformats.org/drawingml/2006/main">
                  <a:graphicData uri="http://schemas.microsoft.com/office/word/2010/wordprocessingShape">
                    <wps:wsp>
                      <wps:cNvSpPr txBox="1"/>
                      <wps:spPr>
                        <a:xfrm>
                          <a:ext cx="377825" cy="143510"/>
                        </a:xfrm>
                        <a:prstGeom prst="rect"/>
                        <a:noFill/>
                      </wps:spPr>
                      <wps:txbx>
                        <w:txbxContent>
                          <w:p>
                            <w:pPr>
                              <w:pStyle w:val="Style14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23,455</w:t>
                            </w:r>
                          </w:p>
                        </w:txbxContent>
                      </wps:txbx>
                      <wps:bodyPr wrap="none" lIns="0" tIns="0" rIns="0" bIns="0">
                        <a:noAutoFit/>
                      </wps:bodyPr>
                    </wps:wsp>
                  </a:graphicData>
                </a:graphic>
              </wp:anchor>
            </w:drawing>
          </mc:Choice>
          <mc:Fallback>
            <w:pict>
              <v:shape id="_x0000_s1164" type="#_x0000_t202" style="position:absolute;margin-left:419.25pt;margin-top:68.700000000000003pt;width:29.75pt;height:11.300000000000001pt;z-index:-125829265;mso-wrap-distance-left:0;mso-wrap-distance-top:68.700000000000003pt;mso-wrap-distance-right:0;mso-position-horizontal-relative:page" filled="f" stroked="f">
                <v:textbox inset="0,0,0,0">
                  <w:txbxContent>
                    <w:p>
                      <w:pPr>
                        <w:pStyle w:val="Style14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23,455</w:t>
                      </w:r>
                    </w:p>
                  </w:txbxContent>
                </v:textbox>
                <w10:wrap type="topAndBottom" anchorx="page"/>
              </v:shape>
            </w:pict>
          </mc:Fallback>
        </mc:AlternateContent>
      </w:r>
      <w:r>
        <mc:AlternateContent>
          <mc:Choice Requires="wps">
            <w:drawing>
              <wp:anchor distT="708025" distB="9525" distL="0" distR="0" simplePos="0" relativeHeight="125829490" behindDoc="0" locked="0" layoutInCell="1" allowOverlap="1">
                <wp:simplePos x="0" y="0"/>
                <wp:positionH relativeFrom="page">
                  <wp:posOffset>5875655</wp:posOffset>
                </wp:positionH>
                <wp:positionV relativeFrom="paragraph">
                  <wp:posOffset>708025</wp:posOffset>
                </wp:positionV>
                <wp:extent cx="743585" cy="298450"/>
                <wp:wrapTopAndBottom/>
                <wp:docPr id="140" name="Shape 140"/>
                <a:graphic xmlns:a="http://schemas.openxmlformats.org/drawingml/2006/main">
                  <a:graphicData uri="http://schemas.microsoft.com/office/word/2010/wordprocessingShape">
                    <wps:wsp>
                      <wps:cNvSpPr txBox="1"/>
                      <wps:spPr>
                        <a:xfrm>
                          <a:ext cx="743585" cy="2984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现金收款</w:t>
                            </w:r>
                            <w:r>
                              <w:rPr>
                                <w:rFonts w:ascii="Arial" w:eastAsia="Arial" w:hAnsi="Arial" w:cs="Arial"/>
                                <w:color w:val="000000"/>
                                <w:spacing w:val="0"/>
                                <w:w w:val="100"/>
                                <w:position w:val="0"/>
                              </w:rPr>
                              <w:t>/</w:t>
                            </w:r>
                            <w:r>
                              <w:rPr>
                                <w:color w:val="000000"/>
                                <w:spacing w:val="0"/>
                                <w:w w:val="100"/>
                                <w:position w:val="0"/>
                              </w:rPr>
                              <w:t>背书</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第三方</w:t>
                            </w:r>
                          </w:p>
                        </w:txbxContent>
                      </wps:txbx>
                      <wps:bodyPr lIns="0" tIns="0" rIns="0" bIns="0">
                        <a:noAutoFit/>
                      </wps:bodyPr>
                    </wps:wsp>
                  </a:graphicData>
                </a:graphic>
              </wp:anchor>
            </w:drawing>
          </mc:Choice>
          <mc:Fallback>
            <w:pict>
              <v:shape id="_x0000_s1166" type="#_x0000_t202" style="position:absolute;margin-left:462.65000000000003pt;margin-top:55.75pt;width:58.550000000000004pt;height:23.5pt;z-index:-125829263;mso-wrap-distance-left:0;mso-wrap-distance-top:55.75pt;mso-wrap-distance-right:0;mso-wrap-distance-bottom:0.7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现金收款</w:t>
                      </w:r>
                      <w:r>
                        <w:rPr>
                          <w:rFonts w:ascii="Arial" w:eastAsia="Arial" w:hAnsi="Arial" w:cs="Arial"/>
                          <w:color w:val="000000"/>
                          <w:spacing w:val="0"/>
                          <w:w w:val="100"/>
                          <w:position w:val="0"/>
                        </w:rPr>
                        <w:t>/</w:t>
                      </w:r>
                      <w:r>
                        <w:rPr>
                          <w:color w:val="000000"/>
                          <w:spacing w:val="0"/>
                          <w:w w:val="100"/>
                          <w:position w:val="0"/>
                        </w:rPr>
                        <w:t>背书</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第三方</w:t>
                      </w:r>
                    </w:p>
                  </w:txbxContent>
                </v:textbox>
                <w10:wrap type="topAndBottom" anchorx="page"/>
              </v:shape>
            </w:pict>
          </mc:Fallback>
        </mc:AlternateContent>
      </w:r>
      <w:r>
        <w:br w:type="page"/>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b/>
          <w:bCs/>
          <w:color w:val="000000"/>
          <w:spacing w:val="0"/>
          <w:w w:val="100"/>
          <w:position w:val="0"/>
          <w:sz w:val="24"/>
          <w:szCs w:val="24"/>
        </w:rPr>
        <w:t>财务报表附注</w:t>
      </w:r>
    </w:p>
    <w:p>
      <w:pPr>
        <w:pStyle w:val="Style26"/>
        <w:keepNext w:val="0"/>
        <w:keepLines w:val="0"/>
        <w:widowControl w:val="0"/>
        <w:shd w:val="clear" w:color="auto" w:fill="auto"/>
        <w:bidi w:val="0"/>
        <w:spacing w:before="0" w:after="60" w:line="240" w:lineRule="auto"/>
        <w:ind w:left="710" w:right="0" w:firstLine="0"/>
        <w:jc w:val="left"/>
        <w:rPr>
          <w:sz w:val="24"/>
          <w:szCs w:val="24"/>
        </w:rPr>
      </w:pPr>
      <w:r>
        <w:rPr>
          <w:rFonts w:ascii="Arial" w:eastAsia="Arial" w:hAnsi="Arial" w:cs="Arial"/>
          <w:color w:val="000000"/>
          <w:spacing w:val="0"/>
          <w:w w:val="100"/>
          <w:position w:val="0"/>
          <w:sz w:val="24"/>
          <w:szCs w:val="24"/>
        </w:rPr>
        <w:t>2021</w:t>
      </w:r>
      <w:r>
        <w:rPr>
          <w:b/>
          <w:bCs/>
          <w:color w:val="000000"/>
          <w:spacing w:val="0"/>
          <w:w w:val="100"/>
          <w:position w:val="0"/>
          <w:sz w:val="24"/>
          <w:szCs w:val="24"/>
        </w:rPr>
        <w:t>年度</w:t>
      </w:r>
    </w:p>
    <w:p>
      <w:pPr>
        <w:pStyle w:val="Style26"/>
        <w:keepNext w:val="0"/>
        <w:keepLines w:val="0"/>
        <w:widowControl w:val="0"/>
        <w:shd w:val="clear" w:color="auto" w:fill="auto"/>
        <w:bidi w:val="0"/>
        <w:spacing w:before="0" w:after="60" w:line="240" w:lineRule="auto"/>
        <w:ind w:left="710" w:right="0" w:firstLine="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rFonts w:ascii="Arial" w:eastAsia="Arial" w:hAnsi="Arial" w:cs="Arial"/>
          <w:color w:val="000000"/>
          <w:spacing w:val="0"/>
          <w:w w:val="100"/>
          <w:position w:val="0"/>
          <w:sz w:val="18"/>
          <w:szCs w:val="18"/>
        </w:rPr>
        <w:t>）</w:t>
      </w:r>
    </w:p>
    <w:tbl>
      <w:tblPr>
        <w:tblOverlap w:val="never"/>
        <w:jc w:val="center"/>
        <w:tblLayout w:type="fixed"/>
      </w:tblPr>
      <w:tblGrid>
        <w:gridCol w:w="600"/>
        <w:gridCol w:w="2779"/>
        <w:gridCol w:w="2971"/>
        <w:gridCol w:w="2410"/>
      </w:tblGrid>
      <w:tr>
        <w:trPr>
          <w:trHeight w:val="44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十六</w:t>
            </w: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bCs/>
                <w:color w:val="000000"/>
                <w:spacing w:val="0"/>
                <w:w w:val="100"/>
                <w:position w:val="0"/>
                <w:sz w:val="24"/>
                <w:szCs w:val="24"/>
              </w:rPr>
              <w:t>公司财务报表附注</w:t>
            </w:r>
            <w:r>
              <w:rPr>
                <w:rFonts w:ascii="Arial" w:eastAsia="Arial" w:hAnsi="Arial" w:cs="Arial"/>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tc>
      </w:tr>
      <w:tr>
        <w:trPr>
          <w:trHeight w:val="1171"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24"/>
                <w:szCs w:val="24"/>
              </w:rPr>
            </w:pPr>
            <w:r>
              <w:rPr>
                <w:rFonts w:ascii="Arial" w:eastAsia="Arial" w:hAnsi="Arial" w:cs="Arial"/>
                <w:color w:val="000000"/>
                <w:spacing w:val="0"/>
                <w:w w:val="100"/>
                <w:position w:val="0"/>
                <w:sz w:val="24"/>
                <w:szCs w:val="24"/>
              </w:rPr>
              <w:t>(2)</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97,548,070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109,981,390</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减：坏账准备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(315,543)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(32,820)</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97,232,527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109,948,570</w:t>
            </w:r>
          </w:p>
        </w:tc>
      </w:tr>
      <w:tr>
        <w:trPr>
          <w:trHeight w:val="1334" w:hRule="exact"/>
        </w:trPr>
        <w:tc>
          <w:tcPr>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0"/>
              <w:jc w:val="left"/>
              <w:rPr>
                <w:sz w:val="24"/>
                <w:szCs w:val="24"/>
              </w:rPr>
            </w:pPr>
            <w:r>
              <w:rPr>
                <w:rFonts w:ascii="Arial" w:eastAsia="Arial" w:hAnsi="Arial" w:cs="Arial"/>
                <w:color w:val="000000"/>
                <w:spacing w:val="0"/>
                <w:w w:val="100"/>
                <w:position w:val="0"/>
                <w:sz w:val="24"/>
                <w:szCs w:val="24"/>
              </w:rPr>
              <w:t>(a)</w:t>
            </w:r>
          </w:p>
        </w:tc>
        <w:tc>
          <w:tcPr>
            <w:tcBorders/>
            <w:shd w:val="clear" w:color="auto" w:fill="FFFFFF"/>
            <w:vAlign w:val="top"/>
          </w:tcPr>
          <w:p>
            <w:pPr>
              <w:pStyle w:val="Style29"/>
              <w:keepNext w:val="0"/>
              <w:keepLines w:val="0"/>
              <w:widowControl w:val="0"/>
              <w:shd w:val="clear" w:color="auto" w:fill="auto"/>
              <w:bidi w:val="0"/>
              <w:spacing w:before="30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应收账款账龄分析如下：</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97,308,959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109,940,060</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一到二年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222,793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31,927</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二到三年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14,485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6,398</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三到四年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280" w:right="0" w:firstLine="0"/>
              <w:jc w:val="left"/>
              <w:rPr>
                <w:sz w:val="24"/>
                <w:szCs w:val="24"/>
              </w:rPr>
            </w:pPr>
            <w:r>
              <w:rPr>
                <w:rFonts w:ascii="Arial" w:eastAsia="Arial" w:hAnsi="Arial" w:cs="Arial"/>
                <w:color w:val="000000"/>
                <w:spacing w:val="0"/>
                <w:w w:val="100"/>
                <w:position w:val="0"/>
                <w:sz w:val="24"/>
                <w:szCs w:val="24"/>
              </w:rPr>
              <w:t>203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2,006</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四到五年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280" w:right="0" w:firstLine="0"/>
              <w:jc w:val="left"/>
              <w:rPr>
                <w:sz w:val="24"/>
                <w:szCs w:val="24"/>
              </w:rPr>
            </w:pPr>
            <w:r>
              <w:rPr>
                <w:rFonts w:ascii="Arial" w:eastAsia="Arial" w:hAnsi="Arial" w:cs="Arial"/>
                <w:color w:val="000000"/>
                <w:spacing w:val="0"/>
                <w:w w:val="100"/>
                <w:position w:val="0"/>
                <w:sz w:val="24"/>
                <w:szCs w:val="24"/>
              </w:rPr>
              <w:t>901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570</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五年以上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280" w:right="0" w:firstLine="0"/>
              <w:jc w:val="left"/>
              <w:rPr>
                <w:sz w:val="24"/>
                <w:szCs w:val="24"/>
              </w:rPr>
            </w:pPr>
            <w:r>
              <w:rPr>
                <w:rFonts w:ascii="Arial" w:eastAsia="Arial" w:hAnsi="Arial" w:cs="Arial"/>
                <w:color w:val="000000"/>
                <w:spacing w:val="0"/>
                <w:w w:val="100"/>
                <w:position w:val="0"/>
                <w:sz w:val="24"/>
                <w:szCs w:val="24"/>
              </w:rPr>
              <w:t>729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rPr>
                <w:sz w:val="24"/>
                <w:szCs w:val="24"/>
              </w:rPr>
            </w:pPr>
            <w:r>
              <w:rPr>
                <w:rFonts w:ascii="Arial" w:eastAsia="Arial" w:hAnsi="Arial" w:cs="Arial"/>
                <w:color w:val="000000"/>
                <w:spacing w:val="0"/>
                <w:w w:val="100"/>
                <w:position w:val="0"/>
                <w:sz w:val="24"/>
                <w:szCs w:val="24"/>
              </w:rPr>
              <w:t>429</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24"/>
                <w:szCs w:val="24"/>
              </w:rPr>
            </w:pPr>
            <w:r>
              <w:rPr>
                <w:rFonts w:ascii="Arial" w:eastAsia="Arial" w:hAnsi="Arial" w:cs="Arial"/>
                <w:color w:val="000000"/>
                <w:spacing w:val="0"/>
                <w:w w:val="100"/>
                <w:position w:val="0"/>
                <w:sz w:val="24"/>
                <w:szCs w:val="24"/>
              </w:rPr>
              <w:t>97,548,070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4"/>
                <w:szCs w:val="24"/>
              </w:rPr>
            </w:pPr>
            <w:r>
              <w:rPr>
                <w:rFonts w:ascii="Arial" w:eastAsia="Arial" w:hAnsi="Arial" w:cs="Arial"/>
                <w:color w:val="000000"/>
                <w:spacing w:val="0"/>
                <w:w w:val="100"/>
                <w:position w:val="0"/>
                <w:sz w:val="24"/>
                <w:szCs w:val="24"/>
              </w:rPr>
              <w:t>109,981,390</w:t>
            </w:r>
          </w:p>
        </w:tc>
      </w:tr>
      <w:tr>
        <w:trPr>
          <w:trHeight w:val="61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(b)</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于</w:t>
            </w: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按欠款方归集的余额前五名的应收账款汇总分析如</w:t>
            </w:r>
          </w:p>
        </w:tc>
      </w:tr>
      <w:tr>
        <w:trPr>
          <w:trHeight w:val="8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下：</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占应收账款</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9"/>
              <w:keepNext w:val="0"/>
              <w:keepLines w:val="0"/>
              <w:widowControl w:val="0"/>
              <w:shd w:val="clear" w:color="auto" w:fill="auto"/>
              <w:tabs>
                <w:tab w:pos="2350" w:val="left"/>
                <w:tab w:pos="4164" w:val="left"/>
              </w:tabs>
              <w:bidi w:val="0"/>
              <w:spacing w:before="0" w:after="0" w:line="240" w:lineRule="auto"/>
              <w:ind w:left="1260" w:right="0" w:firstLine="0"/>
              <w:jc w:val="left"/>
              <w:rPr>
                <w:sz w:val="18"/>
                <w:szCs w:val="18"/>
              </w:rPr>
            </w:pPr>
            <w:r>
              <w:rPr>
                <w:rFonts w:ascii="SimSun" w:eastAsia="SimSun" w:hAnsi="SimSun" w:cs="SimSun"/>
                <w:color w:val="000000"/>
                <w:spacing w:val="0"/>
                <w:w w:val="100"/>
                <w:position w:val="0"/>
                <w:sz w:val="18"/>
                <w:szCs w:val="18"/>
              </w:rPr>
              <w:t>余额</w:t>
              <w:tab/>
              <w:t>坏账准备金额</w:t>
              <w:tab/>
              <w:t>余额总额比例</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余额前五名的应收账款总额</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67,353,603</w:t>
            </w:r>
          </w:p>
        </w:tc>
        <w:tc>
          <w:tcPr>
            <w:tcBorders>
              <w:bottom w:val="single" w:sz="4"/>
            </w:tcBorders>
            <w:shd w:val="clear" w:color="auto" w:fill="FFFFFF"/>
            <w:vAlign w:val="bottom"/>
          </w:tcPr>
          <w:p>
            <w:pPr>
              <w:pStyle w:val="Style29"/>
              <w:keepNext w:val="0"/>
              <w:keepLines w:val="0"/>
              <w:widowControl w:val="0"/>
              <w:shd w:val="clear" w:color="auto" w:fill="auto"/>
              <w:tabs>
                <w:tab w:pos="1248" w:val="left"/>
              </w:tabs>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tab/>
              <w:t>69.05%</w:t>
            </w:r>
          </w:p>
        </w:tc>
      </w:tr>
    </w:tbl>
    <w:p>
      <w:pPr>
        <w:widowControl w:val="0"/>
        <w:spacing w:after="239" w:line="1" w:lineRule="exact"/>
      </w:pPr>
    </w:p>
    <w:p>
      <w:pPr>
        <w:pStyle w:val="Style72"/>
        <w:keepNext w:val="0"/>
        <w:keepLines w:val="0"/>
        <w:widowControl w:val="0"/>
        <w:shd w:val="clear" w:color="auto" w:fill="auto"/>
        <w:tabs>
          <w:tab w:pos="734" w:val="left"/>
        </w:tabs>
        <w:bidi w:val="0"/>
        <w:spacing w:before="0" w:after="240" w:line="331" w:lineRule="exact"/>
        <w:ind w:left="0" w:right="0" w:firstLine="0"/>
        <w:jc w:val="left"/>
      </w:pPr>
      <w:bookmarkStart w:id="987" w:name="bookmark987"/>
      <w:r>
        <w:rPr>
          <w:rFonts w:ascii="Arial" w:eastAsia="Arial" w:hAnsi="Arial" w:cs="Arial"/>
          <w:color w:val="000000"/>
          <w:spacing w:val="0"/>
          <w:w w:val="100"/>
          <w:position w:val="0"/>
          <w:sz w:val="24"/>
          <w:szCs w:val="24"/>
          <w:shd w:val="clear" w:color="auto" w:fill="FFFFFF"/>
        </w:rPr>
        <w:t>（</w:t>
      </w:r>
      <w:bookmarkEnd w:id="987"/>
      <w:r>
        <w:rPr>
          <w:rFonts w:ascii="Arial" w:eastAsia="Arial" w:hAnsi="Arial" w:cs="Arial"/>
          <w:color w:val="000000"/>
          <w:spacing w:val="0"/>
          <w:w w:val="100"/>
          <w:position w:val="0"/>
          <w:sz w:val="24"/>
          <w:szCs w:val="24"/>
          <w:shd w:val="clear" w:color="auto" w:fill="FFFFFF"/>
        </w:rPr>
        <w:t>c）</w:t>
      </w:r>
      <w:r>
        <w:rPr>
          <w:rFonts w:ascii="Arial" w:eastAsia="Arial" w:hAnsi="Arial" w:cs="Arial"/>
          <w:color w:val="000000"/>
          <w:spacing w:val="0"/>
          <w:w w:val="100"/>
          <w:position w:val="0"/>
          <w:sz w:val="24"/>
          <w:szCs w:val="24"/>
        </w:rPr>
        <w:tab/>
      </w:r>
      <w:r>
        <w:rPr>
          <w:color w:val="000000"/>
          <w:spacing w:val="0"/>
          <w:w w:val="100"/>
          <w:position w:val="0"/>
          <w:sz w:val="24"/>
          <w:szCs w:val="24"/>
        </w:rPr>
        <w:t>因金融资产转移而终止确认的应收账款分析如下：</w:t>
      </w:r>
    </w:p>
    <w:p>
      <w:pPr>
        <w:pStyle w:val="Style72"/>
        <w:keepNext w:val="0"/>
        <w:keepLines w:val="0"/>
        <w:widowControl w:val="0"/>
        <w:shd w:val="clear" w:color="auto" w:fill="auto"/>
        <w:bidi w:val="0"/>
        <w:spacing w:before="0" w:after="240" w:line="331" w:lineRule="exact"/>
        <w:ind w:right="0" w:firstLine="0"/>
        <w:jc w:val="left"/>
        <w:sectPr>
          <w:footnotePr>
            <w:pos w:val="pageBottom"/>
            <w:numFmt w:val="decimal"/>
            <w:numStart w:val="1"/>
            <w:numRestart w:val="continuous"/>
            <w15:footnoteColumns w:val="1"/>
          </w:footnotePr>
          <w:pgSz w:w="11900" w:h="16840"/>
          <w:pgMar w:top="1158" w:right="1298" w:bottom="4532" w:left="1707" w:header="0" w:footer="3" w:gutter="0"/>
          <w:cols w:space="720"/>
          <w:noEndnote/>
          <w:rtlGutter w:val="0"/>
          <w:docGrid w:linePitch="360"/>
        </w:sectPr>
      </w:pPr>
      <w:r>
        <w:rPr>
          <w:rFonts w:ascii="Arial" w:eastAsia="Arial" w:hAnsi="Arial" w:cs="Arial"/>
          <w:color w:val="000000"/>
          <w:spacing w:val="0"/>
          <w:w w:val="100"/>
          <w:position w:val="0"/>
          <w:sz w:val="24"/>
          <w:szCs w:val="24"/>
        </w:rPr>
        <w:t>2021</w:t>
      </w:r>
      <w:r>
        <w:rPr>
          <w:color w:val="000000"/>
          <w:spacing w:val="0"/>
          <w:w w:val="100"/>
          <w:position w:val="0"/>
          <w:sz w:val="24"/>
          <w:szCs w:val="24"/>
        </w:rPr>
        <w:t>年度，本集团不存在因金融资产转移而终止确认的应收账款</w:t>
      </w:r>
      <w:r>
        <w:rPr>
          <w:rFonts w:ascii="Arial" w:eastAsia="Arial" w:hAnsi="Arial" w:cs="Arial"/>
          <w:color w:val="000000"/>
          <w:spacing w:val="0"/>
          <w:w w:val="100"/>
          <w:position w:val="0"/>
          <w:sz w:val="24"/>
          <w:szCs w:val="24"/>
        </w:rPr>
        <w:t>（2020</w:t>
      </w:r>
      <w:r>
        <w:rPr>
          <w:color w:val="000000"/>
          <w:spacing w:val="0"/>
          <w:w w:val="100"/>
          <w:position w:val="0"/>
          <w:sz w:val="24"/>
          <w:szCs w:val="24"/>
        </w:rPr>
        <w:t>年度: 无</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60" w:line="240" w:lineRule="auto"/>
        <w:ind w:left="0" w:right="0" w:firstLine="0"/>
        <w:jc w:val="left"/>
        <w:rPr>
          <w:sz w:val="28"/>
          <w:szCs w:val="28"/>
        </w:rPr>
      </w:pPr>
      <w:r>
        <w:rPr>
          <w:b/>
          <w:bCs/>
          <w:color w:val="000000"/>
          <w:spacing w:val="0"/>
          <w:w w:val="100"/>
          <w:position w:val="0"/>
          <w:sz w:val="24"/>
          <w:szCs w:val="24"/>
        </w:rPr>
        <w:t>十六公司财务报表附注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86" w:val="left"/>
        </w:tabs>
        <w:bidi w:val="0"/>
        <w:spacing w:before="0" w:after="260" w:line="240" w:lineRule="auto"/>
        <w:ind w:left="0" w:right="0" w:firstLine="0"/>
        <w:jc w:val="left"/>
        <w:rPr>
          <w:sz w:val="28"/>
          <w:szCs w:val="28"/>
        </w:rPr>
      </w:pPr>
      <w:r>
        <w:rPr>
          <w:b/>
          <w:bCs/>
          <w:color w:val="000000"/>
          <w:spacing w:val="0"/>
          <w:w w:val="100"/>
          <w:position w:val="0"/>
          <w:sz w:val="24"/>
          <w:szCs w:val="24"/>
        </w:rPr>
        <w:t>⑵</w:t>
        <w:tab/>
        <w:t>应收账款</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135"/>
        </w:numPr>
        <w:shd w:val="clear" w:color="auto" w:fill="auto"/>
        <w:tabs>
          <w:tab w:pos="686" w:val="left"/>
        </w:tabs>
        <w:bidi w:val="0"/>
        <w:spacing w:before="0" w:after="260" w:line="312" w:lineRule="exact"/>
        <w:ind w:left="0" w:right="0" w:firstLine="0"/>
        <w:jc w:val="left"/>
      </w:pPr>
      <w:bookmarkStart w:id="988" w:name="bookmark988"/>
      <w:bookmarkEnd w:id="988"/>
      <w:r>
        <w:rPr>
          <w:color w:val="000000"/>
          <w:spacing w:val="0"/>
          <w:w w:val="100"/>
          <w:position w:val="0"/>
          <w:sz w:val="24"/>
          <w:szCs w:val="24"/>
        </w:rPr>
        <w:t>坏账准备</w:t>
      </w:r>
    </w:p>
    <w:p>
      <w:pPr>
        <w:pStyle w:val="Style72"/>
        <w:keepNext w:val="0"/>
        <w:keepLines w:val="0"/>
        <w:widowControl w:val="0"/>
        <w:shd w:val="clear" w:color="auto" w:fill="auto"/>
        <w:bidi w:val="0"/>
        <w:spacing w:before="0" w:after="260" w:line="322" w:lineRule="exact"/>
        <w:ind w:right="0" w:firstLine="0"/>
        <w:jc w:val="both"/>
      </w:pPr>
      <w:r>
        <w:rPr>
          <w:color w:val="000000"/>
          <w:spacing w:val="0"/>
          <w:w w:val="100"/>
          <w:position w:val="0"/>
          <w:sz w:val="24"/>
          <w:szCs w:val="24"/>
        </w:rPr>
        <w:t>本公司对于应收账款，无论是否存在重大融资成分，均按照整个存续期的预 期信用损失计量损失准备。</w:t>
      </w:r>
    </w:p>
    <w:p>
      <w:pPr>
        <w:pStyle w:val="Style72"/>
        <w:keepNext w:val="0"/>
        <w:keepLines w:val="0"/>
        <w:widowControl w:val="0"/>
        <w:shd w:val="clear" w:color="auto" w:fill="auto"/>
        <w:bidi w:val="0"/>
        <w:spacing w:before="0" w:after="260" w:line="312" w:lineRule="exact"/>
        <w:ind w:right="0" w:firstLine="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日，原计入组合中的应收</w:t>
      </w:r>
      <w:r>
        <w:rPr>
          <w:rFonts w:ascii="Arial" w:eastAsia="Arial" w:hAnsi="Arial" w:cs="Arial"/>
          <w:color w:val="000000"/>
          <w:spacing w:val="0"/>
          <w:w w:val="100"/>
          <w:position w:val="0"/>
          <w:sz w:val="24"/>
          <w:szCs w:val="24"/>
        </w:rPr>
        <w:t>A</w:t>
      </w:r>
      <w:r>
        <w:rPr>
          <w:color w:val="000000"/>
          <w:spacing w:val="0"/>
          <w:w w:val="100"/>
          <w:position w:val="0"/>
          <w:sz w:val="24"/>
          <w:szCs w:val="24"/>
        </w:rPr>
        <w:t>类公司及其控股股东控制的 子公司款项、</w:t>
      </w:r>
      <w:r>
        <w:rPr>
          <w:rFonts w:ascii="Arial" w:eastAsia="Arial" w:hAnsi="Arial" w:cs="Arial"/>
          <w:color w:val="000000"/>
          <w:spacing w:val="0"/>
          <w:w w:val="100"/>
          <w:position w:val="0"/>
          <w:sz w:val="24"/>
          <w:szCs w:val="24"/>
        </w:rPr>
        <w:t>B</w:t>
      </w:r>
      <w:r>
        <w:rPr>
          <w:color w:val="000000"/>
          <w:spacing w:val="0"/>
          <w:w w:val="100"/>
          <w:position w:val="0"/>
          <w:sz w:val="24"/>
          <w:szCs w:val="24"/>
        </w:rPr>
        <w:t>类公司及其控股股东控制的子公司及应收</w:t>
      </w:r>
      <w:r>
        <w:rPr>
          <w:rFonts w:ascii="Arial" w:eastAsia="Arial" w:hAnsi="Arial" w:cs="Arial"/>
          <w:color w:val="000000"/>
          <w:spacing w:val="0"/>
          <w:w w:val="100"/>
          <w:position w:val="0"/>
          <w:sz w:val="24"/>
          <w:szCs w:val="24"/>
        </w:rPr>
        <w:t>E</w:t>
      </w:r>
      <w:r>
        <w:rPr>
          <w:color w:val="000000"/>
          <w:spacing w:val="0"/>
          <w:w w:val="100"/>
          <w:position w:val="0"/>
          <w:sz w:val="24"/>
          <w:szCs w:val="24"/>
        </w:rPr>
        <w:t>类公司及其控股 股东控制的子公司共约人民币</w:t>
      </w:r>
      <w:r>
        <w:rPr>
          <w:rFonts w:ascii="Arial" w:eastAsia="Arial" w:hAnsi="Arial" w:cs="Arial"/>
          <w:color w:val="000000"/>
          <w:spacing w:val="0"/>
          <w:w w:val="100"/>
          <w:position w:val="0"/>
          <w:sz w:val="24"/>
          <w:szCs w:val="24"/>
        </w:rPr>
        <w:t>8.75</w:t>
      </w:r>
      <w:r>
        <w:rPr>
          <w:color w:val="000000"/>
          <w:spacing w:val="0"/>
          <w:w w:val="100"/>
          <w:position w:val="0"/>
          <w:sz w:val="24"/>
          <w:szCs w:val="24"/>
        </w:rPr>
        <w:t>亿元，由于该些公司发生重大财务困难， 信用风险已显著增加，因此本集团针对该些款项评估了不同场景下预计可能 回收的现金流量，并根据其与合同应收的现金流量之间差额的现值，计提坏 账准备约人民币</w:t>
      </w:r>
      <w:r>
        <w:rPr>
          <w:rFonts w:ascii="Arial" w:eastAsia="Arial" w:hAnsi="Arial" w:cs="Arial"/>
          <w:color w:val="000000"/>
          <w:spacing w:val="0"/>
          <w:w w:val="100"/>
          <w:position w:val="0"/>
          <w:sz w:val="24"/>
          <w:szCs w:val="24"/>
        </w:rPr>
        <w:t>2.45</w:t>
      </w:r>
      <w:r>
        <w:rPr>
          <w:color w:val="000000"/>
          <w:spacing w:val="0"/>
          <w:w w:val="100"/>
          <w:position w:val="0"/>
          <w:sz w:val="24"/>
          <w:szCs w:val="24"/>
        </w:rPr>
        <w:t>亿元。</w:t>
      </w:r>
    </w:p>
    <w:p>
      <w:pPr>
        <w:pStyle w:val="Style72"/>
        <w:keepNext w:val="0"/>
        <w:keepLines w:val="0"/>
        <w:widowControl w:val="0"/>
        <w:shd w:val="clear" w:color="auto" w:fill="auto"/>
        <w:tabs>
          <w:tab w:pos="686" w:val="left"/>
        </w:tabs>
        <w:bidi w:val="0"/>
        <w:spacing w:before="0" w:after="260" w:line="240" w:lineRule="auto"/>
        <w:ind w:left="0" w:right="0" w:firstLine="0"/>
        <w:jc w:val="left"/>
      </w:pPr>
      <w:r>
        <w:rPr>
          <w:color w:val="000000"/>
          <w:spacing w:val="0"/>
          <w:w w:val="100"/>
          <w:position w:val="0"/>
          <w:sz w:val="24"/>
          <w:szCs w:val="24"/>
        </w:rPr>
        <w:t>⑴</w:t>
        <w:tab/>
        <w:t>组合计提坏账准备的应收账款分析如下:</w:t>
      </w:r>
    </w:p>
    <w:p>
      <w:pPr>
        <w:pStyle w:val="Style72"/>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rPr>
        <w:t>组合</w:t>
      </w:r>
      <w:r>
        <w:rPr>
          <w:color w:val="000000"/>
          <w:spacing w:val="0"/>
          <w:w w:val="100"/>
          <w:position w:val="0"/>
          <w:sz w:val="28"/>
          <w:szCs w:val="28"/>
        </w:rPr>
        <w:t>一</w:t>
      </w:r>
      <w:r>
        <w:rPr>
          <w:color w:val="000000"/>
          <w:spacing w:val="0"/>
          <w:w w:val="100"/>
          <w:position w:val="0"/>
          <w:sz w:val="24"/>
          <w:szCs w:val="24"/>
        </w:rPr>
        <w:t>按照账龄分类的客户</w:t>
      </w:r>
    </w:p>
    <w:tbl>
      <w:tblPr>
        <w:tblOverlap w:val="never"/>
        <w:jc w:val="center"/>
        <w:tblLayout w:type="fixed"/>
      </w:tblPr>
      <w:tblGrid>
        <w:gridCol w:w="5453"/>
        <w:gridCol w:w="1286"/>
        <w:gridCol w:w="2054"/>
      </w:tblGrid>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2800" w:right="0" w:firstLine="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240" w:hRule="exact"/>
        </w:trPr>
        <w:tc>
          <w:tcPr>
            <w:tcBorders>
              <w:top w:val="single" w:sz="4"/>
            </w:tcBorders>
            <w:shd w:val="clear" w:color="auto" w:fill="FFFFFF"/>
            <w:vAlign w:val="bottom"/>
          </w:tcPr>
          <w:p>
            <w:pPr>
              <w:pStyle w:val="Style29"/>
              <w:keepNext w:val="0"/>
              <w:keepLines w:val="0"/>
              <w:widowControl w:val="0"/>
              <w:shd w:val="clear" w:color="auto" w:fill="auto"/>
              <w:tabs>
                <w:tab w:pos="3907" w:val="left"/>
              </w:tabs>
              <w:bidi w:val="0"/>
              <w:spacing w:before="0" w:after="0" w:line="240" w:lineRule="auto"/>
              <w:ind w:left="2280" w:right="0" w:firstLine="0"/>
              <w:jc w:val="left"/>
              <w:rPr>
                <w:sz w:val="18"/>
                <w:szCs w:val="18"/>
              </w:rPr>
            </w:pPr>
            <w:r>
              <w:rPr>
                <w:rFonts w:ascii="SimSun" w:eastAsia="SimSun" w:hAnsi="SimSun" w:cs="SimSun"/>
                <w:color w:val="000000"/>
                <w:spacing w:val="0"/>
                <w:w w:val="100"/>
                <w:position w:val="0"/>
                <w:sz w:val="18"/>
                <w:szCs w:val="18"/>
              </w:rPr>
              <w:t>账面余额</w:t>
              <w:tab/>
              <w:t>坏账准备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SimSun" w:eastAsia="SimSun" w:hAnsi="SimSun" w:cs="SimSun"/>
                <w:color w:val="000000"/>
                <w:spacing w:val="0"/>
                <w:w w:val="100"/>
                <w:position w:val="0"/>
                <w:sz w:val="18"/>
                <w:szCs w:val="18"/>
              </w:rPr>
              <w:t>账面余额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坏账准备</w:t>
            </w:r>
          </w:p>
        </w:tc>
      </w:tr>
      <w:tr>
        <w:trPr>
          <w:trHeight w:val="24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300" w:right="0" w:firstLine="0"/>
              <w:jc w:val="left"/>
              <w:rPr>
                <w:sz w:val="18"/>
                <w:szCs w:val="18"/>
              </w:rPr>
            </w:pPr>
            <w:r>
              <w:rPr>
                <w:rFonts w:ascii="SimSun" w:eastAsia="SimSun" w:hAnsi="SimSun" w:cs="SimSun"/>
                <w:color w:val="000000"/>
                <w:spacing w:val="0"/>
                <w:w w:val="100"/>
                <w:position w:val="0"/>
                <w:sz w:val="18"/>
                <w:szCs w:val="18"/>
              </w:rPr>
              <w:t>整个存续期</w:t>
            </w:r>
          </w:p>
        </w:tc>
        <w:tc>
          <w:tcPr>
            <w:vMerge w:val="restart"/>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金额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整个存续期</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3300" w:right="0" w:firstLine="0"/>
              <w:jc w:val="left"/>
              <w:rPr>
                <w:sz w:val="18"/>
                <w:szCs w:val="18"/>
              </w:rPr>
            </w:pPr>
            <w:r>
              <w:rPr>
                <w:rFonts w:ascii="SimSun" w:eastAsia="SimSun" w:hAnsi="SimSun" w:cs="SimSun"/>
                <w:color w:val="000000"/>
                <w:spacing w:val="0"/>
                <w:w w:val="100"/>
                <w:position w:val="0"/>
                <w:sz w:val="18"/>
                <w:szCs w:val="18"/>
              </w:rPr>
              <w:t>预期信用损</w:t>
            </w:r>
          </w:p>
        </w:tc>
        <w:tc>
          <w:tcPr>
            <w:vMerge/>
            <w:tcBorders/>
            <w:shd w:val="clear" w:color="auto" w:fill="FFFFFF"/>
            <w:vAlign w:val="bottom"/>
          </w:tcPr>
          <w:p>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预期信用损</w:t>
            </w:r>
          </w:p>
        </w:tc>
      </w:tr>
      <w:tr>
        <w:trPr>
          <w:trHeight w:val="355" w:hRule="exact"/>
        </w:trPr>
        <w:tc>
          <w:tcPr>
            <w:tcBorders/>
            <w:shd w:val="clear" w:color="auto" w:fill="FFFFFF"/>
            <w:vAlign w:val="top"/>
          </w:tcPr>
          <w:p>
            <w:pPr>
              <w:pStyle w:val="Style29"/>
              <w:keepNext w:val="0"/>
              <w:keepLines w:val="0"/>
              <w:widowControl w:val="0"/>
              <w:shd w:val="clear" w:color="auto" w:fill="auto"/>
              <w:tabs>
                <w:tab w:pos="1190" w:val="left"/>
                <w:tab w:pos="2150" w:val="left"/>
              </w:tabs>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金额</w:t>
              <w:tab/>
              <w:t>失率</w:t>
              <w:tab/>
              <w:t>金额</w:t>
            </w:r>
          </w:p>
        </w:tc>
        <w:tc>
          <w:tcPr>
            <w:vMerge/>
            <w:tcBorders/>
            <w:shd w:val="clear" w:color="auto" w:fill="FFFFFF"/>
            <w:vAlign w:val="bottom"/>
          </w:tcPr>
          <w:p>
            <w:pPr/>
          </w:p>
        </w:tc>
        <w:tc>
          <w:tcPr>
            <w:tcBorders/>
            <w:shd w:val="clear" w:color="auto" w:fill="FFFFFF"/>
            <w:vAlign w:val="top"/>
          </w:tcPr>
          <w:p>
            <w:pPr>
              <w:pStyle w:val="Style29"/>
              <w:keepNext w:val="0"/>
              <w:keepLines w:val="0"/>
              <w:widowControl w:val="0"/>
              <w:shd w:val="clear" w:color="auto" w:fill="auto"/>
              <w:tabs>
                <w:tab w:pos="1575" w:val="left"/>
              </w:tabs>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失率</w:t>
              <w:tab/>
              <w:t>金额</w:t>
            </w:r>
          </w:p>
        </w:tc>
      </w:tr>
      <w:tr>
        <w:trPr>
          <w:trHeight w:val="355" w:hRule="exact"/>
        </w:trPr>
        <w:tc>
          <w:tcPr>
            <w:tcBorders/>
            <w:shd w:val="clear" w:color="auto" w:fill="FFFFFF"/>
            <w:vAlign w:val="bottom"/>
          </w:tcPr>
          <w:p>
            <w:pPr>
              <w:pStyle w:val="Style29"/>
              <w:keepNext w:val="0"/>
              <w:keepLines w:val="0"/>
              <w:widowControl w:val="0"/>
              <w:shd w:val="clear" w:color="auto" w:fill="auto"/>
              <w:tabs>
                <w:tab w:pos="2179" w:val="left"/>
                <w:tab w:pos="3672" w:val="left"/>
                <w:tab w:pos="4526" w:val="left"/>
              </w:tabs>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一年以内</w:t>
              <w:tab/>
            </w:r>
            <w:r>
              <w:rPr>
                <w:rFonts w:ascii="Arial" w:eastAsia="Arial" w:hAnsi="Arial" w:cs="Arial"/>
                <w:color w:val="000000"/>
                <w:spacing w:val="0"/>
                <w:w w:val="100"/>
                <w:position w:val="0"/>
                <w:sz w:val="18"/>
                <w:szCs w:val="18"/>
              </w:rPr>
              <w:t>3,380,262</w:t>
              <w:tab/>
              <w:t>1.92%</w:t>
              <w:tab/>
              <w:t>(64,780)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2,145,608</w:t>
            </w:r>
          </w:p>
        </w:tc>
        <w:tc>
          <w:tcPr>
            <w:tcBorders/>
            <w:shd w:val="clear" w:color="auto" w:fill="FFFFFF"/>
            <w:vAlign w:val="bottom"/>
          </w:tcPr>
          <w:p>
            <w:pPr>
              <w:pStyle w:val="Style29"/>
              <w:keepNext w:val="0"/>
              <w:keepLines w:val="0"/>
              <w:widowControl w:val="0"/>
              <w:shd w:val="clear" w:color="auto" w:fill="auto"/>
              <w:tabs>
                <w:tab w:pos="1310" w:val="left"/>
              </w:tabs>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1.18%</w:t>
              <w:tab/>
              <w:t>(25,339)</w:t>
            </w:r>
          </w:p>
        </w:tc>
      </w:tr>
      <w:tr>
        <w:trPr>
          <w:trHeight w:val="230" w:hRule="exact"/>
        </w:trPr>
        <w:tc>
          <w:tcPr>
            <w:tcBorders/>
            <w:shd w:val="clear" w:color="auto" w:fill="FFFFFF"/>
            <w:vAlign w:val="top"/>
          </w:tcPr>
          <w:p>
            <w:pPr>
              <w:pStyle w:val="Style29"/>
              <w:keepNext w:val="0"/>
              <w:keepLines w:val="0"/>
              <w:widowControl w:val="0"/>
              <w:shd w:val="clear" w:color="auto" w:fill="auto"/>
              <w:tabs>
                <w:tab w:pos="2530" w:val="left"/>
                <w:tab w:pos="3571" w:val="left"/>
                <w:tab w:pos="4627" w:val="left"/>
              </w:tabs>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一到二年</w:t>
              <w:tab/>
            </w:r>
            <w:r>
              <w:rPr>
                <w:rFonts w:ascii="Arial" w:eastAsia="Arial" w:hAnsi="Arial" w:cs="Arial"/>
                <w:color w:val="000000"/>
                <w:spacing w:val="0"/>
                <w:w w:val="100"/>
                <w:position w:val="0"/>
                <w:sz w:val="18"/>
                <w:szCs w:val="18"/>
              </w:rPr>
              <w:t>9,930</w:t>
              <w:tab/>
              <w:t>14.50%</w:t>
              <w:tab/>
              <w:t>(1,440)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31,927</w:t>
            </w:r>
          </w:p>
        </w:tc>
        <w:tc>
          <w:tcPr>
            <w:tcBorders/>
            <w:shd w:val="clear" w:color="auto" w:fill="FFFFFF"/>
            <w:vAlign w:val="top"/>
          </w:tcPr>
          <w:p>
            <w:pPr>
              <w:pStyle w:val="Style29"/>
              <w:keepNext w:val="0"/>
              <w:keepLines w:val="0"/>
              <w:widowControl w:val="0"/>
              <w:shd w:val="clear" w:color="auto" w:fill="auto"/>
              <w:tabs>
                <w:tab w:pos="1406" w:val="left"/>
              </w:tabs>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10.18%</w:t>
              <w:tab/>
              <w:t>(3,250)</w:t>
            </w:r>
          </w:p>
        </w:tc>
      </w:tr>
      <w:tr>
        <w:trPr>
          <w:trHeight w:val="230" w:hRule="exact"/>
        </w:trPr>
        <w:tc>
          <w:tcPr>
            <w:tcBorders/>
            <w:shd w:val="clear" w:color="auto" w:fill="FFFFFF"/>
            <w:vAlign w:val="bottom"/>
          </w:tcPr>
          <w:p>
            <w:pPr>
              <w:pStyle w:val="Style29"/>
              <w:keepNext w:val="0"/>
              <w:keepLines w:val="0"/>
              <w:widowControl w:val="0"/>
              <w:shd w:val="clear" w:color="auto" w:fill="auto"/>
              <w:tabs>
                <w:tab w:pos="2530" w:val="left"/>
                <w:tab w:pos="3562" w:val="left"/>
                <w:tab w:pos="4627" w:val="left"/>
              </w:tabs>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二年三年</w:t>
              <w:tab/>
            </w:r>
            <w:r>
              <w:rPr>
                <w:rFonts w:ascii="Arial" w:eastAsia="Arial" w:hAnsi="Arial" w:cs="Arial"/>
                <w:color w:val="000000"/>
                <w:spacing w:val="0"/>
                <w:w w:val="100"/>
                <w:position w:val="0"/>
                <w:sz w:val="18"/>
                <w:szCs w:val="18"/>
              </w:rPr>
              <w:t>7,525</w:t>
              <w:tab/>
              <w:t>32.73%</w:t>
              <w:tab/>
              <w:t>(2,463)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6,398</w:t>
            </w:r>
          </w:p>
        </w:tc>
        <w:tc>
          <w:tcPr>
            <w:tcBorders/>
            <w:shd w:val="clear" w:color="auto" w:fill="FFFFFF"/>
            <w:vAlign w:val="bottom"/>
          </w:tcPr>
          <w:p>
            <w:pPr>
              <w:pStyle w:val="Style29"/>
              <w:keepNext w:val="0"/>
              <w:keepLines w:val="0"/>
              <w:widowControl w:val="0"/>
              <w:shd w:val="clear" w:color="auto" w:fill="auto"/>
              <w:tabs>
                <w:tab w:pos="1421" w:val="left"/>
              </w:tabs>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26.41%</w:t>
              <w:tab/>
              <w:t>(1,690)</w:t>
            </w:r>
          </w:p>
        </w:tc>
      </w:tr>
      <w:tr>
        <w:trPr>
          <w:trHeight w:val="235" w:hRule="exact"/>
        </w:trPr>
        <w:tc>
          <w:tcPr>
            <w:tcBorders/>
            <w:shd w:val="clear" w:color="auto" w:fill="FFFFFF"/>
            <w:vAlign w:val="bottom"/>
          </w:tcPr>
          <w:p>
            <w:pPr>
              <w:pStyle w:val="Style29"/>
              <w:keepNext w:val="0"/>
              <w:keepLines w:val="0"/>
              <w:widowControl w:val="0"/>
              <w:shd w:val="clear" w:color="auto" w:fill="auto"/>
              <w:tabs>
                <w:tab w:pos="2688" w:val="left"/>
                <w:tab w:pos="3557" w:val="left"/>
                <w:tab w:pos="4877" w:val="left"/>
              </w:tabs>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三到四年</w:t>
              <w:tab/>
            </w:r>
            <w:r>
              <w:rPr>
                <w:rFonts w:ascii="Arial" w:eastAsia="Arial" w:hAnsi="Arial" w:cs="Arial"/>
                <w:color w:val="000000"/>
                <w:spacing w:val="0"/>
                <w:w w:val="100"/>
                <w:position w:val="0"/>
                <w:sz w:val="18"/>
                <w:szCs w:val="18"/>
              </w:rPr>
              <w:t>138</w:t>
              <w:tab/>
              <w:t>68.12%</w:t>
              <w:tab/>
              <w:t>(94)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2,006</w:t>
            </w:r>
          </w:p>
        </w:tc>
        <w:tc>
          <w:tcPr>
            <w:tcBorders/>
            <w:shd w:val="clear" w:color="auto" w:fill="FFFFFF"/>
            <w:vAlign w:val="bottom"/>
          </w:tcPr>
          <w:p>
            <w:pPr>
              <w:pStyle w:val="Style29"/>
              <w:keepNext w:val="0"/>
              <w:keepLines w:val="0"/>
              <w:widowControl w:val="0"/>
              <w:shd w:val="clear" w:color="auto" w:fill="auto"/>
              <w:tabs>
                <w:tab w:pos="1416" w:val="left"/>
              </w:tabs>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76.87%</w:t>
              <w:tab/>
              <w:t>(1,542)</w:t>
            </w:r>
          </w:p>
        </w:tc>
      </w:tr>
      <w:tr>
        <w:trPr>
          <w:trHeight w:val="226" w:hRule="exact"/>
        </w:trPr>
        <w:tc>
          <w:tcPr>
            <w:tcBorders/>
            <w:shd w:val="clear" w:color="auto" w:fill="FFFFFF"/>
            <w:vAlign w:val="bottom"/>
          </w:tcPr>
          <w:p>
            <w:pPr>
              <w:pStyle w:val="Style29"/>
              <w:keepNext w:val="0"/>
              <w:keepLines w:val="0"/>
              <w:widowControl w:val="0"/>
              <w:shd w:val="clear" w:color="auto" w:fill="auto"/>
              <w:tabs>
                <w:tab w:pos="2659" w:val="left"/>
                <w:tab w:pos="3456" w:val="left"/>
                <w:tab w:pos="4762" w:val="left"/>
              </w:tabs>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四到五年</w:t>
              <w:tab/>
            </w:r>
            <w:r>
              <w:rPr>
                <w:rFonts w:ascii="Arial" w:eastAsia="Arial" w:hAnsi="Arial" w:cs="Arial"/>
                <w:color w:val="000000"/>
                <w:spacing w:val="0"/>
                <w:w w:val="100"/>
                <w:position w:val="0"/>
                <w:sz w:val="18"/>
                <w:szCs w:val="18"/>
              </w:rPr>
              <w:t>627</w:t>
              <w:tab/>
              <w:t>100.00%</w:t>
              <w:tab/>
              <w:t>(627)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570</w:t>
            </w:r>
          </w:p>
        </w:tc>
        <w:tc>
          <w:tcPr>
            <w:tcBorders/>
            <w:shd w:val="clear" w:color="auto" w:fill="FFFFFF"/>
            <w:vAlign w:val="bottom"/>
          </w:tcPr>
          <w:p>
            <w:pPr>
              <w:pStyle w:val="Style29"/>
              <w:keepNext w:val="0"/>
              <w:keepLines w:val="0"/>
              <w:widowControl w:val="0"/>
              <w:shd w:val="clear" w:color="auto" w:fill="auto"/>
              <w:tabs>
                <w:tab w:pos="1556" w:val="left"/>
              </w:tabs>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100.00%</w:t>
              <w:tab/>
              <w:t>(570)</w:t>
            </w:r>
          </w:p>
        </w:tc>
      </w:tr>
      <w:tr>
        <w:trPr>
          <w:trHeight w:val="221" w:hRule="exact"/>
        </w:trPr>
        <w:tc>
          <w:tcPr>
            <w:tcBorders/>
            <w:shd w:val="clear" w:color="auto" w:fill="FFFFFF"/>
            <w:vAlign w:val="bottom"/>
          </w:tcPr>
          <w:p>
            <w:pPr>
              <w:pStyle w:val="Style29"/>
              <w:keepNext w:val="0"/>
              <w:keepLines w:val="0"/>
              <w:widowControl w:val="0"/>
              <w:shd w:val="clear" w:color="auto" w:fill="auto"/>
              <w:tabs>
                <w:tab w:pos="2674" w:val="left"/>
                <w:tab w:pos="3470" w:val="left"/>
                <w:tab w:pos="4776" w:val="left"/>
              </w:tabs>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五年以上</w:t>
              <w:tab/>
            </w:r>
            <w:r>
              <w:rPr>
                <w:rFonts w:ascii="Arial" w:eastAsia="Arial" w:hAnsi="Arial" w:cs="Arial"/>
                <w:color w:val="000000"/>
                <w:spacing w:val="0"/>
                <w:w w:val="100"/>
                <w:position w:val="0"/>
                <w:sz w:val="18"/>
                <w:szCs w:val="18"/>
              </w:rPr>
              <w:t>677</w:t>
              <w:tab/>
              <w:t>100.00%</w:t>
              <w:tab/>
              <w:t>(677)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429</w:t>
            </w:r>
          </w:p>
        </w:tc>
        <w:tc>
          <w:tcPr>
            <w:tcBorders/>
            <w:shd w:val="clear" w:color="auto" w:fill="FFFFFF"/>
            <w:vAlign w:val="bottom"/>
          </w:tcPr>
          <w:p>
            <w:pPr>
              <w:pStyle w:val="Style29"/>
              <w:keepNext w:val="0"/>
              <w:keepLines w:val="0"/>
              <w:widowControl w:val="0"/>
              <w:shd w:val="clear" w:color="auto" w:fill="auto"/>
              <w:tabs>
                <w:tab w:pos="1561" w:val="left"/>
              </w:tabs>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100.00%</w:t>
              <w:tab/>
              <w:t>(429)</w:t>
            </w:r>
          </w:p>
        </w:tc>
      </w:tr>
      <w:tr>
        <w:trPr>
          <w:trHeight w:val="389" w:hRule="exact"/>
        </w:trPr>
        <w:tc>
          <w:tcPr>
            <w:tcBorders>
              <w:top w:val="single" w:sz="4"/>
            </w:tcBorders>
            <w:shd w:val="clear" w:color="auto" w:fill="FFFFFF"/>
            <w:vAlign w:val="top"/>
          </w:tcPr>
          <w:p>
            <w:pPr>
              <w:pStyle w:val="Style29"/>
              <w:keepNext w:val="0"/>
              <w:keepLines w:val="0"/>
              <w:widowControl w:val="0"/>
              <w:shd w:val="clear" w:color="auto" w:fill="auto"/>
              <w:tabs>
                <w:tab w:pos="2342" w:val="left"/>
              </w:tabs>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u w:val="single"/>
              </w:rPr>
              <w:t>3,399,159</w:t>
              <w:tab/>
              <w:t>(70,081)</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2,186,938</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u w:val="single"/>
              </w:rPr>
              <w:t>(32,820)</w:t>
            </w:r>
          </w:p>
        </w:tc>
      </w:tr>
      <w:tr>
        <w:trPr>
          <w:trHeight w:val="955" w:hRule="exact"/>
        </w:trPr>
        <w:tc>
          <w:tcPr>
            <w:tcBorders/>
            <w:shd w:val="clear" w:color="auto" w:fill="FFFFFF"/>
            <w:vAlign w:val="bottom"/>
          </w:tcPr>
          <w:p>
            <w:pPr>
              <w:pStyle w:val="Style29"/>
              <w:keepNext w:val="0"/>
              <w:keepLines w:val="0"/>
              <w:widowControl w:val="0"/>
              <w:shd w:val="clear" w:color="auto" w:fill="auto"/>
              <w:bidi w:val="0"/>
              <w:spacing w:before="0" w:after="300" w:line="240" w:lineRule="auto"/>
              <w:ind w:left="0" w:right="0" w:firstLine="720"/>
              <w:jc w:val="left"/>
              <w:rPr>
                <w:sz w:val="24"/>
                <w:szCs w:val="24"/>
              </w:rPr>
            </w:pPr>
            <w:r>
              <w:rPr>
                <w:rFonts w:ascii="SimSun" w:eastAsia="SimSun" w:hAnsi="SimSun" w:cs="SimSun"/>
                <w:color w:val="000000"/>
                <w:spacing w:val="0"/>
                <w:w w:val="100"/>
                <w:position w:val="0"/>
                <w:sz w:val="24"/>
                <w:szCs w:val="24"/>
              </w:rPr>
              <w:t>组合</w:t>
            </w:r>
            <w:r>
              <w:rPr>
                <w:rFonts w:ascii="SimSun" w:eastAsia="SimSun" w:hAnsi="SimSun" w:cs="SimSun"/>
                <w:color w:val="000000"/>
                <w:spacing w:val="0"/>
                <w:w w:val="100"/>
                <w:position w:val="0"/>
                <w:sz w:val="28"/>
                <w:szCs w:val="28"/>
              </w:rPr>
              <w:t>一</w:t>
            </w:r>
            <w:r>
              <w:rPr>
                <w:rFonts w:ascii="SimSun" w:eastAsia="SimSun" w:hAnsi="SimSun" w:cs="SimSun"/>
                <w:color w:val="000000"/>
                <w:spacing w:val="0"/>
                <w:w w:val="100"/>
                <w:position w:val="0"/>
                <w:sz w:val="24"/>
                <w:szCs w:val="24"/>
              </w:rPr>
              <w:t>应收合并范围内公司</w:t>
            </w:r>
          </w:p>
          <w:p>
            <w:pPr>
              <w:pStyle w:val="Style29"/>
              <w:keepNext w:val="0"/>
              <w:keepLines w:val="0"/>
              <w:widowControl w:val="0"/>
              <w:shd w:val="clear" w:color="auto" w:fill="auto"/>
              <w:bidi w:val="0"/>
              <w:spacing w:before="0" w:after="0" w:line="240" w:lineRule="auto"/>
              <w:ind w:left="2800" w:right="0" w:firstLine="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245" w:hRule="exact"/>
        </w:trPr>
        <w:tc>
          <w:tcPr>
            <w:tcBorders>
              <w:top w:val="single" w:sz="4"/>
            </w:tcBorders>
            <w:shd w:val="clear" w:color="auto" w:fill="FFFFFF"/>
            <w:vAlign w:val="top"/>
          </w:tcPr>
          <w:p>
            <w:pPr>
              <w:pStyle w:val="Style29"/>
              <w:keepNext w:val="0"/>
              <w:keepLines w:val="0"/>
              <w:widowControl w:val="0"/>
              <w:shd w:val="clear" w:color="auto" w:fill="auto"/>
              <w:tabs>
                <w:tab w:pos="3907" w:val="left"/>
              </w:tabs>
              <w:bidi w:val="0"/>
              <w:spacing w:before="0" w:after="0" w:line="240" w:lineRule="auto"/>
              <w:ind w:left="2280" w:right="0" w:firstLine="0"/>
              <w:jc w:val="left"/>
              <w:rPr>
                <w:sz w:val="18"/>
                <w:szCs w:val="18"/>
              </w:rPr>
            </w:pPr>
            <w:r>
              <w:rPr>
                <w:rFonts w:ascii="SimSun" w:eastAsia="SimSun" w:hAnsi="SimSun" w:cs="SimSun"/>
                <w:color w:val="000000"/>
                <w:spacing w:val="0"/>
                <w:w w:val="100"/>
                <w:position w:val="0"/>
                <w:sz w:val="18"/>
                <w:szCs w:val="18"/>
              </w:rPr>
              <w:t>账面余额</w:t>
              <w:tab/>
              <w:t>坏账准备</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SimSun" w:eastAsia="SimSun" w:hAnsi="SimSun" w:cs="SimSun"/>
                <w:color w:val="000000"/>
                <w:spacing w:val="0"/>
                <w:w w:val="100"/>
                <w:position w:val="0"/>
                <w:sz w:val="18"/>
                <w:szCs w:val="18"/>
              </w:rPr>
              <w:t>账面余额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坏账准备</w:t>
            </w:r>
          </w:p>
        </w:tc>
      </w:tr>
      <w:tr>
        <w:trPr>
          <w:trHeight w:val="811"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40" w:line="240" w:lineRule="auto"/>
              <w:ind w:left="3300" w:right="0" w:firstLine="0"/>
              <w:jc w:val="left"/>
              <w:rPr>
                <w:sz w:val="18"/>
                <w:szCs w:val="18"/>
              </w:rPr>
            </w:pPr>
            <w:r>
              <w:rPr>
                <w:rFonts w:ascii="SimSun" w:eastAsia="SimSun" w:hAnsi="SimSun" w:cs="SimSun"/>
                <w:color w:val="000000"/>
                <w:spacing w:val="0"/>
                <w:w w:val="100"/>
                <w:position w:val="0"/>
                <w:sz w:val="18"/>
                <w:szCs w:val="18"/>
              </w:rPr>
              <w:t>整个存续期</w:t>
            </w:r>
          </w:p>
          <w:p>
            <w:pPr>
              <w:pStyle w:val="Style29"/>
              <w:keepNext w:val="0"/>
              <w:keepLines w:val="0"/>
              <w:widowControl w:val="0"/>
              <w:shd w:val="clear" w:color="auto" w:fill="auto"/>
              <w:tabs>
                <w:tab w:pos="3284" w:val="left"/>
                <w:tab w:pos="4801" w:val="left"/>
              </w:tabs>
              <w:bidi w:val="0"/>
              <w:spacing w:before="0" w:after="0" w:line="240" w:lineRule="auto"/>
              <w:ind w:left="2660" w:right="0" w:firstLine="0"/>
              <w:jc w:val="left"/>
              <w:rPr>
                <w:sz w:val="18"/>
                <w:szCs w:val="18"/>
              </w:rPr>
            </w:pPr>
            <w:r>
              <w:rPr>
                <w:rFonts w:ascii="SimSun" w:eastAsia="SimSun" w:hAnsi="SimSun" w:cs="SimSun"/>
                <w:color w:val="000000"/>
                <w:spacing w:val="0"/>
                <w:w w:val="100"/>
                <w:position w:val="0"/>
                <w:sz w:val="18"/>
                <w:szCs w:val="18"/>
              </w:rPr>
              <w:t>金额</w:t>
              <w:tab/>
            </w:r>
            <w:r>
              <w:rPr>
                <w:rFonts w:ascii="SimSun" w:eastAsia="SimSun" w:hAnsi="SimSun" w:cs="SimSun"/>
                <w:color w:val="000000"/>
                <w:spacing w:val="0"/>
                <w:w w:val="100"/>
                <w:position w:val="0"/>
                <w:sz w:val="18"/>
                <w:szCs w:val="18"/>
                <w:vertAlign w:val="superscript"/>
              </w:rPr>
              <w:t>预期信用</w:t>
            </w:r>
            <w:r>
              <w:rPr>
                <w:rFonts w:ascii="SimSun" w:eastAsia="SimSun" w:hAnsi="SimSun" w:cs="SimSun"/>
                <w:color w:val="000000"/>
                <w:spacing w:val="0"/>
                <w:w w:val="100"/>
                <w:position w:val="0"/>
                <w:sz w:val="18"/>
                <w:szCs w:val="18"/>
              </w:rPr>
              <w:t>失率</w:t>
            </w:r>
            <w:r>
              <w:rPr>
                <w:rFonts w:ascii="SimSun" w:eastAsia="SimSun" w:hAnsi="SimSun" w:cs="SimSun"/>
                <w:color w:val="000000"/>
                <w:spacing w:val="0"/>
                <w:w w:val="100"/>
                <w:position w:val="0"/>
                <w:sz w:val="18"/>
                <w:szCs w:val="18"/>
                <w:vertAlign w:val="superscript"/>
              </w:rPr>
              <w:t>损</w:t>
            </w:r>
            <w:r>
              <w:rPr>
                <w:rFonts w:ascii="SimSun" w:eastAsia="SimSun" w:hAnsi="SimSun" w:cs="SimSun"/>
                <w:color w:val="000000"/>
                <w:spacing w:val="0"/>
                <w:w w:val="100"/>
                <w:position w:val="0"/>
                <w:sz w:val="18"/>
                <w:szCs w:val="18"/>
              </w:rPr>
              <w:tab/>
              <w:t>金额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整个存续期</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预期信用损</w:t>
            </w:r>
          </w:p>
          <w:p>
            <w:pPr>
              <w:pStyle w:val="Style29"/>
              <w:keepNext w:val="0"/>
              <w:keepLines w:val="0"/>
              <w:widowControl w:val="0"/>
              <w:shd w:val="clear" w:color="auto" w:fill="auto"/>
              <w:tabs>
                <w:tab w:pos="1570" w:val="left"/>
              </w:tabs>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失率</w:t>
              <w:tab/>
              <w:t>金额</w:t>
            </w:r>
          </w:p>
        </w:tc>
      </w:tr>
      <w:tr>
        <w:trPr>
          <w:trHeight w:val="59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应收合并范围</w:t>
            </w:r>
          </w:p>
          <w:p>
            <w:pPr>
              <w:pStyle w:val="Style29"/>
              <w:keepNext w:val="0"/>
              <w:keepLines w:val="0"/>
              <w:widowControl w:val="0"/>
              <w:shd w:val="clear" w:color="auto" w:fill="auto"/>
              <w:tabs>
                <w:tab w:pos="2082" w:val="left"/>
                <w:tab w:pos="4107" w:val="left"/>
                <w:tab w:pos="5072" w:val="left"/>
              </w:tabs>
              <w:bidi w:val="0"/>
              <w:spacing w:before="0" w:after="0" w:line="240" w:lineRule="auto"/>
              <w:ind w:left="0" w:right="0" w:firstLine="920"/>
              <w:jc w:val="left"/>
              <w:rPr>
                <w:sz w:val="18"/>
                <w:szCs w:val="18"/>
              </w:rPr>
            </w:pPr>
            <w:r>
              <w:rPr>
                <w:rFonts w:ascii="SimSun" w:eastAsia="SimSun" w:hAnsi="SimSun" w:cs="SimSun"/>
                <w:color w:val="000000"/>
                <w:spacing w:val="0"/>
                <w:w w:val="100"/>
                <w:position w:val="0"/>
                <w:sz w:val="18"/>
                <w:szCs w:val="18"/>
              </w:rPr>
              <w:t>内公司款项</w:t>
              <w:tab/>
            </w:r>
            <w:r>
              <w:rPr>
                <w:rFonts w:ascii="Arial" w:eastAsia="Arial" w:hAnsi="Arial" w:cs="Arial"/>
                <w:color w:val="000000"/>
                <w:spacing w:val="0"/>
                <w:w w:val="100"/>
                <w:position w:val="0"/>
                <w:sz w:val="18"/>
                <w:szCs w:val="18"/>
              </w:rPr>
              <w:t>93,274,291</w:t>
              <w:tab/>
              <w:t>-</w:t>
              <w:tab/>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107,794,452</w:t>
            </w:r>
          </w:p>
        </w:tc>
        <w:tc>
          <w:tcPr>
            <w:tcBorders/>
            <w:shd w:val="clear" w:color="auto" w:fill="FFFFFF"/>
            <w:vAlign w:val="bottom"/>
          </w:tcPr>
          <w:p>
            <w:pPr>
              <w:pStyle w:val="Style29"/>
              <w:keepNext w:val="0"/>
              <w:keepLines w:val="0"/>
              <w:widowControl w:val="0"/>
              <w:shd w:val="clear" w:color="auto" w:fill="auto"/>
              <w:tabs>
                <w:tab w:pos="955" w:val="left"/>
              </w:tabs>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tab/>
              <w:t>-</w:t>
            </w:r>
          </w:p>
        </w:tc>
      </w:tr>
      <w:tr>
        <w:trPr>
          <w:trHeight w:val="1190" w:hRule="exact"/>
        </w:trPr>
        <w:tc>
          <w:tcPr>
            <w:gridSpan w:val="2"/>
            <w:tcBorders>
              <w:top w:val="single" w:sz="4"/>
            </w:tcBorders>
            <w:shd w:val="clear" w:color="auto" w:fill="FFFFFF"/>
            <w:vAlign w:val="bottom"/>
          </w:tcPr>
          <w:p>
            <w:pPr>
              <w:pStyle w:val="Style29"/>
              <w:keepNext w:val="0"/>
              <w:keepLines w:val="0"/>
              <w:widowControl w:val="0"/>
              <w:shd w:val="clear" w:color="auto" w:fill="auto"/>
              <w:tabs>
                <w:tab w:pos="677" w:val="left"/>
              </w:tabs>
              <w:bidi w:val="0"/>
              <w:spacing w:before="0" w:after="260" w:line="240" w:lineRule="auto"/>
              <w:ind w:left="0" w:right="0" w:firstLine="0"/>
              <w:jc w:val="left"/>
              <w:rPr>
                <w:sz w:val="24"/>
                <w:szCs w:val="24"/>
              </w:rPr>
            </w:pPr>
            <w:r>
              <w:rPr>
                <w:rFonts w:ascii="Arial" w:eastAsia="Arial" w:hAnsi="Arial" w:cs="Arial"/>
                <w:color w:val="000000"/>
                <w:spacing w:val="0"/>
                <w:w w:val="100"/>
                <w:position w:val="0"/>
                <w:sz w:val="24"/>
                <w:szCs w:val="24"/>
              </w:rPr>
              <w:t>(ii)</w:t>
              <w:tab/>
            </w:r>
            <w:r>
              <w:rPr>
                <w:rFonts w:ascii="SimSun" w:eastAsia="SimSun" w:hAnsi="SimSun" w:cs="SimSun"/>
                <w:color w:val="000000"/>
                <w:spacing w:val="0"/>
                <w:w w:val="100"/>
                <w:position w:val="0"/>
                <w:sz w:val="24"/>
                <w:szCs w:val="24"/>
              </w:rPr>
              <w:t>本年度无转回坏账准备，无重大的收回金额。</w:t>
            </w:r>
          </w:p>
          <w:p>
            <w:pPr>
              <w:pStyle w:val="Style29"/>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(e)</w:t>
              <w:tab/>
            </w:r>
            <w:r>
              <w:rPr>
                <w:rFonts w:ascii="SimSun" w:eastAsia="SimSun" w:hAnsi="SimSun" w:cs="SimSun"/>
                <w:color w:val="000000"/>
                <w:spacing w:val="0"/>
                <w:w w:val="100"/>
                <w:position w:val="0"/>
                <w:sz w:val="24"/>
                <w:szCs w:val="24"/>
              </w:rPr>
              <w:t>本年度实际核销的应收账款账面余额约人民币</w:t>
            </w:r>
            <w:r>
              <w:rPr>
                <w:rFonts w:ascii="Arial" w:eastAsia="Arial" w:hAnsi="Arial" w:cs="Arial"/>
                <w:color w:val="000000"/>
                <w:spacing w:val="0"/>
                <w:w w:val="100"/>
                <w:position w:val="0"/>
                <w:sz w:val="24"/>
                <w:szCs w:val="24"/>
              </w:rPr>
              <w:t>281</w:t>
            </w:r>
            <w:r>
              <w:rPr>
                <w:rFonts w:ascii="SimSun" w:eastAsia="SimSun" w:hAnsi="SimSun" w:cs="SimSun"/>
                <w:color w:val="000000"/>
                <w:spacing w:val="0"/>
                <w:w w:val="100"/>
                <w:position w:val="0"/>
                <w:sz w:val="24"/>
                <w:szCs w:val="24"/>
              </w:rPr>
              <w:t>万元，</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无重大的应收账款</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SimSun" w:eastAsia="SimSun" w:hAnsi="SimSun" w:cs="SimSun"/>
                <w:color w:val="000000"/>
                <w:spacing w:val="0"/>
                <w:w w:val="100"/>
                <w:position w:val="0"/>
                <w:sz w:val="24"/>
                <w:szCs w:val="24"/>
              </w:rPr>
              <w:t>被核销。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footnotePr>
            <w:pos w:val="pageBottom"/>
            <w:numFmt w:val="decimal"/>
            <w:numStart w:val="1"/>
            <w:numRestart w:val="continuous"/>
            <w15:footnoteColumns w:val="1"/>
          </w:footnotePr>
          <w:pgSz w:w="11900" w:h="16840"/>
          <w:pgMar w:top="2338" w:right="1402" w:bottom="1282" w:left="1704" w:header="0" w:footer="3" w:gutter="0"/>
          <w:cols w:space="720"/>
          <w:noEndnote/>
          <w:rtlGutter w:val="0"/>
          <w:docGrid w:linePitch="360"/>
        </w:sectPr>
      </w:pPr>
    </w:p>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苏宁易购集团股份有限公司</w:t>
      </w:r>
    </w:p>
    <w:p>
      <w:pPr>
        <w:pStyle w:val="Style72"/>
        <w:keepNext w:val="0"/>
        <w:keepLines w:val="0"/>
        <w:widowControl w:val="0"/>
        <w:shd w:val="clear" w:color="auto" w:fill="auto"/>
        <w:bidi w:val="0"/>
        <w:spacing w:before="0" w:after="60" w:line="240" w:lineRule="auto"/>
        <w:ind w:left="0" w:right="0" w:firstLine="72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60" w:line="240" w:lineRule="auto"/>
        <w:ind w:left="0" w:right="0" w:firstLine="720"/>
        <w:jc w:val="left"/>
        <w:rPr>
          <w:sz w:val="22"/>
          <w:szCs w:val="22"/>
        </w:rPr>
      </w:pPr>
      <w:r>
        <w:rPr>
          <w:rFonts w:ascii="Arial" w:eastAsia="Arial" w:hAnsi="Arial" w:cs="Arial"/>
          <w:color w:val="000000"/>
          <w:spacing w:val="0"/>
          <w:w w:val="100"/>
          <w:position w:val="0"/>
          <w:sz w:val="18"/>
          <w:szCs w:val="18"/>
        </w:rPr>
        <w:t>（</w:t>
      </w:r>
      <w:r>
        <w:rPr>
          <w:color w:val="000000"/>
          <w:spacing w:val="0"/>
          <w:w w:val="100"/>
          <w:position w:val="0"/>
          <w:sz w:val="18"/>
          <w:szCs w:val="18"/>
        </w:rPr>
        <w:t>除特别注明外，金额单位为人民币千元</w:t>
      </w:r>
      <w:r>
        <w:rPr>
          <w:color w:val="000000"/>
          <w:spacing w:val="0"/>
          <w:w w:val="100"/>
          <w:position w:val="0"/>
          <w:sz w:val="22"/>
          <w:szCs w:val="22"/>
        </w:rPr>
        <w:t>）</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十六公司财务报表附注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72" w:val="left"/>
        </w:tabs>
        <w:bidi w:val="0"/>
        <w:spacing w:before="0" w:after="300" w:line="240" w:lineRule="auto"/>
        <w:ind w:left="0" w:right="0" w:firstLine="0"/>
        <w:jc w:val="left"/>
        <w:rPr>
          <w:sz w:val="28"/>
          <w:szCs w:val="28"/>
        </w:rPr>
      </w:pPr>
      <w:r>
        <w:rPr>
          <w:b/>
          <w:bCs/>
          <w:color w:val="000000"/>
          <w:spacing w:val="0"/>
          <w:w w:val="100"/>
          <w:position w:val="0"/>
          <w:sz w:val="24"/>
          <w:szCs w:val="24"/>
        </w:rPr>
        <w:t>⑵</w:t>
        <w:tab/>
        <w:t>应收账款</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72" w:val="left"/>
        </w:tabs>
        <w:bidi w:val="0"/>
        <w:spacing w:before="0" w:after="60" w:line="240" w:lineRule="auto"/>
        <w:ind w:left="0" w:right="0" w:firstLine="0"/>
        <w:jc w:val="left"/>
      </w:pPr>
      <w:bookmarkStart w:id="989" w:name="bookmark989"/>
      <w:r>
        <w:rPr>
          <w:rFonts w:ascii="Arial" w:eastAsia="Arial" w:hAnsi="Arial" w:cs="Arial"/>
          <w:color w:val="000000"/>
          <w:spacing w:val="0"/>
          <w:w w:val="100"/>
          <w:position w:val="0"/>
          <w:sz w:val="24"/>
          <w:szCs w:val="24"/>
        </w:rPr>
        <w:t>（</w:t>
      </w:r>
      <w:bookmarkEnd w:id="989"/>
      <w:r>
        <w:rPr>
          <w:rFonts w:ascii="Arial" w:eastAsia="Arial" w:hAnsi="Arial" w:cs="Arial"/>
          <w:color w:val="000000"/>
          <w:spacing w:val="0"/>
          <w:w w:val="100"/>
          <w:position w:val="0"/>
          <w:sz w:val="24"/>
          <w:szCs w:val="24"/>
        </w:rPr>
        <w:t>f）</w:t>
        <w:tab/>
      </w:r>
      <w:r>
        <w:rPr>
          <w:rFonts w:ascii="Arial" w:eastAsia="Arial" w:hAnsi="Arial" w:cs="Arial"/>
          <w:color w:val="000000"/>
          <w:spacing w:val="0"/>
          <w:w w:val="100"/>
          <w:position w:val="0"/>
          <w:sz w:val="24"/>
          <w:szCs w:val="24"/>
        </w:rPr>
        <w:t>2021</w:t>
      </w:r>
      <w:r>
        <w:rPr>
          <w:color w:val="000000"/>
          <w:spacing w:val="0"/>
          <w:w w:val="100"/>
          <w:position w:val="0"/>
          <w:sz w:val="24"/>
          <w:szCs w:val="24"/>
        </w:rPr>
        <w:t>年度，本公司无向金融机构以不附追索权的方式转让的应收账款</w:t>
      </w:r>
      <w:r>
        <w:rPr>
          <w:rFonts w:ascii="Arial" w:eastAsia="Arial" w:hAnsi="Arial" w:cs="Arial"/>
          <w:color w:val="000000"/>
          <w:spacing w:val="0"/>
          <w:w w:val="100"/>
          <w:position w:val="0"/>
          <w:sz w:val="24"/>
          <w:szCs w:val="24"/>
        </w:rPr>
        <w:t>（2020</w:t>
      </w:r>
    </w:p>
    <w:p>
      <w:pPr>
        <w:pStyle w:val="Style72"/>
        <w:keepNext w:val="0"/>
        <w:keepLines w:val="0"/>
        <w:widowControl w:val="0"/>
        <w:shd w:val="clear" w:color="auto" w:fill="auto"/>
        <w:bidi w:val="0"/>
        <w:spacing w:before="0" w:after="300" w:line="240" w:lineRule="auto"/>
        <w:ind w:left="0" w:right="0" w:firstLine="720"/>
        <w:jc w:val="left"/>
      </w:pPr>
      <w:r>
        <w:rPr>
          <w:color w:val="000000"/>
          <w:spacing w:val="0"/>
          <w:w w:val="100"/>
          <w:position w:val="0"/>
          <w:sz w:val="24"/>
          <w:szCs w:val="24"/>
        </w:rPr>
        <w:t>年度：无</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tabs>
          <w:tab w:pos="672"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（3）</w:t>
        <w:tab/>
      </w:r>
      <w:r>
        <w:rPr>
          <w:b/>
          <w:bCs/>
          <w:color w:val="000000"/>
          <w:spacing w:val="0"/>
          <w:w w:val="100"/>
          <w:position w:val="0"/>
          <w:sz w:val="24"/>
          <w:szCs w:val="24"/>
        </w:rPr>
        <w:t>其他应收款</w:t>
      </w:r>
    </w:p>
    <w:p>
      <w:pPr>
        <w:pStyle w:val="Style92"/>
        <w:keepNext w:val="0"/>
        <w:keepLines w:val="0"/>
        <w:widowControl w:val="0"/>
        <w:shd w:val="clear" w:color="auto" w:fill="auto"/>
        <w:bidi w:val="0"/>
        <w:spacing w:before="0" w:after="300" w:line="240" w:lineRule="auto"/>
        <w:ind w:left="4040" w:right="0" w:firstLine="0"/>
        <w:jc w:val="left"/>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tbl>
      <w:tblPr>
        <w:tblOverlap w:val="never"/>
        <w:jc w:val="center"/>
        <w:tblLayout w:type="fixed"/>
      </w:tblPr>
      <w:tblGrid>
        <w:gridCol w:w="3062"/>
        <w:gridCol w:w="3019"/>
        <w:gridCol w:w="1987"/>
      </w:tblGrid>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集团内部往来款项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24"/>
                <w:szCs w:val="24"/>
              </w:rPr>
            </w:pPr>
            <w:r>
              <w:rPr>
                <w:rFonts w:ascii="Arial" w:eastAsia="Arial" w:hAnsi="Arial" w:cs="Arial"/>
                <w:color w:val="000000"/>
                <w:spacing w:val="0"/>
                <w:w w:val="100"/>
                <w:position w:val="0"/>
                <w:sz w:val="24"/>
                <w:szCs w:val="24"/>
              </w:rPr>
              <w:t>28,582,720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26,160,561</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应收子公司股利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334,342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335,098</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应收房屋处置款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110,000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应收押金和保证金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rPr>
                <w:sz w:val="24"/>
                <w:szCs w:val="24"/>
              </w:rPr>
            </w:pPr>
            <w:r>
              <w:rPr>
                <w:rFonts w:ascii="Arial" w:eastAsia="Arial" w:hAnsi="Arial" w:cs="Arial"/>
                <w:color w:val="000000"/>
                <w:spacing w:val="0"/>
                <w:w w:val="100"/>
                <w:position w:val="0"/>
                <w:sz w:val="24"/>
                <w:szCs w:val="24"/>
              </w:rPr>
              <w:t>43,667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42,826</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信息服务费返还</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rPr>
                <w:sz w:val="24"/>
                <w:szCs w:val="24"/>
              </w:rPr>
            </w:pPr>
            <w:r>
              <w:rPr>
                <w:rFonts w:ascii="Arial" w:eastAsia="Arial" w:hAnsi="Arial" w:cs="Arial"/>
                <w:color w:val="000000"/>
                <w:spacing w:val="0"/>
                <w:w w:val="100"/>
                <w:position w:val="0"/>
                <w:sz w:val="24"/>
                <w:szCs w:val="24"/>
              </w:rPr>
              <w:t>8,274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402,428</w:t>
            </w: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员工借款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left"/>
              <w:rPr>
                <w:sz w:val="24"/>
                <w:szCs w:val="24"/>
              </w:rPr>
            </w:pPr>
            <w:r>
              <w:rPr>
                <w:rFonts w:ascii="Arial" w:eastAsia="Arial" w:hAnsi="Arial" w:cs="Arial"/>
                <w:color w:val="000000"/>
                <w:spacing w:val="0"/>
                <w:w w:val="100"/>
                <w:position w:val="0"/>
                <w:sz w:val="24"/>
                <w:szCs w:val="24"/>
              </w:rPr>
              <w:t>1,866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Fonts w:ascii="Arial" w:eastAsia="Arial" w:hAnsi="Arial" w:cs="Arial"/>
                <w:color w:val="000000"/>
                <w:spacing w:val="0"/>
                <w:w w:val="100"/>
                <w:position w:val="0"/>
                <w:sz w:val="24"/>
                <w:szCs w:val="24"/>
              </w:rPr>
              <w:t>8,168</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Fonts w:ascii="Arial" w:eastAsia="Arial" w:hAnsi="Arial" w:cs="Arial"/>
                <w:color w:val="000000"/>
                <w:spacing w:val="0"/>
                <w:w w:val="100"/>
                <w:position w:val="0"/>
                <w:sz w:val="24"/>
                <w:szCs w:val="24"/>
              </w:rPr>
              <w:t>115,851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4"/>
                <w:szCs w:val="24"/>
              </w:rPr>
            </w:pPr>
            <w:r>
              <w:rPr>
                <w:rFonts w:ascii="Arial" w:eastAsia="Arial" w:hAnsi="Arial" w:cs="Arial"/>
                <w:color w:val="000000"/>
                <w:spacing w:val="0"/>
                <w:w w:val="100"/>
                <w:position w:val="0"/>
                <w:sz w:val="24"/>
                <w:szCs w:val="24"/>
              </w:rPr>
              <w:t>145,577</w:t>
            </w:r>
          </w:p>
        </w:tc>
      </w:tr>
      <w:tr>
        <w:trPr>
          <w:trHeight w:val="47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合计</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24"/>
                <w:szCs w:val="24"/>
              </w:rPr>
            </w:pPr>
            <w:r>
              <w:rPr>
                <w:rFonts w:ascii="Arial" w:eastAsia="Arial" w:hAnsi="Arial" w:cs="Arial"/>
                <w:color w:val="000000"/>
                <w:spacing w:val="0"/>
                <w:w w:val="100"/>
                <w:position w:val="0"/>
                <w:sz w:val="24"/>
                <w:szCs w:val="24"/>
              </w:rPr>
              <w:t>29,196,720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27,094,658</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减：坏账准备</w:t>
            </w:r>
          </w:p>
        </w:tc>
        <w:tc>
          <w:tcPr>
            <w:tcBorders>
              <w:bottom w:val="single" w:sz="4"/>
            </w:tcBorders>
            <w:shd w:val="clear" w:color="auto" w:fill="FFFFFF"/>
            <w:vAlign w:val="bottom"/>
          </w:tcPr>
          <w:p>
            <w:pPr>
              <w:pStyle w:val="Style29"/>
              <w:keepNext w:val="0"/>
              <w:keepLines w:val="0"/>
              <w:widowControl w:val="0"/>
              <w:shd w:val="clear" w:color="auto" w:fill="auto"/>
              <w:tabs>
                <w:tab w:leader="underscore" w:pos="1530" w:val="left"/>
                <w:tab w:pos="2686" w:val="left"/>
              </w:tabs>
              <w:bidi w:val="0"/>
              <w:spacing w:before="0" w:after="0" w:line="240" w:lineRule="auto"/>
              <w:ind w:left="0" w:right="0" w:firstLine="200"/>
              <w:jc w:val="left"/>
              <w:rPr>
                <w:sz w:val="24"/>
                <w:szCs w:val="24"/>
              </w:rPr>
            </w:pPr>
            <w:r>
              <w:rPr>
                <w:rFonts w:ascii="Arial" w:eastAsia="Arial" w:hAnsi="Arial" w:cs="Arial"/>
                <w:color w:val="000000"/>
                <w:spacing w:val="0"/>
                <w:w w:val="100"/>
                <w:position w:val="0"/>
                <w:sz w:val="24"/>
                <w:szCs w:val="24"/>
              </w:rPr>
              <w:tab/>
            </w:r>
            <w:r>
              <w:rPr>
                <w:rFonts w:ascii="Arial" w:eastAsia="Arial" w:hAnsi="Arial" w:cs="Arial"/>
                <w:color w:val="000000"/>
                <w:spacing w:val="0"/>
                <w:w w:val="100"/>
                <w:position w:val="0"/>
                <w:sz w:val="24"/>
                <w:szCs w:val="24"/>
                <w:u w:val="single"/>
              </w:rPr>
              <w:t>(55,513)</w:t>
            </w:r>
            <w:r>
              <w:rPr>
                <w:rFonts w:ascii="Arial" w:eastAsia="Arial" w:hAnsi="Arial" w:cs="Arial"/>
                <w:color w:val="000000"/>
                <w:spacing w:val="0"/>
                <w:w w:val="100"/>
                <w:position w:val="0"/>
                <w:sz w:val="24"/>
                <w:szCs w:val="24"/>
              </w:rPr>
              <w:tab/>
              <w:t>_</w:t>
            </w:r>
          </w:p>
          <w:p>
            <w:pPr>
              <w:pStyle w:val="Style29"/>
              <w:keepNext w:val="0"/>
              <w:keepLines w:val="0"/>
              <w:widowControl w:val="0"/>
              <w:shd w:val="clear" w:color="auto" w:fill="auto"/>
              <w:bidi w:val="0"/>
              <w:spacing w:before="0" w:after="0" w:line="240" w:lineRule="auto"/>
              <w:ind w:left="1120" w:right="0" w:firstLine="0"/>
              <w:jc w:val="left"/>
              <w:rPr>
                <w:sz w:val="24"/>
                <w:szCs w:val="24"/>
              </w:rPr>
            </w:pPr>
            <w:r>
              <w:rPr>
                <w:rFonts w:ascii="Arial" w:eastAsia="Arial" w:hAnsi="Arial" w:cs="Arial"/>
                <w:color w:val="000000"/>
                <w:spacing w:val="0"/>
                <w:w w:val="100"/>
                <w:position w:val="0"/>
                <w:sz w:val="24"/>
                <w:szCs w:val="24"/>
              </w:rPr>
              <w:t>29,141,207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(26,081) 27,068,577</w:t>
            </w:r>
          </w:p>
        </w:tc>
      </w:tr>
    </w:tbl>
    <w:p>
      <w:pPr>
        <w:pStyle w:val="Style26"/>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 xml:space="preserve">（a） </w:t>
      </w:r>
      <w:r>
        <w:rPr>
          <w:color w:val="000000"/>
          <w:spacing w:val="0"/>
          <w:w w:val="100"/>
          <w:position w:val="0"/>
          <w:sz w:val="24"/>
          <w:szCs w:val="24"/>
        </w:rPr>
        <w:t>其他应收款账龄分析如下:</w:t>
      </w:r>
    </w:p>
    <w:p>
      <w:pPr>
        <w:widowControl w:val="0"/>
        <w:spacing w:after="299" w:line="1" w:lineRule="exact"/>
      </w:pPr>
    </w:p>
    <w:tbl>
      <w:tblPr>
        <w:tblOverlap w:val="never"/>
        <w:jc w:val="right"/>
        <w:tblLayout w:type="fixed"/>
      </w:tblPr>
      <w:tblGrid>
        <w:gridCol w:w="2150"/>
        <w:gridCol w:w="3461"/>
        <w:gridCol w:w="2357"/>
      </w:tblGrid>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29,133,057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27,056,174</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一到二年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500" w:right="0" w:firstLine="0"/>
              <w:jc w:val="left"/>
              <w:rPr>
                <w:sz w:val="24"/>
                <w:szCs w:val="24"/>
              </w:rPr>
            </w:pPr>
            <w:r>
              <w:rPr>
                <w:rFonts w:ascii="Arial" w:eastAsia="Arial" w:hAnsi="Arial" w:cs="Arial"/>
                <w:color w:val="000000"/>
                <w:spacing w:val="0"/>
                <w:w w:val="100"/>
                <w:position w:val="0"/>
                <w:sz w:val="24"/>
                <w:szCs w:val="24"/>
              </w:rPr>
              <w:t>33,187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14,137</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二到三年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500" w:right="0" w:firstLine="0"/>
              <w:jc w:val="left"/>
              <w:rPr>
                <w:sz w:val="24"/>
                <w:szCs w:val="24"/>
              </w:rPr>
            </w:pPr>
            <w:r>
              <w:rPr>
                <w:rFonts w:ascii="Arial" w:eastAsia="Arial" w:hAnsi="Arial" w:cs="Arial"/>
                <w:color w:val="000000"/>
                <w:spacing w:val="0"/>
                <w:w w:val="100"/>
                <w:position w:val="0"/>
                <w:sz w:val="24"/>
                <w:szCs w:val="24"/>
              </w:rPr>
              <w:t>10,647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20,244</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三年以上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500" w:right="0" w:firstLine="0"/>
              <w:jc w:val="left"/>
              <w:rPr>
                <w:sz w:val="24"/>
                <w:szCs w:val="24"/>
              </w:rPr>
            </w:pPr>
            <w:r>
              <w:rPr>
                <w:rFonts w:ascii="Arial" w:eastAsia="Arial" w:hAnsi="Arial" w:cs="Arial"/>
                <w:color w:val="000000"/>
                <w:spacing w:val="0"/>
                <w:w w:val="100"/>
                <w:position w:val="0"/>
                <w:sz w:val="24"/>
                <w:szCs w:val="24"/>
              </w:rPr>
              <w:t>19,829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4,103</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4"/>
                <w:szCs w:val="24"/>
              </w:rPr>
            </w:pPr>
            <w:r>
              <w:rPr>
                <w:rFonts w:ascii="Arial" w:eastAsia="Arial" w:hAnsi="Arial" w:cs="Arial"/>
                <w:color w:val="000000"/>
                <w:spacing w:val="0"/>
                <w:w w:val="100"/>
                <w:position w:val="0"/>
                <w:sz w:val="24"/>
                <w:szCs w:val="24"/>
              </w:rPr>
              <w:t>29,196,720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27,094,658</w:t>
            </w:r>
          </w:p>
        </w:tc>
      </w:tr>
    </w:tbl>
    <w:p>
      <w:pPr>
        <w:sectPr>
          <w:footnotePr>
            <w:pos w:val="pageBottom"/>
            <w:numFmt w:val="decimal"/>
            <w:numStart w:val="1"/>
            <w:numRestart w:val="continuous"/>
            <w15:footnoteColumns w:val="1"/>
          </w:footnotePr>
          <w:pgSz w:w="11900" w:h="16840"/>
          <w:pgMar w:top="778" w:right="1407" w:bottom="884" w:left="1709" w:header="0" w:footer="3" w:gutter="0"/>
          <w:cols w:space="720"/>
          <w:noEndnote/>
          <w:rtlGutter w:val="0"/>
          <w:docGrid w:linePitch="360"/>
        </w:sectPr>
      </w:pPr>
    </w:p>
    <w:p>
      <w:pPr>
        <w:pStyle w:val="Style7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十六公司财务报表附注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691" w:val="left"/>
        </w:tabs>
        <w:bidi w:val="0"/>
        <w:spacing w:before="0" w:after="300" w:line="240" w:lineRule="auto"/>
        <w:ind w:left="0" w:right="0" w:firstLine="0"/>
        <w:jc w:val="left"/>
        <w:rPr>
          <w:sz w:val="28"/>
          <w:szCs w:val="28"/>
        </w:rPr>
      </w:pPr>
      <w:r>
        <w:rPr>
          <w:color w:val="000000"/>
          <w:spacing w:val="0"/>
          <w:w w:val="100"/>
          <w:position w:val="0"/>
          <w:sz w:val="24"/>
          <w:szCs w:val="24"/>
        </w:rPr>
        <w:t>（3）</w:t>
        <w:tab/>
      </w:r>
      <w:r>
        <w:rPr>
          <w:rFonts w:ascii="SimSun" w:eastAsia="SimSun" w:hAnsi="SimSun" w:cs="SimSun"/>
          <w:b/>
          <w:bCs/>
          <w:color w:val="000000"/>
          <w:spacing w:val="0"/>
          <w:w w:val="100"/>
          <w:position w:val="0"/>
          <w:sz w:val="24"/>
          <w:szCs w:val="24"/>
        </w:rPr>
        <w:t>其他应收款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91" w:val="left"/>
        </w:tabs>
        <w:bidi w:val="0"/>
        <w:spacing w:before="0" w:after="380" w:line="240" w:lineRule="auto"/>
        <w:ind w:left="0" w:right="0" w:firstLine="0"/>
        <w:jc w:val="left"/>
      </w:pPr>
      <w:r>
        <w:rPr>
          <w:rFonts w:ascii="Arial" w:eastAsia="Arial" w:hAnsi="Arial" w:cs="Arial"/>
          <w:color w:val="000000"/>
          <w:spacing w:val="0"/>
          <w:w w:val="100"/>
          <w:position w:val="0"/>
          <w:sz w:val="24"/>
          <w:szCs w:val="24"/>
        </w:rPr>
        <w:t>（b）</w:t>
        <w:tab/>
      </w:r>
      <w:r>
        <w:rPr>
          <w:color w:val="000000"/>
          <w:spacing w:val="0"/>
          <w:w w:val="100"/>
          <w:position w:val="0"/>
          <w:sz w:val="24"/>
          <w:szCs w:val="24"/>
        </w:rPr>
        <w:t>损失准备及其账面余额变动表：</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u w:val="single"/>
        </w:rPr>
        <w:t>第一阶段</w:t>
      </w:r>
      <w:r>
        <w:rPr>
          <w:color w:val="000000"/>
          <w:spacing w:val="0"/>
          <w:w w:val="100"/>
          <w:position w:val="0"/>
          <w:sz w:val="14"/>
          <w:szCs w:val="14"/>
        </w:rPr>
        <w:t xml:space="preserve"> </w:t>
      </w:r>
      <w:r>
        <w:rPr>
          <w:color w:val="000000"/>
          <w:spacing w:val="0"/>
          <w:w w:val="100"/>
          <w:position w:val="0"/>
          <w:sz w:val="14"/>
          <w:szCs w:val="14"/>
          <w:u w:val="single"/>
        </w:rPr>
        <w:t>第二阶段</w:t>
      </w:r>
      <w:r>
        <w:rPr>
          <w:color w:val="000000"/>
          <w:spacing w:val="0"/>
          <w:w w:val="100"/>
          <w:position w:val="0"/>
          <w:sz w:val="14"/>
          <w:szCs w:val="14"/>
        </w:rPr>
        <w:t xml:space="preserve"> </w:t>
      </w:r>
      <w:r>
        <w:rPr>
          <w:color w:val="000000"/>
          <w:spacing w:val="0"/>
          <w:w w:val="100"/>
          <w:position w:val="0"/>
          <w:sz w:val="14"/>
          <w:szCs w:val="14"/>
          <w:u w:val="single"/>
        </w:rPr>
        <w:t>第三阶段</w:t>
      </w:r>
    </w:p>
    <w:p>
      <w:pPr>
        <w:pStyle w:val="Style26"/>
        <w:keepNext w:val="0"/>
        <w:keepLines w:val="0"/>
        <w:widowControl w:val="0"/>
        <w:shd w:val="clear" w:color="auto" w:fill="auto"/>
        <w:tabs>
          <w:tab w:pos="1766" w:val="left"/>
          <w:tab w:pos="4445" w:val="left"/>
          <w:tab w:pos="6173" w:val="left"/>
        </w:tabs>
        <w:bidi w:val="0"/>
        <w:spacing w:before="0" w:after="0" w:line="240" w:lineRule="auto"/>
        <w:ind w:left="0" w:right="0" w:firstLine="0"/>
        <w:jc w:val="distribute"/>
        <w:rPr>
          <w:sz w:val="14"/>
          <w:szCs w:val="14"/>
        </w:rPr>
      </w:pPr>
      <w:r>
        <w:rPr>
          <w:color w:val="000000"/>
          <w:spacing w:val="0"/>
          <w:w w:val="100"/>
          <w:position w:val="0"/>
          <w:sz w:val="14"/>
          <w:szCs w:val="14"/>
        </w:rPr>
        <w:t>未来</w:t>
      </w:r>
      <w:r>
        <w:rPr>
          <w:rFonts w:ascii="Arial" w:eastAsia="Arial" w:hAnsi="Arial" w:cs="Arial"/>
          <w:color w:val="000000"/>
          <w:spacing w:val="0"/>
          <w:w w:val="100"/>
          <w:position w:val="0"/>
          <w:sz w:val="14"/>
          <w:szCs w:val="14"/>
        </w:rPr>
        <w:t>12</w:t>
      </w:r>
      <w:r>
        <w:rPr>
          <w:color w:val="000000"/>
          <w:spacing w:val="0"/>
          <w:w w:val="100"/>
          <w:position w:val="0"/>
          <w:sz w:val="14"/>
          <w:szCs w:val="14"/>
        </w:rPr>
        <w:t>个月内预期信用</w:t>
        <w:tab/>
        <w:t>未来</w:t>
      </w:r>
      <w:r>
        <w:rPr>
          <w:rFonts w:ascii="Arial" w:eastAsia="Arial" w:hAnsi="Arial" w:cs="Arial"/>
          <w:color w:val="000000"/>
          <w:spacing w:val="0"/>
          <w:w w:val="100"/>
          <w:position w:val="0"/>
          <w:sz w:val="14"/>
          <w:szCs w:val="14"/>
        </w:rPr>
        <w:t>12</w:t>
      </w:r>
      <w:r>
        <w:rPr>
          <w:color w:val="000000"/>
          <w:spacing w:val="0"/>
          <w:w w:val="100"/>
          <w:position w:val="0"/>
          <w:sz w:val="14"/>
          <w:szCs w:val="14"/>
        </w:rPr>
        <w:t>个月内预期信用</w:t>
        <w:tab/>
        <w:t>整个存续期预期信用损失</w:t>
        <w:tab/>
        <w:t>整个存续期间预期信用损失 整个存续期预期信用损失</w:t>
      </w:r>
    </w:p>
    <w:tbl>
      <w:tblPr>
        <w:tblOverlap w:val="never"/>
        <w:jc w:val="center"/>
        <w:tblLayout w:type="fixed"/>
      </w:tblPr>
      <w:tblGrid>
        <w:gridCol w:w="1301"/>
        <w:gridCol w:w="926"/>
        <w:gridCol w:w="883"/>
        <w:gridCol w:w="898"/>
        <w:gridCol w:w="898"/>
        <w:gridCol w:w="874"/>
        <w:gridCol w:w="950"/>
        <w:gridCol w:w="845"/>
        <w:gridCol w:w="941"/>
        <w:gridCol w:w="845"/>
        <w:gridCol w:w="926"/>
        <w:gridCol w:w="912"/>
        <w:gridCol w:w="936"/>
        <w:gridCol w:w="778"/>
      </w:tblGrid>
      <w:tr>
        <w:trPr>
          <w:trHeight w:val="187"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4"/>
                <w:szCs w:val="14"/>
              </w:rPr>
              <w:t>损失</w:t>
            </w:r>
            <w:r>
              <w:rPr>
                <w:rFonts w:ascii="Arial" w:eastAsia="Arial" w:hAnsi="Arial" w:cs="Arial"/>
                <w:color w:val="000000"/>
                <w:spacing w:val="0"/>
                <w:w w:val="100"/>
                <w:position w:val="0"/>
                <w:sz w:val="14"/>
                <w:szCs w:val="14"/>
              </w:rPr>
              <w:t>（</w:t>
            </w:r>
            <w:r>
              <w:rPr>
                <w:rFonts w:ascii="SimSun" w:eastAsia="SimSun" w:hAnsi="SimSun" w:cs="SimSun"/>
                <w:color w:val="000000"/>
                <w:spacing w:val="0"/>
                <w:w w:val="100"/>
                <w:position w:val="0"/>
                <w:sz w:val="14"/>
                <w:szCs w:val="14"/>
              </w:rPr>
              <w:t>组合</w:t>
            </w:r>
            <w:r>
              <w:rPr>
                <w:rFonts w:ascii="SimSun" w:eastAsia="SimSun" w:hAnsi="SimSun" w:cs="SimSun"/>
                <w:color w:val="000000"/>
                <w:spacing w:val="0"/>
                <w:w w:val="100"/>
                <w:position w:val="0"/>
                <w:sz w:val="17"/>
                <w:szCs w:val="17"/>
              </w:rPr>
              <w:t>）</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4"/>
                <w:szCs w:val="14"/>
              </w:rPr>
              <w:t>损失</w:t>
            </w:r>
            <w:r>
              <w:rPr>
                <w:rFonts w:ascii="Arial" w:eastAsia="Arial" w:hAnsi="Arial" w:cs="Arial"/>
                <w:color w:val="000000"/>
                <w:spacing w:val="0"/>
                <w:w w:val="100"/>
                <w:position w:val="0"/>
                <w:sz w:val="14"/>
                <w:szCs w:val="14"/>
              </w:rPr>
              <w:t>（</w:t>
            </w:r>
            <w:r>
              <w:rPr>
                <w:rFonts w:ascii="SimSun" w:eastAsia="SimSun" w:hAnsi="SimSun" w:cs="SimSun"/>
                <w:color w:val="000000"/>
                <w:spacing w:val="0"/>
                <w:w w:val="100"/>
                <w:position w:val="0"/>
                <w:sz w:val="14"/>
                <w:szCs w:val="14"/>
              </w:rPr>
              <w:t>单项</w:t>
            </w: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4"/>
                <w:szCs w:val="14"/>
              </w:rPr>
            </w:pPr>
            <w:r>
              <w:rPr>
                <w:rFonts w:ascii="SimSun" w:eastAsia="SimSun" w:hAnsi="SimSun" w:cs="SimSun"/>
                <w:color w:val="000000"/>
                <w:spacing w:val="0"/>
                <w:w w:val="100"/>
                <w:position w:val="0"/>
                <w:sz w:val="14"/>
                <w:szCs w:val="14"/>
              </w:rPr>
              <w:t>小计</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4"/>
                <w:szCs w:val="14"/>
              </w:rPr>
              <w:t>（</w:t>
            </w:r>
            <w:r>
              <w:rPr>
                <w:rFonts w:ascii="SimSun" w:eastAsia="SimSun" w:hAnsi="SimSun" w:cs="SimSun"/>
                <w:color w:val="000000"/>
                <w:spacing w:val="0"/>
                <w:w w:val="100"/>
                <w:position w:val="0"/>
                <w:sz w:val="14"/>
                <w:szCs w:val="14"/>
              </w:rPr>
              <w:t>已发生信用减值</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4"/>
                <w:szCs w:val="14"/>
              </w:rPr>
              <w:t>组合</w:t>
            </w:r>
            <w:r>
              <w:rPr>
                <w:rFonts w:ascii="SimSun" w:eastAsia="SimSun" w:hAnsi="SimSun" w:cs="SimSun"/>
                <w:color w:val="000000"/>
                <w:spacing w:val="0"/>
                <w:w w:val="100"/>
                <w:position w:val="0"/>
                <w:sz w:val="17"/>
                <w:szCs w:val="17"/>
              </w:rPr>
              <w:t>）</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4"/>
                <w:szCs w:val="14"/>
              </w:rPr>
              <w:t>（</w:t>
            </w:r>
            <w:r>
              <w:rPr>
                <w:rFonts w:ascii="SimSun" w:eastAsia="SimSun" w:hAnsi="SimSun" w:cs="SimSun"/>
                <w:color w:val="000000"/>
                <w:spacing w:val="0"/>
                <w:w w:val="100"/>
                <w:position w:val="0"/>
                <w:sz w:val="14"/>
                <w:szCs w:val="14"/>
              </w:rPr>
              <w:t>已发生信用减值</w:t>
            </w:r>
            <w:r>
              <w:rPr>
                <w:rFonts w:ascii="Arial" w:eastAsia="Arial" w:hAnsi="Arial" w:cs="Arial"/>
                <w:color w:val="000000"/>
                <w:spacing w:val="0"/>
                <w:w w:val="100"/>
                <w:position w:val="0"/>
                <w:sz w:val="14"/>
                <w:szCs w:val="14"/>
              </w:rPr>
              <w:t>）（</w:t>
            </w:r>
            <w:r>
              <w:rPr>
                <w:rFonts w:ascii="SimSun" w:eastAsia="SimSun" w:hAnsi="SimSun" w:cs="SimSun"/>
                <w:color w:val="000000"/>
                <w:spacing w:val="0"/>
                <w:w w:val="100"/>
                <w:position w:val="0"/>
                <w:sz w:val="14"/>
                <w:szCs w:val="14"/>
              </w:rPr>
              <w:t>组合</w:t>
            </w:r>
            <w:r>
              <w:rPr>
                <w:rFonts w:ascii="SimSun" w:eastAsia="SimSun" w:hAnsi="SimSun" w:cs="SimSun"/>
                <w:color w:val="000000"/>
                <w:spacing w:val="0"/>
                <w:w w:val="100"/>
                <w:position w:val="0"/>
                <w:sz w:val="17"/>
                <w:szCs w:val="17"/>
              </w:rPr>
              <w:t>）</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4"/>
                <w:szCs w:val="14"/>
              </w:rPr>
              <w:t>（</w:t>
            </w:r>
            <w:r>
              <w:rPr>
                <w:rFonts w:ascii="SimSun" w:eastAsia="SimSun" w:hAnsi="SimSun" w:cs="SimSun"/>
                <w:color w:val="000000"/>
                <w:spacing w:val="0"/>
                <w:w w:val="100"/>
                <w:position w:val="0"/>
                <w:sz w:val="14"/>
                <w:szCs w:val="14"/>
              </w:rPr>
              <w:t>已发生信用减值</w:t>
            </w:r>
            <w:r>
              <w:rPr>
                <w:rFonts w:ascii="Arial" w:eastAsia="Arial" w:hAnsi="Arial" w:cs="Arial"/>
                <w:color w:val="000000"/>
                <w:spacing w:val="0"/>
                <w:w w:val="100"/>
                <w:position w:val="0"/>
                <w:sz w:val="14"/>
                <w:szCs w:val="14"/>
              </w:rPr>
              <w:t>）（</w:t>
            </w:r>
            <w:r>
              <w:rPr>
                <w:rFonts w:ascii="SimSun" w:eastAsia="SimSun" w:hAnsi="SimSun" w:cs="SimSun"/>
                <w:color w:val="000000"/>
                <w:spacing w:val="0"/>
                <w:w w:val="100"/>
                <w:position w:val="0"/>
                <w:sz w:val="14"/>
                <w:szCs w:val="14"/>
              </w:rPr>
              <w:t>单项</w:t>
            </w:r>
            <w:r>
              <w:rPr>
                <w:rFonts w:ascii="SimSun" w:eastAsia="SimSun" w:hAnsi="SimSun" w:cs="SimSun"/>
                <w:color w:val="000000"/>
                <w:spacing w:val="0"/>
                <w:w w:val="100"/>
                <w:position w:val="0"/>
                <w:sz w:val="17"/>
                <w:szCs w:val="17"/>
              </w:rPr>
              <w:t>）</w:t>
            </w:r>
          </w:p>
        </w:tc>
        <w:tc>
          <w:tcPr>
            <w:vMerge w:val="restart"/>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440"/>
              <w:jc w:val="left"/>
              <w:rPr>
                <w:sz w:val="14"/>
                <w:szCs w:val="14"/>
              </w:rPr>
            </w:pPr>
            <w:r>
              <w:rPr>
                <w:rFonts w:ascii="SimSun" w:eastAsia="SimSun" w:hAnsi="SimSun" w:cs="SimSun"/>
                <w:color w:val="000000"/>
                <w:spacing w:val="0"/>
                <w:w w:val="100"/>
                <w:position w:val="0"/>
                <w:sz w:val="14"/>
                <w:szCs w:val="14"/>
              </w:rPr>
              <w:t>小计</w:t>
            </w:r>
          </w:p>
          <w:p>
            <w:pPr>
              <w:pStyle w:val="Style29"/>
              <w:keepNext w:val="0"/>
              <w:keepLines w:val="0"/>
              <w:widowControl w:val="0"/>
              <w:shd w:val="clear" w:color="auto" w:fill="auto"/>
              <w:bidi w:val="0"/>
              <w:spacing w:before="0" w:after="0" w:line="240" w:lineRule="auto"/>
              <w:ind w:left="0" w:right="200" w:firstLine="0"/>
              <w:jc w:val="right"/>
              <w:rPr>
                <w:sz w:val="14"/>
                <w:szCs w:val="14"/>
              </w:rPr>
            </w:pPr>
            <w:r>
              <w:rPr>
                <w:rFonts w:ascii="SimSun" w:eastAsia="SimSun" w:hAnsi="SimSun" w:cs="SimSun"/>
                <w:color w:val="000000"/>
                <w:spacing w:val="0"/>
                <w:w w:val="100"/>
                <w:position w:val="0"/>
                <w:sz w:val="14"/>
                <w:szCs w:val="14"/>
              </w:rPr>
              <w:t>坏账准备</w:t>
            </w:r>
          </w:p>
        </w:tc>
        <w:tc>
          <w:tcPr>
            <w:vMerge w:val="restart"/>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right"/>
              <w:rPr>
                <w:sz w:val="14"/>
                <w:szCs w:val="14"/>
              </w:rPr>
            </w:pPr>
            <w:r>
              <w:rPr>
                <w:rFonts w:ascii="SimSun" w:eastAsia="SimSun" w:hAnsi="SimSun" w:cs="SimSun"/>
                <w:color w:val="000000"/>
                <w:spacing w:val="0"/>
                <w:w w:val="100"/>
                <w:position w:val="0"/>
                <w:sz w:val="14"/>
                <w:szCs w:val="14"/>
              </w:rPr>
              <w:t>合计</w:t>
            </w:r>
          </w:p>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坏账准备</w:t>
            </w:r>
          </w:p>
        </w:tc>
      </w:tr>
      <w:tr>
        <w:trPr>
          <w:trHeight w:val="403" w:hRule="exact"/>
        </w:trPr>
        <w:tc>
          <w:tcPr>
            <w:vMerge/>
            <w:tcBorders/>
            <w:shd w:val="clear" w:color="auto" w:fill="FFFFFF"/>
            <w:vAlign w:val="top"/>
          </w:tcPr>
          <w:p>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SimSun" w:eastAsia="SimSun" w:hAnsi="SimSun" w:cs="SimSun"/>
                <w:color w:val="000000"/>
                <w:spacing w:val="0"/>
                <w:w w:val="100"/>
                <w:position w:val="0"/>
                <w:sz w:val="14"/>
                <w:szCs w:val="14"/>
              </w:rPr>
              <w:t>账面余额</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坏账准备</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账面余额</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坏账准备</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坏账准备</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账面余额</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坏账准备</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4"/>
                <w:szCs w:val="14"/>
              </w:rPr>
            </w:pPr>
            <w:r>
              <w:rPr>
                <w:rFonts w:ascii="SimSun" w:eastAsia="SimSun" w:hAnsi="SimSun" w:cs="SimSun"/>
                <w:color w:val="000000"/>
                <w:spacing w:val="0"/>
                <w:w w:val="100"/>
                <w:position w:val="0"/>
                <w:sz w:val="14"/>
                <w:szCs w:val="14"/>
              </w:rPr>
              <w:t>账面余额</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坏账准备</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4"/>
                <w:szCs w:val="14"/>
              </w:rPr>
            </w:pPr>
            <w:r>
              <w:rPr>
                <w:rFonts w:ascii="SimSun" w:eastAsia="SimSun" w:hAnsi="SimSun" w:cs="SimSun"/>
                <w:color w:val="000000"/>
                <w:spacing w:val="0"/>
                <w:w w:val="100"/>
                <w:position w:val="0"/>
                <w:sz w:val="14"/>
                <w:szCs w:val="14"/>
              </w:rPr>
              <w:t>账面余额</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4"/>
                <w:szCs w:val="14"/>
              </w:rPr>
            </w:pPr>
            <w:r>
              <w:rPr>
                <w:rFonts w:ascii="SimSun" w:eastAsia="SimSun" w:hAnsi="SimSun" w:cs="SimSun"/>
                <w:color w:val="000000"/>
                <w:spacing w:val="0"/>
                <w:w w:val="100"/>
                <w:position w:val="0"/>
                <w:sz w:val="14"/>
                <w:szCs w:val="14"/>
              </w:rPr>
              <w:t>坏账准备</w:t>
            </w:r>
          </w:p>
        </w:tc>
        <w:tc>
          <w:tcPr>
            <w:vMerge/>
            <w:tcBorders/>
            <w:shd w:val="clear" w:color="auto" w:fill="FFFFFF"/>
            <w:vAlign w:val="top"/>
          </w:tcPr>
          <w:p>
            <w:pPr/>
          </w:p>
        </w:tc>
        <w:tc>
          <w:tcPr>
            <w:vMerge/>
            <w:tcBorders/>
            <w:shd w:val="clear" w:color="auto" w:fill="FFFFFF"/>
            <w:vAlign w:val="top"/>
          </w:tcPr>
          <w:p>
            <w:pP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2020</w:t>
            </w:r>
            <w:r>
              <w:rPr>
                <w:rFonts w:ascii="SimSun" w:eastAsia="SimSun" w:hAnsi="SimSun" w:cs="SimSun"/>
                <w:color w:val="000000"/>
                <w:spacing w:val="0"/>
                <w:w w:val="100"/>
                <w:position w:val="0"/>
                <w:sz w:val="14"/>
                <w:szCs w:val="14"/>
              </w:rPr>
              <w:t>年</w:t>
            </w:r>
            <w:r>
              <w:rPr>
                <w:rFonts w:ascii="Arial" w:eastAsia="Arial" w:hAnsi="Arial" w:cs="Arial"/>
                <w:color w:val="000000"/>
                <w:spacing w:val="0"/>
                <w:w w:val="100"/>
                <w:position w:val="0"/>
                <w:sz w:val="14"/>
                <w:szCs w:val="14"/>
              </w:rPr>
              <w:t>12</w:t>
            </w:r>
            <w:r>
              <w:rPr>
                <w:rFonts w:ascii="SimSun" w:eastAsia="SimSun" w:hAnsi="SimSun" w:cs="SimSun"/>
                <w:color w:val="000000"/>
                <w:spacing w:val="0"/>
                <w:w w:val="100"/>
                <w:position w:val="0"/>
                <w:sz w:val="14"/>
                <w:szCs w:val="14"/>
              </w:rPr>
              <w:t>月</w:t>
            </w:r>
            <w:r>
              <w:rPr>
                <w:rFonts w:ascii="Arial" w:eastAsia="Arial" w:hAnsi="Arial" w:cs="Arial"/>
                <w:color w:val="000000"/>
                <w:spacing w:val="0"/>
                <w:w w:val="100"/>
                <w:position w:val="0"/>
                <w:sz w:val="14"/>
                <w:szCs w:val="14"/>
              </w:rPr>
              <w:t>31</w:t>
            </w:r>
            <w:r>
              <w:rPr>
                <w:rFonts w:ascii="SimSun" w:eastAsia="SimSun" w:hAnsi="SimSun" w:cs="SimSun"/>
                <w:color w:val="000000"/>
                <w:spacing w:val="0"/>
                <w:w w:val="100"/>
                <w:position w:val="0"/>
                <w:sz w:val="14"/>
                <w:szCs w:val="14"/>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26,314,433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(845)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737,526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(928)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21,835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(4,289)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2,51 2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(2,512)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18,352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(18,352)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(20,864)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(26,081)</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本年新增的款项</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2,452,925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(44,984)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110,000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(157)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(45,141)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(45,141)</w:t>
            </w:r>
          </w:p>
        </w:tc>
      </w:tr>
      <w:tr>
        <w:trPr>
          <w:trHeight w:val="19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本年减少的款项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(43,084)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43,084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(394,910)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43,165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(21,153)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2,949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(1,71 6)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1,716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1,716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47,830</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其中：本年核销</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(43,084)</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43,084</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43,084</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w:t>
            </w:r>
          </w:p>
        </w:tc>
        <w:tc>
          <w:tcPr>
            <w:tcBorders>
              <w:top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43,084</w:t>
            </w:r>
          </w:p>
        </w:tc>
      </w:tr>
      <w:tr>
        <w:trPr>
          <w:trHeight w:val="245"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4"/>
                <w:szCs w:val="14"/>
              </w:rPr>
            </w:pPr>
            <w:r>
              <w:rPr>
                <w:rFonts w:ascii="SimSun" w:eastAsia="SimSun" w:hAnsi="SimSun" w:cs="SimSun"/>
                <w:color w:val="000000"/>
                <w:spacing w:val="0"/>
                <w:w w:val="100"/>
                <w:position w:val="0"/>
                <w:sz w:val="14"/>
                <w:szCs w:val="14"/>
              </w:rPr>
              <w:t>本年转回</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(394,910)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81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rPr>
              <w:t>81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(21,153)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2,949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(1,71 6)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1,716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1,716</w:t>
            </w:r>
          </w:p>
        </w:tc>
        <w:tc>
          <w:tcPr>
            <w:tcBorders>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4,746</w:t>
            </w:r>
          </w:p>
        </w:tc>
      </w:tr>
      <w:tr>
        <w:trPr>
          <w:trHeight w:val="20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4"/>
                <w:szCs w:val="14"/>
              </w:rPr>
            </w:pPr>
            <w:r>
              <w:rPr>
                <w:rFonts w:ascii="SimSun" w:eastAsia="SimSun" w:hAnsi="SimSun" w:cs="SimSun"/>
                <w:color w:val="000000"/>
                <w:spacing w:val="0"/>
                <w:w w:val="100"/>
                <w:position w:val="0"/>
                <w:sz w:val="14"/>
                <w:szCs w:val="14"/>
              </w:rPr>
              <w:t>终止确认</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38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w:t>
            </w:r>
          </w:p>
        </w:tc>
        <w:tc>
          <w:tcPr>
            <w:tcBorders>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4"/>
                <w:szCs w:val="14"/>
              </w:rPr>
            </w:pPr>
            <w:r>
              <w:rPr>
                <w:rFonts w:ascii="Arial" w:eastAsia="Arial" w:hAnsi="Arial" w:cs="Arial"/>
                <w:color w:val="000000"/>
                <w:spacing w:val="0"/>
                <w:w w:val="100"/>
                <w:position w:val="0"/>
                <w:sz w:val="14"/>
                <w:szCs w:val="14"/>
              </w:rPr>
              <w:t>-</w:t>
            </w:r>
          </w:p>
        </w:tc>
      </w:tr>
      <w:tr>
        <w:trPr>
          <w:trHeight w:val="28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转入第三阶段</w:t>
            </w:r>
            <w:r>
              <w:rPr>
                <w:rFonts w:ascii="Arial" w:eastAsia="Arial" w:hAnsi="Arial" w:cs="Arial"/>
                <w:color w:val="000000"/>
                <w:spacing w:val="0"/>
                <w:w w:val="100"/>
                <w:position w:val="0"/>
                <w:sz w:val="14"/>
                <w:szCs w:val="14"/>
              </w:rPr>
              <w:t>（i）</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(69,518)</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1,432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1,432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(308)</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61</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259</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(39)</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69,567</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(1,454)</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(1,493)</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4"/>
                <w:szCs w:val="14"/>
              </w:rPr>
            </w:pPr>
            <w:r>
              <w:rPr>
                <w:rFonts w:ascii="Arial" w:eastAsia="Arial" w:hAnsi="Arial" w:cs="Arial"/>
                <w:color w:val="000000"/>
                <w:spacing w:val="0"/>
                <w:w w:val="100"/>
                <w:position w:val="0"/>
                <w:sz w:val="14"/>
                <w:szCs w:val="14"/>
              </w:rPr>
              <w:t>-</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182" w:lineRule="exact"/>
              <w:ind w:left="0" w:right="0" w:firstLine="0"/>
              <w:jc w:val="left"/>
              <w:rPr>
                <w:sz w:val="14"/>
                <w:szCs w:val="14"/>
              </w:rPr>
            </w:pPr>
            <w:r>
              <w:rPr>
                <w:rFonts w:ascii="SimSun" w:eastAsia="SimSun" w:hAnsi="SimSun" w:cs="SimSun"/>
                <w:color w:val="000000"/>
                <w:spacing w:val="0"/>
                <w:w w:val="100"/>
                <w:position w:val="0"/>
                <w:sz w:val="14"/>
                <w:szCs w:val="14"/>
              </w:rPr>
              <w:t>转入第二阶段 本年</w:t>
            </w:r>
            <w:r>
              <w:rPr>
                <w:rFonts w:ascii="Arial" w:eastAsia="Arial" w:hAnsi="Arial" w:cs="Arial"/>
                <w:color w:val="000000"/>
                <w:spacing w:val="0"/>
                <w:w w:val="100"/>
                <w:position w:val="0"/>
                <w:sz w:val="14"/>
                <w:szCs w:val="14"/>
              </w:rPr>
              <w:t>（</w:t>
            </w:r>
            <w:r>
              <w:rPr>
                <w:rFonts w:ascii="SimSun" w:eastAsia="SimSun" w:hAnsi="SimSun" w:cs="SimSun"/>
                <w:color w:val="000000"/>
                <w:spacing w:val="0"/>
                <w:w w:val="100"/>
                <w:position w:val="0"/>
                <w:sz w:val="14"/>
                <w:szCs w:val="14"/>
              </w:rPr>
              <w:t>新增</w:t>
            </w:r>
            <w:r>
              <w:rPr>
                <w:rFonts w:ascii="Arial" w:eastAsia="Arial" w:hAnsi="Arial" w:cs="Arial"/>
                <w:color w:val="000000"/>
                <w:spacing w:val="0"/>
                <w:w w:val="100"/>
                <w:position w:val="0"/>
                <w:sz w:val="14"/>
                <w:szCs w:val="14"/>
              </w:rPr>
              <w:t>）/</w:t>
            </w:r>
            <w:r>
              <w:rPr>
                <w:rFonts w:ascii="SimSun" w:eastAsia="SimSun" w:hAnsi="SimSun" w:cs="SimSun"/>
                <w:color w:val="000000"/>
                <w:spacing w:val="0"/>
                <w:w w:val="100"/>
                <w:position w:val="0"/>
                <w:sz w:val="14"/>
                <w:szCs w:val="14"/>
              </w:rPr>
              <w:t>转回的坏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(8,168)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rPr>
              <w:t>45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rPr>
              <w:t>45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8,168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8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rPr>
                <w:sz w:val="14"/>
                <w:szCs w:val="14"/>
              </w:rPr>
            </w:pPr>
            <w:r>
              <w:rPr>
                <w:rFonts w:ascii="Arial" w:eastAsia="Arial" w:hAnsi="Arial" w:cs="Arial"/>
                <w:color w:val="000000"/>
                <w:spacing w:val="0"/>
                <w:w w:val="100"/>
                <w:position w:val="0"/>
                <w:sz w:val="14"/>
                <w:szCs w:val="14"/>
              </w:rPr>
              <w:t>-</w:t>
            </w:r>
          </w:p>
        </w:tc>
      </w:tr>
      <w:tr>
        <w:trPr>
          <w:trHeight w:val="22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账准备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(993)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rPr>
              <w:t>(2)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(995)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(220)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(30,922)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(31,142)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(32,121)</w:t>
            </w:r>
          </w:p>
        </w:tc>
      </w:tr>
      <w:tr>
        <w:trPr>
          <w:trHeight w:val="21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2021</w:t>
            </w:r>
            <w:r>
              <w:rPr>
                <w:rFonts w:ascii="SimSun" w:eastAsia="SimSun" w:hAnsi="SimSun" w:cs="SimSun"/>
                <w:color w:val="000000"/>
                <w:spacing w:val="0"/>
                <w:w w:val="100"/>
                <w:position w:val="0"/>
                <w:sz w:val="14"/>
                <w:szCs w:val="14"/>
              </w:rPr>
              <w:t>年</w:t>
            </w:r>
            <w:r>
              <w:rPr>
                <w:rFonts w:ascii="Arial" w:eastAsia="Arial" w:hAnsi="Arial" w:cs="Arial"/>
                <w:color w:val="000000"/>
                <w:spacing w:val="0"/>
                <w:w w:val="100"/>
                <w:position w:val="0"/>
                <w:sz w:val="14"/>
                <w:szCs w:val="14"/>
              </w:rPr>
              <w:t>12</w:t>
            </w:r>
            <w:r>
              <w:rPr>
                <w:rFonts w:ascii="SimSun" w:eastAsia="SimSun" w:hAnsi="SimSun" w:cs="SimSun"/>
                <w:color w:val="000000"/>
                <w:spacing w:val="0"/>
                <w:w w:val="100"/>
                <w:position w:val="0"/>
                <w:sz w:val="14"/>
                <w:szCs w:val="14"/>
              </w:rPr>
              <w:t>月</w:t>
            </w:r>
            <w:r>
              <w:rPr>
                <w:rFonts w:ascii="Arial" w:eastAsia="Arial" w:hAnsi="Arial" w:cs="Arial"/>
                <w:color w:val="000000"/>
                <w:spacing w:val="0"/>
                <w:w w:val="100"/>
                <w:position w:val="0"/>
                <w:sz w:val="14"/>
                <w:szCs w:val="14"/>
              </w:rPr>
              <w:t>31</w:t>
            </w:r>
            <w:r>
              <w:rPr>
                <w:rFonts w:ascii="SimSun" w:eastAsia="SimSun" w:hAnsi="SimSun" w:cs="SimSun"/>
                <w:color w:val="000000"/>
                <w:spacing w:val="0"/>
                <w:w w:val="100"/>
                <w:position w:val="0"/>
                <w:sz w:val="14"/>
                <w:szCs w:val="14"/>
              </w:rPr>
              <w:t>日</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28,646,588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u w:val="single"/>
              </w:rPr>
              <w:t>(2,261)</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452,616</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(161)</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(2,422)</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8,542</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(1,308)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1,055</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(1,055)</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87,91 9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4"/>
                <w:szCs w:val="14"/>
              </w:rPr>
              <w:t>(50,728)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(51,783)</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(55,51 3)</w:t>
            </w:r>
          </w:p>
        </w:tc>
      </w:tr>
    </w:tbl>
    <w:p>
      <w:pPr>
        <w:widowControl w:val="0"/>
        <w:spacing w:after="199" w:line="1" w:lineRule="exact"/>
      </w:pPr>
    </w:p>
    <w:p>
      <w:pPr>
        <w:pStyle w:val="Style72"/>
        <w:keepNext w:val="0"/>
        <w:keepLines w:val="0"/>
        <w:widowControl w:val="0"/>
        <w:shd w:val="clear" w:color="auto" w:fill="auto"/>
        <w:bidi w:val="0"/>
        <w:spacing w:before="0" w:after="300" w:line="240" w:lineRule="auto"/>
        <w:ind w:left="0" w:right="0" w:firstLine="720"/>
        <w:jc w:val="left"/>
        <w:sectPr>
          <w:footnotePr>
            <w:pos w:val="pageBottom"/>
            <w:numFmt w:val="decimal"/>
            <w:numStart w:val="1"/>
            <w:numRestart w:val="continuous"/>
            <w15:footnoteColumns w:val="1"/>
          </w:footnotePr>
          <w:pgSz w:w="16840" w:h="11900" w:orient="landscape"/>
          <w:pgMar w:top="2405" w:right="1474" w:bottom="2405" w:left="1714" w:header="0" w:footer="3" w:gutter="0"/>
          <w:cols w:space="720"/>
          <w:noEndnote/>
          <w:rtlGutter w:val="0"/>
          <w:docGrid w:linePitch="360"/>
        </w:sectPr>
      </w:pPr>
      <w:r>
        <w:rPr>
          <w:rFonts w:ascii="Arial" w:eastAsia="Arial" w:hAnsi="Arial" w:cs="Arial"/>
          <w:color w:val="000000"/>
          <w:spacing w:val="0"/>
          <w:w w:val="100"/>
          <w:position w:val="0"/>
          <w:sz w:val="24"/>
          <w:szCs w:val="24"/>
        </w:rPr>
        <w:t>i）</w:t>
      </w:r>
      <w:r>
        <w:rPr>
          <w:color w:val="000000"/>
          <w:spacing w:val="0"/>
          <w:w w:val="100"/>
          <w:position w:val="0"/>
          <w:sz w:val="24"/>
          <w:szCs w:val="24"/>
        </w:rPr>
        <w:t>转入第三阶段的其他应收款于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日的账面余额约为人民币</w:t>
      </w:r>
      <w:r>
        <w:rPr>
          <w:rFonts w:ascii="Arial" w:eastAsia="Arial" w:hAnsi="Arial" w:cs="Arial"/>
          <w:color w:val="000000"/>
          <w:spacing w:val="0"/>
          <w:w w:val="100"/>
          <w:position w:val="0"/>
          <w:sz w:val="24"/>
          <w:szCs w:val="24"/>
        </w:rPr>
        <w:t>6,983</w:t>
      </w:r>
      <w:r>
        <w:rPr>
          <w:color w:val="000000"/>
          <w:spacing w:val="0"/>
          <w:w w:val="100"/>
          <w:position w:val="0"/>
          <w:sz w:val="24"/>
          <w:szCs w:val="24"/>
        </w:rPr>
        <w:t>万元。</w:t>
      </w:r>
    </w:p>
    <w:p>
      <w:pPr>
        <w:pStyle w:val="Style72"/>
        <w:keepNext w:val="0"/>
        <w:keepLines w:val="0"/>
        <w:widowControl w:val="0"/>
        <w:shd w:val="clear" w:color="auto" w:fill="auto"/>
        <w:bidi w:val="0"/>
        <w:spacing w:before="0" w:after="60" w:line="240" w:lineRule="auto"/>
        <w:ind w:left="0" w:right="0" w:firstLine="70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40" w:line="240" w:lineRule="auto"/>
        <w:ind w:left="0" w:right="0" w:firstLine="700"/>
        <w:jc w:val="left"/>
      </w:pPr>
      <w:r>
        <w:rPr>
          <w:rFonts w:ascii="Arial" w:eastAsia="Arial" w:hAnsi="Arial" w:cs="Arial"/>
          <w:color w:val="000000"/>
          <w:spacing w:val="0"/>
          <w:w w:val="100"/>
          <w:position w:val="0"/>
        </w:rPr>
        <w:t>（</w:t>
      </w:r>
      <w:r>
        <w:rPr>
          <w:color w:val="000000"/>
          <w:spacing w:val="0"/>
          <w:w w:val="100"/>
          <w:position w:val="0"/>
        </w:rPr>
        <w:t>除特别注明外，金额单位为人民币千元</w:t>
      </w:r>
      <w:r>
        <w:rPr>
          <w:rFonts w:ascii="Arial" w:eastAsia="Arial" w:hAnsi="Arial" w:cs="Arial"/>
          <w:color w:val="000000"/>
          <w:spacing w:val="0"/>
          <w:w w:val="100"/>
          <w:position w:val="0"/>
        </w:rPr>
        <w:t>）</w:t>
      </w:r>
    </w:p>
    <w:p>
      <w:pPr>
        <w:pStyle w:val="Style7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z w:val="24"/>
          <w:szCs w:val="24"/>
        </w:rPr>
        <w:t>十六公司财务报表附注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92"/>
        <w:keepNext w:val="0"/>
        <w:keepLines w:val="0"/>
        <w:widowControl w:val="0"/>
        <w:shd w:val="clear" w:color="auto" w:fill="auto"/>
        <w:tabs>
          <w:tab w:pos="686" w:val="left"/>
        </w:tabs>
        <w:bidi w:val="0"/>
        <w:spacing w:before="0" w:after="280" w:line="240" w:lineRule="auto"/>
        <w:ind w:left="0" w:right="0" w:firstLine="0"/>
        <w:jc w:val="left"/>
        <w:rPr>
          <w:sz w:val="28"/>
          <w:szCs w:val="28"/>
        </w:rPr>
      </w:pPr>
      <w:r>
        <w:rPr>
          <w:color w:val="000000"/>
          <w:spacing w:val="0"/>
          <w:w w:val="100"/>
          <w:position w:val="0"/>
          <w:sz w:val="24"/>
          <w:szCs w:val="24"/>
        </w:rPr>
        <w:t>（3）</w:t>
        <w:tab/>
      </w:r>
      <w:r>
        <w:rPr>
          <w:rFonts w:ascii="SimSun" w:eastAsia="SimSun" w:hAnsi="SimSun" w:cs="SimSun"/>
          <w:b/>
          <w:bCs/>
          <w:color w:val="000000"/>
          <w:spacing w:val="0"/>
          <w:w w:val="100"/>
          <w:position w:val="0"/>
          <w:sz w:val="24"/>
          <w:szCs w:val="24"/>
        </w:rPr>
        <w:t>其他应收款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686" w:val="left"/>
        </w:tabs>
        <w:bidi w:val="0"/>
        <w:spacing w:before="0" w:after="280" w:line="240" w:lineRule="auto"/>
        <w:ind w:left="0" w:right="0" w:firstLine="0"/>
        <w:jc w:val="left"/>
      </w:pPr>
      <w:r>
        <w:rPr>
          <w:rFonts w:ascii="Arial" w:eastAsia="Arial" w:hAnsi="Arial" w:cs="Arial"/>
          <w:color w:val="000000"/>
          <w:spacing w:val="0"/>
          <w:w w:val="100"/>
          <w:position w:val="0"/>
          <w:sz w:val="24"/>
          <w:szCs w:val="24"/>
        </w:rPr>
        <w:t>（b）</w:t>
        <w:tab/>
      </w:r>
      <w:r>
        <w:rPr>
          <w:color w:val="000000"/>
          <w:spacing w:val="0"/>
          <w:w w:val="100"/>
          <w:position w:val="0"/>
          <w:sz w:val="24"/>
          <w:szCs w:val="24"/>
        </w:rPr>
        <w:t>损失准备及其账面余额变动表</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tabs>
          <w:tab w:pos="686" w:val="left"/>
        </w:tabs>
        <w:bidi w:val="0"/>
        <w:spacing w:before="0" w:after="280" w:line="240" w:lineRule="auto"/>
        <w:ind w:left="0" w:right="0" w:firstLine="0"/>
        <w:jc w:val="left"/>
      </w:pPr>
      <w:r>
        <w:rPr>
          <w:color w:val="000000"/>
          <w:spacing w:val="0"/>
          <w:w w:val="100"/>
          <w:position w:val="0"/>
          <w:sz w:val="24"/>
          <w:szCs w:val="24"/>
        </w:rPr>
        <w:t>⑴</w:t>
        <w:tab/>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日，单项计提坏账准备的其他应收款分析如下:</w:t>
      </w:r>
    </w:p>
    <w:tbl>
      <w:tblPr>
        <w:tblOverlap w:val="never"/>
        <w:jc w:val="right"/>
        <w:tblLayout w:type="fixed"/>
      </w:tblPr>
      <w:tblGrid>
        <w:gridCol w:w="2280"/>
        <w:gridCol w:w="1435"/>
        <w:gridCol w:w="1670"/>
        <w:gridCol w:w="1234"/>
        <w:gridCol w:w="1330"/>
      </w:tblGrid>
      <w:tr>
        <w:trPr>
          <w:trHeight w:val="8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账面余额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未来</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个月</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内预期信用</w:t>
            </w:r>
          </w:p>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损失率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理由</w:t>
            </w:r>
          </w:p>
        </w:tc>
      </w:tr>
      <w:tr>
        <w:trPr>
          <w:trHeight w:val="35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第一阶段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应收股利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334,342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40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信用风险较低</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应收房产处置款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110,000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0.14%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信用风险较低</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应收信息服务费返还</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8,274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0.05%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信用风险较低</w:t>
            </w:r>
          </w:p>
        </w:tc>
      </w:tr>
      <w:tr>
        <w:trPr>
          <w:trHeight w:val="25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452,616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(161)</w:t>
            </w:r>
          </w:p>
        </w:tc>
        <w:tc>
          <w:tcPr>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16" w:lineRule="exact"/>
              <w:ind w:left="340" w:right="0" w:firstLine="0"/>
              <w:jc w:val="left"/>
              <w:rPr>
                <w:sz w:val="18"/>
                <w:szCs w:val="18"/>
              </w:rPr>
            </w:pPr>
            <w:r>
              <w:rPr>
                <w:rFonts w:ascii="SimSun" w:eastAsia="SimSun" w:hAnsi="SimSun" w:cs="SimSun"/>
                <w:color w:val="000000"/>
                <w:spacing w:val="0"/>
                <w:w w:val="100"/>
                <w:position w:val="0"/>
                <w:sz w:val="18"/>
                <w:szCs w:val="18"/>
              </w:rPr>
              <w:t>整个存续期 内预期信用</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账面余额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损失率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坏账准备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理由</w:t>
            </w:r>
          </w:p>
        </w:tc>
      </w:tr>
      <w:tr>
        <w:trPr>
          <w:trHeight w:val="1992"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18"/>
                <w:szCs w:val="18"/>
              </w:rPr>
            </w:pPr>
            <w:r>
              <w:rPr>
                <w:rFonts w:ascii="SimSun" w:eastAsia="SimSun" w:hAnsi="SimSun" w:cs="SimSun"/>
                <w:color w:val="000000"/>
                <w:spacing w:val="0"/>
                <w:w w:val="100"/>
                <w:position w:val="0"/>
                <w:sz w:val="18"/>
                <w:szCs w:val="18"/>
              </w:rPr>
              <w:t>第三阶段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8"/>
                <w:szCs w:val="18"/>
              </w:rPr>
            </w:pPr>
            <w:r>
              <w:rPr>
                <w:rFonts w:ascii="SimSun" w:eastAsia="SimSun" w:hAnsi="SimSun" w:cs="SimSun"/>
                <w:color w:val="000000"/>
                <w:spacing w:val="0"/>
                <w:w w:val="100"/>
                <w:position w:val="0"/>
                <w:sz w:val="18"/>
                <w:szCs w:val="18"/>
              </w:rPr>
              <w:t>通过计算不同情 景下应收款项的 合同现金流量与 预期能收到的现 金流量之间差额 的现值的概率加 权金额，确认预</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应收关联方往来款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69,567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(32,376)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期信用损失</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应收投资返还款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17,044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(17,044)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预期无法回收</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应收货款保证金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1,308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预期无法回收</w:t>
            </w:r>
          </w:p>
        </w:tc>
      </w:tr>
      <w:tr>
        <w:trPr>
          <w:trHeight w:val="278"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87,919</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(50,728)</w:t>
            </w:r>
          </w:p>
        </w:tc>
        <w:tc>
          <w:tcPr>
            <w:tcBorders/>
            <w:shd w:val="clear" w:color="auto" w:fill="FFFFFF"/>
            <w:vAlign w:val="top"/>
          </w:tcPr>
          <w:p>
            <w:pPr>
              <w:widowControl w:val="0"/>
              <w:rPr>
                <w:sz w:val="10"/>
                <w:szCs w:val="10"/>
              </w:rPr>
            </w:pPr>
          </w:p>
        </w:tc>
      </w:tr>
    </w:tbl>
    <w:p>
      <w:pPr>
        <w:pStyle w:val="Style7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十六公司财务报表附注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06" w:val="left"/>
        </w:tabs>
        <w:bidi w:val="0"/>
        <w:spacing w:before="0" w:after="300" w:line="240" w:lineRule="auto"/>
        <w:ind w:left="0" w:right="0" w:firstLine="0"/>
        <w:jc w:val="left"/>
        <w:rPr>
          <w:sz w:val="28"/>
          <w:szCs w:val="28"/>
        </w:rPr>
      </w:pPr>
      <w:r>
        <w:rPr>
          <w:color w:val="000000"/>
          <w:spacing w:val="0"/>
          <w:w w:val="100"/>
          <w:position w:val="0"/>
          <w:sz w:val="24"/>
          <w:szCs w:val="24"/>
        </w:rPr>
        <w:t>（3）</w:t>
        <w:tab/>
      </w:r>
      <w:r>
        <w:rPr>
          <w:rFonts w:ascii="SimSun" w:eastAsia="SimSun" w:hAnsi="SimSun" w:cs="SimSun"/>
          <w:b/>
          <w:bCs/>
          <w:color w:val="000000"/>
          <w:spacing w:val="0"/>
          <w:w w:val="100"/>
          <w:position w:val="0"/>
          <w:sz w:val="24"/>
          <w:szCs w:val="24"/>
        </w:rPr>
        <w:t>其他应收款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706" w:val="left"/>
        </w:tabs>
        <w:bidi w:val="0"/>
        <w:spacing w:before="0" w:after="300" w:line="240" w:lineRule="auto"/>
        <w:ind w:left="0" w:right="0" w:firstLine="0"/>
        <w:jc w:val="left"/>
      </w:pPr>
      <w:r>
        <w:rPr>
          <w:rFonts w:ascii="Arial" w:eastAsia="Arial" w:hAnsi="Arial" w:cs="Arial"/>
          <w:color w:val="000000"/>
          <w:spacing w:val="0"/>
          <w:w w:val="100"/>
          <w:position w:val="0"/>
          <w:sz w:val="24"/>
          <w:szCs w:val="24"/>
        </w:rPr>
        <w:t>（b）</w:t>
        <w:tab/>
      </w:r>
      <w:r>
        <w:rPr>
          <w:color w:val="000000"/>
          <w:spacing w:val="0"/>
          <w:w w:val="100"/>
          <w:position w:val="0"/>
          <w:sz w:val="24"/>
          <w:szCs w:val="24"/>
        </w:rPr>
        <w:t>损失准备及其账面余额变动表</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tabs>
          <w:tab w:pos="706" w:val="left"/>
        </w:tabs>
        <w:bidi w:val="0"/>
        <w:spacing w:before="0" w:after="300" w:line="240" w:lineRule="auto"/>
        <w:ind w:left="0" w:right="0" w:firstLine="0"/>
        <w:jc w:val="left"/>
      </w:pPr>
      <w:r>
        <w:rPr>
          <w:color w:val="000000"/>
          <w:spacing w:val="0"/>
          <w:w w:val="100"/>
          <w:position w:val="0"/>
          <w:sz w:val="24"/>
          <w:szCs w:val="24"/>
        </w:rPr>
        <w:t>⑴</w:t>
        <w:tab/>
        <w:t>于</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日，单项计提坏账准备的其他应收款分析如下:</w:t>
      </w:r>
    </w:p>
    <w:tbl>
      <w:tblPr>
        <w:tblOverlap w:val="never"/>
        <w:jc w:val="right"/>
        <w:tblLayout w:type="fixed"/>
      </w:tblPr>
      <w:tblGrid>
        <w:gridCol w:w="2280"/>
        <w:gridCol w:w="1435"/>
        <w:gridCol w:w="1670"/>
        <w:gridCol w:w="1320"/>
        <w:gridCol w:w="1234"/>
      </w:tblGrid>
      <w:tr>
        <w:trPr>
          <w:trHeight w:val="8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账面余额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未来</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个月</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内预期信用</w:t>
            </w:r>
          </w:p>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损失率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理由</w:t>
            </w:r>
          </w:p>
        </w:tc>
      </w:tr>
      <w:tr>
        <w:trPr>
          <w:trHeight w:val="35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第一阶段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应收信息服务费返还</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402,428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0.02%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Arial" w:eastAsia="Arial" w:hAnsi="Arial" w:cs="Arial"/>
                <w:color w:val="000000"/>
                <w:spacing w:val="0"/>
                <w:w w:val="100"/>
                <w:position w:val="0"/>
                <w:sz w:val="18"/>
                <w:szCs w:val="18"/>
              </w:rPr>
              <w:t>(83)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信用风险较低</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应收股利</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335,098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信用风险较低</w:t>
            </w:r>
          </w:p>
        </w:tc>
      </w:tr>
      <w:tr>
        <w:trPr>
          <w:trHeight w:val="25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737,526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Arial" w:eastAsia="Arial" w:hAnsi="Arial" w:cs="Arial"/>
                <w:color w:val="000000"/>
                <w:spacing w:val="0"/>
                <w:w w:val="100"/>
                <w:position w:val="0"/>
                <w:sz w:val="18"/>
                <w:szCs w:val="18"/>
              </w:rPr>
              <w:t>(83)</w:t>
            </w:r>
          </w:p>
        </w:tc>
        <w:tc>
          <w:tcPr>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整个存续期</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内预期信用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账面余额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损失率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坏账准备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理由</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第三阶段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应收投资款项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17,044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(17,044)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预期无法收回</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应收货款保证金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1,308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(1,308)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预期无法收回</w:t>
            </w:r>
          </w:p>
        </w:tc>
      </w:tr>
      <w:tr>
        <w:trPr>
          <w:trHeight w:val="278"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18,352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(18,352)</w:t>
            </w:r>
          </w:p>
        </w:tc>
        <w:tc>
          <w:tcPr>
            <w:tcBorders/>
            <w:shd w:val="clear" w:color="auto" w:fill="FFFFFF"/>
            <w:vAlign w:val="top"/>
          </w:tcPr>
          <w:p>
            <w:pPr>
              <w:widowControl w:val="0"/>
              <w:rPr>
                <w:sz w:val="10"/>
                <w:szCs w:val="10"/>
              </w:rPr>
            </w:pPr>
          </w:p>
        </w:tc>
      </w:tr>
    </w:tbl>
    <w:p>
      <w:pPr>
        <w:sectPr>
          <w:footnotePr>
            <w:pos w:val="pageBottom"/>
            <w:numFmt w:val="decimal"/>
            <w:numStart w:val="1"/>
            <w:numRestart w:val="continuous"/>
            <w15:footnoteColumns w:val="1"/>
          </w:footnotePr>
          <w:pgSz w:w="11900" w:h="16840"/>
          <w:pgMar w:top="1618" w:right="1529" w:bottom="5459" w:left="1706" w:header="0" w:footer="3" w:gutter="0"/>
          <w:cols w:space="720"/>
          <w:noEndnote/>
          <w:rtlGutter w:val="0"/>
          <w:docGrid w:linePitch="360"/>
        </w:sectPr>
      </w:pPr>
    </w:p>
    <w:p>
      <w:pPr>
        <w:pStyle w:val="Style72"/>
        <w:keepNext w:val="0"/>
        <w:keepLines w:val="0"/>
        <w:widowControl w:val="0"/>
        <w:shd w:val="clear" w:color="auto" w:fill="auto"/>
        <w:bidi w:val="0"/>
        <w:spacing w:before="0" w:after="280" w:line="240" w:lineRule="auto"/>
        <w:ind w:left="0" w:right="0" w:firstLine="0"/>
        <w:jc w:val="left"/>
        <w:rPr>
          <w:sz w:val="28"/>
          <w:szCs w:val="28"/>
        </w:rPr>
      </w:pPr>
      <w:r>
        <w:rPr>
          <w:b/>
          <w:bCs/>
          <w:color w:val="000000"/>
          <w:spacing w:val="0"/>
          <w:w w:val="100"/>
          <w:position w:val="0"/>
          <w:sz w:val="24"/>
          <w:szCs w:val="24"/>
        </w:rPr>
        <w:t>十六公司财务报表附注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02" w:val="left"/>
        </w:tabs>
        <w:bidi w:val="0"/>
        <w:spacing w:before="0" w:after="180" w:line="288" w:lineRule="auto"/>
        <w:ind w:left="0" w:right="0" w:firstLine="0"/>
        <w:jc w:val="left"/>
        <w:rPr>
          <w:sz w:val="28"/>
          <w:szCs w:val="28"/>
        </w:rPr>
      </w:pPr>
      <w:r>
        <w:rPr>
          <w:color w:val="000000"/>
          <w:spacing w:val="0"/>
          <w:w w:val="100"/>
          <w:position w:val="0"/>
          <w:sz w:val="24"/>
          <w:szCs w:val="24"/>
        </w:rPr>
        <w:t>(3)</w:t>
        <w:tab/>
      </w:r>
      <w:r>
        <w:rPr>
          <w:rFonts w:ascii="SimSun" w:eastAsia="SimSun" w:hAnsi="SimSun" w:cs="SimSun"/>
          <w:b/>
          <w:bCs/>
          <w:color w:val="000000"/>
          <w:spacing w:val="0"/>
          <w:w w:val="100"/>
          <w:position w:val="0"/>
          <w:sz w:val="24"/>
          <w:szCs w:val="24"/>
        </w:rPr>
        <w:t>其他应收款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702" w:val="left"/>
        </w:tabs>
        <w:bidi w:val="0"/>
        <w:spacing w:before="0" w:after="280" w:line="331" w:lineRule="exact"/>
        <w:ind w:left="0" w:right="0" w:firstLine="0"/>
        <w:jc w:val="left"/>
      </w:pPr>
      <w:r>
        <w:rPr>
          <w:rFonts w:ascii="Arial" w:eastAsia="Arial" w:hAnsi="Arial" w:cs="Arial"/>
          <w:color w:val="000000"/>
          <w:spacing w:val="0"/>
          <w:w w:val="100"/>
          <w:position w:val="0"/>
          <w:sz w:val="24"/>
          <w:szCs w:val="24"/>
        </w:rPr>
        <w:t>(b)</w:t>
        <w:tab/>
      </w:r>
      <w:r>
        <w:rPr>
          <w:color w:val="000000"/>
          <w:spacing w:val="0"/>
          <w:w w:val="100"/>
          <w:position w:val="0"/>
          <w:sz w:val="24"/>
          <w:szCs w:val="24"/>
        </w:rPr>
        <w:t>损失准备及其账面余额变动表</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r>
        <w:rPr>
          <w:color w:val="000000"/>
          <w:spacing w:val="0"/>
          <w:w w:val="100"/>
          <w:position w:val="0"/>
          <w:sz w:val="24"/>
          <w:szCs w:val="24"/>
        </w:rPr>
        <w:t>：</w:t>
      </w:r>
    </w:p>
    <w:p>
      <w:pPr>
        <w:pStyle w:val="Style72"/>
        <w:keepNext w:val="0"/>
        <w:keepLines w:val="0"/>
        <w:widowControl w:val="0"/>
        <w:shd w:val="clear" w:color="auto" w:fill="auto"/>
        <w:bidi w:val="0"/>
        <w:spacing w:before="0" w:after="280" w:line="331" w:lineRule="exact"/>
        <w:ind w:left="700" w:right="0" w:hanging="700"/>
        <w:jc w:val="left"/>
      </w:pPr>
      <w:r>
        <w:rPr>
          <w:rFonts w:ascii="Arial" w:eastAsia="Arial" w:hAnsi="Arial" w:cs="Arial"/>
          <w:color w:val="000000"/>
          <w:spacing w:val="0"/>
          <w:w w:val="100"/>
          <w:position w:val="0"/>
          <w:sz w:val="24"/>
          <w:szCs w:val="24"/>
        </w:rPr>
        <w:t xml:space="preserve">(ii) </w:t>
      </w: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日及</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日，处于第一阶段组合计提坏账准 备的其他应收款分析如下：</w:t>
      </w:r>
    </w:p>
    <w:p>
      <w:pPr>
        <w:pStyle w:val="Style26"/>
        <w:keepNext w:val="0"/>
        <w:keepLines w:val="0"/>
        <w:widowControl w:val="0"/>
        <w:shd w:val="clear" w:color="auto" w:fill="auto"/>
        <w:tabs>
          <w:tab w:pos="3427" w:val="left"/>
        </w:tabs>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tab/>
      </w:r>
      <w:r>
        <w:rPr>
          <w:rFonts w:ascii="Arial" w:eastAsia="Arial" w:hAnsi="Arial" w:cs="Arial"/>
          <w:color w:val="000000"/>
          <w:spacing w:val="0"/>
          <w:w w:val="100"/>
          <w:position w:val="0"/>
          <w:sz w:val="18"/>
          <w:szCs w:val="18"/>
        </w:rPr>
        <w:t>2020</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bl>
      <w:tblPr>
        <w:tblOverlap w:val="never"/>
        <w:jc w:val="right"/>
        <w:tblLayout w:type="fixed"/>
      </w:tblPr>
      <w:tblGrid>
        <w:gridCol w:w="1392"/>
        <w:gridCol w:w="1454"/>
        <w:gridCol w:w="1162"/>
        <w:gridCol w:w="734"/>
        <w:gridCol w:w="1541"/>
        <w:gridCol w:w="1152"/>
        <w:gridCol w:w="619"/>
      </w:tblGrid>
      <w:tr>
        <w:trPr>
          <w:trHeight w:val="24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损失准备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损失准备</w:t>
            </w:r>
          </w:p>
        </w:tc>
        <w:tc>
          <w:tcPr>
            <w:tcBorders>
              <w:top w:val="single" w:sz="4"/>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计提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计提</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比例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400" w:firstLine="0"/>
              <w:jc w:val="right"/>
              <w:rPr>
                <w:sz w:val="18"/>
                <w:szCs w:val="18"/>
              </w:rPr>
            </w:pPr>
            <w:r>
              <w:rPr>
                <w:rFonts w:ascii="SimSun" w:eastAsia="SimSun" w:hAnsi="SimSun" w:cs="SimSun"/>
                <w:color w:val="000000"/>
                <w:spacing w:val="0"/>
                <w:w w:val="100"/>
                <w:position w:val="0"/>
                <w:sz w:val="18"/>
                <w:szCs w:val="18"/>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比例</w:t>
            </w:r>
          </w:p>
        </w:tc>
      </w:tr>
      <w:tr>
        <w:trPr>
          <w:trHeight w:val="821" w:hRule="exact"/>
        </w:trPr>
        <w:tc>
          <w:tcPr>
            <w:tcBorders/>
            <w:shd w:val="clear" w:color="auto" w:fill="FFFFFF"/>
            <w:vAlign w:val="bottom"/>
          </w:tcPr>
          <w:p>
            <w:pPr>
              <w:pStyle w:val="Style29"/>
              <w:keepNext w:val="0"/>
              <w:keepLines w:val="0"/>
              <w:widowControl w:val="0"/>
              <w:shd w:val="clear" w:color="auto" w:fill="auto"/>
              <w:bidi w:val="0"/>
              <w:spacing w:before="0" w:after="0" w:line="221" w:lineRule="exact"/>
              <w:ind w:left="0" w:right="0" w:firstLine="0"/>
              <w:jc w:val="left"/>
              <w:rPr>
                <w:sz w:val="18"/>
                <w:szCs w:val="18"/>
              </w:rPr>
            </w:pPr>
            <w:r>
              <w:rPr>
                <w:rFonts w:ascii="SimSun" w:eastAsia="SimSun" w:hAnsi="SimSun" w:cs="SimSun"/>
                <w:color w:val="000000"/>
                <w:spacing w:val="0"/>
                <w:w w:val="100"/>
                <w:position w:val="0"/>
                <w:sz w:val="18"/>
                <w:szCs w:val="18"/>
              </w:rPr>
              <w:t>应收合并范围内</w:t>
            </w:r>
          </w:p>
          <w:p>
            <w:pPr>
              <w:pStyle w:val="Style29"/>
              <w:keepNext w:val="0"/>
              <w:keepLines w:val="0"/>
              <w:widowControl w:val="0"/>
              <w:shd w:val="clear" w:color="auto" w:fill="auto"/>
              <w:bidi w:val="0"/>
              <w:spacing w:before="0" w:after="0" w:line="221" w:lineRule="exact"/>
              <w:ind w:left="0" w:right="0" w:firstLine="220"/>
              <w:jc w:val="left"/>
              <w:rPr>
                <w:sz w:val="18"/>
                <w:szCs w:val="18"/>
              </w:rPr>
            </w:pPr>
            <w:r>
              <w:rPr>
                <w:rFonts w:ascii="SimSun" w:eastAsia="SimSun" w:hAnsi="SimSun" w:cs="SimSun"/>
                <w:color w:val="000000"/>
                <w:spacing w:val="0"/>
                <w:w w:val="100"/>
                <w:position w:val="0"/>
                <w:sz w:val="18"/>
                <w:szCs w:val="18"/>
              </w:rPr>
              <w:t>公司款项 应收其他款项组</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28,582,720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26,160,561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合</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63,868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(2,261)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3.54%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153,872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(845)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0.55%</w:t>
            </w:r>
          </w:p>
        </w:tc>
      </w:tr>
      <w:tr>
        <w:trPr>
          <w:trHeight w:val="245"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28,646,588</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(2,261)</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26,314,433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(845)</w:t>
            </w:r>
          </w:p>
        </w:tc>
        <w:tc>
          <w:tcPr>
            <w:tcBorders/>
            <w:shd w:val="clear" w:color="auto" w:fill="FFFFFF"/>
            <w:vAlign w:val="top"/>
          </w:tcPr>
          <w:p>
            <w:pPr>
              <w:widowControl w:val="0"/>
              <w:rPr>
                <w:sz w:val="10"/>
                <w:szCs w:val="10"/>
              </w:rPr>
            </w:pPr>
          </w:p>
        </w:tc>
      </w:tr>
    </w:tbl>
    <w:p>
      <w:pPr>
        <w:widowControl w:val="0"/>
        <w:spacing w:after="179" w:line="1" w:lineRule="exact"/>
      </w:pPr>
    </w:p>
    <w:p>
      <w:pPr>
        <w:pStyle w:val="Style72"/>
        <w:keepNext w:val="0"/>
        <w:keepLines w:val="0"/>
        <w:widowControl w:val="0"/>
        <w:shd w:val="clear" w:color="auto" w:fill="auto"/>
        <w:bidi w:val="0"/>
        <w:spacing w:before="0" w:after="280" w:line="312"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日及</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日，处于第二阶段组合计提坏账准 备的其他应收款分析如下：</w:t>
      </w:r>
    </w:p>
    <w:p>
      <w:pPr>
        <w:pStyle w:val="Style143"/>
        <w:keepNext w:val="0"/>
        <w:keepLines w:val="0"/>
        <w:widowControl w:val="0"/>
        <w:shd w:val="clear" w:color="auto" w:fill="auto"/>
        <w:tabs>
          <w:tab w:pos="6287" w:val="left"/>
        </w:tabs>
        <w:bidi w:val="0"/>
        <w:spacing w:before="0" w:after="0" w:line="230" w:lineRule="exact"/>
        <w:ind w:left="286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tab/>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5"/>
        <w:keepNext w:val="0"/>
        <w:keepLines w:val="0"/>
        <w:widowControl w:val="0"/>
        <w:shd w:val="clear" w:color="auto" w:fill="auto"/>
        <w:tabs>
          <w:tab w:pos="3958" w:val="left"/>
          <w:tab w:pos="5472" w:val="left"/>
          <w:tab w:pos="7386" w:val="left"/>
        </w:tabs>
        <w:bidi w:val="0"/>
        <w:spacing w:before="0" w:after="0" w:line="230" w:lineRule="exact"/>
        <w:ind w:left="2420" w:right="0" w:firstLine="0"/>
        <w:jc w:val="left"/>
      </w:pPr>
      <w:r>
        <w:rPr>
          <w:color w:val="000000"/>
          <w:spacing w:val="0"/>
          <w:w w:val="100"/>
          <w:position w:val="0"/>
          <w:u w:val="single"/>
        </w:rPr>
        <w:t>账面余额</w:t>
        <w:tab/>
        <w:t>损失准备</w:t>
        <w:tab/>
        <w:t>—账面余额</w:t>
        <w:tab/>
        <w:t>损失准备</w:t>
      </w:r>
    </w:p>
    <w:p>
      <w:pPr>
        <w:pStyle w:val="Style55"/>
        <w:keepNext w:val="0"/>
        <w:keepLines w:val="0"/>
        <w:widowControl w:val="0"/>
        <w:shd w:val="clear" w:color="auto" w:fill="auto"/>
        <w:tabs>
          <w:tab w:pos="3415" w:val="left"/>
        </w:tabs>
        <w:bidi w:val="0"/>
        <w:spacing w:before="0" w:after="0" w:line="230" w:lineRule="exact"/>
        <w:ind w:left="0" w:right="0" w:firstLine="0"/>
        <w:jc w:val="right"/>
      </w:pPr>
      <w:r>
        <w:rPr>
          <w:color w:val="000000"/>
          <w:spacing w:val="0"/>
          <w:w w:val="100"/>
          <w:position w:val="0"/>
        </w:rPr>
        <w:t>计提</w:t>
        <w:tab/>
        <w:t>计提</w:t>
      </w:r>
    </w:p>
    <w:p>
      <w:pPr>
        <w:pStyle w:val="Style55"/>
        <w:keepNext w:val="0"/>
        <w:keepLines w:val="0"/>
        <w:widowControl w:val="0"/>
        <w:shd w:val="clear" w:color="auto" w:fill="auto"/>
        <w:tabs>
          <w:tab w:pos="1354" w:val="left"/>
          <w:tab w:pos="2052" w:val="left"/>
          <w:tab w:pos="3415" w:val="left"/>
          <w:tab w:pos="4781" w:val="left"/>
          <w:tab w:pos="5472" w:val="left"/>
        </w:tabs>
        <w:bidi w:val="0"/>
        <w:spacing w:before="0" w:after="180" w:line="230" w:lineRule="exact"/>
        <w:ind w:left="0" w:right="0" w:firstLine="0"/>
        <w:jc w:val="right"/>
      </w:pPr>
      <w:r>
        <w:rPr>
          <w:color w:val="000000"/>
          <w:spacing w:val="0"/>
          <w:w w:val="100"/>
          <w:position w:val="0"/>
        </w:rPr>
        <w:t>金额</w:t>
        <w:tab/>
        <w:t>金额</w:t>
        <w:tab/>
        <w:t>比例</w:t>
        <w:tab/>
        <w:t>金额</w:t>
        <w:tab/>
        <w:t>金额</w:t>
        <w:tab/>
        <w:t>比例</w:t>
      </w:r>
    </w:p>
    <w:p>
      <w:pPr>
        <w:pStyle w:val="Style143"/>
        <w:keepNext w:val="0"/>
        <w:keepLines w:val="0"/>
        <w:widowControl w:val="0"/>
        <w:shd w:val="clear" w:color="auto" w:fill="auto"/>
        <w:tabs>
          <w:tab w:pos="2052" w:val="left"/>
          <w:tab w:leader="underscore" w:pos="2669" w:val="left"/>
          <w:tab w:leader="underscore" w:pos="3958" w:val="left"/>
          <w:tab w:pos="5986" w:val="left"/>
          <w:tab w:leader="underscore" w:pos="7386" w:val="left"/>
        </w:tabs>
        <w:bidi w:val="0"/>
        <w:spacing w:before="0" w:after="0" w:line="230" w:lineRule="exact"/>
        <w:ind w:left="920" w:right="0" w:hanging="200"/>
        <w:jc w:val="left"/>
      </w:pPr>
      <w:r>
        <w:rPr>
          <w:rFonts w:ascii="SimSun" w:eastAsia="SimSun" w:hAnsi="SimSun" w:cs="SimSun"/>
          <w:color w:val="000000"/>
          <w:spacing w:val="0"/>
          <w:w w:val="100"/>
          <w:position w:val="0"/>
        </w:rPr>
        <w:t>应收其他款项组 合</w:t>
        <w:tab/>
        <w:tab/>
      </w:r>
      <w:r>
        <w:rPr>
          <w:color w:val="000000"/>
          <w:spacing w:val="0"/>
          <w:w w:val="100"/>
          <w:position w:val="0"/>
          <w:u w:val="single"/>
        </w:rPr>
        <w:t>8,542</w:t>
      </w:r>
      <w:r>
        <w:rPr>
          <w:color w:val="000000"/>
          <w:spacing w:val="0"/>
          <w:w w:val="100"/>
          <w:position w:val="0"/>
        </w:rPr>
        <w:tab/>
        <w:t>15.31%</w:t>
        <w:tab/>
      </w:r>
      <w:r>
        <w:rPr>
          <w:color w:val="000000"/>
          <w:spacing w:val="0"/>
          <w:w w:val="100"/>
          <w:position w:val="0"/>
          <w:u w:val="single"/>
        </w:rPr>
        <w:t>21,835</w:t>
      </w:r>
      <w:r>
        <w:rPr>
          <w:color w:val="000000"/>
          <w:spacing w:val="0"/>
          <w:w w:val="100"/>
          <w:position w:val="0"/>
        </w:rPr>
        <w:tab/>
        <w:t>19.64%</w:t>
      </w:r>
    </w:p>
    <w:p>
      <w:pPr>
        <w:pStyle w:val="Style143"/>
        <w:keepNext w:val="0"/>
        <w:keepLines w:val="0"/>
        <w:widowControl w:val="0"/>
        <w:shd w:val="clear" w:color="auto" w:fill="auto"/>
        <w:tabs>
          <w:tab w:pos="3958" w:val="left"/>
          <w:tab w:pos="5986" w:val="left"/>
          <w:tab w:pos="7386" w:val="left"/>
        </w:tabs>
        <w:bidi w:val="0"/>
        <w:spacing w:before="0" w:after="180" w:line="266" w:lineRule="auto"/>
        <w:ind w:left="2680" w:right="0" w:firstLine="0"/>
        <w:jc w:val="left"/>
      </w:pPr>
      <w:r>
        <w:rPr>
          <w:color w:val="000000"/>
          <w:spacing w:val="0"/>
          <w:w w:val="100"/>
          <w:position w:val="0"/>
          <w:u w:val="single"/>
        </w:rPr>
        <w:t>8,542~</w:t>
        <w:tab/>
        <w:t>(1,308)</w:t>
        <w:tab/>
        <w:t>21,835~</w:t>
        <w:tab/>
        <w:t>(4,289)</w:t>
      </w:r>
    </w:p>
    <w:p>
      <w:pPr>
        <w:pStyle w:val="Style7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日及</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日，处于第三阶段组合计提坏账准</w:t>
      </w:r>
    </w:p>
    <w:p>
      <w:pPr>
        <w:pStyle w:val="Style72"/>
        <w:keepNext w:val="0"/>
        <w:keepLines w:val="0"/>
        <w:widowControl w:val="0"/>
        <w:shd w:val="clear" w:color="auto" w:fill="auto"/>
        <w:bidi w:val="0"/>
        <w:spacing w:before="0" w:after="280" w:line="240" w:lineRule="auto"/>
        <w:ind w:left="0" w:right="0" w:firstLine="700"/>
        <w:jc w:val="left"/>
      </w:pPr>
      <w:r>
        <w:rPr>
          <w:color w:val="000000"/>
          <w:spacing w:val="0"/>
          <w:w w:val="100"/>
          <w:position w:val="0"/>
          <w:sz w:val="24"/>
          <w:szCs w:val="24"/>
        </w:rPr>
        <w:t>备的其他应收款分析如下：</w:t>
      </w:r>
    </w:p>
    <w:tbl>
      <w:tblPr>
        <w:tblOverlap w:val="never"/>
        <w:jc w:val="right"/>
        <w:tblLayout w:type="fixed"/>
      </w:tblPr>
      <w:tblGrid>
        <w:gridCol w:w="1502"/>
        <w:gridCol w:w="1349"/>
        <w:gridCol w:w="1181"/>
        <w:gridCol w:w="816"/>
        <w:gridCol w:w="1430"/>
        <w:gridCol w:w="1186"/>
        <w:gridCol w:w="600"/>
      </w:tblGrid>
      <w:tr>
        <w:trPr>
          <w:trHeight w:val="230"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损失准备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400" w:firstLine="0"/>
              <w:jc w:val="right"/>
              <w:rPr>
                <w:sz w:val="18"/>
                <w:szCs w:val="18"/>
              </w:rPr>
            </w:pPr>
            <w:r>
              <w:rPr>
                <w:rFonts w:ascii="SimSun" w:eastAsia="SimSun" w:hAnsi="SimSun" w:cs="SimSun"/>
                <w:color w:val="000000"/>
                <w:spacing w:val="0"/>
                <w:w w:val="100"/>
                <w:position w:val="0"/>
                <w:sz w:val="18"/>
                <w:szCs w:val="18"/>
              </w:rPr>
              <w:t>账面余额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SimSun" w:eastAsia="SimSun" w:hAnsi="SimSun" w:cs="SimSun"/>
                <w:color w:val="000000"/>
                <w:spacing w:val="0"/>
                <w:w w:val="100"/>
                <w:position w:val="0"/>
                <w:sz w:val="18"/>
                <w:szCs w:val="18"/>
              </w:rPr>
              <w:t>损失准备</w:t>
            </w:r>
          </w:p>
        </w:tc>
        <w:tc>
          <w:tcPr>
            <w:tcBorders>
              <w:top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金额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5" w:lineRule="exact"/>
              <w:ind w:left="140" w:right="0" w:firstLine="0"/>
              <w:jc w:val="left"/>
              <w:rPr>
                <w:sz w:val="18"/>
                <w:szCs w:val="18"/>
              </w:rPr>
            </w:pPr>
            <w:r>
              <w:rPr>
                <w:rFonts w:ascii="SimSun" w:eastAsia="SimSun" w:hAnsi="SimSun" w:cs="SimSun"/>
                <w:color w:val="000000"/>
                <w:spacing w:val="0"/>
                <w:w w:val="100"/>
                <w:position w:val="0"/>
                <w:sz w:val="18"/>
                <w:szCs w:val="18"/>
              </w:rPr>
              <w:t>计提 比例</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400" w:firstLine="0"/>
              <w:jc w:val="right"/>
              <w:rPr>
                <w:sz w:val="18"/>
                <w:szCs w:val="18"/>
              </w:rPr>
            </w:pPr>
            <w:r>
              <w:rPr>
                <w:rFonts w:ascii="SimSun" w:eastAsia="SimSun" w:hAnsi="SimSun" w:cs="SimSun"/>
                <w:color w:val="000000"/>
                <w:spacing w:val="0"/>
                <w:w w:val="100"/>
                <w:position w:val="0"/>
                <w:sz w:val="18"/>
                <w:szCs w:val="18"/>
              </w:rPr>
              <w:t>金额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SimSun" w:eastAsia="SimSun" w:hAnsi="SimSun" w:cs="SimSun"/>
                <w:color w:val="000000"/>
                <w:spacing w:val="0"/>
                <w:w w:val="100"/>
                <w:position w:val="0"/>
                <w:sz w:val="18"/>
                <w:szCs w:val="18"/>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5" w:lineRule="exact"/>
              <w:ind w:left="140" w:right="0" w:firstLine="0"/>
              <w:jc w:val="left"/>
              <w:rPr>
                <w:sz w:val="18"/>
                <w:szCs w:val="18"/>
              </w:rPr>
            </w:pPr>
            <w:r>
              <w:rPr>
                <w:rFonts w:ascii="SimSun" w:eastAsia="SimSun" w:hAnsi="SimSun" w:cs="SimSun"/>
                <w:color w:val="000000"/>
                <w:spacing w:val="0"/>
                <w:w w:val="100"/>
                <w:position w:val="0"/>
                <w:sz w:val="18"/>
                <w:szCs w:val="18"/>
              </w:rPr>
              <w:t>计提 比例</w:t>
            </w:r>
          </w:p>
        </w:tc>
      </w:tr>
      <w:tr>
        <w:trPr>
          <w:trHeight w:val="57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应收其他款项组</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合</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1,055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(1,055)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2,512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(2,512)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r>
      <w:tr>
        <w:trPr>
          <w:trHeight w:val="245"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1,055</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(1,055)</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2,512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(2,512)</w:t>
            </w:r>
          </w:p>
        </w:tc>
        <w:tc>
          <w:tcPr>
            <w:tcBorders/>
            <w:shd w:val="clear" w:color="auto" w:fill="FFFFFF"/>
            <w:vAlign w:val="top"/>
          </w:tcPr>
          <w:p>
            <w:pPr>
              <w:widowControl w:val="0"/>
              <w:rPr>
                <w:sz w:val="10"/>
                <w:szCs w:val="10"/>
              </w:rPr>
            </w:pPr>
          </w:p>
        </w:tc>
      </w:tr>
    </w:tbl>
    <w:p>
      <w:pPr>
        <w:widowControl w:val="0"/>
        <w:spacing w:after="179" w:line="1" w:lineRule="exact"/>
      </w:pPr>
    </w:p>
    <w:p>
      <w:pPr>
        <w:pStyle w:val="Style72"/>
        <w:keepNext w:val="0"/>
        <w:keepLines w:val="0"/>
        <w:widowControl w:val="0"/>
        <w:numPr>
          <w:ilvl w:val="0"/>
          <w:numId w:val="137"/>
        </w:numPr>
        <w:shd w:val="clear" w:color="auto" w:fill="auto"/>
        <w:tabs>
          <w:tab w:pos="702" w:val="left"/>
        </w:tabs>
        <w:bidi w:val="0"/>
        <w:spacing w:before="0" w:after="180" w:line="326" w:lineRule="exact"/>
        <w:ind w:left="700" w:right="0" w:hanging="700"/>
        <w:jc w:val="left"/>
      </w:pPr>
      <w:bookmarkStart w:id="990" w:name="bookmark990"/>
      <w:bookmarkEnd w:id="990"/>
      <w:r>
        <w:rPr>
          <w:color w:val="000000"/>
          <w:spacing w:val="0"/>
          <w:w w:val="100"/>
          <w:position w:val="0"/>
          <w:sz w:val="24"/>
          <w:szCs w:val="24"/>
        </w:rPr>
        <w:t>本年度计提的坏账准备金额约人民币</w:t>
      </w:r>
      <w:r>
        <w:rPr>
          <w:rFonts w:ascii="Arial" w:eastAsia="Arial" w:hAnsi="Arial" w:cs="Arial"/>
          <w:color w:val="000000"/>
          <w:spacing w:val="0"/>
          <w:w w:val="100"/>
          <w:position w:val="0"/>
          <w:sz w:val="24"/>
          <w:szCs w:val="24"/>
        </w:rPr>
        <w:t>7,728</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年：约人民币</w:t>
      </w:r>
      <w:r>
        <w:rPr>
          <w:rFonts w:ascii="Arial" w:eastAsia="Arial" w:hAnsi="Arial" w:cs="Arial"/>
          <w:color w:val="000000"/>
          <w:spacing w:val="0"/>
          <w:w w:val="100"/>
          <w:position w:val="0"/>
          <w:sz w:val="24"/>
          <w:szCs w:val="24"/>
        </w:rPr>
        <w:t xml:space="preserve">1,321 </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，本年度无重大的收回或转回。</w:t>
      </w:r>
    </w:p>
    <w:p>
      <w:pPr>
        <w:pStyle w:val="Style72"/>
        <w:keepNext w:val="0"/>
        <w:keepLines w:val="0"/>
        <w:widowControl w:val="0"/>
        <w:shd w:val="clear" w:color="auto" w:fill="auto"/>
        <w:bidi w:val="0"/>
        <w:spacing w:before="0" w:after="280" w:line="240" w:lineRule="auto"/>
        <w:ind w:left="0" w:right="0" w:firstLine="0"/>
        <w:jc w:val="left"/>
        <w:rPr>
          <w:sz w:val="28"/>
          <w:szCs w:val="28"/>
        </w:rPr>
      </w:pPr>
      <w:r>
        <w:rPr>
          <w:b/>
          <w:bCs/>
          <w:color w:val="000000"/>
          <w:spacing w:val="0"/>
          <w:w w:val="100"/>
          <w:position w:val="0"/>
          <w:sz w:val="24"/>
          <w:szCs w:val="24"/>
        </w:rPr>
        <w:t>十六公司财务报表附注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712" w:val="left"/>
        </w:tabs>
        <w:bidi w:val="0"/>
        <w:spacing w:before="0" w:after="200" w:line="283" w:lineRule="auto"/>
        <w:ind w:left="0" w:right="0" w:firstLine="0"/>
        <w:jc w:val="left"/>
        <w:rPr>
          <w:sz w:val="28"/>
          <w:szCs w:val="28"/>
        </w:rPr>
      </w:pPr>
      <w:r>
        <w:rPr>
          <w:color w:val="000000"/>
          <w:spacing w:val="0"/>
          <w:w w:val="100"/>
          <w:position w:val="0"/>
          <w:sz w:val="24"/>
          <w:szCs w:val="24"/>
        </w:rPr>
        <w:t>(3)</w:t>
        <w:tab/>
      </w:r>
      <w:r>
        <w:rPr>
          <w:rFonts w:ascii="SimSun" w:eastAsia="SimSun" w:hAnsi="SimSun" w:cs="SimSun"/>
          <w:b/>
          <w:bCs/>
          <w:color w:val="000000"/>
          <w:spacing w:val="0"/>
          <w:w w:val="100"/>
          <w:position w:val="0"/>
          <w:sz w:val="24"/>
          <w:szCs w:val="24"/>
        </w:rPr>
        <w:t>其他应收款</w:t>
      </w:r>
      <w:r>
        <w:rPr>
          <w:color w:val="000000"/>
          <w:spacing w:val="0"/>
          <w:w w:val="100"/>
          <w:position w:val="0"/>
          <w:sz w:val="24"/>
          <w:szCs w:val="24"/>
        </w:rPr>
        <w:t>(</w:t>
      </w:r>
      <w:r>
        <w:rPr>
          <w:rFonts w:ascii="SimSun" w:eastAsia="SimSun" w:hAnsi="SimSun" w:cs="SimSun"/>
          <w:b/>
          <w:bCs/>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numPr>
          <w:ilvl w:val="0"/>
          <w:numId w:val="139"/>
        </w:numPr>
        <w:shd w:val="clear" w:color="auto" w:fill="auto"/>
        <w:tabs>
          <w:tab w:pos="712" w:val="left"/>
        </w:tabs>
        <w:bidi w:val="0"/>
        <w:spacing w:before="0" w:after="280" w:line="326" w:lineRule="exact"/>
        <w:ind w:left="700" w:right="0" w:hanging="700"/>
        <w:jc w:val="left"/>
      </w:pPr>
      <w:bookmarkStart w:id="991" w:name="bookmark991"/>
      <w:bookmarkEnd w:id="991"/>
      <w:r>
        <w:rPr>
          <w:color w:val="000000"/>
          <w:spacing w:val="0"/>
          <w:w w:val="100"/>
          <w:position w:val="0"/>
          <w:sz w:val="24"/>
          <w:szCs w:val="24"/>
        </w:rPr>
        <w:t>本年度实际核销的其他应收款约人民币</w:t>
      </w:r>
      <w:r>
        <w:rPr>
          <w:rFonts w:ascii="Arial" w:eastAsia="Arial" w:hAnsi="Arial" w:cs="Arial"/>
          <w:color w:val="000000"/>
          <w:spacing w:val="0"/>
          <w:w w:val="100"/>
          <w:position w:val="0"/>
          <w:sz w:val="24"/>
          <w:szCs w:val="24"/>
        </w:rPr>
        <w:t>4,308</w:t>
      </w:r>
      <w:r>
        <w:rPr>
          <w:color w:val="000000"/>
          <w:spacing w:val="0"/>
          <w:w w:val="100"/>
          <w:position w:val="0"/>
          <w:sz w:val="24"/>
          <w:szCs w:val="24"/>
        </w:rPr>
        <w:t>万元</w:t>
      </w:r>
      <w:r>
        <w:rPr>
          <w:rFonts w:ascii="Arial" w:eastAsia="Arial" w:hAnsi="Arial" w:cs="Arial"/>
          <w:color w:val="000000"/>
          <w:spacing w:val="0"/>
          <w:w w:val="100"/>
          <w:position w:val="0"/>
          <w:sz w:val="24"/>
          <w:szCs w:val="24"/>
        </w:rPr>
        <w:t>(2020</w:t>
      </w:r>
      <w:r>
        <w:rPr>
          <w:color w:val="000000"/>
          <w:spacing w:val="0"/>
          <w:w w:val="100"/>
          <w:position w:val="0"/>
          <w:sz w:val="24"/>
          <w:szCs w:val="24"/>
        </w:rPr>
        <w:t>年：约人民币</w:t>
      </w:r>
      <w:r>
        <w:rPr>
          <w:rFonts w:ascii="Arial" w:eastAsia="Arial" w:hAnsi="Arial" w:cs="Arial"/>
          <w:color w:val="000000"/>
          <w:spacing w:val="0"/>
          <w:w w:val="100"/>
          <w:position w:val="0"/>
          <w:sz w:val="24"/>
          <w:szCs w:val="24"/>
        </w:rPr>
        <w:t xml:space="preserve">1,178 </w:t>
      </w:r>
      <w:r>
        <w:rPr>
          <w:color w:val="000000"/>
          <w:spacing w:val="0"/>
          <w:w w:val="100"/>
          <w:position w:val="0"/>
          <w:sz w:val="24"/>
          <w:szCs w:val="24"/>
        </w:rPr>
        <w:t>万元</w:t>
      </w:r>
      <w:r>
        <w:rPr>
          <w:rFonts w:ascii="Arial" w:eastAsia="Arial" w:hAnsi="Arial" w:cs="Arial"/>
          <w:color w:val="000000"/>
          <w:spacing w:val="0"/>
          <w:w w:val="100"/>
          <w:position w:val="0"/>
          <w:sz w:val="24"/>
          <w:szCs w:val="24"/>
        </w:rPr>
        <w:t>)</w:t>
      </w:r>
      <w:r>
        <w:rPr>
          <w:color w:val="000000"/>
          <w:spacing w:val="0"/>
          <w:w w:val="100"/>
          <w:position w:val="0"/>
          <w:sz w:val="24"/>
          <w:szCs w:val="24"/>
        </w:rPr>
        <w:t>，无重大的其他应收款核销。</w:t>
      </w:r>
    </w:p>
    <w:p>
      <w:pPr>
        <w:pStyle w:val="Style72"/>
        <w:keepNext w:val="0"/>
        <w:keepLines w:val="0"/>
        <w:widowControl w:val="0"/>
        <w:numPr>
          <w:ilvl w:val="0"/>
          <w:numId w:val="139"/>
        </w:numPr>
        <w:shd w:val="clear" w:color="auto" w:fill="auto"/>
        <w:tabs>
          <w:tab w:pos="712" w:val="left"/>
        </w:tabs>
        <w:bidi w:val="0"/>
        <w:spacing w:before="0" w:after="280" w:line="326" w:lineRule="exact"/>
        <w:ind w:left="0" w:right="0" w:firstLine="0"/>
        <w:jc w:val="left"/>
      </w:pPr>
      <w:bookmarkStart w:id="992" w:name="bookmark992"/>
      <w:bookmarkEnd w:id="992"/>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日，按欠款方归集的余额前五名的其他应收款分析如下:</w:t>
      </w:r>
    </w:p>
    <w:tbl>
      <w:tblPr>
        <w:tblOverlap w:val="never"/>
        <w:jc w:val="center"/>
        <w:tblLayout w:type="fixed"/>
      </w:tblPr>
      <w:tblGrid>
        <w:gridCol w:w="2741"/>
        <w:gridCol w:w="1550"/>
        <w:gridCol w:w="1243"/>
        <w:gridCol w:w="936"/>
        <w:gridCol w:w="1306"/>
        <w:gridCol w:w="907"/>
      </w:tblGrid>
      <w:tr>
        <w:trPr>
          <w:trHeight w:val="55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公司名称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color w:val="000000"/>
                <w:spacing w:val="0"/>
                <w:w w:val="100"/>
                <w:position w:val="0"/>
                <w:sz w:val="15"/>
                <w:szCs w:val="15"/>
              </w:rPr>
              <w:t>性质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60" w:firstLine="0"/>
              <w:jc w:val="right"/>
              <w:rPr>
                <w:sz w:val="15"/>
                <w:szCs w:val="15"/>
              </w:rPr>
            </w:pPr>
            <w:r>
              <w:rPr>
                <w:rFonts w:ascii="SimSun" w:eastAsia="SimSun" w:hAnsi="SimSun" w:cs="SimSun"/>
                <w:color w:val="000000"/>
                <w:spacing w:val="0"/>
                <w:w w:val="100"/>
                <w:position w:val="0"/>
                <w:sz w:val="15"/>
                <w:szCs w:val="15"/>
              </w:rPr>
              <w:t>余额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账龄</w:t>
            </w:r>
          </w:p>
        </w:tc>
        <w:tc>
          <w:tcPr>
            <w:tcBorders/>
            <w:shd w:val="clear" w:color="auto" w:fill="FFFFFF"/>
            <w:vAlign w:val="top"/>
          </w:tcPr>
          <w:p>
            <w:pPr>
              <w:pStyle w:val="Style29"/>
              <w:keepNext w:val="0"/>
              <w:keepLines w:val="0"/>
              <w:widowControl w:val="0"/>
              <w:shd w:val="clear" w:color="auto" w:fill="auto"/>
              <w:bidi w:val="0"/>
              <w:spacing w:before="0" w:after="0" w:line="206" w:lineRule="exact"/>
              <w:ind w:left="0" w:right="0" w:firstLine="0"/>
              <w:jc w:val="left"/>
              <w:rPr>
                <w:sz w:val="15"/>
                <w:szCs w:val="15"/>
              </w:rPr>
            </w:pPr>
            <w:r>
              <w:rPr>
                <w:rFonts w:ascii="SimSun" w:eastAsia="SimSun" w:hAnsi="SimSun" w:cs="SimSun"/>
                <w:color w:val="000000"/>
                <w:spacing w:val="0"/>
                <w:w w:val="100"/>
                <w:position w:val="0"/>
                <w:sz w:val="15"/>
                <w:szCs w:val="15"/>
              </w:rPr>
              <w:t>占其他应收款 余额总额比例</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坏账准备</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5"/>
                <w:szCs w:val="15"/>
              </w:rPr>
              <w:t>子公司</w:t>
            </w:r>
            <w:r>
              <w:rPr>
                <w:rFonts w:ascii="Arial" w:eastAsia="Arial" w:hAnsi="Arial" w:cs="Arial"/>
                <w:color w:val="000000"/>
                <w:spacing w:val="0"/>
                <w:w w:val="100"/>
                <w:position w:val="0"/>
                <w:sz w:val="16"/>
                <w:szCs w:val="16"/>
              </w:rPr>
              <w:t>A</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集团内往来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11,698,117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一年以内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5"/>
                <w:szCs w:val="15"/>
              </w:rPr>
              <w:t>子公司</w:t>
            </w:r>
            <w:r>
              <w:rPr>
                <w:rFonts w:ascii="Arial" w:eastAsia="Arial" w:hAnsi="Arial" w:cs="Arial"/>
                <w:color w:val="000000"/>
                <w:spacing w:val="0"/>
                <w:w w:val="100"/>
                <w:position w:val="0"/>
                <w:sz w:val="16"/>
                <w:szCs w:val="16"/>
              </w:rPr>
              <w:t>B</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集团内往来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3,781,927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一年以内</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13%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5"/>
                <w:szCs w:val="15"/>
              </w:rPr>
              <w:t>子公司</w:t>
            </w:r>
            <w:r>
              <w:rPr>
                <w:rFonts w:ascii="Arial" w:eastAsia="Arial" w:hAnsi="Arial" w:cs="Arial"/>
                <w:color w:val="000000"/>
                <w:spacing w:val="0"/>
                <w:w w:val="100"/>
                <w:position w:val="0"/>
                <w:sz w:val="16"/>
                <w:szCs w:val="16"/>
              </w:rPr>
              <w:t>C</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集团内往来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2,816,981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一年以内</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5"/>
                <w:szCs w:val="15"/>
              </w:rPr>
              <w:t>子公司</w:t>
            </w:r>
            <w:r>
              <w:rPr>
                <w:rFonts w:ascii="Arial" w:eastAsia="Arial" w:hAnsi="Arial" w:cs="Arial"/>
                <w:color w:val="000000"/>
                <w:spacing w:val="0"/>
                <w:w w:val="100"/>
                <w:position w:val="0"/>
                <w:sz w:val="16"/>
                <w:szCs w:val="16"/>
              </w:rPr>
              <w:t>D</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集团内往来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2,178,324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一年以内</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2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5"/>
                <w:szCs w:val="15"/>
              </w:rPr>
              <w:t>子公司</w:t>
            </w:r>
            <w:r>
              <w:rPr>
                <w:rFonts w:ascii="Arial" w:eastAsia="Arial" w:hAnsi="Arial" w:cs="Arial"/>
                <w:color w:val="000000"/>
                <w:spacing w:val="0"/>
                <w:w w:val="100"/>
                <w:position w:val="0"/>
                <w:sz w:val="16"/>
                <w:szCs w:val="16"/>
              </w:rPr>
              <w:t>E</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集团内往来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1,078,456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一年以内</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21,553,805</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744" w:hRule="exact"/>
        </w:trPr>
        <w:tc>
          <w:tcPr>
            <w:tcBorders/>
            <w:shd w:val="clear" w:color="auto" w:fill="FFFFFF"/>
            <w:vAlign w:val="center"/>
          </w:tcPr>
          <w:p>
            <w:pPr>
              <w:pStyle w:val="Style29"/>
              <w:keepNext w:val="0"/>
              <w:keepLines w:val="0"/>
              <w:widowControl w:val="0"/>
              <w:shd w:val="clear" w:color="auto" w:fill="auto"/>
              <w:tabs>
                <w:tab w:pos="715"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(4)</w:t>
              <w:tab/>
            </w:r>
            <w:r>
              <w:rPr>
                <w:rFonts w:ascii="SimSun" w:eastAsia="SimSun" w:hAnsi="SimSun" w:cs="SimSun"/>
                <w:b/>
                <w:bCs/>
                <w:color w:val="000000"/>
                <w:spacing w:val="0"/>
                <w:w w:val="100"/>
                <w:position w:val="0"/>
                <w:sz w:val="24"/>
                <w:szCs w:val="24"/>
              </w:rPr>
              <w:t>长期股权投资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w:t>
            </w:r>
            <w:r>
              <w:rPr>
                <w:rFonts w:ascii="Arial" w:eastAsia="Arial" w:hAnsi="Arial" w:cs="Arial"/>
                <w:color w:val="000000"/>
                <w:spacing w:val="0"/>
                <w:w w:val="100"/>
                <w:position w:val="0"/>
                <w:sz w:val="24"/>
                <w:szCs w:val="24"/>
              </w:rPr>
              <w:t>12</w:t>
            </w:r>
            <w:r>
              <w:rPr>
                <w:rFonts w:ascii="SimSun" w:eastAsia="SimSun" w:hAnsi="SimSun" w:cs="SimSun"/>
                <w:color w:val="000000"/>
                <w:spacing w:val="0"/>
                <w:w w:val="100"/>
                <w:position w:val="0"/>
                <w:sz w:val="24"/>
                <w:szCs w:val="24"/>
              </w:rPr>
              <w:t>月</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rPr>
                <w:sz w:val="24"/>
                <w:szCs w:val="24"/>
              </w:rPr>
            </w:pP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 xml:space="preserve">年 </w:t>
            </w:r>
            <w:r>
              <w:rPr>
                <w:rFonts w:ascii="Arial" w:eastAsia="Arial" w:hAnsi="Arial" w:cs="Arial"/>
                <w:color w:val="000000"/>
                <w:spacing w:val="0"/>
                <w:w w:val="100"/>
                <w:position w:val="0"/>
                <w:sz w:val="24"/>
                <w:szCs w:val="24"/>
              </w:rPr>
              <w:t>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月</w:t>
            </w:r>
            <w:r>
              <w:rPr>
                <w:rFonts w:ascii="Arial" w:eastAsia="Arial" w:hAnsi="Arial" w:cs="Arial"/>
                <w:color w:val="000000"/>
                <w:spacing w:val="0"/>
                <w:w w:val="100"/>
                <w:position w:val="0"/>
                <w:sz w:val="24"/>
                <w:szCs w:val="24"/>
              </w:rPr>
              <w:t>31</w:t>
            </w:r>
            <w:r>
              <w:rPr>
                <w:rFonts w:ascii="SimSun" w:eastAsia="SimSun" w:hAnsi="SimSun" w:cs="SimSun"/>
                <w:color w:val="000000"/>
                <w:spacing w:val="0"/>
                <w:w w:val="100"/>
                <w:position w:val="0"/>
                <w:sz w:val="24"/>
                <w:szCs w:val="24"/>
              </w:rPr>
              <w:t>日</w:t>
            </w:r>
          </w:p>
        </w:tc>
      </w:tr>
    </w:tbl>
    <w:p>
      <w:pPr>
        <w:widowControl w:val="0"/>
        <w:spacing w:after="279" w:line="1" w:lineRule="exact"/>
      </w:pPr>
    </w:p>
    <w:tbl>
      <w:tblPr>
        <w:tblOverlap w:val="never"/>
        <w:jc w:val="right"/>
        <w:tblLayout w:type="fixed"/>
      </w:tblPr>
      <w:tblGrid>
        <w:gridCol w:w="3542"/>
        <w:gridCol w:w="2549"/>
        <w:gridCol w:w="1968"/>
      </w:tblGrid>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子公司</w:t>
            </w:r>
            <w:r>
              <w:rPr>
                <w:rFonts w:ascii="Arial" w:eastAsia="Arial" w:hAnsi="Arial" w:cs="Arial"/>
                <w:color w:val="000000"/>
                <w:spacing w:val="0"/>
                <w:w w:val="100"/>
                <w:position w:val="0"/>
                <w:sz w:val="24"/>
                <w:szCs w:val="24"/>
              </w:rPr>
              <w:t>(a)</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47,564,624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37,118,468</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合营企业</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66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4"/>
                <w:szCs w:val="24"/>
              </w:rPr>
            </w:pPr>
            <w:r>
              <w:rPr>
                <w:rFonts w:ascii="Arial" w:eastAsia="Arial" w:hAnsi="Arial" w:cs="Arial"/>
                <w:color w:val="000000"/>
                <w:spacing w:val="0"/>
                <w:w w:val="100"/>
                <w:position w:val="0"/>
                <w:sz w:val="24"/>
                <w:szCs w:val="24"/>
              </w:rPr>
              <w:t>26,695</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联营企业</w:t>
            </w:r>
            <w:r>
              <w:rPr>
                <w:rFonts w:ascii="Arial" w:eastAsia="Arial" w:hAnsi="Arial" w:cs="Arial"/>
                <w:color w:val="000000"/>
                <w:spacing w:val="0"/>
                <w:w w:val="100"/>
                <w:position w:val="0"/>
                <w:sz w:val="24"/>
                <w:szCs w:val="24"/>
              </w:rPr>
              <w:t>(b)</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9,145,143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12,546,026</w:t>
            </w: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56,709,767</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49,691,189</w:t>
            </w:r>
          </w:p>
        </w:tc>
      </w:tr>
      <w:tr>
        <w:trPr>
          <w:trHeight w:val="44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减：长期股权投资减值准备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(9,488,993)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24"/>
                <w:szCs w:val="24"/>
              </w:rPr>
            </w:pPr>
            <w:r>
              <w:rPr>
                <w:rFonts w:ascii="Arial" w:eastAsia="Arial" w:hAnsi="Arial" w:cs="Arial"/>
                <w:color w:val="000000"/>
                <w:spacing w:val="0"/>
                <w:w w:val="100"/>
                <w:position w:val="0"/>
                <w:sz w:val="24"/>
                <w:szCs w:val="24"/>
              </w:rPr>
              <w:t>(125,282)</w:t>
            </w:r>
          </w:p>
        </w:tc>
      </w:tr>
      <w:tr>
        <w:trPr>
          <w:trHeight w:val="30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24"/>
                <w:szCs w:val="24"/>
              </w:rPr>
            </w:pPr>
            <w:r>
              <w:rPr>
                <w:rFonts w:ascii="Arial" w:eastAsia="Arial" w:hAnsi="Arial" w:cs="Arial"/>
                <w:color w:val="000000"/>
                <w:spacing w:val="0"/>
                <w:w w:val="100"/>
                <w:position w:val="0"/>
                <w:sz w:val="24"/>
                <w:szCs w:val="24"/>
              </w:rPr>
              <w:t>47,220,774</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49,565,907</w:t>
            </w:r>
          </w:p>
        </w:tc>
      </w:tr>
    </w:tbl>
    <w:p>
      <w:pPr>
        <w:sectPr>
          <w:footnotePr>
            <w:pos w:val="pageBottom"/>
            <w:numFmt w:val="decimal"/>
            <w:numStart w:val="1"/>
            <w:numRestart w:val="continuous"/>
            <w15:footnoteColumns w:val="1"/>
          </w:footnotePr>
          <w:pgSz w:w="11900" w:h="16840"/>
          <w:pgMar w:top="2338" w:right="1326" w:bottom="2746" w:left="1680" w:header="0" w:footer="3" w:gutter="0"/>
          <w:cols w:space="720"/>
          <w:noEndnote/>
          <w:rtlGutter w:val="0"/>
          <w:docGrid w:linePitch="360"/>
        </w:sectPr>
      </w:pPr>
    </w:p>
    <w:p>
      <w:pPr>
        <w:pStyle w:val="Style72"/>
        <w:keepNext w:val="0"/>
        <w:keepLines w:val="0"/>
        <w:widowControl w:val="0"/>
        <w:shd w:val="clear" w:color="auto" w:fill="auto"/>
        <w:bidi w:val="0"/>
        <w:spacing w:before="0" w:after="60" w:line="240" w:lineRule="auto"/>
        <w:ind w:left="0" w:right="0" w:firstLine="96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340" w:line="240" w:lineRule="auto"/>
        <w:ind w:left="0" w:right="0" w:firstLine="960"/>
        <w:jc w:val="both"/>
      </w:pPr>
      <w:r>
        <w:rPr>
          <w:color w:val="000000"/>
          <w:spacing w:val="0"/>
          <w:w w:val="100"/>
          <w:position w:val="0"/>
        </w:rPr>
        <w:t>（除特别注明外，金额单位为人民币千元）</w:t>
      </w:r>
    </w:p>
    <w:p>
      <w:pPr>
        <w:pStyle w:val="Style72"/>
        <w:keepNext w:val="0"/>
        <w:keepLines w:val="0"/>
        <w:widowControl w:val="0"/>
        <w:shd w:val="clear" w:color="auto" w:fill="auto"/>
        <w:bidi w:val="0"/>
        <w:spacing w:before="0" w:after="300" w:line="240" w:lineRule="auto"/>
        <w:ind w:left="0" w:right="0" w:firstLine="240"/>
        <w:jc w:val="left"/>
      </w:pPr>
      <w:r>
        <w:rPr>
          <w:b/>
          <w:bCs/>
          <w:color w:val="000000"/>
          <w:spacing w:val="0"/>
          <w:w w:val="100"/>
          <w:position w:val="0"/>
          <w:sz w:val="24"/>
          <w:szCs w:val="24"/>
        </w:rPr>
        <w:t>十六公司财务报表附注（续）</w:t>
      </w:r>
    </w:p>
    <w:p>
      <w:pPr>
        <w:pStyle w:val="Style72"/>
        <w:keepNext w:val="0"/>
        <w:keepLines w:val="0"/>
        <w:widowControl w:val="0"/>
        <w:shd w:val="clear" w:color="auto" w:fill="auto"/>
        <w:tabs>
          <w:tab w:pos="869" w:val="left"/>
        </w:tabs>
        <w:bidi w:val="0"/>
        <w:spacing w:before="0" w:after="300" w:line="240" w:lineRule="auto"/>
        <w:ind w:left="0" w:right="0" w:firstLine="240"/>
        <w:jc w:val="left"/>
      </w:pPr>
      <w:r>
        <w:rPr>
          <w:rFonts w:ascii="Arial" w:eastAsia="Arial" w:hAnsi="Arial" w:cs="Arial"/>
          <w:color w:val="000000"/>
          <w:spacing w:val="0"/>
          <w:w w:val="100"/>
          <w:position w:val="0"/>
          <w:sz w:val="24"/>
          <w:szCs w:val="24"/>
        </w:rPr>
        <w:t>（4）</w:t>
        <w:tab/>
      </w:r>
      <w:r>
        <w:rPr>
          <w:b/>
          <w:bCs/>
          <w:color w:val="000000"/>
          <w:spacing w:val="0"/>
          <w:w w:val="100"/>
          <w:position w:val="0"/>
          <w:sz w:val="24"/>
          <w:szCs w:val="24"/>
        </w:rPr>
        <w:t>长期股权投资（续）</w:t>
      </w:r>
    </w:p>
    <w:p>
      <w:pPr>
        <w:pStyle w:val="Style72"/>
        <w:keepNext w:val="0"/>
        <w:keepLines w:val="0"/>
        <w:widowControl w:val="0"/>
        <w:shd w:val="clear" w:color="auto" w:fill="auto"/>
        <w:bidi w:val="0"/>
        <w:spacing w:before="0" w:after="760" w:line="240" w:lineRule="auto"/>
        <w:ind w:left="0" w:right="0" w:firstLine="240"/>
        <w:jc w:val="both"/>
      </w:pPr>
      <w:r>
        <w:rPr>
          <w:rFonts w:ascii="Arial" w:eastAsia="Arial" w:hAnsi="Arial" w:cs="Arial"/>
          <w:color w:val="000000"/>
          <w:spacing w:val="0"/>
          <w:w w:val="100"/>
          <w:position w:val="0"/>
          <w:sz w:val="24"/>
          <w:szCs w:val="24"/>
        </w:rPr>
        <w:t xml:space="preserve">（a） </w:t>
      </w:r>
      <w:r>
        <w:rPr>
          <w:color w:val="000000"/>
          <w:spacing w:val="0"/>
          <w:w w:val="100"/>
          <w:position w:val="0"/>
          <w:sz w:val="24"/>
          <w:szCs w:val="24"/>
        </w:rPr>
        <w:t>子公司</w:t>
      </w:r>
    </w:p>
    <w:tbl>
      <w:tblPr>
        <w:tblOverlap w:val="never"/>
        <w:jc w:val="right"/>
        <w:tblLayout w:type="fixed"/>
      </w:tblPr>
      <w:tblGrid>
        <w:gridCol w:w="3413"/>
        <w:gridCol w:w="1358"/>
        <w:gridCol w:w="974"/>
      </w:tblGrid>
      <w:tr>
        <w:trPr>
          <w:trHeight w:val="60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追加投资</w:t>
            </w:r>
          </w:p>
        </w:tc>
      </w:tr>
      <w:tr>
        <w:trPr>
          <w:trHeight w:val="35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Suning International Group Co., Limited</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9,631,609</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深圳市云网万店科技有限公司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7,033,019</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江苏苏宁物流有限公司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5,495,398</w:t>
            </w: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南京苏宁百货有限公司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1,343,000</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南京苏宁电子信息技术有限公司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959,757</w:t>
            </w:r>
          </w:p>
        </w:tc>
        <w:tc>
          <w:tcPr>
            <w:tcBorders>
              <w:right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744,056</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重庆苏宁易购销售有限公司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629,907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553,142</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广州苏宁易购物流有限公司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517,766</w:t>
            </w: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福建苏宁易购商贸有限公司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468,701</w:t>
            </w: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南京苏宁软件技术有限公司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468,390</w:t>
            </w:r>
          </w:p>
        </w:tc>
        <w:tc>
          <w:tcPr>
            <w:tcBorders>
              <w:right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苏宁易购（沈阳）销售有限公司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432,716</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420,868</w:t>
            </w: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379,091</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江苏苏宁商业投资有限公司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367,987</w:t>
            </w: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361,404</w:t>
            </w:r>
          </w:p>
        </w:tc>
        <w:tc>
          <w:tcPr>
            <w:tcBorders>
              <w:righ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浙江苏宁易购商贸有限公司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337,174</w:t>
            </w:r>
          </w:p>
        </w:tc>
        <w:tc>
          <w:tcPr>
            <w:tcBorders>
              <w:right w:val="single" w:sz="4"/>
            </w:tcBorders>
            <w:shd w:val="clear" w:color="auto" w:fill="FFFFFF"/>
            <w:vAlign w:val="top"/>
          </w:tcPr>
          <w:p>
            <w:pPr>
              <w:widowControl w:val="0"/>
              <w:rPr>
                <w:sz w:val="10"/>
                <w:szCs w:val="10"/>
              </w:rPr>
            </w:pPr>
          </w:p>
        </w:tc>
      </w:tr>
    </w:tbl>
    <w:p>
      <w:pPr>
        <w:sectPr>
          <w:footnotePr>
            <w:pos w:val="pageBottom"/>
            <w:numFmt w:val="decimal"/>
            <w:numStart w:val="1"/>
            <w:numRestart w:val="continuous"/>
            <w15:footnoteColumns w:val="1"/>
          </w:footnotePr>
          <w:pgSz w:w="8400" w:h="11900"/>
          <w:pgMar w:top="1155" w:right="242" w:bottom="1155" w:left="1443" w:header="0" w:footer="3" w:gutter="0"/>
          <w:cols w:space="720"/>
          <w:noEndnote/>
          <w:rtlGutter w:val="0"/>
          <w:docGrid w:linePitch="360"/>
        </w:sectPr>
      </w:pPr>
    </w:p>
    <w:p>
      <w:pPr>
        <w:widowControl w:val="0"/>
        <w:spacing w:after="2959" w:line="1" w:lineRule="exact"/>
      </w:pPr>
    </w:p>
    <w:p>
      <w:pPr>
        <w:pStyle w:val="Style26"/>
        <w:keepNext w:val="0"/>
        <w:keepLines w:val="0"/>
        <w:widowControl w:val="0"/>
        <w:shd w:val="clear" w:color="auto" w:fill="auto"/>
        <w:bidi w:val="0"/>
        <w:spacing w:before="0" w:after="0" w:line="240" w:lineRule="auto"/>
        <w:ind w:left="283" w:right="0" w:firstLine="0"/>
        <w:jc w:val="left"/>
        <w:rPr>
          <w:sz w:val="18"/>
          <w:szCs w:val="18"/>
        </w:rPr>
      </w:pPr>
      <w:r>
        <w:rPr>
          <w:color w:val="000000"/>
          <w:spacing w:val="0"/>
          <w:w w:val="100"/>
          <w:position w:val="0"/>
          <w:sz w:val="18"/>
          <w:szCs w:val="18"/>
        </w:rPr>
        <w:t>本年增减变动</w:t>
      </w:r>
    </w:p>
    <w:tbl>
      <w:tblPr>
        <w:tblOverlap w:val="never"/>
        <w:jc w:val="center"/>
        <w:tblLayout w:type="fixed"/>
      </w:tblPr>
      <w:tblGrid>
        <w:gridCol w:w="974"/>
        <w:gridCol w:w="1320"/>
        <w:gridCol w:w="979"/>
        <w:gridCol w:w="1277"/>
        <w:gridCol w:w="1195"/>
        <w:gridCol w:w="970"/>
      </w:tblGrid>
      <w:tr>
        <w:trPr>
          <w:trHeight w:val="84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减少投资</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计提减值</w:t>
            </w:r>
          </w:p>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准备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年末余额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本年宣告</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分派的</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现金股利</w:t>
            </w:r>
          </w:p>
        </w:tc>
      </w:tr>
      <w:tr>
        <w:trPr>
          <w:trHeight w:val="37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24"/>
                <w:szCs w:val="24"/>
              </w:rPr>
            </w:pPr>
            <w:r>
              <w:rPr>
                <w:rFonts w:ascii="SimSun" w:eastAsia="SimSun" w:hAnsi="SimSun" w:cs="SimSun"/>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9,631,609</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7,033,019</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5,495,740</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1,343,000</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105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959,862</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435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744,491</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221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730,128</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654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553,796</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517,803</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43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468,744</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2,668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471,058</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432,716</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127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420,995</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61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379,152</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367,987</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141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361,545</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65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337,239</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bl>
    <w:p>
      <w:pPr>
        <w:pStyle w:val="Style72"/>
        <w:keepNext w:val="0"/>
        <w:keepLines w:val="0"/>
        <w:widowControl w:val="0"/>
        <w:shd w:val="clear" w:color="auto" w:fill="auto"/>
        <w:bidi w:val="0"/>
        <w:spacing w:before="0" w:after="60" w:line="240" w:lineRule="auto"/>
        <w:ind w:left="0" w:right="0" w:firstLine="980"/>
        <w:jc w:val="left"/>
      </w:pPr>
      <w:r>
        <w:rPr>
          <w:b/>
          <w:bCs/>
          <w:color w:val="000000"/>
          <w:spacing w:val="0"/>
          <w:w w:val="100"/>
          <w:position w:val="0"/>
          <w:sz w:val="24"/>
          <w:szCs w:val="24"/>
        </w:rPr>
        <w:t>财务报表附注</w:t>
      </w:r>
    </w:p>
    <w:p>
      <w:pPr>
        <w:pStyle w:val="Style92"/>
        <w:keepNext w:val="0"/>
        <w:keepLines w:val="0"/>
        <w:widowControl w:val="0"/>
        <w:shd w:val="clear" w:color="auto" w:fill="auto"/>
        <w:bidi w:val="0"/>
        <w:spacing w:before="0" w:after="60" w:line="240" w:lineRule="auto"/>
        <w:ind w:left="0" w:right="0" w:firstLine="980"/>
        <w:jc w:val="left"/>
      </w:pPr>
      <w:r>
        <w:rPr>
          <w:color w:val="000000"/>
          <w:spacing w:val="0"/>
          <w:w w:val="100"/>
          <w:position w:val="0"/>
          <w:sz w:val="24"/>
          <w:szCs w:val="24"/>
        </w:rPr>
        <w:t>2021</w:t>
      </w:r>
      <w:r>
        <w:rPr>
          <w:rFonts w:ascii="SimSun" w:eastAsia="SimSun" w:hAnsi="SimSun" w:cs="SimSun"/>
          <w:b/>
          <w:bCs/>
          <w:color w:val="000000"/>
          <w:spacing w:val="0"/>
          <w:w w:val="100"/>
          <w:position w:val="0"/>
          <w:sz w:val="24"/>
          <w:szCs w:val="24"/>
        </w:rPr>
        <w:t>年度</w:t>
      </w:r>
    </w:p>
    <w:p>
      <w:pPr>
        <w:pStyle w:val="Style55"/>
        <w:keepNext w:val="0"/>
        <w:keepLines w:val="0"/>
        <w:widowControl w:val="0"/>
        <w:shd w:val="clear" w:color="auto" w:fill="auto"/>
        <w:bidi w:val="0"/>
        <w:spacing w:before="0" w:after="280" w:line="240" w:lineRule="auto"/>
        <w:ind w:left="0" w:right="0" w:firstLine="980"/>
        <w:jc w:val="left"/>
      </w:pPr>
      <w:r>
        <w:rPr>
          <w:color w:val="000000"/>
          <w:spacing w:val="0"/>
          <w:w w:val="100"/>
          <w:position w:val="0"/>
        </w:rPr>
        <w:t>（除特别注明外，金额单位为人民币千元）</w:t>
      </w:r>
    </w:p>
    <w:p>
      <w:pPr>
        <w:pStyle w:val="Style72"/>
        <w:keepNext w:val="0"/>
        <w:keepLines w:val="0"/>
        <w:widowControl w:val="0"/>
        <w:shd w:val="clear" w:color="auto" w:fill="auto"/>
        <w:bidi w:val="0"/>
        <w:spacing w:before="0" w:after="280" w:line="240" w:lineRule="auto"/>
        <w:ind w:left="0" w:right="0" w:firstLine="260"/>
        <w:jc w:val="left"/>
      </w:pPr>
      <w:r>
        <w:rPr>
          <w:b/>
          <w:bCs/>
          <w:color w:val="000000"/>
          <w:spacing w:val="0"/>
          <w:w w:val="100"/>
          <w:position w:val="0"/>
          <w:sz w:val="24"/>
          <w:szCs w:val="24"/>
        </w:rPr>
        <w:t>十六公司财务报表附注（续）</w:t>
      </w:r>
    </w:p>
    <w:p>
      <w:pPr>
        <w:pStyle w:val="Style72"/>
        <w:keepNext w:val="0"/>
        <w:keepLines w:val="0"/>
        <w:widowControl w:val="0"/>
        <w:shd w:val="clear" w:color="auto" w:fill="auto"/>
        <w:tabs>
          <w:tab w:pos="908" w:val="left"/>
        </w:tabs>
        <w:bidi w:val="0"/>
        <w:spacing w:before="0" w:after="280" w:line="240" w:lineRule="auto"/>
        <w:ind w:left="0" w:right="0" w:firstLine="260"/>
        <w:jc w:val="left"/>
      </w:pPr>
      <w:r>
        <w:rPr>
          <w:rFonts w:ascii="Arial" w:eastAsia="Arial" w:hAnsi="Arial" w:cs="Arial"/>
          <w:color w:val="000000"/>
          <w:spacing w:val="0"/>
          <w:w w:val="100"/>
          <w:position w:val="0"/>
          <w:sz w:val="24"/>
          <w:szCs w:val="24"/>
        </w:rPr>
        <w:t>（4）</w:t>
        <w:tab/>
      </w:r>
      <w:r>
        <w:rPr>
          <w:b/>
          <w:bCs/>
          <w:color w:val="000000"/>
          <w:spacing w:val="0"/>
          <w:w w:val="100"/>
          <w:position w:val="0"/>
          <w:sz w:val="24"/>
          <w:szCs w:val="24"/>
        </w:rPr>
        <w:t>长期股权投资（续）</w:t>
      </w:r>
    </w:p>
    <w:p>
      <w:pPr>
        <w:pStyle w:val="Style72"/>
        <w:keepNext w:val="0"/>
        <w:keepLines w:val="0"/>
        <w:widowControl w:val="0"/>
        <w:shd w:val="clear" w:color="auto" w:fill="auto"/>
        <w:bidi w:val="0"/>
        <w:spacing w:before="0" w:after="700" w:line="240" w:lineRule="auto"/>
        <w:ind w:left="0" w:right="0" w:firstLine="260"/>
        <w:jc w:val="left"/>
      </w:pPr>
      <w:r>
        <w:rPr>
          <w:rFonts w:ascii="Arial" w:eastAsia="Arial" w:hAnsi="Arial" w:cs="Arial"/>
          <w:color w:val="000000"/>
          <w:spacing w:val="0"/>
          <w:w w:val="100"/>
          <w:position w:val="0"/>
          <w:sz w:val="24"/>
          <w:szCs w:val="24"/>
        </w:rPr>
        <w:t xml:space="preserve">（a） </w:t>
      </w:r>
      <w:r>
        <w:rPr>
          <w:b/>
          <w:bCs/>
          <w:color w:val="000000"/>
          <w:spacing w:val="0"/>
          <w:w w:val="100"/>
          <w:position w:val="0"/>
          <w:sz w:val="24"/>
          <w:szCs w:val="24"/>
        </w:rPr>
        <w:t>子公司（续）</w:t>
      </w:r>
    </w:p>
    <w:p>
      <w:pPr>
        <w:pStyle w:val="Style1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6"/>
        <w:keepNext w:val="0"/>
        <w:keepLines w:val="0"/>
        <w:widowControl w:val="0"/>
        <w:shd w:val="clear" w:color="auto" w:fill="auto"/>
        <w:bidi w:val="0"/>
        <w:spacing w:before="0" w:after="0" w:line="240" w:lineRule="auto"/>
        <w:ind w:left="3638" w:right="0" w:firstLine="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 追加投资</w:t>
      </w:r>
    </w:p>
    <w:tbl>
      <w:tblPr>
        <w:tblOverlap w:val="never"/>
        <w:jc w:val="right"/>
        <w:tblLayout w:type="fixed"/>
      </w:tblPr>
      <w:tblGrid>
        <w:gridCol w:w="3331"/>
        <w:gridCol w:w="1349"/>
        <w:gridCol w:w="1056"/>
      </w:tblGrid>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苏宁易购江苏苏南有限公司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252,467</w:t>
            </w:r>
          </w:p>
        </w:tc>
        <w:tc>
          <w:tcPr>
            <w:tcBorders>
              <w:right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长春苏宁易购销售有限公司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243,079</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青岛胶宁苏宁易购商贸有限公司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205,882</w:t>
            </w: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江西魁光物流有限公司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179,716</w:t>
            </w: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陕西苏宁易购销售有限公司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179,054</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161,324</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154,737</w:t>
            </w:r>
          </w:p>
        </w:tc>
        <w:tc>
          <w:tcPr>
            <w:tcBorders>
              <w:right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徐州苏宁易购销售有限公司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150,069</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天津天宁苏宁易购商贸有限公司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149,870</w:t>
            </w:r>
          </w:p>
        </w:tc>
        <w:tc>
          <w:tcPr>
            <w:tcBorders>
              <w:right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包头市滨河苏宁易购有限公司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139,768</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南京红孩子企业管理有限公司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131,976</w:t>
            </w: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湖南苏宁易购有限公司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131,198</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125,401</w:t>
            </w: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苏州苏宁易购销售有限公司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114,378</w:t>
            </w: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内江百大商贸有限公司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111,430</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新疆苏宁易购商贸有限公司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102,654</w:t>
            </w: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苏宁（天津）采购有限公司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100,000</w:t>
            </w:r>
          </w:p>
        </w:tc>
        <w:tc>
          <w:tcPr>
            <w:tcBorders>
              <w:right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南京苏宁商业管理有限公司（“南京苏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宁商管”）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30,000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10,308,176</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其他子公司</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4,190,800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222,230</w:t>
            </w:r>
          </w:p>
        </w:tc>
      </w:tr>
    </w:tbl>
    <w:p>
      <w:pPr>
        <w:pStyle w:val="Style26"/>
        <w:keepNext w:val="0"/>
        <w:keepLines w:val="0"/>
        <w:widowControl w:val="0"/>
        <w:shd w:val="clear" w:color="auto" w:fill="auto"/>
        <w:tabs>
          <w:tab w:pos="4795" w:val="left"/>
        </w:tabs>
        <w:bidi w:val="0"/>
        <w:spacing w:before="0" w:after="0" w:line="240" w:lineRule="auto"/>
        <w:ind w:left="3586" w:right="0" w:firstLine="0"/>
        <w:jc w:val="left"/>
        <w:rPr>
          <w:sz w:val="18"/>
          <w:szCs w:val="18"/>
        </w:rPr>
        <w:sectPr>
          <w:footnotePr>
            <w:pos w:val="pageBottom"/>
            <w:numFmt w:val="decimal"/>
            <w:numStart w:val="1"/>
            <w:numRestart w:val="continuous"/>
            <w15:footnoteColumns w:val="1"/>
          </w:footnotePr>
          <w:pgSz w:w="8400" w:h="11900"/>
          <w:pgMar w:top="1152" w:right="862" w:bottom="1714" w:left="798" w:header="0" w:footer="3" w:gutter="0"/>
          <w:cols w:space="720"/>
          <w:noEndnote/>
          <w:rtlGutter w:val="0"/>
          <w:docGrid w:linePitch="360"/>
        </w:sectPr>
      </w:pPr>
      <w:r>
        <w:rPr>
          <w:rFonts w:ascii="Arial" w:eastAsia="Arial" w:hAnsi="Arial" w:cs="Arial"/>
          <w:color w:val="000000"/>
          <w:spacing w:val="0"/>
          <w:w w:val="100"/>
          <w:position w:val="0"/>
          <w:sz w:val="18"/>
          <w:szCs w:val="18"/>
        </w:rPr>
        <w:t>36,997,788</w:t>
        <w:tab/>
        <w:t>10,630,406</w:t>
      </w:r>
    </w:p>
    <w:p>
      <w:pPr>
        <w:pStyle w:val="Style26"/>
        <w:keepNext w:val="0"/>
        <w:keepLines w:val="0"/>
        <w:widowControl w:val="0"/>
        <w:shd w:val="clear" w:color="auto" w:fill="auto"/>
        <w:bidi w:val="0"/>
        <w:spacing w:before="0" w:after="0" w:line="240" w:lineRule="auto"/>
        <w:ind w:left="307" w:right="0" w:firstLine="0"/>
        <w:jc w:val="left"/>
        <w:rPr>
          <w:sz w:val="18"/>
          <w:szCs w:val="18"/>
        </w:rPr>
      </w:pPr>
      <w:r>
        <w:rPr>
          <w:color w:val="000000"/>
          <w:spacing w:val="0"/>
          <w:w w:val="100"/>
          <w:position w:val="0"/>
          <w:sz w:val="18"/>
          <w:szCs w:val="18"/>
        </w:rPr>
        <w:t>本年增减变动</w:t>
      </w:r>
    </w:p>
    <w:tbl>
      <w:tblPr>
        <w:tblOverlap w:val="never"/>
        <w:jc w:val="center"/>
        <w:tblLayout w:type="fixed"/>
      </w:tblPr>
      <w:tblGrid>
        <w:gridCol w:w="936"/>
        <w:gridCol w:w="1397"/>
        <w:gridCol w:w="965"/>
        <w:gridCol w:w="1195"/>
        <w:gridCol w:w="1291"/>
        <w:gridCol w:w="955"/>
      </w:tblGrid>
      <w:tr>
        <w:trPr>
          <w:trHeight w:val="84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减少投资</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计提减值</w:t>
            </w:r>
          </w:p>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准备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其他</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年末余额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本年宣告</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分派的</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现金股利</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252,494</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243,104</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205,903</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179,739</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179,054</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178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161,502</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67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154,804</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37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150,106</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149,932</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139,768</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131,976</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131,267</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55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125,456</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59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114,437</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111,430</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102,654</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100,000</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(9,307,360)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1,030,816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(9,307,360)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16"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(192,679)</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(30,278)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2,907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4,192,980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(150,958)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159</w:t>
            </w:r>
          </w:p>
        </w:tc>
      </w:tr>
    </w:tbl>
    <w:p>
      <w:pPr>
        <w:pStyle w:val="Style26"/>
        <w:keepNext w:val="0"/>
        <w:keepLines w:val="0"/>
        <w:widowControl w:val="0"/>
        <w:shd w:val="clear" w:color="auto" w:fill="auto"/>
        <w:tabs>
          <w:tab w:pos="1046" w:val="left"/>
          <w:tab w:pos="2650" w:val="left"/>
          <w:tab w:pos="3389" w:val="left"/>
          <w:tab w:pos="4618" w:val="left"/>
          <w:tab w:pos="6379" w:val="left"/>
        </w:tabs>
        <w:bidi w:val="0"/>
        <w:spacing w:before="0" w:after="0" w:line="240" w:lineRule="auto"/>
        <w:ind w:left="5" w:right="0" w:firstLine="0"/>
        <w:jc w:val="left"/>
        <w:rPr>
          <w:sz w:val="18"/>
          <w:szCs w:val="18"/>
        </w:rPr>
        <w:sectPr>
          <w:footnotePr>
            <w:pos w:val="pageBottom"/>
            <w:numFmt w:val="decimal"/>
            <w:numStart w:val="1"/>
            <w:numRestart w:val="continuous"/>
            <w15:footnoteColumns w:val="1"/>
          </w:footnotePr>
          <w:pgSz w:w="8400" w:h="11900"/>
          <w:pgMar w:top="3986" w:right="1499" w:bottom="1517" w:left="161" w:header="0" w:footer="3" w:gutter="0"/>
          <w:cols w:space="720"/>
          <w:noEndnote/>
          <w:rtlGutter w:val="0"/>
          <w:docGrid w:linePitch="360"/>
        </w:sectPr>
      </w:pPr>
      <w:r>
        <w:rPr>
          <w:rFonts w:ascii="Arial" w:eastAsia="Arial" w:hAnsi="Arial" w:cs="Arial"/>
          <w:color w:val="000000"/>
          <w:spacing w:val="0"/>
          <w:w w:val="100"/>
          <w:position w:val="0"/>
          <w:sz w:val="18"/>
          <w:szCs w:val="18"/>
        </w:rPr>
        <w:t>(192,679)</w:t>
        <w:tab/>
        <w:t>(9,337,638)</w:t>
        <w:tab/>
        <w:t>8,429</w:t>
        <w:tab/>
        <w:t>38,106,306</w:t>
        <w:tab/>
        <w:t>(9,458,318)</w:t>
        <w:tab/>
        <w:t>159</w:t>
      </w:r>
    </w:p>
    <w:p>
      <w:pPr>
        <w:pStyle w:val="Style72"/>
        <w:keepNext w:val="0"/>
        <w:keepLines w:val="0"/>
        <w:widowControl w:val="0"/>
        <w:shd w:val="clear" w:color="auto" w:fill="auto"/>
        <w:bidi w:val="0"/>
        <w:spacing w:before="0" w:after="300" w:line="240" w:lineRule="auto"/>
        <w:ind w:left="0" w:right="0" w:firstLine="140"/>
        <w:jc w:val="left"/>
        <w:rPr>
          <w:sz w:val="28"/>
          <w:szCs w:val="28"/>
        </w:rPr>
      </w:pPr>
      <w:r>
        <w:rPr>
          <w:b/>
          <w:bCs/>
          <w:color w:val="000000"/>
          <w:spacing w:val="0"/>
          <w:w w:val="100"/>
          <w:position w:val="0"/>
          <w:sz w:val="24"/>
          <w:szCs w:val="24"/>
        </w:rPr>
        <w:t>十六公司财务报表附注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846" w:val="left"/>
        </w:tabs>
        <w:bidi w:val="0"/>
        <w:spacing w:before="0" w:after="300" w:line="240" w:lineRule="auto"/>
        <w:ind w:left="0" w:right="0" w:firstLine="140"/>
        <w:jc w:val="left"/>
        <w:rPr>
          <w:sz w:val="28"/>
          <w:szCs w:val="28"/>
        </w:rPr>
      </w:pPr>
      <w:r>
        <w:rPr>
          <w:rFonts w:ascii="Arial" w:eastAsia="Arial" w:hAnsi="Arial" w:cs="Arial"/>
          <w:color w:val="000000"/>
          <w:spacing w:val="0"/>
          <w:w w:val="100"/>
          <w:position w:val="0"/>
          <w:sz w:val="24"/>
          <w:szCs w:val="24"/>
        </w:rPr>
        <w:t>（4）</w:t>
        <w:tab/>
      </w:r>
      <w:r>
        <w:rPr>
          <w:b/>
          <w:bCs/>
          <w:color w:val="000000"/>
          <w:spacing w:val="0"/>
          <w:w w:val="100"/>
          <w:position w:val="0"/>
          <w:sz w:val="24"/>
          <w:szCs w:val="24"/>
        </w:rPr>
        <w:t>长期股权投资</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92"/>
        <w:keepNext w:val="0"/>
        <w:keepLines w:val="0"/>
        <w:widowControl w:val="0"/>
        <w:shd w:val="clear" w:color="auto" w:fill="auto"/>
        <w:tabs>
          <w:tab w:pos="846" w:val="left"/>
        </w:tabs>
        <w:bidi w:val="0"/>
        <w:spacing w:before="0" w:after="240" w:line="266" w:lineRule="auto"/>
        <w:ind w:left="0" w:right="0" w:firstLine="140"/>
        <w:jc w:val="left"/>
        <w:rPr>
          <w:sz w:val="28"/>
          <w:szCs w:val="28"/>
        </w:rPr>
      </w:pPr>
      <w:bookmarkStart w:id="993" w:name="bookmark993"/>
      <w:r>
        <w:rPr>
          <w:color w:val="000000"/>
          <w:spacing w:val="0"/>
          <w:w w:val="100"/>
          <w:position w:val="0"/>
          <w:sz w:val="24"/>
          <w:szCs w:val="24"/>
        </w:rPr>
        <w:t>（</w:t>
      </w:r>
      <w:bookmarkEnd w:id="993"/>
      <w:r>
        <w:rPr>
          <w:color w:val="000000"/>
          <w:spacing w:val="0"/>
          <w:w w:val="100"/>
          <w:position w:val="0"/>
          <w:sz w:val="24"/>
          <w:szCs w:val="24"/>
        </w:rPr>
        <w:t>a）</w:t>
        <w:tab/>
      </w:r>
      <w:r>
        <w:rPr>
          <w:rFonts w:ascii="SimSun" w:eastAsia="SimSun" w:hAnsi="SimSun" w:cs="SimSun"/>
          <w:color w:val="000000"/>
          <w:spacing w:val="0"/>
          <w:w w:val="100"/>
          <w:position w:val="0"/>
          <w:sz w:val="24"/>
          <w:szCs w:val="24"/>
        </w:rPr>
        <w:t>子公司</w:t>
      </w:r>
      <w:r>
        <w:rPr>
          <w:color w:val="000000"/>
          <w:spacing w:val="0"/>
          <w:w w:val="100"/>
          <w:position w:val="0"/>
          <w:sz w:val="24"/>
          <w:szCs w:val="24"/>
        </w:rPr>
        <w:t>（</w:t>
      </w:r>
      <w:r>
        <w:rPr>
          <w:rFonts w:ascii="SimSun" w:eastAsia="SimSun" w:hAnsi="SimSun" w:cs="SimSun"/>
          <w:color w:val="000000"/>
          <w:spacing w:val="0"/>
          <w:w w:val="100"/>
          <w:position w:val="0"/>
          <w:sz w:val="24"/>
          <w:szCs w:val="24"/>
        </w:rPr>
        <w:t>续</w:t>
      </w:r>
      <w:r>
        <w:rPr>
          <w:rFonts w:ascii="SimSun" w:eastAsia="SimSun" w:hAnsi="SimSun" w:cs="SimSun"/>
          <w:color w:val="000000"/>
          <w:spacing w:val="0"/>
          <w:w w:val="100"/>
          <w:position w:val="0"/>
          <w:sz w:val="28"/>
          <w:szCs w:val="28"/>
        </w:rPr>
        <w:t>）</w:t>
      </w:r>
    </w:p>
    <w:p>
      <w:pPr>
        <w:pStyle w:val="Style72"/>
        <w:keepNext w:val="0"/>
        <w:keepLines w:val="0"/>
        <w:widowControl w:val="0"/>
        <w:shd w:val="clear" w:color="auto" w:fill="auto"/>
        <w:tabs>
          <w:tab w:pos="846" w:val="left"/>
        </w:tabs>
        <w:bidi w:val="0"/>
        <w:spacing w:before="0" w:after="0" w:line="307" w:lineRule="exact"/>
        <w:ind w:left="0" w:right="0" w:firstLine="140"/>
        <w:jc w:val="both"/>
      </w:pPr>
      <w:r>
        <w:rPr>
          <w:color w:val="000000"/>
          <w:spacing w:val="0"/>
          <w:w w:val="100"/>
          <w:position w:val="0"/>
          <w:sz w:val="24"/>
          <w:szCs w:val="24"/>
        </w:rPr>
        <w:t>⑴</w:t>
        <w:tab/>
        <w:t>于</w:t>
      </w:r>
      <w:r>
        <w:rPr>
          <w:rFonts w:ascii="Arial" w:eastAsia="Arial" w:hAnsi="Arial" w:cs="Arial"/>
          <w:color w:val="000000"/>
          <w:spacing w:val="0"/>
          <w:w w:val="100"/>
          <w:position w:val="0"/>
          <w:sz w:val="24"/>
          <w:szCs w:val="24"/>
        </w:rPr>
        <w:t>2021</w:t>
      </w:r>
      <w:r>
        <w:rPr>
          <w:color w:val="000000"/>
          <w:spacing w:val="0"/>
          <w:w w:val="100"/>
          <w:position w:val="0"/>
          <w:sz w:val="24"/>
          <w:szCs w:val="24"/>
        </w:rPr>
        <w:t>年度，子公司南京苏宁商管大额亏损导致本公司对南京苏宁商管的长期股权投资存在减值迹象。本集团通过对比其</w:t>
      </w:r>
    </w:p>
    <w:p>
      <w:pPr>
        <w:pStyle w:val="Style72"/>
        <w:keepNext w:val="0"/>
        <w:keepLines w:val="0"/>
        <w:widowControl w:val="0"/>
        <w:shd w:val="clear" w:color="auto" w:fill="auto"/>
        <w:bidi w:val="0"/>
        <w:spacing w:before="0" w:after="300" w:line="307" w:lineRule="exact"/>
        <w:ind w:left="840" w:right="0" w:firstLine="20"/>
        <w:jc w:val="both"/>
      </w:pPr>
      <w:r>
        <w:rPr>
          <w:color w:val="000000"/>
          <w:spacing w:val="0"/>
          <w:w w:val="100"/>
          <w:position w:val="0"/>
          <w:sz w:val="24"/>
          <w:szCs w:val="24"/>
        </w:rPr>
        <w:t>可收回金额与账面金额进行减值测试。经比较该长期股权投资的公允价值减去处置费用后的净额和预计未来现金流量的现值 后，采用预计未来现金流量现值确定长期股权投资的可收回金额，并计提减值准备约人民币</w:t>
      </w:r>
      <w:r>
        <w:rPr>
          <w:rFonts w:ascii="Arial" w:eastAsia="Arial" w:hAnsi="Arial" w:cs="Arial"/>
          <w:color w:val="000000"/>
          <w:spacing w:val="0"/>
          <w:w w:val="100"/>
          <w:position w:val="0"/>
          <w:sz w:val="24"/>
          <w:szCs w:val="24"/>
        </w:rPr>
        <w:t>93.07</w:t>
      </w:r>
      <w:r>
        <w:rPr>
          <w:color w:val="000000"/>
          <w:spacing w:val="0"/>
          <w:w w:val="100"/>
          <w:position w:val="0"/>
          <w:sz w:val="24"/>
          <w:szCs w:val="24"/>
        </w:rPr>
        <w:t>亿元。本集团在计算可收 回金额时所采用的税前折现率区间为</w:t>
      </w:r>
      <w:r>
        <w:rPr>
          <w:rFonts w:ascii="Arial" w:eastAsia="Arial" w:hAnsi="Arial" w:cs="Arial"/>
          <w:color w:val="000000"/>
          <w:spacing w:val="0"/>
          <w:w w:val="100"/>
          <w:position w:val="0"/>
          <w:sz w:val="24"/>
          <w:szCs w:val="24"/>
        </w:rPr>
        <w:t>14.53%</w:t>
      </w:r>
      <w:r>
        <w:rPr>
          <w:color w:val="000000"/>
          <w:spacing w:val="0"/>
          <w:w w:val="100"/>
          <w:position w:val="0"/>
          <w:sz w:val="24"/>
          <w:szCs w:val="24"/>
        </w:rPr>
        <w:t>。</w:t>
      </w:r>
    </w:p>
    <w:p>
      <w:pPr>
        <w:pStyle w:val="Style72"/>
        <w:keepNext w:val="0"/>
        <w:keepLines w:val="0"/>
        <w:widowControl w:val="0"/>
        <w:shd w:val="clear" w:color="auto" w:fill="auto"/>
        <w:tabs>
          <w:tab w:pos="846" w:val="left"/>
        </w:tabs>
        <w:bidi w:val="0"/>
        <w:spacing w:before="0" w:after="240" w:line="266" w:lineRule="auto"/>
        <w:ind w:left="0" w:right="0" w:firstLine="140"/>
        <w:jc w:val="left"/>
      </w:pPr>
      <w:bookmarkStart w:id="994" w:name="bookmark994"/>
      <w:r>
        <w:rPr>
          <w:rFonts w:ascii="Arial" w:eastAsia="Arial" w:hAnsi="Arial" w:cs="Arial"/>
          <w:color w:val="000000"/>
          <w:spacing w:val="0"/>
          <w:w w:val="100"/>
          <w:position w:val="0"/>
          <w:sz w:val="24"/>
          <w:szCs w:val="24"/>
        </w:rPr>
        <w:t>（</w:t>
      </w:r>
      <w:bookmarkEnd w:id="994"/>
      <w:r>
        <w:rPr>
          <w:rFonts w:ascii="Arial" w:eastAsia="Arial" w:hAnsi="Arial" w:cs="Arial"/>
          <w:color w:val="000000"/>
          <w:spacing w:val="0"/>
          <w:w w:val="100"/>
          <w:position w:val="0"/>
          <w:sz w:val="24"/>
          <w:szCs w:val="24"/>
        </w:rPr>
        <w:t>b）</w:t>
        <w:tab/>
      </w:r>
      <w:r>
        <w:rPr>
          <w:color w:val="000000"/>
          <w:spacing w:val="0"/>
          <w:w w:val="100"/>
          <w:position w:val="0"/>
          <w:sz w:val="24"/>
          <w:szCs w:val="24"/>
        </w:rPr>
        <w:t>联营公司</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本年增减变动</w:t>
      </w:r>
    </w:p>
    <w:tbl>
      <w:tblPr>
        <w:tblOverlap w:val="never"/>
        <w:jc w:val="center"/>
        <w:tblLayout w:type="fixed"/>
      </w:tblPr>
      <w:tblGrid>
        <w:gridCol w:w="850"/>
        <w:gridCol w:w="1219"/>
        <w:gridCol w:w="1070"/>
        <w:gridCol w:w="998"/>
        <w:gridCol w:w="1181"/>
        <w:gridCol w:w="1056"/>
        <w:gridCol w:w="1070"/>
        <w:gridCol w:w="1080"/>
        <w:gridCol w:w="1238"/>
        <w:gridCol w:w="840"/>
        <w:gridCol w:w="1267"/>
        <w:gridCol w:w="1075"/>
      </w:tblGrid>
      <w:tr>
        <w:trPr>
          <w:trHeight w:val="773"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6"/>
                <w:szCs w:val="16"/>
              </w:rPr>
              <w:t xml:space="preserve">2020 </w:t>
            </w:r>
            <w:r>
              <w:rPr>
                <w:rFonts w:ascii="SimSun" w:eastAsia="SimSun" w:hAnsi="SimSun" w:cs="SimSun"/>
                <w:color w:val="000000"/>
                <w:spacing w:val="0"/>
                <w:w w:val="100"/>
                <w:position w:val="0"/>
                <w:sz w:val="15"/>
                <w:szCs w:val="15"/>
              </w:rPr>
              <w:t>年</w:t>
            </w:r>
          </w:p>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本年新增</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减少投资</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按权益法调</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整的净损益</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其他综合</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收益调整</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200"/>
              <w:jc w:val="left"/>
              <w:rPr>
                <w:sz w:val="15"/>
                <w:szCs w:val="15"/>
              </w:rPr>
            </w:pPr>
            <w:r>
              <w:rPr>
                <w:rFonts w:ascii="SimSun" w:eastAsia="SimSun" w:hAnsi="SimSun" w:cs="SimSun"/>
                <w:color w:val="000000"/>
                <w:spacing w:val="0"/>
                <w:w w:val="100"/>
                <w:position w:val="0"/>
                <w:sz w:val="15"/>
                <w:szCs w:val="15"/>
              </w:rPr>
              <w:t>其他权益</w:t>
            </w:r>
          </w:p>
          <w:p>
            <w:pPr>
              <w:pStyle w:val="Style29"/>
              <w:keepNext w:val="0"/>
              <w:keepLines w:val="0"/>
              <w:widowControl w:val="0"/>
              <w:shd w:val="clear" w:color="auto" w:fill="auto"/>
              <w:bidi w:val="0"/>
              <w:spacing w:before="0" w:after="0" w:line="240" w:lineRule="auto"/>
              <w:ind w:left="0" w:right="200" w:firstLine="0"/>
              <w:jc w:val="right"/>
              <w:rPr>
                <w:sz w:val="15"/>
                <w:szCs w:val="15"/>
              </w:rPr>
            </w:pPr>
            <w:r>
              <w:rPr>
                <w:rFonts w:ascii="SimSun" w:eastAsia="SimSun" w:hAnsi="SimSun" w:cs="SimSun"/>
                <w:color w:val="000000"/>
                <w:spacing w:val="0"/>
                <w:w w:val="100"/>
                <w:position w:val="0"/>
                <w:sz w:val="15"/>
                <w:szCs w:val="15"/>
              </w:rPr>
              <w:t>变动</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宣告发放</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现金股利</w:t>
            </w:r>
          </w:p>
          <w:p>
            <w:pPr>
              <w:pStyle w:val="Style29"/>
              <w:keepNext w:val="0"/>
              <w:keepLines w:val="0"/>
              <w:widowControl w:val="0"/>
              <w:shd w:val="clear" w:color="auto" w:fill="auto"/>
              <w:bidi w:val="0"/>
              <w:spacing w:before="0" w:after="0" w:line="240" w:lineRule="auto"/>
              <w:ind w:left="0" w:right="220" w:firstLine="0"/>
              <w:jc w:val="right"/>
              <w:rPr>
                <w:sz w:val="15"/>
                <w:szCs w:val="15"/>
              </w:rPr>
            </w:pPr>
            <w:r>
              <w:rPr>
                <w:rFonts w:ascii="SimSun" w:eastAsia="SimSun" w:hAnsi="SimSun" w:cs="SimSun"/>
                <w:color w:val="000000"/>
                <w:spacing w:val="0"/>
                <w:w w:val="100"/>
                <w:position w:val="0"/>
                <w:sz w:val="15"/>
                <w:szCs w:val="15"/>
              </w:rPr>
              <w:t>或利润</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80" w:firstLine="0"/>
              <w:jc w:val="right"/>
              <w:rPr>
                <w:sz w:val="15"/>
                <w:szCs w:val="15"/>
              </w:rPr>
            </w:pPr>
            <w:r>
              <w:rPr>
                <w:rFonts w:ascii="SimSun" w:eastAsia="SimSun" w:hAnsi="SimSun" w:cs="SimSun"/>
                <w:color w:val="000000"/>
                <w:spacing w:val="0"/>
                <w:w w:val="100"/>
                <w:position w:val="0"/>
                <w:sz w:val="15"/>
                <w:szCs w:val="15"/>
              </w:rPr>
              <w:t>计提</w:t>
            </w:r>
          </w:p>
          <w:p>
            <w:pPr>
              <w:pStyle w:val="Style29"/>
              <w:keepNext w:val="0"/>
              <w:keepLines w:val="0"/>
              <w:widowControl w:val="0"/>
              <w:shd w:val="clear" w:color="auto" w:fill="auto"/>
              <w:bidi w:val="0"/>
              <w:spacing w:before="0" w:after="0" w:line="240" w:lineRule="auto"/>
              <w:ind w:left="0" w:right="380" w:firstLine="0"/>
              <w:jc w:val="right"/>
              <w:rPr>
                <w:sz w:val="15"/>
                <w:szCs w:val="15"/>
              </w:rPr>
            </w:pPr>
            <w:r>
              <w:rPr>
                <w:rFonts w:ascii="SimSun" w:eastAsia="SimSun" w:hAnsi="SimSun" w:cs="SimSun"/>
                <w:color w:val="000000"/>
                <w:spacing w:val="0"/>
                <w:w w:val="100"/>
                <w:position w:val="0"/>
                <w:sz w:val="15"/>
                <w:szCs w:val="15"/>
              </w:rPr>
              <w:t>减值准备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rPr>
              <w:t>其他</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6"/>
                <w:szCs w:val="16"/>
              </w:rPr>
              <w:t xml:space="preserve">2021 </w:t>
            </w:r>
            <w:r>
              <w:rPr>
                <w:rFonts w:ascii="SimSun" w:eastAsia="SimSun" w:hAnsi="SimSun" w:cs="SimSun"/>
                <w:color w:val="000000"/>
                <w:spacing w:val="0"/>
                <w:w w:val="100"/>
                <w:position w:val="0"/>
                <w:sz w:val="15"/>
                <w:szCs w:val="15"/>
              </w:rPr>
              <w:t>年</w:t>
            </w:r>
          </w:p>
          <w:p>
            <w:pPr>
              <w:pStyle w:val="Style29"/>
              <w:keepNext w:val="0"/>
              <w:keepLines w:val="0"/>
              <w:widowControl w:val="0"/>
              <w:shd w:val="clear" w:color="auto" w:fill="auto"/>
              <w:bidi w:val="0"/>
              <w:spacing w:before="0" w:after="0" w:line="240" w:lineRule="auto"/>
              <w:ind w:left="0" w:right="320" w:firstLine="0"/>
              <w:jc w:val="right"/>
              <w:rPr>
                <w:sz w:val="15"/>
                <w:szCs w:val="15"/>
              </w:rPr>
            </w:pPr>
            <w:r>
              <w:rPr>
                <w:rFonts w:ascii="Arial" w:eastAsia="Arial" w:hAnsi="Arial" w:cs="Arial"/>
                <w:color w:val="000000"/>
                <w:spacing w:val="0"/>
                <w:w w:val="100"/>
                <w:position w:val="0"/>
                <w:sz w:val="16"/>
                <w:szCs w:val="16"/>
              </w:rPr>
              <w:t>12</w:t>
            </w:r>
            <w:r>
              <w:rPr>
                <w:rFonts w:ascii="SimSun" w:eastAsia="SimSun" w:hAnsi="SimSun" w:cs="SimSun"/>
                <w:color w:val="000000"/>
                <w:spacing w:val="0"/>
                <w:w w:val="100"/>
                <w:position w:val="0"/>
                <w:sz w:val="15"/>
                <w:szCs w:val="15"/>
              </w:rPr>
              <w:t>月</w:t>
            </w:r>
            <w:r>
              <w:rPr>
                <w:rFonts w:ascii="Arial" w:eastAsia="Arial" w:hAnsi="Arial" w:cs="Arial"/>
                <w:color w:val="000000"/>
                <w:spacing w:val="0"/>
                <w:w w:val="100"/>
                <w:position w:val="0"/>
                <w:sz w:val="16"/>
                <w:szCs w:val="16"/>
              </w:rPr>
              <w:t>31</w:t>
            </w:r>
            <w:r>
              <w:rPr>
                <w:rFonts w:ascii="SimSun" w:eastAsia="SimSun" w:hAnsi="SimSun" w:cs="SimSun"/>
                <w:color w:val="000000"/>
                <w:spacing w:val="0"/>
                <w:w w:val="100"/>
                <w:position w:val="0"/>
                <w:sz w:val="15"/>
                <w:szCs w:val="15"/>
              </w:rPr>
              <w:t>日</w:t>
            </w:r>
          </w:p>
        </w:tc>
        <w:tc>
          <w:tcPr>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right"/>
              <w:rPr>
                <w:sz w:val="15"/>
                <w:szCs w:val="15"/>
              </w:rPr>
            </w:pPr>
            <w:r>
              <w:rPr>
                <w:rFonts w:ascii="SimSun" w:eastAsia="SimSun" w:hAnsi="SimSun" w:cs="SimSun"/>
                <w:color w:val="000000"/>
                <w:spacing w:val="0"/>
                <w:w w:val="100"/>
                <w:position w:val="0"/>
                <w:sz w:val="15"/>
                <w:szCs w:val="15"/>
              </w:rPr>
              <w:t>减值准备</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年末余额</w:t>
            </w: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星图金服</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10,867,643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(3,548,358)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920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7,320,205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消费金融</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280,007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(45,121)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234,886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苏宁银行</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1,350,875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190,418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529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1,541,822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47,501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(51)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780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(30,675)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17,555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(30,675)</w:t>
            </w:r>
          </w:p>
        </w:tc>
      </w:tr>
      <w:tr>
        <w:trPr>
          <w:trHeight w:val="27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12,546,026</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(51)</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(3,402,281)</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529</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(30,675)</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920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9,114,468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(30,675)</w:t>
            </w:r>
          </w:p>
        </w:tc>
      </w:tr>
    </w:tbl>
    <w:p>
      <w:pPr>
        <w:sectPr>
          <w:footnotePr>
            <w:pos w:val="pageBottom"/>
            <w:numFmt w:val="decimal"/>
            <w:numStart w:val="1"/>
            <w:numRestart w:val="continuous"/>
            <w15:footnoteColumns w:val="1"/>
          </w:footnotePr>
          <w:pgSz w:w="16840" w:h="11900" w:orient="landscape"/>
          <w:pgMar w:top="2405" w:right="1440" w:bottom="2405" w:left="1714" w:header="0" w:footer="3" w:gutter="0"/>
          <w:cols w:space="720"/>
          <w:noEndnote/>
          <w:rtlGutter w:val="0"/>
          <w:docGrid w:linePitch="360"/>
        </w:sectPr>
      </w:pPr>
    </w:p>
    <w:p>
      <w:pPr>
        <w:pStyle w:val="Style72"/>
        <w:keepNext w:val="0"/>
        <w:keepLines w:val="0"/>
        <w:widowControl w:val="0"/>
        <w:shd w:val="clear" w:color="auto" w:fill="auto"/>
        <w:bidi w:val="0"/>
        <w:spacing w:before="0" w:after="280" w:line="240" w:lineRule="auto"/>
        <w:ind w:left="0" w:right="0" w:firstLine="0"/>
        <w:jc w:val="left"/>
        <w:rPr>
          <w:sz w:val="28"/>
          <w:szCs w:val="28"/>
        </w:rPr>
      </w:pPr>
      <w:r>
        <w:rPr>
          <w:b/>
          <w:bCs/>
          <w:color w:val="000000"/>
          <w:spacing w:val="0"/>
          <w:w w:val="100"/>
          <w:position w:val="0"/>
          <w:sz w:val="24"/>
          <w:szCs w:val="24"/>
        </w:rPr>
        <w:t>十六公司财务报表附注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701" w:val="left"/>
        </w:tabs>
        <w:bidi w:val="0"/>
        <w:spacing w:before="0" w:after="280" w:line="240" w:lineRule="auto"/>
        <w:ind w:left="0" w:right="0" w:firstLine="0"/>
        <w:jc w:val="left"/>
      </w:pPr>
      <w:r>
        <w:rPr>
          <w:rFonts w:ascii="Arial" w:eastAsia="Arial" w:hAnsi="Arial" w:cs="Arial"/>
          <w:color w:val="000000"/>
          <w:spacing w:val="0"/>
          <w:w w:val="100"/>
          <w:position w:val="0"/>
          <w:sz w:val="24"/>
          <w:szCs w:val="24"/>
        </w:rPr>
        <w:t>(5)</w:t>
        <w:tab/>
      </w:r>
      <w:r>
        <w:rPr>
          <w:b/>
          <w:bCs/>
          <w:color w:val="000000"/>
          <w:spacing w:val="0"/>
          <w:w w:val="100"/>
          <w:position w:val="0"/>
          <w:sz w:val="24"/>
          <w:szCs w:val="24"/>
        </w:rPr>
        <w:t>营业收入和营业成本</w:t>
      </w:r>
    </w:p>
    <w:tbl>
      <w:tblPr>
        <w:tblOverlap w:val="never"/>
        <w:jc w:val="right"/>
        <w:tblLayout w:type="fixed"/>
      </w:tblPr>
      <w:tblGrid>
        <w:gridCol w:w="2827"/>
        <w:gridCol w:w="3163"/>
        <w:gridCol w:w="2074"/>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主营业务收入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24"/>
                <w:szCs w:val="24"/>
              </w:rPr>
            </w:pPr>
            <w:r>
              <w:rPr>
                <w:rFonts w:ascii="Arial" w:eastAsia="Arial" w:hAnsi="Arial" w:cs="Arial"/>
                <w:color w:val="000000"/>
                <w:spacing w:val="0"/>
                <w:w w:val="100"/>
                <w:position w:val="0"/>
                <w:sz w:val="24"/>
                <w:szCs w:val="24"/>
              </w:rPr>
              <w:t>92,679,181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167,507,440</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其他业务收入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24"/>
                <w:szCs w:val="24"/>
              </w:rPr>
            </w:pPr>
            <w:r>
              <w:rPr>
                <w:rFonts w:ascii="Arial" w:eastAsia="Arial" w:hAnsi="Arial" w:cs="Arial"/>
                <w:color w:val="000000"/>
                <w:spacing w:val="0"/>
                <w:w w:val="100"/>
                <w:position w:val="0"/>
                <w:sz w:val="24"/>
                <w:szCs w:val="24"/>
              </w:rPr>
              <w:t>2,597,958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24"/>
                <w:szCs w:val="24"/>
              </w:rPr>
            </w:pPr>
            <w:r>
              <w:rPr>
                <w:rFonts w:ascii="Arial" w:eastAsia="Arial" w:hAnsi="Arial" w:cs="Arial"/>
                <w:color w:val="000000"/>
                <w:spacing w:val="0"/>
                <w:w w:val="100"/>
                <w:position w:val="0"/>
                <w:sz w:val="24"/>
                <w:szCs w:val="24"/>
              </w:rPr>
              <w:t>3,987,819</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24"/>
                <w:szCs w:val="24"/>
              </w:rPr>
            </w:pPr>
            <w:r>
              <w:rPr>
                <w:rFonts w:ascii="Arial" w:eastAsia="Arial" w:hAnsi="Arial" w:cs="Arial"/>
                <w:color w:val="000000"/>
                <w:spacing w:val="0"/>
                <w:w w:val="100"/>
                <w:position w:val="0"/>
                <w:sz w:val="24"/>
                <w:szCs w:val="24"/>
              </w:rPr>
              <w:t>95,277,139</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171,495,259</w:t>
            </w:r>
          </w:p>
        </w:tc>
      </w:tr>
    </w:tbl>
    <w:p>
      <w:pPr>
        <w:widowControl w:val="0"/>
        <w:spacing w:after="279" w:line="1" w:lineRule="exact"/>
      </w:pPr>
    </w:p>
    <w:p>
      <w:pPr>
        <w:pStyle w:val="Style92"/>
        <w:keepNext w:val="0"/>
        <w:keepLines w:val="0"/>
        <w:widowControl w:val="0"/>
        <w:shd w:val="clear" w:color="auto" w:fill="auto"/>
        <w:tabs>
          <w:tab w:pos="2491" w:val="left"/>
        </w:tabs>
        <w:bidi w:val="0"/>
        <w:spacing w:before="0" w:after="280" w:line="240" w:lineRule="auto"/>
        <w:ind w:left="0" w:right="140" w:firstLine="0"/>
        <w:jc w:val="right"/>
      </w:pPr>
      <w:r>
        <w:rPr>
          <w:color w:val="000000"/>
          <w:spacing w:val="0"/>
          <w:w w:val="100"/>
          <w:position w:val="0"/>
          <w:sz w:val="24"/>
          <w:szCs w:val="24"/>
        </w:rPr>
        <w:t>2021</w:t>
      </w:r>
      <w:r>
        <w:rPr>
          <w:rFonts w:ascii="SimSun" w:eastAsia="SimSun" w:hAnsi="SimSun" w:cs="SimSun"/>
          <w:color w:val="000000"/>
          <w:spacing w:val="0"/>
          <w:w w:val="100"/>
          <w:position w:val="0"/>
          <w:sz w:val="24"/>
          <w:szCs w:val="24"/>
        </w:rPr>
        <w:t>年度</w:t>
        <w:tab/>
      </w:r>
      <w:r>
        <w:rPr>
          <w:color w:val="000000"/>
          <w:spacing w:val="0"/>
          <w:w w:val="100"/>
          <w:position w:val="0"/>
          <w:sz w:val="24"/>
          <w:szCs w:val="24"/>
        </w:rPr>
        <w:t>2020</w:t>
      </w:r>
      <w:r>
        <w:rPr>
          <w:rFonts w:ascii="SimSun" w:eastAsia="SimSun" w:hAnsi="SimSun" w:cs="SimSun"/>
          <w:color w:val="000000"/>
          <w:spacing w:val="0"/>
          <w:w w:val="100"/>
          <w:position w:val="0"/>
          <w:sz w:val="24"/>
          <w:szCs w:val="24"/>
        </w:rPr>
        <w:t>年度</w:t>
      </w:r>
    </w:p>
    <w:tbl>
      <w:tblPr>
        <w:tblOverlap w:val="never"/>
        <w:jc w:val="right"/>
        <w:tblLayout w:type="fixed"/>
      </w:tblPr>
      <w:tblGrid>
        <w:gridCol w:w="2827"/>
        <w:gridCol w:w="3163"/>
        <w:gridCol w:w="2074"/>
      </w:tblGrid>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主营业务成本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24"/>
                <w:szCs w:val="24"/>
              </w:rPr>
            </w:pPr>
            <w:r>
              <w:rPr>
                <w:rFonts w:ascii="Arial" w:eastAsia="Arial" w:hAnsi="Arial" w:cs="Arial"/>
                <w:color w:val="000000"/>
                <w:spacing w:val="0"/>
                <w:w w:val="100"/>
                <w:position w:val="0"/>
                <w:sz w:val="24"/>
                <w:szCs w:val="24"/>
              </w:rPr>
              <w:t>94,875,287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163,951,375</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其他业务成本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rPr>
                <w:sz w:val="24"/>
                <w:szCs w:val="24"/>
              </w:rPr>
            </w:pPr>
            <w:r>
              <w:rPr>
                <w:rFonts w:ascii="Arial" w:eastAsia="Arial" w:hAnsi="Arial" w:cs="Arial"/>
                <w:color w:val="000000"/>
                <w:spacing w:val="0"/>
                <w:w w:val="100"/>
                <w:position w:val="0"/>
                <w:sz w:val="24"/>
                <w:szCs w:val="24"/>
              </w:rPr>
              <w:t>26,224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4"/>
                <w:szCs w:val="24"/>
              </w:rPr>
            </w:pPr>
            <w:r>
              <w:rPr>
                <w:rFonts w:ascii="Arial" w:eastAsia="Arial" w:hAnsi="Arial" w:cs="Arial"/>
                <w:color w:val="000000"/>
                <w:spacing w:val="0"/>
                <w:w w:val="100"/>
                <w:position w:val="0"/>
                <w:sz w:val="24"/>
                <w:szCs w:val="24"/>
              </w:rPr>
              <w:t>22,836</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24"/>
                <w:szCs w:val="24"/>
              </w:rPr>
            </w:pPr>
            <w:r>
              <w:rPr>
                <w:rFonts w:ascii="Arial" w:eastAsia="Arial" w:hAnsi="Arial" w:cs="Arial"/>
                <w:color w:val="000000"/>
                <w:spacing w:val="0"/>
                <w:w w:val="100"/>
                <w:position w:val="0"/>
                <w:sz w:val="24"/>
                <w:szCs w:val="24"/>
              </w:rPr>
              <w:t>94,901,511</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163,974,211</w:t>
            </w:r>
          </w:p>
        </w:tc>
      </w:tr>
    </w:tbl>
    <w:p>
      <w:pPr>
        <w:widowControl w:val="0"/>
        <w:spacing w:after="279" w:line="1" w:lineRule="exact"/>
      </w:pPr>
    </w:p>
    <w:p>
      <w:pPr>
        <w:pStyle w:val="Style72"/>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 xml:space="preserve">(a) </w:t>
      </w:r>
      <w:r>
        <w:rPr>
          <w:color w:val="000000"/>
          <w:spacing w:val="0"/>
          <w:w w:val="100"/>
          <w:position w:val="0"/>
          <w:sz w:val="24"/>
          <w:szCs w:val="24"/>
        </w:rPr>
        <w:t>主营业务收入和主营业务成本</w:t>
      </w:r>
    </w:p>
    <w:p>
      <w:pPr>
        <w:pStyle w:val="Style72"/>
        <w:keepNext w:val="0"/>
        <w:keepLines w:val="0"/>
        <w:widowControl w:val="0"/>
        <w:shd w:val="clear" w:color="auto" w:fill="auto"/>
        <w:bidi w:val="0"/>
        <w:spacing w:before="0" w:after="280" w:line="240" w:lineRule="auto"/>
        <w:ind w:left="0" w:right="0" w:firstLine="700"/>
        <w:jc w:val="left"/>
      </w:pPr>
      <w:r>
        <w:rPr>
          <w:color w:val="000000"/>
          <w:spacing w:val="0"/>
          <w:w w:val="100"/>
          <w:position w:val="0"/>
          <w:sz w:val="24"/>
          <w:szCs w:val="24"/>
        </w:rPr>
        <w:t>按行业分析如下：</w:t>
      </w:r>
    </w:p>
    <w:p>
      <w:pPr>
        <w:pStyle w:val="Style26"/>
        <w:keepNext w:val="0"/>
        <w:keepLines w:val="0"/>
        <w:widowControl w:val="0"/>
        <w:shd w:val="clear" w:color="auto" w:fill="auto"/>
        <w:tabs>
          <w:tab w:pos="6130" w:val="left"/>
        </w:tabs>
        <w:bidi w:val="0"/>
        <w:spacing w:before="0" w:after="0" w:line="240" w:lineRule="auto"/>
        <w:ind w:left="3077" w:right="0" w:firstLine="0"/>
        <w:jc w:val="left"/>
        <w:rPr>
          <w:sz w:val="18"/>
          <w:szCs w:val="18"/>
        </w:rPr>
      </w:pPr>
      <w:r>
        <w:rPr>
          <w:rFonts w:ascii="Arial" w:eastAsia="Arial" w:hAnsi="Arial" w:cs="Arial"/>
          <w:color w:val="000000"/>
          <w:spacing w:val="0"/>
          <w:w w:val="100"/>
          <w:position w:val="0"/>
          <w:sz w:val="18"/>
          <w:szCs w:val="18"/>
        </w:rPr>
        <w:t>2021</w:t>
      </w:r>
      <w:r>
        <w:rPr>
          <w:color w:val="000000"/>
          <w:spacing w:val="0"/>
          <w:w w:val="100"/>
          <w:position w:val="0"/>
          <w:sz w:val="18"/>
          <w:szCs w:val="18"/>
        </w:rPr>
        <w:t>年度</w:t>
        <w:tab/>
      </w:r>
      <w:r>
        <w:rPr>
          <w:rFonts w:ascii="Arial" w:eastAsia="Arial" w:hAnsi="Arial" w:cs="Arial"/>
          <w:color w:val="000000"/>
          <w:spacing w:val="0"/>
          <w:w w:val="100"/>
          <w:position w:val="0"/>
          <w:sz w:val="18"/>
          <w:szCs w:val="18"/>
        </w:rPr>
        <w:t>2020</w:t>
      </w:r>
      <w:r>
        <w:rPr>
          <w:color w:val="000000"/>
          <w:spacing w:val="0"/>
          <w:w w:val="100"/>
          <w:position w:val="0"/>
          <w:sz w:val="18"/>
          <w:szCs w:val="18"/>
        </w:rPr>
        <w:t>年度</w:t>
      </w:r>
    </w:p>
    <w:tbl>
      <w:tblPr>
        <w:tblOverlap w:val="never"/>
        <w:jc w:val="right"/>
        <w:tblLayout w:type="fixed"/>
      </w:tblPr>
      <w:tblGrid>
        <w:gridCol w:w="1690"/>
        <w:gridCol w:w="1882"/>
        <w:gridCol w:w="1531"/>
        <w:gridCol w:w="1531"/>
        <w:gridCol w:w="1435"/>
      </w:tblGrid>
      <w:tr>
        <w:trPr>
          <w:trHeight w:val="389"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主营业务收入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主营业务成本</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主营业务收入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主营业务成本</w:t>
            </w: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零售批发行业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92,403,184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94,622,129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167,257,489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163,766,279</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安装维修行业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177,567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207,137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136,600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114,658</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其他行业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98,430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46,021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113,351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70,438</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92,679,181</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94,875,287</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167,507,440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163,951,375</w:t>
            </w:r>
          </w:p>
        </w:tc>
      </w:tr>
    </w:tbl>
    <w:p>
      <w:pPr>
        <w:sectPr>
          <w:footnotePr>
            <w:pos w:val="pageBottom"/>
            <w:numFmt w:val="decimal"/>
            <w:numStart w:val="1"/>
            <w:numRestart w:val="continuous"/>
            <w15:footnoteColumns w:val="1"/>
          </w:footnotePr>
          <w:pgSz w:w="11900" w:h="16840"/>
          <w:pgMar w:top="2410" w:right="1407" w:bottom="2410" w:left="1709" w:header="0" w:footer="3" w:gutter="0"/>
          <w:cols w:space="720"/>
          <w:noEndnote/>
          <w:rtlGutter w:val="0"/>
          <w:docGrid w:linePitch="360"/>
        </w:sectPr>
      </w:pPr>
    </w:p>
    <w:p>
      <w:pPr>
        <w:pStyle w:val="Style72"/>
        <w:keepNext w:val="0"/>
        <w:keepLines w:val="0"/>
        <w:widowControl w:val="0"/>
        <w:shd w:val="clear" w:color="auto" w:fill="auto"/>
        <w:bidi w:val="0"/>
        <w:spacing w:before="0" w:after="300" w:line="240" w:lineRule="auto"/>
        <w:ind w:left="0" w:right="0" w:firstLine="0"/>
        <w:jc w:val="left"/>
        <w:rPr>
          <w:sz w:val="28"/>
          <w:szCs w:val="28"/>
        </w:rPr>
      </w:pPr>
      <w:r>
        <mc:AlternateContent>
          <mc:Choice Requires="wps">
            <w:drawing>
              <wp:anchor distT="0" distB="0" distL="114300" distR="114300" simplePos="0" relativeHeight="125829492" behindDoc="0" locked="0" layoutInCell="1" allowOverlap="1">
                <wp:simplePos x="0" y="0"/>
                <wp:positionH relativeFrom="page">
                  <wp:posOffset>1005205</wp:posOffset>
                </wp:positionH>
                <wp:positionV relativeFrom="paragraph">
                  <wp:posOffset>12700</wp:posOffset>
                </wp:positionV>
                <wp:extent cx="326390" cy="938530"/>
                <wp:wrapSquare wrapText="bothSides"/>
                <wp:docPr id="142" name="Shape 142"/>
                <a:graphic xmlns:a="http://schemas.openxmlformats.org/drawingml/2006/main">
                  <a:graphicData uri="http://schemas.microsoft.com/office/word/2010/wordprocessingShape">
                    <wps:wsp>
                      <wps:cNvSpPr txBox="1"/>
                      <wps:spPr>
                        <a:xfrm>
                          <a:ext cx="326390" cy="938530"/>
                        </a:xfrm>
                        <a:prstGeom prst="rect"/>
                        <a:noFill/>
                      </wps:spPr>
                      <wps:txbx>
                        <w:txbxContent>
                          <w:p>
                            <w:pPr>
                              <w:pStyle w:val="Style7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rPr>
                              <w:t>十六</w:t>
                            </w:r>
                          </w:p>
                          <w:p>
                            <w:pPr>
                              <w:pStyle w:val="Style9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rPr>
                              <w:t>(5)</w:t>
                            </w:r>
                          </w:p>
                          <w:p>
                            <w:pPr>
                              <w:pStyle w:val="Style92"/>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rPr>
                              <w:t>(a)</w:t>
                            </w:r>
                          </w:p>
                        </w:txbxContent>
                      </wps:txbx>
                      <wps:bodyPr lIns="0" tIns="0" rIns="0" bIns="0">
                        <a:noAutoFit/>
                      </wps:bodyPr>
                    </wps:wsp>
                  </a:graphicData>
                </a:graphic>
              </wp:anchor>
            </w:drawing>
          </mc:Choice>
          <mc:Fallback>
            <w:pict>
              <v:shape id="_x0000_s1168" type="#_x0000_t202" style="position:absolute;margin-left:79.150000000000006pt;margin-top:1.pt;width:25.699999999999999pt;height:73.900000000000006pt;z-index:-125829261;mso-wrap-distance-left:9.pt;mso-wrap-distance-right:9.pt;mso-position-horizontal-relative:page" filled="f" stroked="f">
                <v:textbox inset="0,0,0,0">
                  <w:txbxContent>
                    <w:p>
                      <w:pPr>
                        <w:pStyle w:val="Style72"/>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rPr>
                        <w:t>十六</w:t>
                      </w:r>
                    </w:p>
                    <w:p>
                      <w:pPr>
                        <w:pStyle w:val="Style92"/>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rPr>
                        <w:t>(5)</w:t>
                      </w:r>
                    </w:p>
                    <w:p>
                      <w:pPr>
                        <w:pStyle w:val="Style92"/>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rPr>
                        <w:t>(a)</w:t>
                      </w:r>
                    </w:p>
                  </w:txbxContent>
                </v:textbox>
                <w10:wrap type="square" anchorx="page"/>
              </v:shape>
            </w:pict>
          </mc:Fallback>
        </mc:AlternateContent>
      </w:r>
      <w:r>
        <w:rPr>
          <w:b/>
          <w:bCs/>
          <w:color w:val="000000"/>
          <w:spacing w:val="0"/>
          <w:w w:val="100"/>
          <w:position w:val="0"/>
          <w:sz w:val="24"/>
          <w:szCs w:val="24"/>
        </w:rPr>
        <w:t>公司财务报表附注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营业收入和营业成本</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主营业务收入和主营业务成本</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p>
    <w:p>
      <w:pPr>
        <w:pStyle w:val="Style72"/>
        <w:keepNext w:val="0"/>
        <w:keepLines w:val="0"/>
        <w:widowControl w:val="0"/>
        <w:shd w:val="clear" w:color="auto" w:fill="auto"/>
        <w:bidi w:val="0"/>
        <w:spacing w:before="0" w:after="300" w:line="240" w:lineRule="auto"/>
        <w:ind w:left="0" w:right="0" w:firstLine="700"/>
        <w:jc w:val="left"/>
      </w:pPr>
      <w:r>
        <w:rPr>
          <w:color w:val="000000"/>
          <w:spacing w:val="0"/>
          <w:w w:val="100"/>
          <w:position w:val="0"/>
          <w:sz w:val="24"/>
          <w:szCs w:val="24"/>
        </w:rPr>
        <w:t>按产品分析如下:</w:t>
      </w:r>
    </w:p>
    <w:p>
      <w:pPr>
        <w:widowControl w:val="0"/>
        <w:spacing w:line="1" w:lineRule="exact"/>
      </w:pPr>
      <w:r>
        <mc:AlternateContent>
          <mc:Choice Requires="wps">
            <w:drawing>
              <wp:anchor distT="117475" distB="0" distL="0" distR="0" simplePos="0" relativeHeight="125829494" behindDoc="0" locked="0" layoutInCell="1" allowOverlap="1">
                <wp:simplePos x="0" y="0"/>
                <wp:positionH relativeFrom="page">
                  <wp:posOffset>1005205</wp:posOffset>
                </wp:positionH>
                <wp:positionV relativeFrom="paragraph">
                  <wp:posOffset>117475</wp:posOffset>
                </wp:positionV>
                <wp:extent cx="207010" cy="191770"/>
                <wp:wrapTopAndBottom/>
                <wp:docPr id="144" name="Shape 144"/>
                <a:graphic xmlns:a="http://schemas.openxmlformats.org/drawingml/2006/main">
                  <a:graphicData uri="http://schemas.microsoft.com/office/word/2010/wordprocessingShape">
                    <wps:wsp>
                      <wps:cNvSpPr txBox="1"/>
                      <wps:spPr>
                        <a:xfrm>
                          <a:ext cx="207010" cy="19177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p>
                        </w:txbxContent>
                      </wps:txbx>
                      <wps:bodyPr wrap="none" lIns="0" tIns="0" rIns="0" bIns="0">
                        <a:noAutoFit/>
                      </wps:bodyPr>
                    </wps:wsp>
                  </a:graphicData>
                </a:graphic>
              </wp:anchor>
            </w:drawing>
          </mc:Choice>
          <mc:Fallback>
            <w:pict>
              <v:shape id="_x0000_s1170" type="#_x0000_t202" style="position:absolute;margin-left:79.150000000000006pt;margin-top:9.25pt;width:16.300000000000001pt;height:15.1pt;z-index:-125829259;mso-wrap-distance-left:0;mso-wrap-distance-top:9.25pt;mso-wrap-distance-right:0;mso-position-horizontal-relative:page" filled="f" stroked="f">
                <v:textbox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p>
                  </w:txbxContent>
                </v:textbox>
                <w10:wrap type="topAndBottom" anchorx="page"/>
              </v:shape>
            </w:pict>
          </mc:Fallback>
        </mc:AlternateContent>
      </w:r>
      <w:r>
        <mc:AlternateContent>
          <mc:Choice Requires="wps">
            <w:drawing>
              <wp:anchor distT="114300" distB="5715" distL="0" distR="0" simplePos="0" relativeHeight="125829496" behindDoc="0" locked="0" layoutInCell="1" allowOverlap="1">
                <wp:simplePos x="0" y="0"/>
                <wp:positionH relativeFrom="page">
                  <wp:posOffset>1462405</wp:posOffset>
                </wp:positionH>
                <wp:positionV relativeFrom="paragraph">
                  <wp:posOffset>114300</wp:posOffset>
                </wp:positionV>
                <wp:extent cx="2002790" cy="189230"/>
                <wp:wrapTopAndBottom/>
                <wp:docPr id="146" name="Shape 146"/>
                <a:graphic xmlns:a="http://schemas.openxmlformats.org/drawingml/2006/main">
                  <a:graphicData uri="http://schemas.microsoft.com/office/word/2010/wordprocessingShape">
                    <wps:wsp>
                      <wps:cNvSpPr txBox="1"/>
                      <wps:spPr>
                        <a:xfrm>
                          <a:ext cx="2002790" cy="18923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其他业务收入和其他业务成本</w:t>
                            </w:r>
                          </w:p>
                        </w:txbxContent>
                      </wps:txbx>
                      <wps:bodyPr wrap="none" lIns="0" tIns="0" rIns="0" bIns="0">
                        <a:noAutoFit/>
                      </wps:bodyPr>
                    </wps:wsp>
                  </a:graphicData>
                </a:graphic>
              </wp:anchor>
            </w:drawing>
          </mc:Choice>
          <mc:Fallback>
            <w:pict>
              <v:shape id="_x0000_s1172" type="#_x0000_t202" style="position:absolute;margin-left:115.15000000000001pt;margin-top:9.pt;width:157.70000000000002pt;height:14.9pt;z-index:-125829257;mso-wrap-distance-left:0;mso-wrap-distance-top:9.pt;mso-wrap-distance-right:0;mso-wrap-distance-bottom:0.45000000000000001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其他业务收入和其他业务成本</w:t>
                      </w:r>
                    </w:p>
                  </w:txbxContent>
                </v:textbox>
                <w10:wrap type="topAndBottom" anchorx="page"/>
              </v:shape>
            </w:pict>
          </mc:Fallback>
        </mc:AlternateContent>
      </w:r>
    </w:p>
    <w:p>
      <w:pPr>
        <w:pStyle w:val="Style26"/>
        <w:keepNext w:val="0"/>
        <w:keepLines w:val="0"/>
        <w:widowControl w:val="0"/>
        <w:shd w:val="clear" w:color="auto" w:fill="auto"/>
        <w:tabs>
          <w:tab w:pos="6130" w:val="left"/>
        </w:tabs>
        <w:bidi w:val="0"/>
        <w:spacing w:before="0" w:after="0" w:line="240" w:lineRule="auto"/>
        <w:ind w:left="3077" w:right="0" w:firstLine="0"/>
        <w:jc w:val="left"/>
        <w:rPr>
          <w:sz w:val="18"/>
          <w:szCs w:val="18"/>
        </w:rPr>
      </w:pPr>
      <w:r>
        <w:rPr>
          <w:rFonts w:ascii="Arial" w:eastAsia="Arial" w:hAnsi="Arial" w:cs="Arial"/>
          <w:color w:val="000000"/>
          <w:spacing w:val="0"/>
          <w:w w:val="100"/>
          <w:position w:val="0"/>
          <w:sz w:val="18"/>
          <w:szCs w:val="18"/>
        </w:rPr>
        <w:t>2021</w:t>
      </w:r>
      <w:r>
        <w:rPr>
          <w:color w:val="000000"/>
          <w:spacing w:val="0"/>
          <w:w w:val="100"/>
          <w:position w:val="0"/>
          <w:sz w:val="18"/>
          <w:szCs w:val="18"/>
        </w:rPr>
        <w:t>年度</w:t>
        <w:tab/>
      </w:r>
      <w:r>
        <w:rPr>
          <w:rFonts w:ascii="Arial" w:eastAsia="Arial" w:hAnsi="Arial" w:cs="Arial"/>
          <w:color w:val="000000"/>
          <w:spacing w:val="0"/>
          <w:w w:val="100"/>
          <w:position w:val="0"/>
          <w:sz w:val="18"/>
          <w:szCs w:val="18"/>
        </w:rPr>
        <w:t>2020</w:t>
      </w:r>
      <w:r>
        <w:rPr>
          <w:color w:val="000000"/>
          <w:spacing w:val="0"/>
          <w:w w:val="100"/>
          <w:position w:val="0"/>
          <w:sz w:val="18"/>
          <w:szCs w:val="18"/>
        </w:rPr>
        <w:t>年度</w:t>
      </w:r>
    </w:p>
    <w:tbl>
      <w:tblPr>
        <w:tblOverlap w:val="never"/>
        <w:jc w:val="right"/>
        <w:tblLayout w:type="fixed"/>
      </w:tblPr>
      <w:tblGrid>
        <w:gridCol w:w="1704"/>
        <w:gridCol w:w="1858"/>
        <w:gridCol w:w="1531"/>
        <w:gridCol w:w="1531"/>
        <w:gridCol w:w="1445"/>
      </w:tblGrid>
      <w:tr>
        <w:trPr>
          <w:trHeight w:val="37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主营业务收入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主营业务成本</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主营业务收入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主营业务成本</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通讯产品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21,589,728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21,646,926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43,178,204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42,914,777</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小家电产品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17,851,630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17,960,330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33,026,900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31,819,141</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白色电器产品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15,146,664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15,456,500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22,212,865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21,556,323</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空调产品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11,998,319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12,632,789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19,552,280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18,961,487</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数码及</w:t>
            </w:r>
            <w:r>
              <w:rPr>
                <w:rFonts w:ascii="Arial" w:eastAsia="Arial" w:hAnsi="Arial" w:cs="Arial"/>
                <w:color w:val="000000"/>
                <w:spacing w:val="0"/>
                <w:w w:val="100"/>
                <w:position w:val="0"/>
                <w:sz w:val="18"/>
                <w:szCs w:val="18"/>
              </w:rPr>
              <w:t>IT</w:t>
            </w:r>
            <w:r>
              <w:rPr>
                <w:rFonts w:ascii="SimSun" w:eastAsia="SimSun" w:hAnsi="SimSun" w:cs="SimSun"/>
                <w:color w:val="000000"/>
                <w:spacing w:val="0"/>
                <w:w w:val="100"/>
                <w:position w:val="0"/>
                <w:sz w:val="18"/>
                <w:szCs w:val="18"/>
              </w:rPr>
              <w:t>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10,457,270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10,623,585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17,581,932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17,487,600</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黑色电器产品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9,896,641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10,527,302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17,454,698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17,220,992</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日用百货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5,462,932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5,774,697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14,250,610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13,805,959</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安装维修业务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177,567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207,137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136,600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114,658</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其他行业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98,430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46,021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113,351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70,438</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92,679,181</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94,875,287</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167,507,440</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163,951,375</w:t>
            </w:r>
          </w:p>
        </w:tc>
      </w:tr>
    </w:tbl>
    <w:p>
      <w:pPr>
        <w:widowControl w:val="0"/>
        <w:spacing w:line="1" w:lineRule="exact"/>
      </w:pPr>
    </w:p>
    <w:tbl>
      <w:tblPr>
        <w:tblOverlap w:val="never"/>
        <w:jc w:val="right"/>
        <w:tblLayout w:type="fixed"/>
      </w:tblPr>
      <w:tblGrid>
        <w:gridCol w:w="1944"/>
        <w:gridCol w:w="1565"/>
        <w:gridCol w:w="1574"/>
        <w:gridCol w:w="1536"/>
        <w:gridCol w:w="1450"/>
      </w:tblGrid>
      <w:tr>
        <w:trPr>
          <w:trHeight w:val="230"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2021</w:t>
            </w:r>
            <w:r>
              <w:rPr>
                <w:rFonts w:ascii="SimSun" w:eastAsia="SimSun" w:hAnsi="SimSun" w:cs="SimSun"/>
                <w:color w:val="000000"/>
                <w:spacing w:val="0"/>
                <w:w w:val="100"/>
                <w:position w:val="0"/>
                <w:sz w:val="18"/>
                <w:szCs w:val="18"/>
              </w:rPr>
              <w:t>年度</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r>
      <w:tr>
        <w:trPr>
          <w:trHeight w:val="374"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其他业务收入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其他业务成本</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其他业务收入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其他业务成本</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连锁店服务收入</w:t>
            </w:r>
            <w:r>
              <w:rPr>
                <w:rFonts w:ascii="Arial" w:eastAsia="Arial" w:hAnsi="Arial" w:cs="Arial"/>
                <w:color w:val="000000"/>
                <w:spacing w:val="0"/>
                <w:w w:val="100"/>
                <w:position w:val="0"/>
                <w:sz w:val="18"/>
                <w:szCs w:val="18"/>
              </w:rPr>
              <w:t>（i）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2,003,511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3,508,964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信息技术服务费收入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322,791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254,685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租金收入</w:t>
            </w:r>
            <w:r>
              <w:rPr>
                <w:rFonts w:ascii="Arial" w:eastAsia="Arial" w:hAnsi="Arial" w:cs="Arial"/>
                <w:color w:val="000000"/>
                <w:spacing w:val="0"/>
                <w:w w:val="100"/>
                <w:position w:val="0"/>
                <w:sz w:val="18"/>
                <w:szCs w:val="18"/>
              </w:rPr>
              <w:t>（ii）</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271,656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26,224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224,170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22,836</w:t>
            </w:r>
          </w:p>
        </w:tc>
      </w:tr>
      <w:tr>
        <w:trPr>
          <w:trHeight w:val="2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2,597,958</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26,224</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3,987,819</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22,836</w:t>
            </w:r>
          </w:p>
        </w:tc>
      </w:tr>
    </w:tbl>
    <w:p>
      <w:pPr>
        <w:widowControl w:val="0"/>
        <w:spacing w:after="239" w:line="1" w:lineRule="exact"/>
      </w:pPr>
    </w:p>
    <w:p>
      <w:pPr>
        <w:pStyle w:val="Style72"/>
        <w:keepNext w:val="0"/>
        <w:keepLines w:val="0"/>
        <w:widowControl w:val="0"/>
        <w:shd w:val="clear" w:color="auto" w:fill="auto"/>
        <w:bidi w:val="0"/>
        <w:spacing w:before="0" w:after="0" w:line="307" w:lineRule="exact"/>
        <w:ind w:left="700" w:right="0" w:firstLine="20"/>
        <w:jc w:val="both"/>
      </w:pPr>
      <w:r>
        <w:rPr>
          <w:color w:val="000000"/>
          <w:spacing w:val="0"/>
          <w:w w:val="100"/>
          <w:position w:val="0"/>
          <w:sz w:val="24"/>
          <w:szCs w:val="24"/>
        </w:rPr>
        <w:t>连锁店服务收入主要包括向客户收取的广告及展示服务收入和商品展示位收 入等。</w:t>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十六公司财务报表附注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tabs>
          <w:tab w:pos="688" w:val="left"/>
        </w:tabs>
        <w:bidi w:val="0"/>
        <w:spacing w:before="0" w:after="300" w:line="240" w:lineRule="auto"/>
        <w:ind w:left="0" w:right="0" w:firstLine="0"/>
        <w:jc w:val="left"/>
        <w:rPr>
          <w:sz w:val="28"/>
          <w:szCs w:val="28"/>
        </w:rPr>
      </w:pPr>
      <w:r>
        <w:rPr>
          <w:rFonts w:ascii="Arial" w:eastAsia="Arial" w:hAnsi="Arial" w:cs="Arial"/>
          <w:color w:val="000000"/>
          <w:spacing w:val="0"/>
          <w:w w:val="100"/>
          <w:position w:val="0"/>
          <w:sz w:val="24"/>
          <w:szCs w:val="24"/>
        </w:rPr>
        <w:t>(5)</w:t>
        <w:tab/>
      </w:r>
      <w:r>
        <w:rPr>
          <w:b/>
          <w:bCs/>
          <w:color w:val="000000"/>
          <w:spacing w:val="0"/>
          <w:w w:val="100"/>
          <w:position w:val="0"/>
          <w:sz w:val="24"/>
          <w:szCs w:val="24"/>
        </w:rPr>
        <w:t>营业收入和营业成本</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numPr>
          <w:ilvl w:val="0"/>
          <w:numId w:val="141"/>
        </w:numPr>
        <w:shd w:val="clear" w:color="auto" w:fill="auto"/>
        <w:tabs>
          <w:tab w:pos="688" w:val="left"/>
        </w:tabs>
        <w:bidi w:val="0"/>
        <w:spacing w:before="0" w:after="220" w:line="240" w:lineRule="auto"/>
        <w:ind w:left="0" w:right="0" w:firstLine="0"/>
        <w:jc w:val="left"/>
      </w:pPr>
      <w:bookmarkStart w:id="995" w:name="bookmark995"/>
      <w:bookmarkEnd w:id="995"/>
      <w:r>
        <w:rPr>
          <w:color w:val="000000"/>
          <w:spacing w:val="0"/>
          <w:w w:val="100"/>
          <w:position w:val="0"/>
          <w:sz w:val="24"/>
          <w:szCs w:val="24"/>
        </w:rPr>
        <w:t>本公司营业收入分解如下：</w:t>
      </w:r>
    </w:p>
    <w:p>
      <w:pPr>
        <w:pStyle w:val="Style26"/>
        <w:keepNext w:val="0"/>
        <w:keepLines w:val="0"/>
        <w:widowControl w:val="0"/>
        <w:shd w:val="clear" w:color="auto" w:fill="auto"/>
        <w:bidi w:val="0"/>
        <w:spacing w:before="0" w:after="0" w:line="240" w:lineRule="auto"/>
        <w:ind w:left="4714" w:right="0" w:firstLine="0"/>
        <w:jc w:val="left"/>
        <w:rPr>
          <w:sz w:val="18"/>
          <w:szCs w:val="18"/>
        </w:rPr>
      </w:pPr>
      <w:r>
        <w:rPr>
          <w:rFonts w:ascii="Arial" w:eastAsia="Arial" w:hAnsi="Arial" w:cs="Arial"/>
          <w:color w:val="000000"/>
          <w:spacing w:val="0"/>
          <w:w w:val="100"/>
          <w:position w:val="0"/>
          <w:sz w:val="18"/>
          <w:szCs w:val="18"/>
        </w:rPr>
        <w:t>2021</w:t>
      </w:r>
      <w:r>
        <w:rPr>
          <w:color w:val="000000"/>
          <w:spacing w:val="0"/>
          <w:w w:val="100"/>
          <w:position w:val="0"/>
          <w:sz w:val="18"/>
          <w:szCs w:val="18"/>
        </w:rPr>
        <w:t>年度</w:t>
      </w:r>
    </w:p>
    <w:tbl>
      <w:tblPr>
        <w:tblOverlap w:val="never"/>
        <w:jc w:val="right"/>
        <w:tblLayout w:type="fixed"/>
      </w:tblPr>
      <w:tblGrid>
        <w:gridCol w:w="2285"/>
        <w:gridCol w:w="1430"/>
        <w:gridCol w:w="1594"/>
        <w:gridCol w:w="1421"/>
        <w:gridCol w:w="1334"/>
      </w:tblGrid>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零售业务</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安装维修服务</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SimSun" w:eastAsia="SimSun" w:hAnsi="SimSun" w:cs="SimSun"/>
                <w:color w:val="000000"/>
                <w:spacing w:val="0"/>
                <w:w w:val="100"/>
                <w:position w:val="0"/>
                <w:sz w:val="18"/>
                <w:szCs w:val="18"/>
              </w:rPr>
              <w:t>其他</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合计</w:t>
            </w:r>
          </w:p>
        </w:tc>
      </w:tr>
      <w:tr>
        <w:trPr>
          <w:trHeight w:val="34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主营业务收入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92,403,184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177,567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98,430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92,679,181</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其中：在某一时点确认</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92,403,184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92,403,184</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在某一时段内确认</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177,567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98,430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275,997</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其他业务收入</w:t>
            </w:r>
            <w:r>
              <w:rPr>
                <w:rFonts w:ascii="Arial" w:eastAsia="Arial" w:hAnsi="Arial" w:cs="Arial"/>
                <w:color w:val="000000"/>
                <w:spacing w:val="0"/>
                <w:w w:val="100"/>
                <w:position w:val="0"/>
                <w:sz w:val="18"/>
                <w:szCs w:val="18"/>
              </w:rPr>
              <w:t>(i)</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2,597,958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2,597,958</w:t>
            </w:r>
          </w:p>
        </w:tc>
      </w:tr>
      <w:tr>
        <w:trPr>
          <w:trHeight w:val="25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92,403,184</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177,567</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2,696,388</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95,277,139</w:t>
            </w:r>
          </w:p>
        </w:tc>
      </w:tr>
    </w:tbl>
    <w:p>
      <w:pPr>
        <w:widowControl w:val="0"/>
        <w:spacing w:after="159" w:line="1" w:lineRule="exact"/>
      </w:pPr>
    </w:p>
    <w:p>
      <w:pPr>
        <w:pStyle w:val="Style72"/>
        <w:keepNext w:val="0"/>
        <w:keepLines w:val="0"/>
        <w:widowControl w:val="0"/>
        <w:shd w:val="clear" w:color="auto" w:fill="auto"/>
        <w:tabs>
          <w:tab w:pos="688" w:val="left"/>
        </w:tabs>
        <w:bidi w:val="0"/>
        <w:spacing w:before="0" w:after="220" w:line="319" w:lineRule="exact"/>
        <w:ind w:left="0" w:right="0" w:firstLine="0"/>
        <w:jc w:val="left"/>
      </w:pPr>
      <w:r>
        <w:rPr>
          <w:color w:val="000000"/>
          <w:spacing w:val="0"/>
          <w:w w:val="100"/>
          <w:position w:val="0"/>
          <w:sz w:val="24"/>
          <w:szCs w:val="24"/>
        </w:rPr>
        <w:t>⑴</w:t>
        <w:tab/>
        <w:t>除租金收入外，其他业务收入均在某一时段内确认。</w:t>
      </w:r>
    </w:p>
    <w:p>
      <w:pPr>
        <w:pStyle w:val="Style72"/>
        <w:keepNext w:val="0"/>
        <w:keepLines w:val="0"/>
        <w:widowControl w:val="0"/>
        <w:shd w:val="clear" w:color="auto" w:fill="auto"/>
        <w:bidi w:val="0"/>
        <w:spacing w:before="0" w:after="260" w:line="319" w:lineRule="exact"/>
        <w:ind w:left="700" w:right="0" w:firstLine="20"/>
        <w:jc w:val="both"/>
      </w:pPr>
      <w:r>
        <w:rPr>
          <w:color w:val="000000"/>
          <w:spacing w:val="0"/>
          <w:w w:val="100"/>
          <w:position w:val="0"/>
          <w:sz w:val="24"/>
          <w:szCs w:val="24"/>
        </w:rPr>
        <w:t>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日，本公司已签订合同但尚未履行完毕的履约义务所对 应的收入金额约人民币</w:t>
      </w:r>
      <w:r>
        <w:rPr>
          <w:rFonts w:ascii="Arial" w:eastAsia="Arial" w:hAnsi="Arial" w:cs="Arial"/>
          <w:color w:val="000000"/>
          <w:spacing w:val="0"/>
          <w:w w:val="100"/>
          <w:position w:val="0"/>
          <w:sz w:val="24"/>
          <w:szCs w:val="24"/>
        </w:rPr>
        <w:t>794.06</w:t>
      </w:r>
      <w:r>
        <w:rPr>
          <w:color w:val="000000"/>
          <w:spacing w:val="0"/>
          <w:w w:val="100"/>
          <w:position w:val="0"/>
          <w:sz w:val="24"/>
          <w:szCs w:val="24"/>
        </w:rPr>
        <w:t>亿元，本公司预计该部分金额全部将于</w:t>
      </w:r>
      <w:r>
        <w:rPr>
          <w:rFonts w:ascii="Arial" w:eastAsia="Arial" w:hAnsi="Arial" w:cs="Arial"/>
          <w:color w:val="000000"/>
          <w:spacing w:val="0"/>
          <w:w w:val="100"/>
          <w:position w:val="0"/>
          <w:sz w:val="24"/>
          <w:szCs w:val="24"/>
        </w:rPr>
        <w:t xml:space="preserve">2022 </w:t>
      </w:r>
      <w:r>
        <w:rPr>
          <w:color w:val="000000"/>
          <w:spacing w:val="0"/>
          <w:w w:val="100"/>
          <w:position w:val="0"/>
          <w:sz w:val="24"/>
          <w:szCs w:val="24"/>
        </w:rPr>
        <w:t>年度及以后确认收入。</w:t>
      </w:r>
      <w:r>
        <w:br w:type="page"/>
      </w:r>
    </w:p>
    <w:p>
      <w:pPr>
        <w:pStyle w:val="Style7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4"/>
          <w:szCs w:val="24"/>
        </w:rPr>
        <w:t>十六公司财务报表附注</w:t>
      </w:r>
      <w:r>
        <w:rPr>
          <w:rFonts w:ascii="Arial" w:eastAsia="Arial" w:hAnsi="Arial" w:cs="Arial"/>
          <w:color w:val="000000"/>
          <w:spacing w:val="0"/>
          <w:w w:val="100"/>
          <w:position w:val="0"/>
          <w:sz w:val="24"/>
          <w:szCs w:val="24"/>
        </w:rPr>
        <w:t>（</w:t>
      </w:r>
      <w:r>
        <w:rPr>
          <w:b/>
          <w:bCs/>
          <w:color w:val="000000"/>
          <w:spacing w:val="0"/>
          <w:w w:val="100"/>
          <w:position w:val="0"/>
          <w:sz w:val="24"/>
          <w:szCs w:val="24"/>
        </w:rPr>
        <w:t>续</w:t>
      </w:r>
      <w:r>
        <w:rPr>
          <w:color w:val="000000"/>
          <w:spacing w:val="0"/>
          <w:w w:val="100"/>
          <w:position w:val="0"/>
          <w:sz w:val="28"/>
          <w:szCs w:val="28"/>
        </w:rPr>
        <w:t>）</w:t>
      </w:r>
    </w:p>
    <w:p>
      <w:pPr>
        <w:pStyle w:val="Style72"/>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 xml:space="preserve">（6） </w:t>
      </w:r>
      <w:r>
        <w:rPr>
          <w:b/>
          <w:bCs/>
          <w:color w:val="000000"/>
          <w:spacing w:val="0"/>
          <w:w w:val="100"/>
          <w:position w:val="0"/>
          <w:sz w:val="24"/>
          <w:szCs w:val="24"/>
        </w:rPr>
        <w:t>投资收益</w:t>
      </w:r>
    </w:p>
    <w:tbl>
      <w:tblPr>
        <w:tblOverlap w:val="never"/>
        <w:jc w:val="right"/>
        <w:tblLayout w:type="fixed"/>
      </w:tblPr>
      <w:tblGrid>
        <w:gridCol w:w="4056"/>
        <w:gridCol w:w="2208"/>
        <w:gridCol w:w="1776"/>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处置其他非流动资产取得的投资</w:t>
            </w:r>
          </w:p>
        </w:tc>
        <w:tc>
          <w:tcPr>
            <w:gridSpan w:val="2"/>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380,000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(88,933)</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债券回购取得的投资收益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309,587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(30,078)</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其他非流动金融资产持有期间取得</w:t>
            </w:r>
          </w:p>
        </w:tc>
        <w:tc>
          <w:tcPr>
            <w:gridSpan w:val="2"/>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的投资收益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120,000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56,158</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其他权益工具投资持有期间取得的</w:t>
            </w:r>
          </w:p>
        </w:tc>
        <w:tc>
          <w:tcPr>
            <w:gridSpan w:val="2"/>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67,760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35,373</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处置交易性金融资产取得的投资收</w:t>
            </w:r>
          </w:p>
        </w:tc>
        <w:tc>
          <w:tcPr>
            <w:gridSpan w:val="2"/>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35,178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431,316</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处置子公司取得的投资收益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15,340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1,038</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子公司股利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620" w:firstLine="0"/>
              <w:jc w:val="right"/>
              <w:rPr>
                <w:sz w:val="24"/>
                <w:szCs w:val="24"/>
              </w:rPr>
            </w:pPr>
            <w:r>
              <w:rPr>
                <w:rFonts w:ascii="Arial" w:eastAsia="Arial" w:hAnsi="Arial" w:cs="Arial"/>
                <w:color w:val="000000"/>
                <w:spacing w:val="0"/>
                <w:w w:val="100"/>
                <w:position w:val="0"/>
                <w:sz w:val="24"/>
                <w:szCs w:val="24"/>
              </w:rPr>
              <w:t>159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334,342</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债权投资持有期间取得的投资收益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620" w:firstLine="0"/>
              <w:jc w:val="right"/>
              <w:rPr>
                <w:sz w:val="24"/>
                <w:szCs w:val="24"/>
              </w:rPr>
            </w:pPr>
            <w:r>
              <w:rPr>
                <w:rFonts w:ascii="Arial" w:eastAsia="Arial" w:hAnsi="Arial" w:cs="Arial"/>
                <w:color w:val="000000"/>
                <w:spacing w:val="0"/>
                <w:w w:val="100"/>
                <w:position w:val="0"/>
                <w:sz w:val="24"/>
                <w:szCs w:val="24"/>
              </w:rPr>
              <w:t>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407</w:t>
            </w:r>
          </w:p>
        </w:tc>
      </w:tr>
      <w:tr>
        <w:trPr>
          <w:trHeight w:val="3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交易性金融资产持有期间取得的投</w:t>
            </w:r>
          </w:p>
        </w:tc>
        <w:tc>
          <w:tcPr>
            <w:gridSpan w:val="2"/>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资收益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62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222,686</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债券回购取得的投资收益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620" w:firstLine="0"/>
              <w:jc w:val="righ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195,273</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以摊余成本计量的金融资产处置</w:t>
            </w:r>
          </w:p>
        </w:tc>
        <w:tc>
          <w:tcPr>
            <w:gridSpan w:val="2"/>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确认的损益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4"/>
                <w:szCs w:val="24"/>
              </w:rPr>
            </w:pPr>
            <w:r>
              <w:rPr>
                <w:rFonts w:ascii="Arial" w:eastAsia="Arial" w:hAnsi="Arial" w:cs="Arial"/>
                <w:color w:val="000000"/>
                <w:spacing w:val="0"/>
                <w:w w:val="100"/>
                <w:position w:val="0"/>
                <w:sz w:val="24"/>
                <w:szCs w:val="24"/>
              </w:rPr>
              <w:t>(15,794)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(76,286)</w:t>
            </w:r>
          </w:p>
        </w:tc>
      </w:tr>
      <w:tr>
        <w:trPr>
          <w:trHeight w:val="3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权益法核算的长期股权投资</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损失</w:t>
            </w:r>
            <w:r>
              <w:rPr>
                <w:rFonts w:ascii="Arial" w:eastAsia="Arial" w:hAnsi="Arial" w:cs="Arial"/>
                <w:color w:val="000000"/>
                <w:spacing w:val="0"/>
                <w:w w:val="100"/>
                <w:position w:val="0"/>
                <w:sz w:val="24"/>
                <w:szCs w:val="24"/>
              </w:rPr>
              <w:t>）/</w:t>
            </w:r>
          </w:p>
        </w:tc>
        <w:tc>
          <w:tcPr>
            <w:gridSpan w:val="2"/>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Fonts w:ascii="SimSun" w:eastAsia="SimSun" w:hAnsi="SimSun" w:cs="SimSun"/>
                <w:color w:val="000000"/>
                <w:spacing w:val="0"/>
                <w:w w:val="100"/>
                <w:position w:val="0"/>
                <w:sz w:val="24"/>
                <w:szCs w:val="24"/>
              </w:rPr>
              <w:t>收益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4"/>
                <w:szCs w:val="24"/>
              </w:rPr>
            </w:pPr>
            <w:r>
              <w:rPr>
                <w:rFonts w:ascii="Arial" w:eastAsia="Arial" w:hAnsi="Arial" w:cs="Arial"/>
                <w:color w:val="000000"/>
                <w:spacing w:val="0"/>
                <w:w w:val="100"/>
                <w:position w:val="0"/>
                <w:sz w:val="24"/>
                <w:szCs w:val="24"/>
              </w:rPr>
              <w:t>(3,402,427)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4"/>
                <w:szCs w:val="24"/>
              </w:rPr>
            </w:pPr>
            <w:r>
              <w:rPr>
                <w:rFonts w:ascii="Arial" w:eastAsia="Arial" w:hAnsi="Arial" w:cs="Arial"/>
                <w:color w:val="000000"/>
                <w:spacing w:val="0"/>
                <w:w w:val="100"/>
                <w:position w:val="0"/>
                <w:sz w:val="24"/>
                <w:szCs w:val="24"/>
              </w:rPr>
              <w:t>743,780</w:t>
            </w:r>
          </w:p>
        </w:tc>
      </w:tr>
      <w:tr>
        <w:trPr>
          <w:trHeight w:val="326"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tabs>
                <w:tab w:pos="1849" w:val="left"/>
              </w:tabs>
              <w:bidi w:val="0"/>
              <w:spacing w:before="0" w:after="0" w:line="240" w:lineRule="auto"/>
              <w:ind w:left="0" w:right="0" w:firstLine="380"/>
              <w:jc w:val="left"/>
              <w:rPr>
                <w:sz w:val="24"/>
                <w:szCs w:val="24"/>
              </w:rPr>
            </w:pPr>
            <w:r>
              <w:rPr>
                <w:rFonts w:ascii="Arial" w:eastAsia="Arial" w:hAnsi="Arial" w:cs="Arial"/>
                <w:color w:val="000000"/>
                <w:spacing w:val="0"/>
                <w:w w:val="100"/>
                <w:position w:val="0"/>
                <w:sz w:val="24"/>
                <w:szCs w:val="24"/>
                <w:u w:val="single"/>
              </w:rPr>
              <w:t>(2,490,123)</w:t>
            </w:r>
            <w:r>
              <w:rPr>
                <w:rFonts w:ascii="Arial" w:eastAsia="Arial" w:hAnsi="Arial" w:cs="Arial"/>
                <w:color w:val="000000"/>
                <w:spacing w:val="0"/>
                <w:w w:val="100"/>
                <w:position w:val="0"/>
                <w:sz w:val="24"/>
                <w:szCs w:val="24"/>
              </w:rPr>
              <w:tab/>
              <w:t>_</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1,825,076</w:t>
            </w:r>
          </w:p>
        </w:tc>
      </w:tr>
    </w:tbl>
    <w:p>
      <w:pPr>
        <w:pStyle w:val="Style2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本公司不存在投资收益汇回的重大限制。</w:t>
      </w:r>
      <w:r>
        <w:br w:type="page"/>
      </w:r>
    </w:p>
    <w:p>
      <w:pPr>
        <w:pStyle w:val="Style72"/>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sz w:val="24"/>
          <w:szCs w:val="24"/>
        </w:rPr>
        <w:t>- 非经常性损益明细表</w:t>
      </w:r>
    </w:p>
    <w:tbl>
      <w:tblPr>
        <w:tblOverlap w:val="never"/>
        <w:jc w:val="right"/>
        <w:tblLayout w:type="fixed"/>
      </w:tblPr>
      <w:tblGrid>
        <w:gridCol w:w="4613"/>
        <w:gridCol w:w="1810"/>
        <w:gridCol w:w="1646"/>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2021</w:t>
            </w:r>
            <w:r>
              <w:rPr>
                <w:rFonts w:ascii="SimSun" w:eastAsia="SimSun" w:hAnsi="SimSun" w:cs="SimSun"/>
                <w:color w:val="000000"/>
                <w:spacing w:val="0"/>
                <w:w w:val="100"/>
                <w:position w:val="0"/>
                <w:sz w:val="24"/>
                <w:szCs w:val="24"/>
              </w:rPr>
              <w:t>年度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4"/>
                <w:szCs w:val="24"/>
              </w:rPr>
            </w:pPr>
            <w:r>
              <w:rPr>
                <w:rFonts w:ascii="Arial" w:eastAsia="Arial" w:hAnsi="Arial" w:cs="Arial"/>
                <w:color w:val="000000"/>
                <w:spacing w:val="0"/>
                <w:w w:val="100"/>
                <w:position w:val="0"/>
                <w:sz w:val="24"/>
                <w:szCs w:val="24"/>
              </w:rPr>
              <w:t>2020</w:t>
            </w:r>
            <w:r>
              <w:rPr>
                <w:rFonts w:ascii="SimSun" w:eastAsia="SimSun" w:hAnsi="SimSun" w:cs="SimSun"/>
                <w:color w:val="000000"/>
                <w:spacing w:val="0"/>
                <w:w w:val="100"/>
                <w:position w:val="0"/>
                <w:sz w:val="24"/>
                <w:szCs w:val="24"/>
              </w:rPr>
              <w:t>年度</w:t>
            </w:r>
          </w:p>
        </w:tc>
      </w:tr>
      <w:tr>
        <w:trPr>
          <w:trHeight w:val="46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非流动资产处置损益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4"/>
                <w:szCs w:val="24"/>
              </w:rPr>
            </w:pPr>
            <w:r>
              <w:rPr>
                <w:rFonts w:ascii="Arial" w:eastAsia="Arial" w:hAnsi="Arial" w:cs="Arial"/>
                <w:color w:val="000000"/>
                <w:spacing w:val="0"/>
                <w:w w:val="100"/>
                <w:position w:val="0"/>
                <w:sz w:val="24"/>
                <w:szCs w:val="24"/>
              </w:rPr>
              <w:t>99,161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35,646</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计入当期损益的政府补助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351,223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839,297</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公允价值变动收益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4"/>
                <w:szCs w:val="24"/>
              </w:rPr>
            </w:pPr>
            <w:r>
              <w:rPr>
                <w:rFonts w:ascii="Arial" w:eastAsia="Arial" w:hAnsi="Arial" w:cs="Arial"/>
                <w:color w:val="000000"/>
                <w:spacing w:val="0"/>
                <w:w w:val="100"/>
                <w:position w:val="0"/>
                <w:sz w:val="24"/>
                <w:szCs w:val="24"/>
              </w:rPr>
              <w:t>(124,363)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467,280</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处置交易性金融资产取得的投资收益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29,823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990,436</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处置其他非流动金融资产取得的投资收益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380,000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(88,933)</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处置其他债权投资取得的投资收益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309,587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195,273</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处置子公司产生的投资收益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1,249,427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810,054</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债权投资在持有期间取得的投资收益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4"/>
                <w:szCs w:val="24"/>
              </w:rPr>
            </w:pPr>
            <w:r>
              <w:rPr>
                <w:rFonts w:ascii="Arial" w:eastAsia="Arial" w:hAnsi="Arial" w:cs="Arial"/>
                <w:color w:val="000000"/>
                <w:spacing w:val="0"/>
                <w:w w:val="100"/>
                <w:position w:val="0"/>
                <w:sz w:val="24"/>
                <w:szCs w:val="24"/>
              </w:rPr>
              <w:t>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4"/>
                <w:szCs w:val="24"/>
              </w:rPr>
            </w:pPr>
            <w:r>
              <w:rPr>
                <w:rFonts w:ascii="Arial" w:eastAsia="Arial" w:hAnsi="Arial" w:cs="Arial"/>
                <w:color w:val="000000"/>
                <w:spacing w:val="0"/>
                <w:w w:val="100"/>
                <w:position w:val="0"/>
                <w:sz w:val="24"/>
                <w:szCs w:val="24"/>
              </w:rPr>
              <w:t>407</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处置衍生金融负债取得的投资收益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24"/>
                <w:szCs w:val="24"/>
              </w:rPr>
            </w:pPr>
            <w:r>
              <w:rPr>
                <w:rFonts w:ascii="Arial" w:eastAsia="Arial" w:hAnsi="Arial" w:cs="Arial"/>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(30,078)</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应收款项单项计提坏账准备转回</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42,308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(17,296)</w:t>
            </w:r>
          </w:p>
        </w:tc>
      </w:tr>
      <w:tr>
        <w:trPr>
          <w:trHeight w:val="31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除上述各项之外的其他营业外收入和支出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4"/>
                <w:szCs w:val="24"/>
              </w:rPr>
            </w:pPr>
            <w:r>
              <w:rPr>
                <w:rFonts w:ascii="Arial" w:eastAsia="Arial" w:hAnsi="Arial" w:cs="Arial"/>
                <w:color w:val="000000"/>
                <w:spacing w:val="0"/>
                <w:w w:val="100"/>
                <w:position w:val="0"/>
                <w:sz w:val="24"/>
                <w:szCs w:val="24"/>
              </w:rPr>
              <w:t>(398,377)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(36,833)</w:t>
            </w:r>
          </w:p>
        </w:tc>
      </w:tr>
      <w:tr>
        <w:trPr>
          <w:trHeight w:val="43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1,938,863</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4"/>
                <w:szCs w:val="24"/>
              </w:rPr>
            </w:pPr>
            <w:r>
              <w:rPr>
                <w:rFonts w:ascii="Arial" w:eastAsia="Arial" w:hAnsi="Arial" w:cs="Arial"/>
                <w:color w:val="000000"/>
                <w:spacing w:val="0"/>
                <w:w w:val="100"/>
                <w:position w:val="0"/>
                <w:sz w:val="24"/>
                <w:szCs w:val="24"/>
              </w:rPr>
              <w:t>3,165,253</w:t>
            </w:r>
          </w:p>
        </w:tc>
      </w:tr>
      <w:tr>
        <w:trPr>
          <w:trHeight w:val="44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所得税影响额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4"/>
                <w:szCs w:val="24"/>
              </w:rPr>
            </w:pPr>
            <w:r>
              <w:rPr>
                <w:rFonts w:ascii="Arial" w:eastAsia="Arial" w:hAnsi="Arial" w:cs="Arial"/>
                <w:color w:val="000000"/>
                <w:spacing w:val="0"/>
                <w:w w:val="100"/>
                <w:position w:val="0"/>
                <w:sz w:val="24"/>
                <w:szCs w:val="24"/>
              </w:rPr>
              <w:t>(547,066)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(607,102)</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4"/>
                <w:szCs w:val="24"/>
              </w:rPr>
              <w:t>少数股东权益影响额</w:t>
            </w:r>
            <w:r>
              <w:rPr>
                <w:rFonts w:ascii="Arial" w:eastAsia="Arial" w:hAnsi="Arial" w:cs="Arial"/>
                <w:color w:val="000000"/>
                <w:spacing w:val="0"/>
                <w:w w:val="100"/>
                <w:position w:val="0"/>
                <w:sz w:val="24"/>
                <w:szCs w:val="24"/>
              </w:rPr>
              <w:t>（</w:t>
            </w:r>
            <w:r>
              <w:rPr>
                <w:rFonts w:ascii="SimSun" w:eastAsia="SimSun" w:hAnsi="SimSun" w:cs="SimSun"/>
                <w:color w:val="000000"/>
                <w:spacing w:val="0"/>
                <w:w w:val="100"/>
                <w:position w:val="0"/>
                <w:sz w:val="24"/>
                <w:szCs w:val="24"/>
              </w:rPr>
              <w:t>税后</w:t>
            </w:r>
            <w:r>
              <w:rPr>
                <w:rFonts w:ascii="SimSun" w:eastAsia="SimSun" w:hAnsi="SimSun" w:cs="SimSun"/>
                <w:color w:val="000000"/>
                <w:spacing w:val="0"/>
                <w:w w:val="100"/>
                <w:position w:val="0"/>
                <w:sz w:val="28"/>
                <w:szCs w:val="2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12,114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4"/>
                <w:szCs w:val="24"/>
              </w:rPr>
            </w:pPr>
            <w:r>
              <w:rPr>
                <w:rFonts w:ascii="Arial" w:eastAsia="Arial" w:hAnsi="Arial" w:cs="Arial"/>
                <w:color w:val="000000"/>
                <w:spacing w:val="0"/>
                <w:w w:val="100"/>
                <w:position w:val="0"/>
                <w:sz w:val="24"/>
                <w:szCs w:val="24"/>
              </w:rPr>
              <w:t>(25,999)</w:t>
            </w:r>
          </w:p>
        </w:tc>
      </w:tr>
      <w:tr>
        <w:trPr>
          <w:trHeight w:val="31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4"/>
                <w:szCs w:val="24"/>
              </w:rPr>
            </w:pPr>
            <w:r>
              <w:rPr>
                <w:rFonts w:ascii="Arial" w:eastAsia="Arial" w:hAnsi="Arial" w:cs="Arial"/>
                <w:color w:val="000000"/>
                <w:spacing w:val="0"/>
                <w:w w:val="100"/>
                <w:position w:val="0"/>
                <w:sz w:val="24"/>
                <w:szCs w:val="24"/>
              </w:rPr>
              <w:t>1,403,911</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4"/>
                <w:szCs w:val="24"/>
              </w:rPr>
            </w:pPr>
            <w:r>
              <w:rPr>
                <w:rFonts w:ascii="Arial" w:eastAsia="Arial" w:hAnsi="Arial" w:cs="Arial"/>
                <w:color w:val="000000"/>
                <w:spacing w:val="0"/>
                <w:w w:val="100"/>
                <w:position w:val="0"/>
                <w:sz w:val="24"/>
                <w:szCs w:val="24"/>
              </w:rPr>
              <w:t>2,532,152</w:t>
            </w:r>
          </w:p>
        </w:tc>
      </w:tr>
    </w:tbl>
    <w:p>
      <w:pPr>
        <w:widowControl w:val="0"/>
        <w:spacing w:after="259" w:line="1" w:lineRule="exact"/>
      </w:pPr>
    </w:p>
    <w:p>
      <w:pPr>
        <w:pStyle w:val="Style72"/>
        <w:keepNext w:val="0"/>
        <w:keepLines w:val="0"/>
        <w:widowControl w:val="0"/>
        <w:shd w:val="clear" w:color="auto" w:fill="auto"/>
        <w:bidi w:val="0"/>
        <w:spacing w:before="0" w:after="260" w:line="312" w:lineRule="exact"/>
        <w:ind w:left="0" w:right="0" w:firstLine="700"/>
        <w:jc w:val="left"/>
      </w:pPr>
      <w:r>
        <w:rPr>
          <w:color w:val="000000"/>
          <w:spacing w:val="0"/>
          <w:w w:val="100"/>
          <w:position w:val="0"/>
          <w:sz w:val="24"/>
          <w:szCs w:val="24"/>
        </w:rPr>
        <w:t>非经常性损益明细表编制基础</w:t>
      </w:r>
    </w:p>
    <w:p>
      <w:pPr>
        <w:pStyle w:val="Style72"/>
        <w:keepNext w:val="0"/>
        <w:keepLines w:val="0"/>
        <w:widowControl w:val="0"/>
        <w:shd w:val="clear" w:color="auto" w:fill="auto"/>
        <w:bidi w:val="0"/>
        <w:spacing w:before="0" w:after="300" w:line="312" w:lineRule="exact"/>
        <w:ind w:left="700" w:right="0" w:firstLine="20"/>
        <w:jc w:val="both"/>
      </w:pPr>
      <w:r>
        <w:rPr>
          <w:color w:val="000000"/>
          <w:spacing w:val="0"/>
          <w:w w:val="100"/>
          <w:position w:val="0"/>
          <w:sz w:val="24"/>
          <w:szCs w:val="24"/>
        </w:rPr>
        <w:t>根据中国证券监督管理委员会《公开发行证券的公司信息披露解释性公告第</w:t>
      </w:r>
      <w:r>
        <w:rPr>
          <w:rFonts w:ascii="Arial" w:eastAsia="Arial" w:hAnsi="Arial" w:cs="Arial"/>
          <w:color w:val="000000"/>
          <w:spacing w:val="0"/>
          <w:w w:val="100"/>
          <w:position w:val="0"/>
          <w:sz w:val="24"/>
          <w:szCs w:val="24"/>
        </w:rPr>
        <w:t xml:space="preserve">1 </w:t>
      </w:r>
      <w:r>
        <w:rPr>
          <w:color w:val="000000"/>
          <w:spacing w:val="0"/>
          <w:w w:val="100"/>
          <w:position w:val="0"/>
          <w:sz w:val="24"/>
          <w:szCs w:val="24"/>
        </w:rPr>
        <w:t>号</w:t>
      </w:r>
      <w:r>
        <w:rPr>
          <w:color w:val="000000"/>
          <w:spacing w:val="0"/>
          <w:w w:val="100"/>
          <w:position w:val="0"/>
          <w:sz w:val="28"/>
          <w:szCs w:val="28"/>
        </w:rPr>
        <w:t>一一</w:t>
      </w:r>
      <w:r>
        <w:rPr>
          <w:color w:val="000000"/>
          <w:spacing w:val="0"/>
          <w:w w:val="100"/>
          <w:position w:val="0"/>
          <w:sz w:val="24"/>
          <w:szCs w:val="24"/>
        </w:rPr>
        <w:t>非经常性损益</w:t>
      </w:r>
      <w:r>
        <w:rPr>
          <w:rFonts w:ascii="Arial" w:eastAsia="Arial" w:hAnsi="Arial" w:cs="Arial"/>
          <w:color w:val="000000"/>
          <w:spacing w:val="0"/>
          <w:w w:val="100"/>
          <w:position w:val="0"/>
          <w:sz w:val="24"/>
          <w:szCs w:val="24"/>
        </w:rPr>
        <w:t>［2008］</w:t>
      </w:r>
      <w:r>
        <w:rPr>
          <w:color w:val="000000"/>
          <w:spacing w:val="0"/>
          <w:w w:val="100"/>
          <w:position w:val="0"/>
          <w:sz w:val="24"/>
          <w:szCs w:val="24"/>
        </w:rPr>
        <w:t>》的规定，非经常性损益是指与公司正常经营业务 无直接关系，以及虽与正常经营业务相关，但由于其性质特殊和偶发性，影 响报表使用人对公司经营业绩和盈利能力作出正确判断的各项交易和事项产 生的损益。</w:t>
      </w:r>
    </w:p>
    <w:p>
      <w:pPr>
        <w:pStyle w:val="Style72"/>
        <w:keepNext w:val="0"/>
        <w:keepLines w:val="0"/>
        <w:widowControl w:val="0"/>
        <w:shd w:val="clear" w:color="auto" w:fill="auto"/>
        <w:tabs>
          <w:tab w:pos="672" w:val="left"/>
        </w:tabs>
        <w:bidi w:val="0"/>
        <w:spacing w:before="0" w:after="300" w:line="240" w:lineRule="auto"/>
        <w:ind w:left="0" w:right="0" w:firstLine="0"/>
        <w:jc w:val="left"/>
      </w:pPr>
      <w:r>
        <w:rPr>
          <w:b/>
          <w:bCs/>
          <w:color w:val="000000"/>
          <w:spacing w:val="0"/>
          <w:w w:val="100"/>
          <w:position w:val="0"/>
          <w:sz w:val="24"/>
          <w:szCs w:val="24"/>
        </w:rPr>
        <w:t>二</w:t>
        <w:tab/>
        <w:t>净资产收益率及每股收益</w:t>
      </w:r>
    </w:p>
    <w:tbl>
      <w:tblPr>
        <w:tblOverlap w:val="never"/>
        <w:jc w:val="right"/>
        <w:tblLayout w:type="fixed"/>
      </w:tblPr>
      <w:tblGrid>
        <w:gridCol w:w="2112"/>
        <w:gridCol w:w="917"/>
        <w:gridCol w:w="1018"/>
        <w:gridCol w:w="1022"/>
        <w:gridCol w:w="1022"/>
        <w:gridCol w:w="1018"/>
        <w:gridCol w:w="960"/>
      </w:tblGrid>
      <w:tr>
        <w:trPr>
          <w:trHeight w:val="240" w:hRule="exact"/>
        </w:trPr>
        <w:tc>
          <w:tcPr>
            <w:vMerge w:val="restart"/>
            <w:tcBorders/>
            <w:shd w:val="clear" w:color="auto" w:fill="FFFFFF"/>
            <w:vAlign w:val="top"/>
          </w:tcPr>
          <w:p>
            <w:pPr>
              <w:widowControl w:val="0"/>
              <w:rPr>
                <w:sz w:val="10"/>
                <w:szCs w:val="10"/>
              </w:rPr>
            </w:pPr>
          </w:p>
        </w:tc>
        <w:tc>
          <w:tcPr>
            <w:gridSpan w:val="2"/>
            <w:vMerge w:val="restart"/>
            <w:tcBorders/>
            <w:shd w:val="clear" w:color="auto" w:fill="FFFFFF"/>
            <w:vAlign w:val="bottom"/>
          </w:tcPr>
          <w:p>
            <w:pPr>
              <w:pStyle w:val="Style29"/>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5"/>
                <w:szCs w:val="15"/>
              </w:rPr>
              <w:t>加权平均 净资产收益率</w:t>
            </w:r>
            <w:r>
              <w:rPr>
                <w:rFonts w:ascii="Arial" w:eastAsia="Arial" w:hAnsi="Arial" w:cs="Arial"/>
                <w:color w:val="000000"/>
                <w:spacing w:val="0"/>
                <w:w w:val="100"/>
                <w:position w:val="0"/>
                <w:sz w:val="16"/>
                <w:szCs w:val="16"/>
              </w:rPr>
              <w:t>（%）</w:t>
            </w:r>
          </w:p>
        </w:tc>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5"/>
                <w:szCs w:val="15"/>
              </w:rPr>
              <w:t>每股收益</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元</w:t>
            </w:r>
            <w:r>
              <w:rPr>
                <w:rFonts w:ascii="Arial" w:eastAsia="Arial" w:hAnsi="Arial" w:cs="Arial"/>
                <w:color w:val="000000"/>
                <w:spacing w:val="0"/>
                <w:w w:val="100"/>
                <w:position w:val="0"/>
                <w:sz w:val="16"/>
                <w:szCs w:val="16"/>
              </w:rPr>
              <w:t>/</w:t>
            </w:r>
            <w:r>
              <w:rPr>
                <w:rFonts w:ascii="SimSun" w:eastAsia="SimSun" w:hAnsi="SimSun" w:cs="SimSun"/>
                <w:color w:val="000000"/>
                <w:spacing w:val="0"/>
                <w:w w:val="100"/>
                <w:position w:val="0"/>
                <w:sz w:val="15"/>
                <w:szCs w:val="15"/>
              </w:rPr>
              <w:t>股</w:t>
            </w:r>
            <w:r>
              <w:rPr>
                <w:rFonts w:ascii="SimSun" w:eastAsia="SimSun" w:hAnsi="SimSun" w:cs="SimSun"/>
                <w:color w:val="000000"/>
                <w:spacing w:val="0"/>
                <w:w w:val="100"/>
                <w:position w:val="0"/>
                <w:sz w:val="19"/>
                <w:szCs w:val="19"/>
              </w:rPr>
              <w:t>）</w:t>
            </w:r>
          </w:p>
        </w:tc>
      </w:tr>
      <w:tr>
        <w:trPr>
          <w:trHeight w:val="221" w:hRule="exact"/>
        </w:trPr>
        <w:tc>
          <w:tcPr>
            <w:vMerge/>
            <w:tcBorders/>
            <w:shd w:val="clear" w:color="auto" w:fill="FFFFFF"/>
            <w:vAlign w:val="top"/>
          </w:tcPr>
          <w:p>
            <w:pPr/>
          </w:p>
        </w:tc>
        <w:tc>
          <w:tcPr>
            <w:gridSpan w:val="2"/>
            <w:vMerge/>
            <w:tcBorders/>
            <w:shd w:val="clear" w:color="auto" w:fill="FFFFFF"/>
            <w:vAlign w:val="bottom"/>
          </w:tcPr>
          <w:p>
            <w:pP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基本每股收益</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稀释每股收益</w:t>
            </w:r>
          </w:p>
        </w:tc>
      </w:tr>
      <w:tr>
        <w:trPr>
          <w:trHeight w:val="355"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6"/>
                <w:szCs w:val="16"/>
              </w:rPr>
              <w:t>2021</w:t>
            </w:r>
            <w:r>
              <w:rPr>
                <w:rFonts w:ascii="SimSun" w:eastAsia="SimSun" w:hAnsi="SimSun" w:cs="SimSun"/>
                <w:color w:val="000000"/>
                <w:spacing w:val="0"/>
                <w:w w:val="100"/>
                <w:position w:val="0"/>
                <w:sz w:val="15"/>
                <w:szCs w:val="15"/>
              </w:rPr>
              <w:t>年度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6"/>
                <w:szCs w:val="16"/>
              </w:rPr>
              <w:t>2020</w:t>
            </w:r>
            <w:r>
              <w:rPr>
                <w:rFonts w:ascii="SimSun" w:eastAsia="SimSun" w:hAnsi="SimSun" w:cs="SimSun"/>
                <w:color w:val="000000"/>
                <w:spacing w:val="0"/>
                <w:w w:val="100"/>
                <w:position w:val="0"/>
                <w:sz w:val="15"/>
                <w:szCs w:val="15"/>
              </w:rPr>
              <w:t>年度</w:t>
            </w:r>
          </w:p>
        </w:tc>
      </w:tr>
      <w:tr>
        <w:trPr>
          <w:trHeight w:val="533" w:hRule="exact"/>
        </w:trPr>
        <w:tc>
          <w:tcPr>
            <w:tcBorders/>
            <w:shd w:val="clear" w:color="auto" w:fill="FFFFFF"/>
            <w:vAlign w:val="bottom"/>
          </w:tcPr>
          <w:p>
            <w:pPr>
              <w:pStyle w:val="Style29"/>
              <w:keepNext w:val="0"/>
              <w:keepLines w:val="0"/>
              <w:widowControl w:val="0"/>
              <w:shd w:val="clear" w:color="auto" w:fill="auto"/>
              <w:bidi w:val="0"/>
              <w:spacing w:before="0" w:after="0" w:line="211" w:lineRule="exact"/>
              <w:ind w:left="180" w:right="0" w:hanging="180"/>
              <w:jc w:val="left"/>
              <w:rPr>
                <w:sz w:val="15"/>
                <w:szCs w:val="15"/>
              </w:rPr>
            </w:pPr>
            <w:r>
              <w:rPr>
                <w:rFonts w:ascii="SimSun" w:eastAsia="SimSun" w:hAnsi="SimSun" w:cs="SimSun"/>
                <w:color w:val="000000"/>
                <w:spacing w:val="0"/>
                <w:w w:val="100"/>
                <w:position w:val="0"/>
                <w:sz w:val="15"/>
                <w:szCs w:val="15"/>
              </w:rPr>
              <w:t>归属于公司普通股股东的净 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-79.42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-5.08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-4.65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-0.46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-4.65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-0.46</w:t>
            </w:r>
          </w:p>
        </w:tc>
      </w:tr>
      <w:tr>
        <w:trPr>
          <w:trHeight w:val="422" w:hRule="exact"/>
        </w:trPr>
        <w:tc>
          <w:tcPr>
            <w:tcBorders/>
            <w:shd w:val="clear" w:color="auto" w:fill="FFFFFF"/>
            <w:vAlign w:val="top"/>
          </w:tcPr>
          <w:p>
            <w:pPr>
              <w:pStyle w:val="Style29"/>
              <w:keepNext w:val="0"/>
              <w:keepLines w:val="0"/>
              <w:widowControl w:val="0"/>
              <w:shd w:val="clear" w:color="auto" w:fill="auto"/>
              <w:bidi w:val="0"/>
              <w:spacing w:before="0" w:after="0" w:line="216" w:lineRule="exact"/>
              <w:ind w:left="180" w:right="0" w:hanging="180"/>
              <w:jc w:val="left"/>
              <w:rPr>
                <w:sz w:val="15"/>
                <w:szCs w:val="15"/>
              </w:rPr>
            </w:pPr>
            <w:r>
              <w:rPr>
                <w:rFonts w:ascii="SimSun" w:eastAsia="SimSun" w:hAnsi="SimSun" w:cs="SimSun"/>
                <w:color w:val="000000"/>
                <w:spacing w:val="0"/>
                <w:w w:val="100"/>
                <w:position w:val="0"/>
                <w:sz w:val="15"/>
                <w:szCs w:val="15"/>
              </w:rPr>
              <w:t>扣除非经常性损益后归属于 公司普通股股东的净利润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-82.22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-8.09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-4.80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-0.74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-4.80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-0.74</w:t>
            </w:r>
          </w:p>
        </w:tc>
      </w:tr>
    </w:tbl>
    <w:sectPr>
      <w:footnotePr>
        <w:pos w:val="pageBottom"/>
        <w:numFmt w:val="decimal"/>
        <w:numStart w:val="1"/>
        <w:numRestart w:val="continuous"/>
        <w15:footnoteColumns w:val="1"/>
      </w:footnotePr>
      <w:pgSz w:w="11900" w:h="16840"/>
      <w:pgMar w:top="2338" w:right="1531" w:bottom="3293" w:left="1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2"/>
          <w:szCs w:val="12"/>
          <w:vertAlign w:val="superscript"/>
        </w:rPr>
        <w:footnoteRef/>
      </w:r>
      <w:r>
        <w:rPr>
          <w:color w:val="000000"/>
          <w:spacing w:val="0"/>
          <w:w w:val="100"/>
          <w:position w:val="0"/>
        </w:rPr>
        <w:t>非经营性现金流因素主要包括资产减值损失以及公允价值变动等项目。</w:t>
      </w:r>
    </w:p>
  </w:footnote>
  <w:footnote w:id="3">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2"/>
          <w:szCs w:val="12"/>
          <w:vertAlign w:val="superscript"/>
        </w:rPr>
        <w:footnoteRef/>
      </w:r>
      <w:r>
        <w:rPr>
          <w:color w:val="000000"/>
          <w:spacing w:val="0"/>
          <w:w w:val="100"/>
          <w:position w:val="0"/>
        </w:rPr>
        <w:t>月度</w:t>
      </w:r>
      <w:r>
        <w:rPr>
          <w:rFonts w:ascii="Calibri" w:eastAsia="Calibri" w:hAnsi="Calibri" w:cs="Calibri"/>
          <w:color w:val="000000"/>
          <w:spacing w:val="0"/>
          <w:w w:val="100"/>
          <w:position w:val="0"/>
          <w:sz w:val="18"/>
          <w:szCs w:val="18"/>
        </w:rPr>
        <w:t>EBITDA</w:t>
      </w:r>
      <w:r>
        <w:rPr>
          <w:color w:val="000000"/>
          <w:spacing w:val="0"/>
          <w:w w:val="100"/>
          <w:position w:val="0"/>
        </w:rPr>
        <w:t>是在息税折旧及摊销前利润基础上剔除非经营性现金流因素影响。</w:t>
      </w:r>
    </w:p>
  </w:footnote>
  <w:footnote w:id="4">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2"/>
          <w:szCs w:val="12"/>
          <w:vertAlign w:val="superscript"/>
        </w:rPr>
        <w:footnoteRef/>
      </w:r>
      <w:r>
        <w:rPr>
          <w:color w:val="000000"/>
          <w:spacing w:val="0"/>
          <w:w w:val="100"/>
          <w:position w:val="0"/>
        </w:rPr>
        <w:t>数据来源国家统计局公示的社会消费品零售总额家用电器和音像器材类和通讯器材类。</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4">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4"/>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9"/>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FFFFFF"/>
      </w:rPr>
    </w:lvl>
  </w:abstractNum>
  <w:abstractNum w:abstractNumId="4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9"/>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FFFFFF"/>
      </w:rPr>
    </w:lvl>
  </w:abstractNum>
  <w:abstractNum w:abstractNumId="5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27"/>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2"/>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2"/>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8">
    <w:multiLevelType w:val="multilevel"/>
    <w:lvl w:ilvl="0">
      <w:start w:val="3"/>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FFFFFF"/>
      </w:rPr>
    </w:lvl>
  </w:abstractNum>
  <w:abstractNum w:abstractNumId="7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4"/>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76">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FFFFFF"/>
      </w:rPr>
    </w:lvl>
  </w:abstractNum>
  <w:abstractNum w:abstractNumId="80">
    <w:multiLevelType w:val="multilevel"/>
    <w:lvl w:ilvl="0">
      <w:start w:val="2"/>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FFFFFF"/>
      </w:rPr>
    </w:lvl>
  </w:abstractNum>
  <w:abstractNum w:abstractNumId="8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4"/>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17"/>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5"/>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6"/>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9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36"/>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02">
    <w:multiLevelType w:val="multilevel"/>
    <w:lvl w:ilvl="0">
      <w:start w:val="37"/>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04">
    <w:multiLevelType w:val="multilevel"/>
    <w:lvl w:ilvl="0">
      <w:start w:val="4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06">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08">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10">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12">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14">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16">
    <w:multiLevelType w:val="multilevel"/>
    <w:lvl w:ilvl="0">
      <w:start w:val="4"/>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18">
    <w:multiLevelType w:val="multilevel"/>
    <w:lvl w:ilvl="0">
      <w:start w:val="6"/>
      <w:numFmt w:val="ideographDigit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22">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24">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FFFFFF"/>
      </w:rPr>
    </w:lvl>
  </w:abstractNum>
  <w:abstractNum w:abstractNumId="126">
    <w:multiLevelType w:val="multilevel"/>
    <w:lvl w:ilvl="0">
      <w:start w:val="4"/>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2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3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32">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34">
    <w:multiLevelType w:val="multilevel"/>
    <w:lvl w:ilvl="0">
      <w:start w:val="4"/>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36">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FFFFFF"/>
      </w:rPr>
    </w:lvl>
  </w:abstractNum>
  <w:abstractNum w:abstractNumId="138">
    <w:multiLevelType w:val="multilevel"/>
    <w:lvl w:ilvl="0">
      <w:start w:val="4"/>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40">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Footnote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7">
    <w:name w:val="Body text (2)_"/>
    <w:basedOn w:val="DefaultParagraphFont"/>
    <w:link w:val="Style6"/>
    <w:rPr>
      <w:rFonts w:ascii="SimSun" w:eastAsia="SimSun" w:hAnsi="SimSun" w:cs="SimSun"/>
      <w:b/>
      <w:bCs/>
      <w:i w:val="0"/>
      <w:iCs w:val="0"/>
      <w:smallCaps w:val="0"/>
      <w:strike w:val="0"/>
      <w:sz w:val="40"/>
      <w:szCs w:val="40"/>
      <w:u w:val="none"/>
      <w:shd w:val="clear" w:color="auto" w:fill="auto"/>
    </w:rPr>
  </w:style>
  <w:style w:type="character" w:customStyle="1" w:styleId="CharStyle10">
    <w:name w:val="Body text (5)_"/>
    <w:basedOn w:val="DefaultParagraphFont"/>
    <w:link w:val="Style9"/>
    <w:rPr>
      <w:rFonts w:ascii="SimHei" w:eastAsia="SimHei" w:hAnsi="SimHei" w:cs="SimHei"/>
      <w:b w:val="0"/>
      <w:bCs w:val="0"/>
      <w:i w:val="0"/>
      <w:iCs w:val="0"/>
      <w:smallCaps w:val="0"/>
      <w:strike w:val="0"/>
      <w:sz w:val="66"/>
      <w:szCs w:val="66"/>
      <w:u w:val="none"/>
      <w:shd w:val="clear" w:color="auto" w:fill="auto"/>
    </w:rPr>
  </w:style>
  <w:style w:type="character" w:customStyle="1" w:styleId="CharStyle13">
    <w:name w:val="Body text (3)_"/>
    <w:basedOn w:val="DefaultParagraphFont"/>
    <w:link w:val="Style12"/>
    <w:rPr>
      <w:rFonts w:ascii="Times New Roman" w:eastAsia="Times New Roman" w:hAnsi="Times New Roman" w:cs="Times New Roman"/>
      <w:b/>
      <w:bCs/>
      <w:i w:val="0"/>
      <w:iCs w:val="0"/>
      <w:smallCaps w:val="0"/>
      <w:strike w:val="0"/>
      <w:sz w:val="40"/>
      <w:szCs w:val="40"/>
      <w:u w:val="none"/>
      <w:shd w:val="clear" w:color="auto" w:fill="auto"/>
    </w:rPr>
  </w:style>
  <w:style w:type="character" w:customStyle="1" w:styleId="CharStyle16">
    <w:name w:val="Heading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Table of contents_"/>
    <w:basedOn w:val="DefaultParagraphFont"/>
    <w:link w:val="Style21"/>
    <w:rPr>
      <w:rFonts w:ascii="SimSun" w:eastAsia="SimSun" w:hAnsi="SimSun" w:cs="SimSun"/>
      <w:b w:val="0"/>
      <w:bCs w:val="0"/>
      <w:i w:val="0"/>
      <w:iCs w:val="0"/>
      <w:smallCaps w:val="0"/>
      <w:strike w:val="0"/>
      <w:u w:val="none"/>
      <w:shd w:val="clear" w:color="auto" w:fill="auto"/>
    </w:rPr>
  </w:style>
  <w:style w:type="character" w:customStyle="1" w:styleId="CharStyle25">
    <w:name w:val="Body text (4)_"/>
    <w:basedOn w:val="DefaultParagraphFont"/>
    <w:link w:val="Style24"/>
    <w:rPr>
      <w:rFonts w:ascii="SimSun" w:eastAsia="SimSun" w:hAnsi="SimSun" w:cs="SimSun"/>
      <w:b/>
      <w:bCs/>
      <w:i w:val="0"/>
      <w:iCs w:val="0"/>
      <w:smallCaps w:val="0"/>
      <w:strike w:val="0"/>
      <w:sz w:val="32"/>
      <w:szCs w:val="32"/>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Other_"/>
    <w:basedOn w:val="DefaultParagraphFont"/>
    <w:link w:val="Style29"/>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CharStyle33">
    <w:name w:val="Heading #2_"/>
    <w:basedOn w:val="DefaultParagraphFont"/>
    <w:link w:val="Style32"/>
    <w:rPr>
      <w:rFonts w:ascii="SimSun" w:eastAsia="SimSun" w:hAnsi="SimSun" w:cs="SimSun"/>
      <w:b/>
      <w:bCs/>
      <w:i w:val="0"/>
      <w:iCs w:val="0"/>
      <w:smallCaps w:val="0"/>
      <w:strike w:val="0"/>
      <w:u w:val="none"/>
      <w:shd w:val="clear" w:color="auto" w:fill="auto"/>
    </w:rPr>
  </w:style>
  <w:style w:type="character" w:customStyle="1" w:styleId="CharStyle36">
    <w:name w:val="Heading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4">
    <w:name w:val="Heading #4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56">
    <w:name w:val="Body text (8)_"/>
    <w:basedOn w:val="DefaultParagraphFont"/>
    <w:link w:val="Style55"/>
    <w:rPr>
      <w:rFonts w:ascii="SimSun" w:eastAsia="SimSun" w:hAnsi="SimSun" w:cs="SimSun"/>
      <w:b w:val="0"/>
      <w:bCs w:val="0"/>
      <w:i w:val="0"/>
      <w:iCs w:val="0"/>
      <w:smallCaps w:val="0"/>
      <w:strike w:val="0"/>
      <w:sz w:val="18"/>
      <w:szCs w:val="18"/>
      <w:u w:val="none"/>
      <w:shd w:val="clear" w:color="auto" w:fill="auto"/>
    </w:rPr>
  </w:style>
  <w:style w:type="character" w:customStyle="1" w:styleId="CharStyle66">
    <w:name w:val="Body text (10)_"/>
    <w:basedOn w:val="DefaultParagraphFont"/>
    <w:link w:val="Style65"/>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CharStyle69">
    <w:name w:val="Picture caption_"/>
    <w:basedOn w:val="DefaultParagraphFont"/>
    <w:link w:val="Style68"/>
    <w:rPr>
      <w:rFonts w:ascii="SimSun" w:eastAsia="SimSun" w:hAnsi="SimSun" w:cs="SimSun"/>
      <w:b w:val="0"/>
      <w:bCs w:val="0"/>
      <w:i w:val="0"/>
      <w:iCs w:val="0"/>
      <w:smallCaps w:val="0"/>
      <w:strike w:val="0"/>
      <w:sz w:val="20"/>
      <w:szCs w:val="20"/>
      <w:u w:val="none"/>
      <w:shd w:val="clear" w:color="auto" w:fill="auto"/>
    </w:rPr>
  </w:style>
  <w:style w:type="character" w:customStyle="1" w:styleId="CharStyle73">
    <w:name w:val="Body text (9)_"/>
    <w:basedOn w:val="DefaultParagraphFont"/>
    <w:link w:val="Style72"/>
    <w:rPr>
      <w:rFonts w:ascii="SimSun" w:eastAsia="SimSun" w:hAnsi="SimSun" w:cs="SimSun"/>
      <w:b w:val="0"/>
      <w:bCs w:val="0"/>
      <w:i w:val="0"/>
      <w:iCs w:val="0"/>
      <w:smallCaps w:val="0"/>
      <w:strike w:val="0"/>
      <w:u w:val="none"/>
      <w:shd w:val="clear" w:color="auto" w:fill="auto"/>
    </w:rPr>
  </w:style>
  <w:style w:type="character" w:customStyle="1" w:styleId="CharStyle93">
    <w:name w:val="Body text (11)_"/>
    <w:basedOn w:val="DefaultParagraphFont"/>
    <w:link w:val="Style92"/>
    <w:rPr>
      <w:rFonts w:ascii="Arial" w:eastAsia="Arial" w:hAnsi="Arial" w:cs="Arial"/>
      <w:b w:val="0"/>
      <w:bCs w:val="0"/>
      <w:i w:val="0"/>
      <w:iCs w:val="0"/>
      <w:smallCaps w:val="0"/>
      <w:strike w:val="0"/>
      <w:u w:val="none"/>
      <w:shd w:val="clear" w:color="auto" w:fill="auto"/>
    </w:rPr>
  </w:style>
  <w:style w:type="character" w:customStyle="1" w:styleId="CharStyle144">
    <w:name w:val="Body text (12)_"/>
    <w:basedOn w:val="DefaultParagraphFont"/>
    <w:link w:val="Style143"/>
    <w:rPr>
      <w:rFonts w:ascii="Arial" w:eastAsia="Arial" w:hAnsi="Arial" w:cs="Arial"/>
      <w:b w:val="0"/>
      <w:bCs w:val="0"/>
      <w:i w:val="0"/>
      <w:iCs w:val="0"/>
      <w:smallCaps w:val="0"/>
      <w:strike w:val="0"/>
      <w:sz w:val="18"/>
      <w:szCs w:val="18"/>
      <w:u w:val="none"/>
      <w:shd w:val="clear" w:color="auto" w:fill="auto"/>
    </w:rPr>
  </w:style>
  <w:style w:type="character" w:customStyle="1" w:styleId="CharStyle147">
    <w:name w:val="Other (3)_"/>
    <w:basedOn w:val="DefaultParagraphFont"/>
    <w:link w:val="Style146"/>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Footnote"/>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
    <w:name w:val="Body text (2)"/>
    <w:basedOn w:val="Normal"/>
    <w:link w:val="CharStyle7"/>
    <w:pPr>
      <w:widowControl w:val="0"/>
      <w:shd w:val="clear" w:color="auto" w:fill="auto"/>
      <w:spacing w:after="1130"/>
      <w:jc w:val="center"/>
    </w:pPr>
    <w:rPr>
      <w:rFonts w:ascii="SimSun" w:eastAsia="SimSun" w:hAnsi="SimSun" w:cs="SimSun"/>
      <w:b/>
      <w:bCs/>
      <w:i w:val="0"/>
      <w:iCs w:val="0"/>
      <w:smallCaps w:val="0"/>
      <w:strike w:val="0"/>
      <w:sz w:val="40"/>
      <w:szCs w:val="40"/>
      <w:u w:val="none"/>
      <w:shd w:val="clear" w:color="auto" w:fill="auto"/>
    </w:rPr>
  </w:style>
  <w:style w:type="paragraph" w:customStyle="1" w:styleId="Style9">
    <w:name w:val="Body text (5)"/>
    <w:basedOn w:val="Normal"/>
    <w:link w:val="CharStyle10"/>
    <w:pPr>
      <w:widowControl w:val="0"/>
      <w:shd w:val="clear" w:color="auto" w:fill="auto"/>
      <w:spacing w:after="4120"/>
      <w:jc w:val="center"/>
    </w:pPr>
    <w:rPr>
      <w:rFonts w:ascii="SimHei" w:eastAsia="SimHei" w:hAnsi="SimHei" w:cs="SimHei"/>
      <w:b w:val="0"/>
      <w:bCs w:val="0"/>
      <w:i w:val="0"/>
      <w:iCs w:val="0"/>
      <w:smallCaps w:val="0"/>
      <w:strike w:val="0"/>
      <w:sz w:val="66"/>
      <w:szCs w:val="66"/>
      <w:u w:val="none"/>
      <w:shd w:val="clear" w:color="auto" w:fill="auto"/>
    </w:rPr>
  </w:style>
  <w:style w:type="paragraph" w:customStyle="1" w:styleId="Style12">
    <w:name w:val="Body text (3)"/>
    <w:basedOn w:val="Normal"/>
    <w:link w:val="CharStyle13"/>
    <w:pPr>
      <w:widowControl w:val="0"/>
      <w:shd w:val="clear" w:color="auto" w:fill="auto"/>
      <w:jc w:val="center"/>
    </w:pPr>
    <w:rPr>
      <w:rFonts w:ascii="Times New Roman" w:eastAsia="Times New Roman" w:hAnsi="Times New Roman" w:cs="Times New Roman"/>
      <w:b/>
      <w:bCs/>
      <w:i w:val="0"/>
      <w:iCs w:val="0"/>
      <w:smallCaps w:val="0"/>
      <w:strike w:val="0"/>
      <w:sz w:val="40"/>
      <w:szCs w:val="40"/>
      <w:u w:val="none"/>
      <w:shd w:val="clear" w:color="auto" w:fill="auto"/>
    </w:rPr>
  </w:style>
  <w:style w:type="paragraph" w:customStyle="1" w:styleId="Style15">
    <w:name w:val="Heading #1"/>
    <w:basedOn w:val="Normal"/>
    <w:link w:val="CharStyle16"/>
    <w:pPr>
      <w:widowControl w:val="0"/>
      <w:shd w:val="clear" w:color="auto" w:fill="auto"/>
      <w:spacing w:before="440" w:after="420"/>
      <w:jc w:val="center"/>
      <w:outlineLvl w:val="0"/>
    </w:pPr>
    <w:rPr>
      <w:rFonts w:ascii="SimSun" w:eastAsia="SimSun" w:hAnsi="SimSun" w:cs="SimSun"/>
      <w:b/>
      <w:bCs/>
      <w:i w:val="0"/>
      <w:iCs w:val="0"/>
      <w:smallCaps w:val="0"/>
      <w:strike w:val="0"/>
      <w:sz w:val="32"/>
      <w:szCs w:val="32"/>
      <w:u w:val="none"/>
      <w:shd w:val="clear" w:color="auto" w:fill="auto"/>
    </w:rPr>
  </w:style>
  <w:style w:type="paragraph" w:styleId="Style17">
    <w:name w:val="Body text"/>
    <w:basedOn w:val="Normal"/>
    <w:link w:val="CharStyle18"/>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Table of contents"/>
    <w:basedOn w:val="Normal"/>
    <w:link w:val="CharStyle22"/>
    <w:pPr>
      <w:widowControl w:val="0"/>
      <w:shd w:val="clear" w:color="auto" w:fill="auto"/>
      <w:spacing w:after="180"/>
    </w:pPr>
    <w:rPr>
      <w:rFonts w:ascii="SimSun" w:eastAsia="SimSun" w:hAnsi="SimSun" w:cs="SimSun"/>
      <w:b w:val="0"/>
      <w:bCs w:val="0"/>
      <w:i w:val="0"/>
      <w:iCs w:val="0"/>
      <w:smallCaps w:val="0"/>
      <w:strike w:val="0"/>
      <w:u w:val="none"/>
      <w:shd w:val="clear" w:color="auto" w:fill="auto"/>
    </w:rPr>
  </w:style>
  <w:style w:type="paragraph" w:customStyle="1" w:styleId="Style24">
    <w:name w:val="Body text (4)"/>
    <w:basedOn w:val="Normal"/>
    <w:link w:val="CharStyle25"/>
    <w:pPr>
      <w:widowControl w:val="0"/>
      <w:shd w:val="clear" w:color="auto" w:fill="auto"/>
      <w:spacing w:after="7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Other"/>
    <w:basedOn w:val="Normal"/>
    <w:link w:val="CharStyle30"/>
    <w:pPr>
      <w:widowControl w:val="0"/>
      <w:shd w:val="clear" w:color="auto" w:fill="auto"/>
    </w:pPr>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32">
    <w:name w:val="Heading #2"/>
    <w:basedOn w:val="Normal"/>
    <w:link w:val="CharStyle33"/>
    <w:pPr>
      <w:widowControl w:val="0"/>
      <w:shd w:val="clear" w:color="auto" w:fill="auto"/>
      <w:spacing w:after="270" w:line="466" w:lineRule="exact"/>
      <w:outlineLvl w:val="1"/>
    </w:pPr>
    <w:rPr>
      <w:rFonts w:ascii="SimSun" w:eastAsia="SimSun" w:hAnsi="SimSun" w:cs="SimSun"/>
      <w:b/>
      <w:bCs/>
      <w:i w:val="0"/>
      <w:iCs w:val="0"/>
      <w:smallCaps w:val="0"/>
      <w:strike w:val="0"/>
      <w:u w:val="none"/>
      <w:shd w:val="clear" w:color="auto" w:fill="auto"/>
    </w:rPr>
  </w:style>
  <w:style w:type="paragraph" w:customStyle="1" w:styleId="Style35">
    <w:name w:val="Heading #3"/>
    <w:basedOn w:val="Normal"/>
    <w:link w:val="CharStyle36"/>
    <w:pPr>
      <w:widowControl w:val="0"/>
      <w:shd w:val="clear" w:color="auto" w:fill="auto"/>
      <w:spacing w:after="220" w:line="466"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3">
    <w:name w:val="Heading #4"/>
    <w:basedOn w:val="Normal"/>
    <w:link w:val="CharStyle44"/>
    <w:pPr>
      <w:widowControl w:val="0"/>
      <w:shd w:val="clear" w:color="auto" w:fill="auto"/>
      <w:spacing w:after="420" w:line="469"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5">
    <w:name w:val="Body text (8)"/>
    <w:basedOn w:val="Normal"/>
    <w:link w:val="CharStyle56"/>
    <w:pPr>
      <w:widowControl w:val="0"/>
      <w:shd w:val="clear" w:color="auto" w:fill="auto"/>
      <w:spacing w:after="80"/>
    </w:pPr>
    <w:rPr>
      <w:rFonts w:ascii="SimSun" w:eastAsia="SimSun" w:hAnsi="SimSun" w:cs="SimSun"/>
      <w:b w:val="0"/>
      <w:bCs w:val="0"/>
      <w:i w:val="0"/>
      <w:iCs w:val="0"/>
      <w:smallCaps w:val="0"/>
      <w:strike w:val="0"/>
      <w:sz w:val="18"/>
      <w:szCs w:val="18"/>
      <w:u w:val="none"/>
      <w:shd w:val="clear" w:color="auto" w:fill="auto"/>
    </w:rPr>
  </w:style>
  <w:style w:type="paragraph" w:customStyle="1" w:styleId="Style65">
    <w:name w:val="Body text (10)"/>
    <w:basedOn w:val="Normal"/>
    <w:link w:val="CharStyle66"/>
    <w:pPr>
      <w:widowControl w:val="0"/>
      <w:shd w:val="clear" w:color="auto" w:fill="auto"/>
      <w:spacing w:line="429" w:lineRule="exact"/>
      <w:ind w:firstLine="460"/>
    </w:pPr>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68">
    <w:name w:val="Picture caption"/>
    <w:basedOn w:val="Normal"/>
    <w:link w:val="CharStyle6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72">
    <w:name w:val="Body text (9)"/>
    <w:basedOn w:val="Normal"/>
    <w:link w:val="CharStyle73"/>
    <w:pPr>
      <w:widowControl w:val="0"/>
      <w:shd w:val="clear" w:color="auto" w:fill="auto"/>
      <w:spacing w:after="340" w:line="312" w:lineRule="exact"/>
      <w:ind w:left="720"/>
    </w:pPr>
    <w:rPr>
      <w:rFonts w:ascii="SimSun" w:eastAsia="SimSun" w:hAnsi="SimSun" w:cs="SimSun"/>
      <w:b w:val="0"/>
      <w:bCs w:val="0"/>
      <w:i w:val="0"/>
      <w:iCs w:val="0"/>
      <w:smallCaps w:val="0"/>
      <w:strike w:val="0"/>
      <w:u w:val="none"/>
      <w:shd w:val="clear" w:color="auto" w:fill="auto"/>
    </w:rPr>
  </w:style>
  <w:style w:type="paragraph" w:customStyle="1" w:styleId="Style92">
    <w:name w:val="Body text (11)"/>
    <w:basedOn w:val="Normal"/>
    <w:link w:val="CharStyle93"/>
    <w:pPr>
      <w:widowControl w:val="0"/>
      <w:shd w:val="clear" w:color="auto" w:fill="auto"/>
      <w:spacing w:after="260" w:line="271" w:lineRule="auto"/>
    </w:pPr>
    <w:rPr>
      <w:rFonts w:ascii="Arial" w:eastAsia="Arial" w:hAnsi="Arial" w:cs="Arial"/>
      <w:b w:val="0"/>
      <w:bCs w:val="0"/>
      <w:i w:val="0"/>
      <w:iCs w:val="0"/>
      <w:smallCaps w:val="0"/>
      <w:strike w:val="0"/>
      <w:u w:val="none"/>
      <w:shd w:val="clear" w:color="auto" w:fill="auto"/>
    </w:rPr>
  </w:style>
  <w:style w:type="paragraph" w:customStyle="1" w:styleId="Style143">
    <w:name w:val="Body text (12)"/>
    <w:basedOn w:val="Normal"/>
    <w:link w:val="CharStyle144"/>
    <w:pPr>
      <w:widowControl w:val="0"/>
      <w:shd w:val="clear" w:color="auto" w:fill="auto"/>
    </w:pPr>
    <w:rPr>
      <w:rFonts w:ascii="Arial" w:eastAsia="Arial" w:hAnsi="Arial" w:cs="Arial"/>
      <w:b w:val="0"/>
      <w:bCs w:val="0"/>
      <w:i w:val="0"/>
      <w:iCs w:val="0"/>
      <w:smallCaps w:val="0"/>
      <w:strike w:val="0"/>
      <w:sz w:val="18"/>
      <w:szCs w:val="18"/>
      <w:u w:val="none"/>
      <w:shd w:val="clear" w:color="auto" w:fill="auto"/>
    </w:rPr>
  </w:style>
  <w:style w:type="paragraph" w:customStyle="1" w:styleId="Style146">
    <w:name w:val="Other (3)"/>
    <w:basedOn w:val="Normal"/>
    <w:link w:val="CharStyle14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s>
</file>

<file path=docProps/core.xml><?xml version="1.0" encoding="utf-8"?>
<cp:coreProperties xmlns:cp="http://schemas.openxmlformats.org/package/2006/metadata/core-properties" xmlns:dc="http://purl.org/dc/elements/1.1/">
  <dc:title>苏宁易购集团股份有限公司2021年年度报告</dc:title>
  <dc:subject/>
  <dc:creator>苏宁易购集团股份有限公司</dc:creator>
  <cp:keywords/>
</cp:coreProperties>
</file>