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spacing w:line="127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1409229" cy="8096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229" cy="809625"/>
                    </a:xfrm>
                    <a:prstGeom prst="rect">
                      <a:avLst/>
                    </a:prstGeom>
                  </pic:spPr>
                </pic:pic>
              </a:graphicData>
            </a:graphic>
          </wp:inline>
        </w:drawing>
      </w:r>
      <w:r>
        <w:rPr>
          <w:rFonts w:ascii="Times New Roman" w:hAnsi="Times New Roman" w:cs="Times New Roman" w:eastAsia="Times New Roman" w:hint="default"/>
          <w:position w:val="-2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江苏三友集团股份有限公司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224,250,000 </w:t>
      </w:r>
      <w:r>
        <w:rPr>
          <w:rFonts w:ascii="宋体" w:hAnsi="宋体" w:cs="宋体" w:eastAsia="宋体" w:hint="default"/>
          <w:b/>
          <w:bCs/>
          <w:sz w:val="28"/>
          <w:szCs w:val="28"/>
        </w:rPr>
        <w:t>股为基数，向全体股东每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0.20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46"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9"/>
          <w:w w:val="99"/>
          <w:sz w:val="28"/>
          <w:szCs w:val="28"/>
        </w:rPr>
        <w:t>股（含税），不以公积金转增股本。</w:t>
      </w:r>
      <w:r>
        <w:rPr>
          <w:rFonts w:ascii="宋体" w:hAnsi="宋体" w:cs="宋体" w:eastAsia="宋体" w:hint="default"/>
          <w:b/>
          <w:bCs/>
          <w:spacing w:val="-126"/>
          <w:w w:val="99"/>
          <w:sz w:val="28"/>
          <w:szCs w:val="28"/>
        </w:rPr>
        <w:t> </w:t>
      </w:r>
      <w:r>
        <w:rPr>
          <w:rFonts w:ascii="宋体" w:hAnsi="宋体" w:cs="宋体" w:eastAsia="宋体" w:hint="default"/>
          <w:b/>
          <w:bCs/>
          <w:spacing w:val="-126"/>
          <w:w w:val="99"/>
          <w:sz w:val="28"/>
          <w:szCs w:val="28"/>
        </w:rPr>
      </w:r>
      <w:r>
        <w:rPr>
          <w:rFonts w:ascii="宋体" w:hAnsi="宋体" w:cs="宋体" w:eastAsia="宋体" w:hint="default"/>
          <w:b/>
          <w:bCs/>
          <w:spacing w:val="3"/>
          <w:w w:val="95"/>
          <w:sz w:val="28"/>
          <w:szCs w:val="28"/>
        </w:rPr>
        <w:t>公司负责人陆尔穗、主管会计工作负责人张松及会计机构负责人（会计主</w:t>
      </w:r>
      <w:r>
        <w:rPr>
          <w:rFonts w:ascii="宋体" w:hAnsi="宋体" w:cs="宋体" w:eastAsia="宋体" w:hint="default"/>
          <w:sz w:val="28"/>
          <w:szCs w:val="28"/>
        </w:rPr>
      </w:r>
    </w:p>
    <w:p>
      <w:pPr>
        <w:spacing w:line="472" w:lineRule="auto" w:before="18"/>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管人员）张松声明：保证年度报告中财务报告的真实、准确、完整。</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本报告中涉及的未来发展规划和经营目标的相关陈述，属于公司计划性事</w:t>
      </w:r>
      <w:r>
        <w:rPr>
          <w:rFonts w:ascii="宋体" w:hAnsi="宋体" w:cs="宋体" w:eastAsia="宋体" w:hint="default"/>
          <w:spacing w:val="3"/>
          <w:sz w:val="28"/>
          <w:szCs w:val="28"/>
        </w:rPr>
      </w:r>
    </w:p>
    <w:p>
      <w:pPr>
        <w:spacing w:line="35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务，不构成对投资者的实质承诺，敬请投资者注意风险。</w:t>
      </w:r>
      <w:r>
        <w:rPr>
          <w:rFonts w:ascii="宋体" w:hAnsi="宋体" w:cs="宋体" w:eastAsia="宋体" w:hint="default"/>
          <w:sz w:val="28"/>
          <w:szCs w:val="28"/>
        </w:rPr>
      </w:r>
    </w:p>
    <w:p>
      <w:pPr>
        <w:spacing w:after="0" w:line="354"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2"/>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内部控制</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158</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tabs>
          <w:tab w:pos="643" w:val="left" w:leader="none"/>
        </w:tabs>
        <w:spacing w:before="946"/>
        <w:ind w:left="0" w:right="977"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公司、本公司、江苏三友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友谊实业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南通友谊实业有限公司，系本公司控股股东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日本三轮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日本三轮株式会社，系本公司第二大股东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北斗公司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江苏北斗科技有限公司，系本公司控股子公司， 已停业拟破产清算</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色织公司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江苏三友集团南通色织有限公司，系本公司全资子公司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三明公司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南通三明时装有限公司，系本公司控股子公司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三友信息公司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南通三友信息科技发展有限公司，系本公司全资子公司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资丰小贷公司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南通市港闸区资丰农村小额贷款有限公司，系本公司控股子公司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北斗导航公司</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9"/>
              <w:jc w:val="left"/>
              <w:rPr>
                <w:rFonts w:ascii="宋体" w:hAnsi="宋体" w:cs="宋体" w:eastAsia="宋体" w:hint="default"/>
                <w:sz w:val="18"/>
                <w:szCs w:val="18"/>
              </w:rPr>
            </w:pPr>
            <w:r>
              <w:rPr>
                <w:rFonts w:ascii="宋体" w:hAnsi="宋体" w:cs="宋体" w:eastAsia="宋体" w:hint="default"/>
                <w:sz w:val="18"/>
                <w:szCs w:val="18"/>
              </w:rPr>
              <w:t>南京三友北斗导航研究工程有限公司，原系北斗公司之控股子公司， 北斗公司已进行股权转让</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上海金匙环保科技股份有限公司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新城集团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南通新城集团有限公司，为公司的关联方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中国证券监督管理委员会江苏监管局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《江苏三友集团股份有限公司章程》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OEM</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7" w:lineRule="auto" w:before="51"/>
              <w:ind w:left="27"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Original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Equipment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Manufacture</w:t>
            </w:r>
            <w:r>
              <w:rPr>
                <w:rFonts w:ascii="宋体" w:hAnsi="宋体" w:cs="宋体" w:eastAsia="宋体" w:hint="default"/>
                <w:sz w:val="18"/>
                <w:szCs w:val="18"/>
              </w:rPr>
              <w:t>（原始设备制造商）的缩写，</w:t>
            </w:r>
            <w:r>
              <w:rPr>
                <w:rFonts w:ascii="宋体" w:hAnsi="宋体" w:cs="宋体" w:eastAsia="宋体" w:hint="default"/>
                <w:w w:val="99"/>
                <w:sz w:val="18"/>
                <w:szCs w:val="18"/>
              </w:rPr>
              <w:t> </w:t>
            </w:r>
            <w:r>
              <w:rPr>
                <w:rFonts w:ascii="宋体" w:hAnsi="宋体" w:cs="宋体" w:eastAsia="宋体" w:hint="default"/>
                <w:sz w:val="18"/>
                <w:szCs w:val="18"/>
              </w:rPr>
              <w:t>它是指一种</w:t>
            </w:r>
            <w:r>
              <w:rPr>
                <w:rFonts w:ascii="Times New Roman" w:hAnsi="Times New Roman" w:cs="Times New Roman" w:eastAsia="Times New Roman" w:hint="default"/>
                <w:sz w:val="18"/>
                <w:szCs w:val="18"/>
              </w:rPr>
              <w:t>"</w:t>
            </w:r>
            <w:r>
              <w:rPr>
                <w:rFonts w:ascii="宋体" w:hAnsi="宋体" w:cs="宋体" w:eastAsia="宋体" w:hint="default"/>
                <w:sz w:val="18"/>
                <w:szCs w:val="18"/>
              </w:rPr>
              <w:t>代工生产</w:t>
            </w:r>
            <w:r>
              <w:rPr>
                <w:rFonts w:ascii="Times New Roman" w:hAnsi="Times New Roman" w:cs="Times New Roman" w:eastAsia="Times New Roman" w:hint="default"/>
                <w:sz w:val="18"/>
                <w:szCs w:val="18"/>
              </w:rPr>
              <w:t>"</w:t>
            </w:r>
            <w:r>
              <w:rPr>
                <w:rFonts w:ascii="宋体" w:hAnsi="宋体" w:cs="宋体" w:eastAsia="宋体" w:hint="default"/>
                <w:sz w:val="18"/>
                <w:szCs w:val="18"/>
              </w:rPr>
              <w:t>方式，其含义是品牌厂商不直接制造产品，而 是利用自己掌握的品牌、销售渠道等，将具体的产品制造委托别的企 业去做的方式。</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ODM</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ODM</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Original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Design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Manufacturer</w:t>
            </w:r>
            <w:r>
              <w:rPr>
                <w:rFonts w:ascii="宋体" w:hAnsi="宋体" w:cs="宋体" w:eastAsia="宋体" w:hint="default"/>
                <w:sz w:val="18"/>
                <w:szCs w:val="18"/>
              </w:rPr>
              <w:t>（原始设计制造商）的缩写，它 比</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进了一步。制造厂商除了制造加工外，增加了设计环节，即 接受品牌厂商的委托，按其技术要求承担部分设计任务。</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0" w:right="977"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8" w:lineRule="auto" w:before="0"/>
        <w:ind w:left="153" w:right="1128"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以下风险因素可能对公司的发展和经济目标的实现带来影响，包括“人民</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币汇率波动导致的风险、企业运营成本持续上升导致的风险、中日双边贸易现</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5"/>
          <w:w w:val="99"/>
          <w:sz w:val="28"/>
          <w:szCs w:val="28"/>
        </w:rPr>
        <w:t>状的变化及客户相对集中的风险”，请投资者特别关注。详见本报告第四节“董</w:t>
      </w:r>
      <w:r>
        <w:rPr>
          <w:rFonts w:ascii="宋体" w:hAnsi="宋体" w:cs="宋体" w:eastAsia="宋体" w:hint="default"/>
          <w:b/>
          <w:bCs/>
          <w:spacing w:val="-136"/>
          <w:w w:val="99"/>
          <w:sz w:val="28"/>
          <w:szCs w:val="28"/>
        </w:rPr>
        <w:t> </w:t>
      </w:r>
      <w:r>
        <w:rPr>
          <w:rFonts w:ascii="宋体" w:hAnsi="宋体" w:cs="宋体" w:eastAsia="宋体" w:hint="default"/>
          <w:b/>
          <w:bCs/>
          <w:spacing w:val="-136"/>
          <w:w w:val="99"/>
          <w:sz w:val="28"/>
          <w:szCs w:val="28"/>
        </w:rPr>
      </w:r>
      <w:r>
        <w:rPr>
          <w:rFonts w:ascii="宋体" w:hAnsi="宋体" w:cs="宋体" w:eastAsia="宋体" w:hint="default"/>
          <w:b/>
          <w:bCs/>
          <w:sz w:val="28"/>
          <w:szCs w:val="28"/>
        </w:rPr>
        <w:t>事会报告”中“可能面临的风险因素”部分。</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844384"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978"/>
        <w:jc w:val="center"/>
        <w:rPr>
          <w:b w:val="0"/>
          <w:bCs w:val="0"/>
        </w:rPr>
      </w:pPr>
      <w:bookmarkStart w:name="_TOC_250010" w:id="3"/>
      <w:bookmarkStart w:name="第二节 公司简介" w:id="4"/>
      <w:r>
        <w:rPr>
          <w:b w:val="0"/>
          <w:bCs w:val="0"/>
        </w:rPr>
      </w:r>
      <w:r>
        <w:rPr/>
        <w:t>第二节</w:t>
      </w:r>
      <w:r>
        <w:rPr>
          <w:spacing w:val="-3"/>
        </w:rPr>
        <w:t> </w:t>
      </w:r>
      <w:r>
        <w:rPr/>
        <w:t>公司简介</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江苏三友</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002044</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江苏三友集团股份有限公司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江苏三友</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JIANGSU SANYOU GROUP</w:t>
            </w:r>
            <w:r>
              <w:rPr>
                <w:rFonts w:ascii="Times New Roman"/>
                <w:spacing w:val="-4"/>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JIANGSU</w:t>
            </w:r>
            <w:r>
              <w:rPr>
                <w:rFonts w:ascii="Times New Roman"/>
                <w:spacing w:val="-3"/>
                <w:sz w:val="18"/>
              </w:rPr>
              <w:t> </w:t>
            </w:r>
            <w:r>
              <w:rPr>
                <w:rFonts w:ascii="Times New Roman"/>
                <w:sz w:val="18"/>
              </w:rPr>
              <w:t>SANYOU</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陆尔穗</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江苏省南通市人民东路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226008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江苏省南通市人民东路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226008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www.sanyougroup.com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jssy@sanyougroup.com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徐向东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江苏省南通市人民东路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0513-85238163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0513-85238129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xuxd@sanyougroup.com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9"/>
        <w:gridCol w:w="2125"/>
        <w:gridCol w:w="1241"/>
        <w:gridCol w:w="2161"/>
        <w:gridCol w:w="1419"/>
        <w:gridCol w:w="1202"/>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企业法人营业执照注册号</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1" w:type="dxa"/>
            <w:vMerge w:val="restart"/>
            <w:tcBorders>
              <w:top w:val="single" w:sz="4" w:space="0" w:color="000000"/>
              <w:left w:val="single" w:sz="4" w:space="0" w:color="000000"/>
              <w:right w:val="single" w:sz="4" w:space="0" w:color="000000"/>
            </w:tcBorders>
          </w:tcPr>
          <w:p>
            <w:pPr>
              <w:pStyle w:val="TableParagraph"/>
              <w:spacing w:line="319" w:lineRule="auto" w:before="51"/>
              <w:ind w:left="24" w:right="125"/>
              <w:jc w:val="left"/>
              <w:rPr>
                <w:rFonts w:ascii="宋体" w:hAnsi="宋体" w:cs="宋体" w:eastAsia="宋体" w:hint="default"/>
                <w:sz w:val="18"/>
                <w:szCs w:val="18"/>
              </w:rPr>
            </w:pPr>
            <w:r>
              <w:rPr>
                <w:rFonts w:ascii="宋体" w:hAnsi="宋体" w:cs="宋体" w:eastAsia="宋体" w:hint="default"/>
                <w:sz w:val="18"/>
                <w:szCs w:val="18"/>
              </w:rPr>
              <w:t>国家工商行政 管理总局</w:t>
            </w:r>
          </w:p>
        </w:tc>
        <w:tc>
          <w:tcPr>
            <w:tcW w:w="21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企股国字第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000891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320601608304061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60830406-1</w:t>
            </w:r>
          </w:p>
        </w:tc>
      </w:tr>
      <w:tr>
        <w:trPr>
          <w:trHeight w:val="393"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2125" w:type="dxa"/>
            <w:vMerge/>
            <w:tcBorders>
              <w:left w:val="single" w:sz="9" w:space="0" w:color="D2D2D2"/>
              <w:right w:val="single" w:sz="4" w:space="0" w:color="000000"/>
            </w:tcBorders>
          </w:tcPr>
          <w:p>
            <w:pPr/>
          </w:p>
        </w:tc>
        <w:tc>
          <w:tcPr>
            <w:tcW w:w="1241" w:type="dxa"/>
            <w:vMerge/>
            <w:tcBorders>
              <w:left w:val="single" w:sz="4" w:space="0" w:color="000000"/>
              <w:right w:val="single" w:sz="4" w:space="0" w:color="000000"/>
            </w:tcBorders>
          </w:tcPr>
          <w:p>
            <w:pPr/>
          </w:p>
        </w:tc>
        <w:tc>
          <w:tcPr>
            <w:tcW w:w="2161"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5" w:type="dxa"/>
            <w:vMerge/>
            <w:tcBorders>
              <w:left w:val="single" w:sz="9" w:space="0" w:color="D2D2D2"/>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2161"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1" w:type="dxa"/>
            <w:vMerge w:val="restart"/>
            <w:tcBorders>
              <w:top w:val="single" w:sz="4" w:space="0" w:color="000000"/>
              <w:left w:val="single" w:sz="4" w:space="0" w:color="000000"/>
              <w:right w:val="single" w:sz="4" w:space="0" w:color="000000"/>
            </w:tcBorders>
          </w:tcPr>
          <w:p>
            <w:pPr>
              <w:pStyle w:val="TableParagraph"/>
              <w:spacing w:line="319" w:lineRule="auto" w:before="51"/>
              <w:ind w:left="24" w:right="125"/>
              <w:jc w:val="left"/>
              <w:rPr>
                <w:rFonts w:ascii="宋体" w:hAnsi="宋体" w:cs="宋体" w:eastAsia="宋体" w:hint="default"/>
                <w:sz w:val="18"/>
                <w:szCs w:val="18"/>
              </w:rPr>
            </w:pPr>
            <w:r>
              <w:rPr>
                <w:rFonts w:ascii="宋体" w:hAnsi="宋体" w:cs="宋体" w:eastAsia="宋体" w:hint="default"/>
                <w:sz w:val="18"/>
                <w:szCs w:val="18"/>
              </w:rPr>
              <w:t>江苏省工商行 政管理局</w:t>
            </w:r>
          </w:p>
        </w:tc>
        <w:tc>
          <w:tcPr>
            <w:tcW w:w="21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320000400000850</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320601608304061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60830406-1</w:t>
            </w:r>
          </w:p>
        </w:tc>
      </w:tr>
      <w:tr>
        <w:trPr>
          <w:trHeight w:val="39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2125" w:type="dxa"/>
            <w:vMerge/>
            <w:tcBorders>
              <w:left w:val="single" w:sz="9" w:space="0" w:color="D2D2D2"/>
              <w:right w:val="single" w:sz="4" w:space="0" w:color="000000"/>
            </w:tcBorders>
          </w:tcPr>
          <w:p>
            <w:pPr/>
          </w:p>
        </w:tc>
        <w:tc>
          <w:tcPr>
            <w:tcW w:w="1241" w:type="dxa"/>
            <w:vMerge/>
            <w:tcBorders>
              <w:left w:val="single" w:sz="4" w:space="0" w:color="000000"/>
              <w:right w:val="single" w:sz="4" w:space="0" w:color="000000"/>
            </w:tcBorders>
          </w:tcPr>
          <w:p>
            <w:pPr/>
          </w:p>
        </w:tc>
        <w:tc>
          <w:tcPr>
            <w:tcW w:w="2161"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5" w:type="dxa"/>
            <w:vMerge/>
            <w:tcBorders>
              <w:left w:val="single" w:sz="9" w:space="0" w:color="D2D2D2"/>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2161"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402"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024" w:type="dxa"/>
            <w:gridSpan w:val="4"/>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024" w:type="dxa"/>
            <w:gridSpan w:val="4"/>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陈荣芳、宗泽</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10"/>
      <w:bookmarkStart w:name="第三节 会计数据和财务指标摘要" w:id="11"/>
      <w:r>
        <w:rPr>
          <w:b w:val="0"/>
          <w:bCs w:val="0"/>
        </w:rPr>
      </w:r>
      <w:r>
        <w:rPr/>
        <w:t>第三节</w:t>
      </w:r>
      <w:r>
        <w:rPr>
          <w:spacing w:val="-11"/>
        </w:rPr>
        <w:t> </w:t>
      </w:r>
      <w:r>
        <w:rPr/>
        <w:t>会计数据和财务指标摘要</w:t>
      </w:r>
      <w:bookmarkEnd w:id="1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49"/>
        <w:gridCol w:w="1200"/>
        <w:gridCol w:w="1202"/>
        <w:gridCol w:w="1200"/>
        <w:gridCol w:w="1202"/>
        <w:gridCol w:w="1202"/>
        <w:gridCol w:w="1202"/>
      </w:tblGrid>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696,008,522.05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758,700,415.60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758,700,415.60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691,214,660.60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691,214,660.60</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49,513,142.68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-6,234,721.90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-6,234,721.90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65,882,961.66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65,882,961.66</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50,449,819.89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-9,460,860.82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-9,460,860.82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61,254,491.90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61,254,491.90</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29,845,946.21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26,160,340.65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26,160,340.65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82,788,423.75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82,788,423.75</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14.90%</w:t>
            </w:r>
          </w:p>
        </w:tc>
      </w:tr>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683,603,868.39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759,973,212.87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780,033,658.82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827,355,180.28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849,396,863.31</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387,299,713.76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348,857,485.91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348,857,485.91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484,846,318.64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484,846,318.64</w:t>
            </w:r>
          </w:p>
        </w:tc>
      </w:tr>
    </w:tbl>
    <w:p>
      <w:pPr>
        <w:pStyle w:val="BodyText"/>
        <w:spacing w:line="240" w:lineRule="auto" w:before="9"/>
        <w:ind w:left="574" w:right="0"/>
        <w:jc w:val="left"/>
      </w:pPr>
      <w:bookmarkStart w:name="注：经本公司2014年11月10日第五届董事会第十五次会议决议通过，本公司于20" w:id="13"/>
      <w:bookmarkEnd w:id="13"/>
      <w:r>
        <w:rPr/>
      </w:r>
      <w:r>
        <w:rPr/>
        <w:t>注：经本公司</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日第五届董事会第十五次会议决议通过，本公司于</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日开</w:t>
      </w:r>
    </w:p>
    <w:p>
      <w:pPr>
        <w:pStyle w:val="BodyText"/>
        <w:spacing w:line="240" w:lineRule="auto" w:before="68"/>
        <w:ind w:right="0"/>
        <w:jc w:val="both"/>
      </w:pPr>
      <w:r>
        <w:rPr>
          <w:spacing w:val="-5"/>
        </w:rPr>
        <w:t>始执行《企业会计准则</w:t>
      </w:r>
      <w:r>
        <w:rPr>
          <w:rFonts w:ascii="Times New Roman" w:hAnsi="Times New Roman" w:cs="Times New Roman" w:eastAsia="Times New Roman" w:hint="default"/>
          <w:spacing w:val="-5"/>
        </w:rPr>
        <w:t>—</w:t>
      </w:r>
      <w:r>
        <w:rPr>
          <w:spacing w:val="-5"/>
        </w:rPr>
        <w:t>基本准则》（修订）、《企业会计准则第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spacing w:val="-7"/>
        </w:rPr>
        <w:t>号</w:t>
      </w:r>
      <w:r>
        <w:rPr>
          <w:rFonts w:ascii="Times New Roman" w:hAnsi="Times New Roman" w:cs="Times New Roman" w:eastAsia="Times New Roman" w:hint="default"/>
          <w:spacing w:val="-7"/>
        </w:rPr>
        <w:t>——</w:t>
      </w:r>
      <w:r>
        <w:rPr>
          <w:spacing w:val="-7"/>
        </w:rPr>
        <w:t>长期股权投资》（修订）、《企</w:t>
      </w:r>
    </w:p>
    <w:p>
      <w:pPr>
        <w:pStyle w:val="BodyText"/>
        <w:spacing w:line="240" w:lineRule="auto" w:before="68"/>
        <w:ind w:right="0"/>
        <w:jc w:val="both"/>
      </w:pPr>
      <w:r>
        <w:rPr/>
        <w:t>业会计准则第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4"/>
        </w:rPr>
        <w:t>号</w:t>
      </w:r>
      <w:r>
        <w:rPr>
          <w:rFonts w:ascii="Times New Roman" w:hAnsi="Times New Roman" w:cs="Times New Roman" w:eastAsia="Times New Roman" w:hint="default"/>
          <w:spacing w:val="-4"/>
        </w:rPr>
        <w:t>——</w:t>
      </w:r>
      <w:r>
        <w:rPr>
          <w:spacing w:val="-4"/>
        </w:rPr>
        <w:t>职工薪酬》（修订）、《企业会计准则第</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spacing w:val="-5"/>
        </w:rPr>
        <w:t>号</w:t>
      </w:r>
      <w:r>
        <w:rPr>
          <w:rFonts w:ascii="Times New Roman" w:hAnsi="Times New Roman" w:cs="Times New Roman" w:eastAsia="Times New Roman" w:hint="default"/>
          <w:spacing w:val="-5"/>
        </w:rPr>
        <w:t>——</w:t>
      </w:r>
      <w:r>
        <w:rPr>
          <w:spacing w:val="-5"/>
        </w:rPr>
        <w:t>财务报表列报》（修订）、《企</w:t>
      </w:r>
    </w:p>
    <w:p>
      <w:pPr>
        <w:pStyle w:val="BodyText"/>
        <w:spacing w:line="240" w:lineRule="auto" w:before="68"/>
        <w:ind w:right="0"/>
        <w:jc w:val="both"/>
      </w:pPr>
      <w:r>
        <w:rPr/>
        <w:t>业会计准则第</w:t>
      </w:r>
      <w:r>
        <w:rPr>
          <w:spacing w:val="-60"/>
        </w:rPr>
        <w:t> </w:t>
      </w:r>
      <w:r>
        <w:rPr>
          <w:rFonts w:ascii="Times New Roman" w:hAnsi="Times New Roman" w:cs="Times New Roman" w:eastAsia="Times New Roman" w:hint="default"/>
        </w:rPr>
        <w:t>33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合并财务报表》（修订）、《企业会计准则第</w:t>
      </w:r>
      <w:r>
        <w:rPr>
          <w:spacing w:val="-60"/>
        </w:rPr>
        <w:t> </w:t>
      </w:r>
      <w:r>
        <w:rPr>
          <w:rFonts w:ascii="Times New Roman" w:hAnsi="Times New Roman" w:cs="Times New Roman" w:eastAsia="Times New Roman" w:hint="default"/>
        </w:rPr>
        <w:t>39</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公允价值计量》、《企业</w:t>
      </w:r>
    </w:p>
    <w:p>
      <w:pPr>
        <w:pStyle w:val="BodyText"/>
        <w:spacing w:line="240" w:lineRule="auto" w:before="68"/>
        <w:ind w:right="0"/>
        <w:jc w:val="both"/>
      </w:pPr>
      <w:r>
        <w:rPr/>
        <w:t>会计准则第</w:t>
      </w:r>
      <w:r>
        <w:rPr>
          <w:spacing w:val="-58"/>
        </w:rPr>
        <w:t> </w:t>
      </w:r>
      <w:r>
        <w:rPr>
          <w:rFonts w:ascii="Times New Roman" w:hAnsi="Times New Roman" w:cs="Times New Roman" w:eastAsia="Times New Roman" w:hint="default"/>
        </w:rPr>
        <w:t>40</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合营安排》、《企业会计准则第</w:t>
      </w:r>
      <w:r>
        <w:rPr>
          <w:spacing w:val="-58"/>
        </w:rPr>
        <w:t> </w:t>
      </w:r>
      <w:r>
        <w:rPr>
          <w:rFonts w:ascii="Times New Roman" w:hAnsi="Times New Roman" w:cs="Times New Roman" w:eastAsia="Times New Roman" w:hint="default"/>
        </w:rPr>
        <w:t>41</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在其他主体中权益的披露》等</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项新颁布</w:t>
      </w:r>
    </w:p>
    <w:p>
      <w:pPr>
        <w:pStyle w:val="BodyText"/>
        <w:spacing w:line="304" w:lineRule="auto" w:before="68"/>
        <w:ind w:right="1131"/>
        <w:jc w:val="both"/>
      </w:pPr>
      <w:r>
        <w:rPr/>
        <w:t>或修订的企业会计准则，在编制</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年年度财务报告时开始执行《企业会计准则第</w:t>
      </w:r>
      <w:r>
        <w:rPr>
          <w:spacing w:val="-59"/>
        </w:rPr>
        <w:t> </w:t>
      </w:r>
      <w:r>
        <w:rPr>
          <w:rFonts w:ascii="Times New Roman" w:hAnsi="Times New Roman" w:cs="Times New Roman" w:eastAsia="Times New Roman" w:hint="default"/>
        </w:rPr>
        <w:t>37</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金融工具列 </w:t>
      </w:r>
      <w:r>
        <w:rPr>
          <w:spacing w:val="-1"/>
        </w:rPr>
        <w:t>报》，并根据各准则衔接要求进行了调整。调整后对当期和列报前期财务报表项目及金额的影响详见本公</w:t>
      </w:r>
      <w:r>
        <w:rPr>
          <w:spacing w:val="-83"/>
        </w:rPr>
        <w:t> </w:t>
      </w:r>
      <w:r>
        <w:rPr>
          <w:spacing w:val="-83"/>
        </w:rPr>
      </w:r>
      <w:r>
        <w:rPr/>
        <w:t>司“</w:t>
      </w:r>
      <w:r>
        <w:rPr>
          <w:rFonts w:ascii="Times New Roman" w:hAnsi="Times New Roman" w:cs="Times New Roman" w:eastAsia="Times New Roman" w:hint="default"/>
        </w:rPr>
        <w:t>2014 </w:t>
      </w:r>
      <w:r>
        <w:rPr/>
        <w:t>年度财务报告四、</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重要会计政策的变更”部分。</w:t>
      </w:r>
    </w:p>
    <w:p>
      <w:pPr>
        <w:spacing w:after="0" w:line="304"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境内外会计准则下会计数据差异" w:id="14"/>
      <w:bookmarkEnd w:id="14"/>
      <w:r>
        <w:rPr>
          <w:b w:val="0"/>
          <w:bCs w:val="0"/>
        </w:rPr>
      </w: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同时按照国际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1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bookmarkStart w:name="2、同时按照境外会计准则与按照中国会计准则披露的财务报告中净利润和净资产差异情况" w:id="16"/>
      <w:bookmarkEnd w:id="16"/>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非经常性损益项目及金额" w:id="17"/>
      <w:bookmarkEnd w:id="17"/>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223"/>
        <w:gridCol w:w="1146"/>
        <w:gridCol w:w="1134"/>
        <w:gridCol w:w="1134"/>
        <w:gridCol w:w="920"/>
      </w:tblGrid>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-1,810,478.16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-32,652.54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135,618.15</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准定额或定量享受的政府补助除外）</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1,769,435.48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1,520,821.91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146"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6,296,671.26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8,166,114.58</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性金融资产、交易性金融负债和可供出售金融资产取得的投资收益</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-563,777.80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197,777.80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-461,530.94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-930,317.83</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-695,394.38</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422,470.71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-48,178.83</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-177,570.38</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-931,323.01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2,496,518.60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3,215,438.97</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-936,677.21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3,226,138.92</w:t>
            </w:r>
          </w:p>
        </w:tc>
        <w:tc>
          <w:tcPr>
            <w:tcW w:w="11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4,628,469.76</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8" w:id="18"/>
      <w:bookmarkStart w:name="第四节 董事会报告" w:id="19"/>
      <w:r>
        <w:rPr>
          <w:b w:val="0"/>
          <w:bCs w:val="0"/>
        </w:rPr>
      </w:r>
      <w:r>
        <w:rPr/>
        <w:t>第四节</w:t>
      </w:r>
      <w:r>
        <w:rPr>
          <w:spacing w:val="-6"/>
        </w:rPr>
        <w:t> </w:t>
      </w:r>
      <w:r>
        <w:rPr/>
        <w:t>董事会报告</w:t>
      </w:r>
      <w:bookmarkEnd w:id="1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0"/>
      <w:bookmarkEnd w:id="20"/>
      <w:r>
        <w:rPr>
          <w:b w:val="0"/>
          <w:bCs w:val="0"/>
        </w:rPr>
      </w:r>
      <w:r>
        <w:rPr/>
        <w:t>一、概述</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0" w:firstLine="420"/>
        <w:jc w:val="left"/>
      </w:pPr>
      <w:r>
        <w:rPr>
          <w:spacing w:val="-1"/>
        </w:rPr>
        <w:t>报告期内，在受企业运营成本特别是用工成本持续上涨等不利因素的影响下，公司采取积极措施，克</w:t>
      </w:r>
      <w:r>
        <w:rPr/>
        <w:t> 服困难，努力经营，公司净利润同比实现了扭亏为盈。</w:t>
      </w:r>
    </w:p>
    <w:p>
      <w:pPr>
        <w:pStyle w:val="BodyText"/>
        <w:spacing w:line="240" w:lineRule="auto" w:before="87"/>
        <w:ind w:left="573" w:right="0"/>
        <w:jc w:val="left"/>
      </w:pPr>
      <w:r>
        <w:rPr>
          <w:rFonts w:ascii="Times New Roman" w:hAnsi="Times New Roman" w:cs="Times New Roman" w:eastAsia="Times New Roman" w:hint="default"/>
        </w:rPr>
        <w:t>1</w:t>
      </w:r>
      <w:r>
        <w:rPr/>
        <w:t>、报告期内经营成果分析</w:t>
      </w:r>
    </w:p>
    <w:p>
      <w:pPr>
        <w:spacing w:before="16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693"/>
        <w:gridCol w:w="1844"/>
        <w:gridCol w:w="2128"/>
        <w:gridCol w:w="2976"/>
      </w:tblGrid>
      <w:tr>
        <w:trPr>
          <w:trHeight w:val="431" w:hRule="exact"/>
        </w:trPr>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470" w:val="left" w:leader="none"/>
              </w:tabs>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1-12</w:t>
            </w:r>
            <w:r>
              <w:rPr>
                <w:rFonts w:ascii="宋体" w:hAnsi="宋体" w:cs="宋体" w:eastAsia="宋体" w:hint="default"/>
                <w:sz w:val="18"/>
                <w:szCs w:val="18"/>
              </w:rPr>
              <w:t>月</w:t>
            </w:r>
          </w:p>
        </w:tc>
        <w:tc>
          <w:tcPr>
            <w:tcW w:w="2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1-12</w:t>
            </w:r>
            <w:r>
              <w:rPr>
                <w:rFonts w:ascii="宋体" w:hAnsi="宋体" w:cs="宋体" w:eastAsia="宋体" w:hint="default"/>
                <w:sz w:val="18"/>
                <w:szCs w:val="18"/>
              </w:rPr>
              <w:t>月</w:t>
            </w:r>
          </w:p>
        </w:tc>
        <w:tc>
          <w:tcPr>
            <w:tcW w:w="29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25" w:right="0"/>
              <w:jc w:val="left"/>
              <w:rPr>
                <w:rFonts w:ascii="宋体" w:hAnsi="宋体" w:cs="宋体" w:eastAsia="宋体" w:hint="default"/>
                <w:sz w:val="18"/>
                <w:szCs w:val="18"/>
              </w:rPr>
            </w:pPr>
            <w:r>
              <w:rPr>
                <w:rFonts w:ascii="宋体" w:hAnsi="宋体" w:cs="宋体" w:eastAsia="宋体" w:hint="default"/>
                <w:sz w:val="18"/>
                <w:szCs w:val="18"/>
              </w:rPr>
              <w:t>报告期比上年同期增减（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07"/>
              <w:jc w:val="right"/>
              <w:rPr>
                <w:rFonts w:ascii="Times New Roman" w:hAnsi="Times New Roman" w:cs="Times New Roman" w:eastAsia="Times New Roman" w:hint="default"/>
                <w:sz w:val="18"/>
                <w:szCs w:val="18"/>
              </w:rPr>
            </w:pPr>
            <w:r>
              <w:rPr>
                <w:rFonts w:ascii="Times New Roman"/>
                <w:spacing w:val="-1"/>
                <w:sz w:val="18"/>
              </w:rPr>
              <w:t>696,008,522.05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758,700,415.60</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3"/>
              <w:jc w:val="right"/>
              <w:rPr>
                <w:rFonts w:ascii="Times New Roman" w:hAnsi="Times New Roman" w:cs="Times New Roman" w:eastAsia="Times New Roman" w:hint="default"/>
                <w:sz w:val="18"/>
                <w:szCs w:val="18"/>
              </w:rPr>
            </w:pPr>
            <w:r>
              <w:rPr>
                <w:rFonts w:ascii="Times New Roman"/>
                <w:sz w:val="18"/>
              </w:rPr>
              <w:t>-8.26%</w:t>
            </w:r>
          </w:p>
        </w:tc>
      </w:tr>
      <w:tr>
        <w:trPr>
          <w:trHeight w:val="432" w:hRule="exact"/>
        </w:trPr>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08"/>
              <w:jc w:val="right"/>
              <w:rPr>
                <w:rFonts w:ascii="Times New Roman" w:hAnsi="Times New Roman" w:cs="Times New Roman" w:eastAsia="Times New Roman" w:hint="default"/>
                <w:sz w:val="18"/>
                <w:szCs w:val="18"/>
              </w:rPr>
            </w:pPr>
            <w:r>
              <w:rPr>
                <w:rFonts w:ascii="Times New Roman"/>
                <w:spacing w:val="-1"/>
                <w:sz w:val="18"/>
              </w:rPr>
              <w:t>556,375,832.12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624,264,230.89</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3"/>
              <w:jc w:val="right"/>
              <w:rPr>
                <w:rFonts w:ascii="Times New Roman" w:hAnsi="Times New Roman" w:cs="Times New Roman" w:eastAsia="Times New Roman" w:hint="default"/>
                <w:sz w:val="18"/>
                <w:szCs w:val="18"/>
              </w:rPr>
            </w:pPr>
            <w:r>
              <w:rPr>
                <w:rFonts w:ascii="Times New Roman"/>
                <w:sz w:val="18"/>
              </w:rPr>
              <w:t>-10.87%</w:t>
            </w:r>
          </w:p>
        </w:tc>
      </w:tr>
      <w:tr>
        <w:trPr>
          <w:trHeight w:val="432" w:hRule="exact"/>
        </w:trPr>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08"/>
              <w:jc w:val="right"/>
              <w:rPr>
                <w:rFonts w:ascii="Times New Roman" w:hAnsi="Times New Roman" w:cs="Times New Roman" w:eastAsia="Times New Roman" w:hint="default"/>
                <w:sz w:val="18"/>
                <w:szCs w:val="18"/>
              </w:rPr>
            </w:pPr>
            <w:r>
              <w:rPr>
                <w:rFonts w:ascii="Times New Roman"/>
                <w:spacing w:val="-1"/>
                <w:sz w:val="18"/>
              </w:rPr>
              <w:t>5,794,018.94</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4,530,749.54</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3"/>
              <w:jc w:val="right"/>
              <w:rPr>
                <w:rFonts w:ascii="Times New Roman" w:hAnsi="Times New Roman" w:cs="Times New Roman" w:eastAsia="Times New Roman" w:hint="default"/>
                <w:sz w:val="18"/>
                <w:szCs w:val="18"/>
              </w:rPr>
            </w:pPr>
            <w:r>
              <w:rPr>
                <w:rFonts w:ascii="Times New Roman"/>
                <w:sz w:val="18"/>
              </w:rPr>
              <w:t>27.88%</w:t>
            </w:r>
          </w:p>
        </w:tc>
      </w:tr>
      <w:tr>
        <w:trPr>
          <w:trHeight w:val="432" w:hRule="exact"/>
        </w:trPr>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08"/>
              <w:jc w:val="right"/>
              <w:rPr>
                <w:rFonts w:ascii="Times New Roman" w:hAnsi="Times New Roman" w:cs="Times New Roman" w:eastAsia="Times New Roman" w:hint="default"/>
                <w:sz w:val="18"/>
                <w:szCs w:val="18"/>
              </w:rPr>
            </w:pPr>
            <w:r>
              <w:rPr>
                <w:rFonts w:ascii="Times New Roman"/>
                <w:spacing w:val="-1"/>
                <w:sz w:val="18"/>
              </w:rPr>
              <w:t>68,225,589.49</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-18,432,114.06</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3"/>
              <w:jc w:val="right"/>
              <w:rPr>
                <w:rFonts w:ascii="Times New Roman" w:hAnsi="Times New Roman" w:cs="Times New Roman" w:eastAsia="Times New Roman" w:hint="default"/>
                <w:sz w:val="18"/>
                <w:szCs w:val="18"/>
              </w:rPr>
            </w:pPr>
            <w:r>
              <w:rPr>
                <w:rFonts w:ascii="Times New Roman"/>
                <w:sz w:val="18"/>
              </w:rPr>
              <w:t>470.15%</w:t>
            </w:r>
          </w:p>
        </w:tc>
      </w:tr>
      <w:tr>
        <w:trPr>
          <w:trHeight w:val="432" w:hRule="exact"/>
        </w:trPr>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08"/>
              <w:jc w:val="right"/>
              <w:rPr>
                <w:rFonts w:ascii="Times New Roman" w:hAnsi="Times New Roman" w:cs="Times New Roman" w:eastAsia="Times New Roman" w:hint="default"/>
                <w:sz w:val="18"/>
                <w:szCs w:val="18"/>
              </w:rPr>
            </w:pPr>
            <w:r>
              <w:rPr>
                <w:rFonts w:ascii="Times New Roman"/>
                <w:spacing w:val="-1"/>
                <w:sz w:val="18"/>
              </w:rPr>
              <w:t>17,882,149.25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92,404,460.18</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3"/>
              <w:jc w:val="right"/>
              <w:rPr>
                <w:rFonts w:ascii="Times New Roman" w:hAnsi="Times New Roman" w:cs="Times New Roman" w:eastAsia="Times New Roman" w:hint="default"/>
                <w:sz w:val="18"/>
                <w:szCs w:val="18"/>
              </w:rPr>
            </w:pPr>
            <w:r>
              <w:rPr>
                <w:rFonts w:ascii="Times New Roman"/>
                <w:sz w:val="18"/>
              </w:rPr>
              <w:t>-80.65%</w:t>
            </w:r>
          </w:p>
        </w:tc>
      </w:tr>
      <w:tr>
        <w:trPr>
          <w:trHeight w:val="432" w:hRule="exact"/>
        </w:trPr>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08"/>
              <w:jc w:val="right"/>
              <w:rPr>
                <w:rFonts w:ascii="Times New Roman" w:hAnsi="Times New Roman" w:cs="Times New Roman" w:eastAsia="Times New Roman" w:hint="default"/>
                <w:sz w:val="18"/>
                <w:szCs w:val="18"/>
              </w:rPr>
            </w:pPr>
            <w:r>
              <w:rPr>
                <w:rFonts w:ascii="Times New Roman"/>
                <w:spacing w:val="-1"/>
                <w:sz w:val="18"/>
              </w:rPr>
              <w:t>2,587,167.22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z w:val="18"/>
              </w:rPr>
              <w:t>317,177.04</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3"/>
              <w:jc w:val="right"/>
              <w:rPr>
                <w:rFonts w:ascii="Times New Roman" w:hAnsi="Times New Roman" w:cs="Times New Roman" w:eastAsia="Times New Roman" w:hint="default"/>
                <w:sz w:val="18"/>
                <w:szCs w:val="18"/>
              </w:rPr>
            </w:pPr>
            <w:r>
              <w:rPr>
                <w:rFonts w:ascii="Times New Roman"/>
                <w:sz w:val="18"/>
              </w:rPr>
              <w:t>715.69%</w:t>
            </w:r>
          </w:p>
        </w:tc>
      </w:tr>
      <w:tr>
        <w:trPr>
          <w:trHeight w:val="432" w:hRule="exact"/>
        </w:trPr>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08"/>
              <w:jc w:val="right"/>
              <w:rPr>
                <w:rFonts w:ascii="Times New Roman" w:hAnsi="Times New Roman" w:cs="Times New Roman" w:eastAsia="Times New Roman" w:hint="default"/>
                <w:sz w:val="18"/>
                <w:szCs w:val="18"/>
              </w:rPr>
            </w:pPr>
            <w:r>
              <w:rPr>
                <w:rFonts w:ascii="Times New Roman"/>
                <w:spacing w:val="-1"/>
                <w:sz w:val="18"/>
              </w:rPr>
              <w:t>3,089,740.84</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1,139,879.78</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3"/>
              <w:jc w:val="right"/>
              <w:rPr>
                <w:rFonts w:ascii="Times New Roman" w:hAnsi="Times New Roman" w:cs="Times New Roman" w:eastAsia="Times New Roman" w:hint="default"/>
                <w:sz w:val="18"/>
                <w:szCs w:val="18"/>
              </w:rPr>
            </w:pPr>
            <w:r>
              <w:rPr>
                <w:rFonts w:ascii="Times New Roman"/>
                <w:sz w:val="18"/>
              </w:rPr>
              <w:t>171.06%</w:t>
            </w:r>
          </w:p>
        </w:tc>
      </w:tr>
      <w:tr>
        <w:trPr>
          <w:trHeight w:val="432" w:hRule="exact"/>
        </w:trPr>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08"/>
              <w:jc w:val="right"/>
              <w:rPr>
                <w:rFonts w:ascii="Times New Roman" w:hAnsi="Times New Roman" w:cs="Times New Roman" w:eastAsia="Times New Roman" w:hint="default"/>
                <w:sz w:val="18"/>
                <w:szCs w:val="18"/>
              </w:rPr>
            </w:pPr>
            <w:r>
              <w:rPr>
                <w:rFonts w:ascii="Times New Roman"/>
                <w:spacing w:val="-1"/>
                <w:sz w:val="18"/>
              </w:rPr>
              <w:t>67,723,015.87</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-19,254,816.80</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3"/>
              <w:jc w:val="right"/>
              <w:rPr>
                <w:rFonts w:ascii="Times New Roman" w:hAnsi="Times New Roman" w:cs="Times New Roman" w:eastAsia="Times New Roman" w:hint="default"/>
                <w:sz w:val="18"/>
                <w:szCs w:val="18"/>
              </w:rPr>
            </w:pPr>
            <w:r>
              <w:rPr>
                <w:rFonts w:ascii="Times New Roman"/>
                <w:sz w:val="18"/>
              </w:rPr>
              <w:t>451.72%</w:t>
            </w:r>
          </w:p>
        </w:tc>
      </w:tr>
      <w:tr>
        <w:trPr>
          <w:trHeight w:val="432" w:hRule="exact"/>
        </w:trPr>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归属于母公司所有者净利润</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08"/>
              <w:jc w:val="right"/>
              <w:rPr>
                <w:rFonts w:ascii="Times New Roman" w:hAnsi="Times New Roman" w:cs="Times New Roman" w:eastAsia="Times New Roman" w:hint="default"/>
                <w:sz w:val="18"/>
                <w:szCs w:val="18"/>
              </w:rPr>
            </w:pPr>
            <w:r>
              <w:rPr>
                <w:rFonts w:ascii="Times New Roman"/>
                <w:spacing w:val="-1"/>
                <w:sz w:val="18"/>
              </w:rPr>
              <w:t>49,513,142.68</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-6,234,721.90</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3"/>
              <w:jc w:val="right"/>
              <w:rPr>
                <w:rFonts w:ascii="Times New Roman" w:hAnsi="Times New Roman" w:cs="Times New Roman" w:eastAsia="Times New Roman" w:hint="default"/>
                <w:sz w:val="18"/>
                <w:szCs w:val="18"/>
              </w:rPr>
            </w:pPr>
            <w:r>
              <w:rPr>
                <w:rFonts w:ascii="Times New Roman"/>
                <w:sz w:val="18"/>
              </w:rPr>
              <w:t>894.15%</w:t>
            </w:r>
          </w:p>
        </w:tc>
      </w:tr>
    </w:tbl>
    <w:p>
      <w:pPr>
        <w:spacing w:line="240" w:lineRule="auto" w:before="3"/>
        <w:rPr>
          <w:rFonts w:ascii="宋体" w:hAnsi="宋体" w:cs="宋体" w:eastAsia="宋体" w:hint="default"/>
          <w:sz w:val="5"/>
          <w:szCs w:val="5"/>
        </w:rPr>
      </w:pPr>
    </w:p>
    <w:p>
      <w:pPr>
        <w:pStyle w:val="BodyText"/>
        <w:spacing w:line="386" w:lineRule="auto" w:before="35"/>
        <w:ind w:right="1126" w:firstLine="420"/>
        <w:jc w:val="both"/>
      </w:pPr>
      <w:r>
        <w:rPr/>
        <w:t>（</w:t>
      </w:r>
      <w:r>
        <w:rPr>
          <w:rFonts w:ascii="Times New Roman" w:hAnsi="Times New Roman" w:cs="Times New Roman" w:eastAsia="Times New Roman" w:hint="default"/>
        </w:rPr>
        <w:t>1</w:t>
      </w:r>
      <w:r>
        <w:rPr/>
        <w:t>）报告期内，公司实现营业收入</w:t>
      </w:r>
      <w:r>
        <w:rPr>
          <w:rFonts w:ascii="Times New Roman" w:hAnsi="Times New Roman" w:cs="Times New Roman" w:eastAsia="Times New Roman" w:hint="default"/>
        </w:rPr>
        <w:t>69,600.85</w:t>
      </w:r>
      <w:r>
        <w:rPr/>
        <w:t>万元，比上年同期减少</w:t>
      </w:r>
      <w:r>
        <w:rPr>
          <w:rFonts w:ascii="Times New Roman" w:hAnsi="Times New Roman" w:cs="Times New Roman" w:eastAsia="Times New Roman" w:hint="default"/>
        </w:rPr>
        <w:t>8.26%</w:t>
      </w:r>
      <w:r>
        <w:rPr/>
        <w:t>，营业利润</w:t>
      </w:r>
      <w:r>
        <w:rPr>
          <w:rFonts w:ascii="Times New Roman" w:hAnsi="Times New Roman" w:cs="Times New Roman" w:eastAsia="Times New Roman" w:hint="default"/>
        </w:rPr>
        <w:t>6,822.56</w:t>
      </w:r>
      <w:r>
        <w:rPr/>
        <w:t>万元，</w:t>
      </w:r>
      <w:r>
        <w:rPr>
          <w:spacing w:val="2"/>
        </w:rPr>
        <w:t> </w:t>
      </w:r>
      <w:r>
        <w:rPr/>
        <w:t>比上年同期增加</w:t>
      </w:r>
      <w:r>
        <w:rPr>
          <w:rFonts w:ascii="Times New Roman" w:hAnsi="Times New Roman" w:cs="Times New Roman" w:eastAsia="Times New Roman" w:hint="default"/>
        </w:rPr>
        <w:t>470.15%</w:t>
      </w:r>
      <w:r>
        <w:rPr/>
        <w:t>，利润总额</w:t>
      </w:r>
      <w:r>
        <w:rPr>
          <w:rFonts w:ascii="Times New Roman" w:hAnsi="Times New Roman" w:cs="Times New Roman" w:eastAsia="Times New Roman" w:hint="default"/>
        </w:rPr>
        <w:t>6,772.30</w:t>
      </w:r>
      <w:r>
        <w:rPr/>
        <w:t>万元，比上年同期增加</w:t>
      </w:r>
      <w:r>
        <w:rPr>
          <w:rFonts w:ascii="Times New Roman" w:hAnsi="Times New Roman" w:cs="Times New Roman" w:eastAsia="Times New Roman" w:hint="default"/>
        </w:rPr>
        <w:t>451.72%</w:t>
      </w:r>
      <w:r>
        <w:rPr/>
        <w:t>，归属于上市公司股东的净利</w:t>
      </w:r>
      <w:r>
        <w:rPr>
          <w:spacing w:val="-69"/>
        </w:rPr>
        <w:t> </w:t>
      </w:r>
      <w:r>
        <w:rPr>
          <w:spacing w:val="-69"/>
        </w:rPr>
      </w:r>
      <w:r>
        <w:rPr>
          <w:spacing w:val="-1"/>
        </w:rPr>
        <w:t>润</w:t>
      </w:r>
      <w:r>
        <w:rPr>
          <w:rFonts w:ascii="Times New Roman" w:hAnsi="Times New Roman" w:cs="Times New Roman" w:eastAsia="Times New Roman" w:hint="default"/>
          <w:spacing w:val="-1"/>
        </w:rPr>
        <w:t>4,951.31</w:t>
      </w:r>
      <w:r>
        <w:rPr>
          <w:spacing w:val="-1"/>
        </w:rPr>
        <w:t>万元，比上年同期增加</w:t>
      </w:r>
      <w:r>
        <w:rPr>
          <w:rFonts w:ascii="Times New Roman" w:hAnsi="Times New Roman" w:cs="Times New Roman" w:eastAsia="Times New Roman" w:hint="default"/>
          <w:spacing w:val="-1"/>
        </w:rPr>
        <w:t>894.15%</w:t>
      </w:r>
      <w:r>
        <w:rPr>
          <w:spacing w:val="-1"/>
        </w:rPr>
        <w:t>，实现了扭亏为盈。利润增加的主要原因为：能源公司本期亏损</w:t>
      </w:r>
      <w:r>
        <w:rPr>
          <w:spacing w:val="-96"/>
        </w:rPr>
        <w:t> </w:t>
      </w:r>
      <w:r>
        <w:rPr>
          <w:spacing w:val="-96"/>
        </w:rPr>
      </w:r>
      <w:r>
        <w:rPr/>
        <w:t>减少。</w:t>
      </w:r>
    </w:p>
    <w:p>
      <w:pPr>
        <w:pStyle w:val="BodyText"/>
        <w:spacing w:line="386" w:lineRule="auto" w:before="103"/>
        <w:ind w:right="1134" w:firstLine="420"/>
        <w:jc w:val="both"/>
      </w:pPr>
      <w:r>
        <w:rPr/>
        <w:t>（</w:t>
      </w:r>
      <w:r>
        <w:rPr>
          <w:rFonts w:ascii="Times New Roman" w:hAnsi="Times New Roman" w:cs="Times New Roman" w:eastAsia="Times New Roman" w:hint="default"/>
        </w:rPr>
        <w:t>2</w:t>
      </w:r>
      <w:r>
        <w:rPr/>
        <w:t>）报告期内，公司资产减值损失比去年同期减少</w:t>
      </w:r>
      <w:r>
        <w:rPr>
          <w:rFonts w:ascii="Times New Roman" w:hAnsi="Times New Roman" w:cs="Times New Roman" w:eastAsia="Times New Roman" w:hint="default"/>
        </w:rPr>
        <w:t>80.65%</w:t>
      </w:r>
      <w:r>
        <w:rPr/>
        <w:t>，主要原因为：子公司能源公司本期计提 固定资产减值准备比去年同期大幅减少所致。</w:t>
      </w:r>
    </w:p>
    <w:p>
      <w:pPr>
        <w:pStyle w:val="BodyText"/>
        <w:spacing w:line="386" w:lineRule="auto" w:before="103"/>
        <w:ind w:right="1131" w:firstLine="420"/>
        <w:jc w:val="both"/>
      </w:pPr>
      <w:r>
        <w:rPr>
          <w:spacing w:val="-1"/>
        </w:rPr>
        <w:t>（</w:t>
      </w:r>
      <w:r>
        <w:rPr>
          <w:rFonts w:ascii="Times New Roman" w:hAnsi="Times New Roman" w:cs="Times New Roman" w:eastAsia="Times New Roman" w:hint="default"/>
          <w:spacing w:val="-1"/>
        </w:rPr>
        <w:t>3</w:t>
      </w:r>
      <w:r>
        <w:rPr>
          <w:spacing w:val="-1"/>
        </w:rPr>
        <w:t>）报告期内，公司营业外收入比去年同期增加</w:t>
      </w:r>
      <w:r>
        <w:rPr>
          <w:rFonts w:ascii="Times New Roman" w:hAnsi="Times New Roman" w:cs="Times New Roman" w:eastAsia="Times New Roman" w:hint="default"/>
          <w:spacing w:val="-1"/>
        </w:rPr>
        <w:t>715.69%</w:t>
      </w:r>
      <w:r>
        <w:rPr>
          <w:spacing w:val="-1"/>
        </w:rPr>
        <w:t>，主要原因为：母公司营业外收入增加及子</w:t>
      </w:r>
      <w:r>
        <w:rPr/>
        <w:t> 公司能源公司递延收益分期转入营业外收入。</w:t>
      </w:r>
    </w:p>
    <w:p>
      <w:pPr>
        <w:pStyle w:val="BodyText"/>
        <w:spacing w:line="388" w:lineRule="auto" w:before="104"/>
        <w:ind w:right="1131" w:firstLine="420"/>
        <w:jc w:val="both"/>
      </w:pPr>
      <w:r>
        <w:rPr>
          <w:spacing w:val="-1"/>
        </w:rPr>
        <w:t>（</w:t>
      </w:r>
      <w:r>
        <w:rPr>
          <w:rFonts w:ascii="Times New Roman" w:hAnsi="Times New Roman" w:cs="Times New Roman" w:eastAsia="Times New Roman" w:hint="default"/>
          <w:spacing w:val="-1"/>
        </w:rPr>
        <w:t>4</w:t>
      </w:r>
      <w:r>
        <w:rPr>
          <w:spacing w:val="-1"/>
        </w:rPr>
        <w:t>）报告期内，公司营业外支出比去年同期增加</w:t>
      </w:r>
      <w:r>
        <w:rPr>
          <w:rFonts w:ascii="Times New Roman" w:hAnsi="Times New Roman" w:cs="Times New Roman" w:eastAsia="Times New Roman" w:hint="default"/>
          <w:spacing w:val="-1"/>
        </w:rPr>
        <w:t>171.06%</w:t>
      </w:r>
      <w:r>
        <w:rPr>
          <w:spacing w:val="-1"/>
        </w:rPr>
        <w:t>，主要原因为：母公司本期固定资产处置损</w:t>
      </w:r>
      <w:r>
        <w:rPr/>
        <w:t> 失所致。</w:t>
      </w:r>
    </w:p>
    <w:p>
      <w:pPr>
        <w:pStyle w:val="BodyText"/>
        <w:spacing w:line="240" w:lineRule="auto" w:before="23"/>
        <w:ind w:left="658" w:right="0"/>
        <w:jc w:val="left"/>
      </w:pPr>
      <w:r>
        <w:rPr>
          <w:rFonts w:ascii="Times New Roman" w:hAnsi="Times New Roman" w:cs="Times New Roman" w:eastAsia="Times New Roman" w:hint="default"/>
        </w:rPr>
        <w:t>2</w:t>
      </w:r>
      <w:r>
        <w:rPr/>
        <w:t>、报告期末财务状况分析</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379"/>
        <w:gridCol w:w="2160"/>
        <w:gridCol w:w="2160"/>
        <w:gridCol w:w="2942"/>
      </w:tblGrid>
      <w:tr>
        <w:trPr>
          <w:trHeight w:val="485"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21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6"/>
              <w:ind w:left="4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1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6"/>
              <w:ind w:left="4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6"/>
              <w:ind w:left="307" w:right="0"/>
              <w:jc w:val="left"/>
              <w:rPr>
                <w:rFonts w:ascii="宋体" w:hAnsi="宋体" w:cs="宋体" w:eastAsia="宋体" w:hint="default"/>
                <w:sz w:val="18"/>
                <w:szCs w:val="18"/>
              </w:rPr>
            </w:pPr>
            <w:r>
              <w:rPr>
                <w:rFonts w:ascii="宋体" w:hAnsi="宋体" w:cs="宋体" w:eastAsia="宋体" w:hint="default"/>
                <w:sz w:val="18"/>
                <w:szCs w:val="18"/>
              </w:rPr>
              <w:t>报告期末比年初数增减（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7"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1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133"/>
              <w:jc w:val="right"/>
              <w:rPr>
                <w:rFonts w:ascii="Times New Roman" w:hAnsi="Times New Roman" w:cs="Times New Roman" w:eastAsia="Times New Roman" w:hint="default"/>
                <w:sz w:val="18"/>
                <w:szCs w:val="18"/>
              </w:rPr>
            </w:pPr>
            <w:r>
              <w:rPr>
                <w:rFonts w:ascii="Times New Roman"/>
                <w:spacing w:val="-1"/>
                <w:sz w:val="18"/>
              </w:rPr>
              <w:t>172,298,023.02</w:t>
            </w:r>
          </w:p>
        </w:tc>
        <w:tc>
          <w:tcPr>
            <w:tcW w:w="21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133"/>
              <w:jc w:val="right"/>
              <w:rPr>
                <w:rFonts w:ascii="Times New Roman" w:hAnsi="Times New Roman" w:cs="Times New Roman" w:eastAsia="Times New Roman" w:hint="default"/>
                <w:sz w:val="18"/>
                <w:szCs w:val="18"/>
              </w:rPr>
            </w:pPr>
            <w:r>
              <w:rPr>
                <w:rFonts w:ascii="Times New Roman"/>
                <w:spacing w:val="-1"/>
                <w:sz w:val="18"/>
              </w:rPr>
              <w:t>318,456,123.81</w:t>
            </w:r>
          </w:p>
        </w:tc>
        <w:tc>
          <w:tcPr>
            <w:tcW w:w="29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133"/>
              <w:jc w:val="right"/>
              <w:rPr>
                <w:rFonts w:ascii="Times New Roman" w:hAnsi="Times New Roman" w:cs="Times New Roman" w:eastAsia="Times New Roman" w:hint="default"/>
                <w:sz w:val="18"/>
                <w:szCs w:val="18"/>
              </w:rPr>
            </w:pPr>
            <w:r>
              <w:rPr>
                <w:rFonts w:ascii="Times New Roman"/>
                <w:sz w:val="18"/>
              </w:rPr>
              <w:t>-45.90%</w:t>
            </w:r>
          </w:p>
        </w:tc>
      </w:tr>
      <w:tr>
        <w:trPr>
          <w:trHeight w:val="659"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2" w:right="21"/>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z w:val="18"/>
              </w:rPr>
              <w:t>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z w:val="18"/>
              </w:rPr>
              <w:t>197,777.80</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400,000.00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3,395,000.00</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-88.22%</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55,991,607.02</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63,551,740.39</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-11.90%</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2,430,717.69</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4,260,132.79</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-42.94%</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5,385,868.13</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14,533,902.95</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-62.94%</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1,050,504.72</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2"/>
              <w:jc w:val="right"/>
              <w:rPr>
                <w:rFonts w:ascii="Times New Roman" w:hAnsi="Times New Roman" w:cs="Times New Roman" w:eastAsia="Times New Roman" w:hint="default"/>
                <w:sz w:val="18"/>
                <w:szCs w:val="18"/>
              </w:rPr>
            </w:pPr>
            <w:r>
              <w:rPr>
                <w:rFonts w:ascii="Times New Roman"/>
                <w:sz w:val="18"/>
              </w:rPr>
              <w:t>432,952.09</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142.64%</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63,925,647.11</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62,509,537.66</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2.27%</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178,879,051.33</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110,341,583.68</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62.11%</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2"/>
              <w:jc w:val="right"/>
              <w:rPr>
                <w:rFonts w:ascii="Times New Roman" w:hAnsi="Times New Roman" w:cs="Times New Roman" w:eastAsia="Times New Roman" w:hint="default"/>
                <w:sz w:val="18"/>
                <w:szCs w:val="18"/>
              </w:rPr>
            </w:pPr>
            <w:r>
              <w:rPr>
                <w:rFonts w:ascii="Times New Roman"/>
                <w:spacing w:val="-1"/>
                <w:sz w:val="18"/>
              </w:rPr>
              <w:t>109,353,799.56</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134,528,661.02</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-18.71%</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35,350,625.89</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36,681,064.77</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-3.63%</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6,009,930.34</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1,650,426.46</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264.14%</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1,987,294.22</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2"/>
              <w:jc w:val="right"/>
              <w:rPr>
                <w:rFonts w:ascii="Times New Roman" w:hAnsi="Times New Roman" w:cs="Times New Roman" w:eastAsia="Times New Roman" w:hint="default"/>
                <w:sz w:val="18"/>
                <w:szCs w:val="18"/>
              </w:rPr>
            </w:pPr>
            <w:r>
              <w:rPr>
                <w:rFonts w:ascii="Times New Roman"/>
                <w:sz w:val="18"/>
              </w:rPr>
              <w:t>967,984.17</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105.30%</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57,311,665.33</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52,021,605.15</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10.17%</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6,500,000.00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28,000,000.00</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-76.79%</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20,000,000.00</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预收帐款</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3,157,904.64</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6,232,978.25</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-49.34%</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80,000,000.00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156,000,000.00</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-48.72%</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2"/>
              <w:jc w:val="right"/>
              <w:rPr>
                <w:rFonts w:ascii="Times New Roman" w:hAnsi="Times New Roman" w:cs="Times New Roman" w:eastAsia="Times New Roman" w:hint="default"/>
                <w:sz w:val="18"/>
                <w:szCs w:val="18"/>
              </w:rPr>
            </w:pPr>
            <w:r>
              <w:rPr>
                <w:rFonts w:ascii="Times New Roman"/>
                <w:sz w:val="18"/>
              </w:rPr>
              <w:t>500,000.00</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2,115,221.84</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1,003,058.14</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110.88%</w:t>
            </w:r>
          </w:p>
        </w:tc>
      </w:tr>
      <w:tr>
        <w:trPr>
          <w:trHeight w:val="432"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81,465,023.68</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45,100,692.47</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80.63%</w:t>
            </w:r>
          </w:p>
        </w:tc>
      </w:tr>
      <w:tr>
        <w:trPr>
          <w:trHeight w:val="433"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60,813,267.64</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pacing w:val="-1"/>
                <w:sz w:val="18"/>
              </w:rPr>
              <w:t>77,959,305.53</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3"/>
              <w:jc w:val="right"/>
              <w:rPr>
                <w:rFonts w:ascii="Times New Roman" w:hAnsi="Times New Roman" w:cs="Times New Roman" w:eastAsia="Times New Roman" w:hint="default"/>
                <w:sz w:val="18"/>
                <w:szCs w:val="18"/>
              </w:rPr>
            </w:pPr>
            <w:r>
              <w:rPr>
                <w:rFonts w:ascii="Times New Roman"/>
                <w:sz w:val="18"/>
              </w:rPr>
              <w:t>-21.99%</w:t>
            </w:r>
          </w:p>
        </w:tc>
      </w:tr>
    </w:tbl>
    <w:p>
      <w:pPr>
        <w:pStyle w:val="BodyText"/>
        <w:spacing w:line="386" w:lineRule="auto" w:before="63"/>
        <w:ind w:right="0" w:firstLine="420"/>
        <w:jc w:val="left"/>
      </w:pPr>
      <w:r>
        <w:rPr/>
        <w:t>（</w:t>
      </w:r>
      <w:r>
        <w:rPr>
          <w:rFonts w:ascii="Times New Roman" w:hAnsi="Times New Roman" w:cs="Times New Roman" w:eastAsia="Times New Roman" w:hint="default"/>
        </w:rPr>
        <w:t>1</w:t>
      </w:r>
      <w:r>
        <w:rPr/>
        <w:t>）报告期末，公司货币资金比上年同期减少</w:t>
      </w:r>
      <w:r>
        <w:rPr>
          <w:rFonts w:ascii="Times New Roman" w:hAnsi="Times New Roman" w:cs="Times New Roman" w:eastAsia="Times New Roman" w:hint="default"/>
        </w:rPr>
        <w:t>45.90%</w:t>
      </w:r>
      <w:r>
        <w:rPr/>
        <w:t>，主要原因为：母公司贷款减少，母公司为能 源公司、北斗公司代偿银行债务及资丰小贷公司发放贷款增加所致。</w:t>
      </w:r>
    </w:p>
    <w:p>
      <w:pPr>
        <w:pStyle w:val="BodyText"/>
        <w:spacing w:line="386" w:lineRule="auto" w:before="65"/>
        <w:ind w:right="1128" w:firstLine="420"/>
        <w:jc w:val="left"/>
      </w:pPr>
      <w:r>
        <w:rPr/>
        <w:t>（</w:t>
      </w:r>
      <w:r>
        <w:rPr>
          <w:rFonts w:ascii="Times New Roman" w:hAnsi="Times New Roman" w:cs="Times New Roman" w:eastAsia="Times New Roman" w:hint="default"/>
        </w:rPr>
        <w:t>2</w:t>
      </w:r>
      <w:r>
        <w:rPr/>
        <w:t>）报告期末，公司以公允价值计量且其变动计入当期损益的金融资产比上年同期减少</w:t>
      </w:r>
      <w:r>
        <w:rPr>
          <w:rFonts w:ascii="Times New Roman" w:hAnsi="Times New Roman" w:cs="Times New Roman" w:eastAsia="Times New Roman" w:hint="default"/>
        </w:rPr>
        <w:t>100%</w:t>
      </w:r>
      <w:r>
        <w:rPr/>
        <w:t>，主要</w:t>
      </w:r>
      <w:r>
        <w:rPr>
          <w:spacing w:val="1"/>
        </w:rPr>
        <w:t> </w:t>
      </w:r>
      <w:r>
        <w:rPr/>
        <w:t>原因为：母公司该金融资产到期已转销。</w:t>
      </w:r>
    </w:p>
    <w:p>
      <w:pPr>
        <w:pStyle w:val="BodyText"/>
        <w:spacing w:line="386" w:lineRule="auto" w:before="65"/>
        <w:ind w:right="1118" w:firstLine="420"/>
        <w:jc w:val="left"/>
      </w:pPr>
      <w:r>
        <w:rPr/>
        <w:t>（</w:t>
      </w:r>
      <w:r>
        <w:rPr>
          <w:rFonts w:ascii="Times New Roman" w:hAnsi="Times New Roman" w:cs="Times New Roman" w:eastAsia="Times New Roman" w:hint="default"/>
        </w:rPr>
        <w:t>3</w:t>
      </w:r>
      <w:r>
        <w:rPr/>
        <w:t>）报告期末，公司应收票据比上年同期减少</w:t>
      </w:r>
      <w:r>
        <w:rPr>
          <w:rFonts w:ascii="Times New Roman" w:hAnsi="Times New Roman" w:cs="Times New Roman" w:eastAsia="Times New Roman" w:hint="default"/>
        </w:rPr>
        <w:t>88.22%</w:t>
      </w:r>
      <w:r>
        <w:rPr/>
        <w:t>，主要原因为：期末母公司及色织公司收到票 据减少。</w:t>
      </w:r>
    </w:p>
    <w:p>
      <w:pPr>
        <w:pStyle w:val="BodyText"/>
        <w:spacing w:line="240" w:lineRule="auto" w:before="65"/>
        <w:ind w:left="574" w:right="0"/>
        <w:jc w:val="left"/>
      </w:pPr>
      <w:r>
        <w:rPr/>
        <w:t>（</w:t>
      </w:r>
      <w:r>
        <w:rPr>
          <w:rFonts w:ascii="Times New Roman" w:hAnsi="Times New Roman" w:cs="Times New Roman" w:eastAsia="Times New Roman" w:hint="default"/>
        </w:rPr>
        <w:t>4</w:t>
      </w:r>
      <w:r>
        <w:rPr/>
        <w:t>）报告期末，公司应收帐款比上年同期减少</w:t>
      </w:r>
      <w:r>
        <w:rPr>
          <w:rFonts w:ascii="Times New Roman" w:hAnsi="Times New Roman" w:cs="Times New Roman" w:eastAsia="Times New Roman" w:hint="default"/>
        </w:rPr>
        <w:t>11.9%</w:t>
      </w:r>
      <w:r>
        <w:rPr/>
        <w:t>，主要原因为：本期母公司及北斗公司收回前期</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销售货款。</w:t>
      </w:r>
    </w:p>
    <w:p>
      <w:pPr>
        <w:spacing w:line="240" w:lineRule="auto" w:before="10"/>
        <w:rPr>
          <w:rFonts w:ascii="宋体" w:hAnsi="宋体" w:cs="宋体" w:eastAsia="宋体" w:hint="default"/>
          <w:sz w:val="14"/>
          <w:szCs w:val="14"/>
        </w:rPr>
      </w:pPr>
    </w:p>
    <w:p>
      <w:pPr>
        <w:pStyle w:val="BodyText"/>
        <w:spacing w:line="386" w:lineRule="auto" w:before="0"/>
        <w:ind w:right="1118" w:firstLine="420"/>
        <w:jc w:val="left"/>
      </w:pPr>
      <w:r>
        <w:rPr/>
        <w:t>（</w:t>
      </w:r>
      <w:r>
        <w:rPr>
          <w:rFonts w:ascii="Times New Roman" w:hAnsi="Times New Roman" w:cs="Times New Roman" w:eastAsia="Times New Roman" w:hint="default"/>
        </w:rPr>
        <w:t>5</w:t>
      </w:r>
      <w:r>
        <w:rPr/>
        <w:t>）报告期末，公司其他应收款比上年同期减少</w:t>
      </w:r>
      <w:r>
        <w:rPr>
          <w:rFonts w:ascii="Times New Roman" w:hAnsi="Times New Roman" w:cs="Times New Roman" w:eastAsia="Times New Roman" w:hint="default"/>
        </w:rPr>
        <w:t>42.94%</w:t>
      </w:r>
      <w:r>
        <w:rPr/>
        <w:t>，主要原因为：子公司北斗公司其他应收款 减少。</w:t>
      </w:r>
    </w:p>
    <w:p>
      <w:pPr>
        <w:pStyle w:val="BodyText"/>
        <w:spacing w:line="386" w:lineRule="auto" w:before="65"/>
        <w:ind w:right="0" w:firstLine="420"/>
        <w:jc w:val="left"/>
      </w:pPr>
      <w:r>
        <w:rPr/>
        <w:t>（</w:t>
      </w:r>
      <w:r>
        <w:rPr>
          <w:rFonts w:ascii="Times New Roman" w:hAnsi="Times New Roman" w:cs="Times New Roman" w:eastAsia="Times New Roman" w:hint="default"/>
        </w:rPr>
        <w:t>6</w:t>
      </w:r>
      <w:r>
        <w:rPr/>
        <w:t>）报告期末，公司预付帐款比上年同期减少</w:t>
      </w:r>
      <w:r>
        <w:rPr>
          <w:rFonts w:ascii="Times New Roman" w:hAnsi="Times New Roman" w:cs="Times New Roman" w:eastAsia="Times New Roman" w:hint="default"/>
        </w:rPr>
        <w:t>62.94%</w:t>
      </w:r>
      <w:r>
        <w:rPr/>
        <w:t>，主要原因为：母公司及子公司三友信息公司 预付款项减少。</w:t>
      </w:r>
    </w:p>
    <w:p>
      <w:pPr>
        <w:pStyle w:val="BodyText"/>
        <w:spacing w:line="386" w:lineRule="auto" w:before="65"/>
        <w:ind w:right="1123" w:firstLine="420"/>
        <w:jc w:val="left"/>
      </w:pPr>
      <w:r>
        <w:rPr>
          <w:spacing w:val="-1"/>
        </w:rPr>
        <w:t>（</w:t>
      </w:r>
      <w:r>
        <w:rPr>
          <w:rFonts w:ascii="Times New Roman" w:hAnsi="Times New Roman" w:cs="Times New Roman" w:eastAsia="Times New Roman" w:hint="default"/>
          <w:spacing w:val="-1"/>
        </w:rPr>
        <w:t>7</w:t>
      </w:r>
      <w:r>
        <w:rPr>
          <w:spacing w:val="-1"/>
        </w:rPr>
        <w:t>）报告期末，公司应收利息比上年同期增加</w:t>
      </w:r>
      <w:r>
        <w:rPr>
          <w:rFonts w:ascii="Times New Roman" w:hAnsi="Times New Roman" w:cs="Times New Roman" w:eastAsia="Times New Roman" w:hint="default"/>
          <w:spacing w:val="-1"/>
        </w:rPr>
        <w:t>142.64%</w:t>
      </w:r>
      <w:r>
        <w:rPr>
          <w:spacing w:val="-1"/>
        </w:rPr>
        <w:t>，主要原因为：本期期末资丰小贷公司应收利</w:t>
      </w:r>
      <w:r>
        <w:rPr/>
        <w:t> 息增加。</w:t>
      </w:r>
    </w:p>
    <w:p>
      <w:pPr>
        <w:pStyle w:val="BodyText"/>
        <w:spacing w:line="386" w:lineRule="auto" w:before="65"/>
        <w:ind w:right="1122" w:firstLine="420"/>
        <w:jc w:val="left"/>
      </w:pPr>
      <w:r>
        <w:rPr>
          <w:spacing w:val="-1"/>
        </w:rPr>
        <w:t>（</w:t>
      </w:r>
      <w:r>
        <w:rPr>
          <w:rFonts w:ascii="Times New Roman" w:hAnsi="Times New Roman" w:cs="Times New Roman" w:eastAsia="Times New Roman" w:hint="default"/>
          <w:spacing w:val="-1"/>
        </w:rPr>
        <w:t>8</w:t>
      </w:r>
      <w:r>
        <w:rPr>
          <w:spacing w:val="-1"/>
        </w:rPr>
        <w:t>）报告期末，公司存货比上年同期增加</w:t>
      </w:r>
      <w:r>
        <w:rPr>
          <w:rFonts w:ascii="Times New Roman" w:hAnsi="Times New Roman" w:cs="Times New Roman" w:eastAsia="Times New Roman" w:hint="default"/>
          <w:spacing w:val="-1"/>
        </w:rPr>
        <w:t>2.27%</w:t>
      </w:r>
      <w:r>
        <w:rPr>
          <w:spacing w:val="-1"/>
        </w:rPr>
        <w:t>，主要原因为：本期母公司、色织公司及环保公司存</w:t>
      </w:r>
      <w:r>
        <w:rPr/>
        <w:t> 货增加。</w:t>
      </w:r>
    </w:p>
    <w:p>
      <w:pPr>
        <w:pStyle w:val="BodyText"/>
        <w:spacing w:line="386" w:lineRule="auto" w:before="65"/>
        <w:ind w:right="0" w:firstLine="420"/>
        <w:jc w:val="left"/>
      </w:pPr>
      <w:r>
        <w:rPr/>
        <w:t>（</w:t>
      </w:r>
      <w:r>
        <w:rPr>
          <w:rFonts w:ascii="Times New Roman" w:hAnsi="Times New Roman" w:cs="Times New Roman" w:eastAsia="Times New Roman" w:hint="default"/>
        </w:rPr>
        <w:t>9</w:t>
      </w:r>
      <w:r>
        <w:rPr/>
        <w:t>）报告期末，公司发放贷款及垫款比上年同期增加</w:t>
      </w:r>
      <w:r>
        <w:rPr>
          <w:rFonts w:ascii="Times New Roman" w:hAnsi="Times New Roman" w:cs="Times New Roman" w:eastAsia="Times New Roman" w:hint="default"/>
        </w:rPr>
        <w:t>62.11%</w:t>
      </w:r>
      <w:r>
        <w:rPr/>
        <w:t>，主要原因为：本期资丰小贷公司发放 贷款数额增加。</w:t>
      </w:r>
    </w:p>
    <w:p>
      <w:pPr>
        <w:pStyle w:val="BodyText"/>
        <w:spacing w:line="386" w:lineRule="auto" w:before="65"/>
        <w:ind w:right="1123" w:firstLine="420"/>
        <w:jc w:val="left"/>
      </w:pPr>
      <w:r>
        <w:rPr>
          <w:spacing w:val="-1"/>
        </w:rPr>
        <w:t>（</w:t>
      </w:r>
      <w:r>
        <w:rPr>
          <w:rFonts w:ascii="Times New Roman" w:hAnsi="Times New Roman" w:cs="Times New Roman" w:eastAsia="Times New Roman" w:hint="default"/>
          <w:spacing w:val="-1"/>
        </w:rPr>
        <w:t>10</w:t>
      </w:r>
      <w:r>
        <w:rPr>
          <w:spacing w:val="-1"/>
        </w:rPr>
        <w:t>）报告期末，公司固定资产比上年同期减少</w:t>
      </w:r>
      <w:r>
        <w:rPr>
          <w:rFonts w:ascii="Times New Roman" w:hAnsi="Times New Roman" w:cs="Times New Roman" w:eastAsia="Times New Roman" w:hint="default"/>
          <w:spacing w:val="-1"/>
        </w:rPr>
        <w:t>18.71%</w:t>
      </w:r>
      <w:r>
        <w:rPr>
          <w:spacing w:val="-1"/>
        </w:rPr>
        <w:t>，主要原因为：母公司报废部分固定资产及能</w:t>
      </w:r>
      <w:r>
        <w:rPr/>
        <w:t> 源公司计提固定资产减值准备所致。</w:t>
      </w:r>
    </w:p>
    <w:p>
      <w:pPr>
        <w:pStyle w:val="BodyText"/>
        <w:spacing w:line="240" w:lineRule="auto" w:before="65"/>
        <w:ind w:left="573" w:right="0"/>
        <w:jc w:val="left"/>
      </w:pPr>
      <w:r>
        <w:rPr/>
        <w:t>（</w:t>
      </w:r>
      <w:r>
        <w:rPr>
          <w:rFonts w:ascii="Times New Roman" w:hAnsi="Times New Roman" w:cs="Times New Roman" w:eastAsia="Times New Roman" w:hint="default"/>
        </w:rPr>
        <w:t>11</w:t>
      </w:r>
      <w:r>
        <w:rPr/>
        <w:t>）报告期末，公司无形资产比上年同期减少</w:t>
      </w:r>
      <w:r>
        <w:rPr>
          <w:rFonts w:ascii="Times New Roman" w:hAnsi="Times New Roman" w:cs="Times New Roman" w:eastAsia="Times New Roman" w:hint="default"/>
        </w:rPr>
        <w:t>3.63%</w:t>
      </w:r>
      <w:r>
        <w:rPr/>
        <w:t>，主要原因为：本期无形资产摊销。</w:t>
      </w:r>
    </w:p>
    <w:p>
      <w:pPr>
        <w:pStyle w:val="BodyText"/>
        <w:spacing w:line="386" w:lineRule="auto" w:before="177"/>
        <w:ind w:right="1118" w:firstLine="420"/>
        <w:jc w:val="left"/>
      </w:pPr>
      <w:r>
        <w:rPr/>
        <w:t>（</w:t>
      </w:r>
      <w:r>
        <w:rPr>
          <w:rFonts w:ascii="Times New Roman" w:hAnsi="Times New Roman" w:cs="Times New Roman" w:eastAsia="Times New Roman" w:hint="default"/>
        </w:rPr>
        <w:t>12</w:t>
      </w:r>
      <w:r>
        <w:rPr/>
        <w:t>）报告期末，公司长期待摊费用比上年同期增加</w:t>
      </w:r>
      <w:r>
        <w:rPr>
          <w:rFonts w:ascii="Times New Roman" w:hAnsi="Times New Roman" w:cs="Times New Roman" w:eastAsia="Times New Roman" w:hint="default"/>
        </w:rPr>
        <w:t>264.14%</w:t>
      </w:r>
      <w:r>
        <w:rPr/>
        <w:t>，主要原因为：母公司本期办公楼装修 款转入。</w:t>
      </w:r>
    </w:p>
    <w:p>
      <w:pPr>
        <w:pStyle w:val="BodyText"/>
        <w:spacing w:line="386" w:lineRule="auto" w:before="65"/>
        <w:ind w:right="0" w:firstLine="420"/>
        <w:jc w:val="left"/>
      </w:pPr>
      <w:r>
        <w:rPr/>
        <w:t>（</w:t>
      </w:r>
      <w:r>
        <w:rPr>
          <w:rFonts w:ascii="Times New Roman" w:hAnsi="Times New Roman" w:cs="Times New Roman" w:eastAsia="Times New Roman" w:hint="default"/>
        </w:rPr>
        <w:t>13</w:t>
      </w:r>
      <w:r>
        <w:rPr/>
        <w:t>）报告期末，公司递延所得税资产比上年同期增加</w:t>
      </w:r>
      <w:r>
        <w:rPr>
          <w:rFonts w:ascii="Times New Roman" w:hAnsi="Times New Roman" w:cs="Times New Roman" w:eastAsia="Times New Roman" w:hint="default"/>
        </w:rPr>
        <w:t>105.30%</w:t>
      </w:r>
      <w:r>
        <w:rPr/>
        <w:t>，主要原因为：本期资丰小贷公司递 延所得税资产增加。</w:t>
      </w:r>
    </w:p>
    <w:p>
      <w:pPr>
        <w:pStyle w:val="BodyText"/>
        <w:spacing w:line="386" w:lineRule="auto" w:before="65"/>
        <w:ind w:right="1123" w:firstLine="420"/>
        <w:jc w:val="left"/>
      </w:pPr>
      <w:r>
        <w:rPr>
          <w:spacing w:val="-1"/>
        </w:rPr>
        <w:t>（</w:t>
      </w:r>
      <w:r>
        <w:rPr>
          <w:rFonts w:ascii="Times New Roman" w:hAnsi="Times New Roman" w:cs="Times New Roman" w:eastAsia="Times New Roman" w:hint="default"/>
          <w:spacing w:val="-1"/>
        </w:rPr>
        <w:t>14</w:t>
      </w:r>
      <w:r>
        <w:rPr>
          <w:spacing w:val="-1"/>
        </w:rPr>
        <w:t>）报告期末，公司应付账款比上年同期增加</w:t>
      </w:r>
      <w:r>
        <w:rPr>
          <w:rFonts w:ascii="Times New Roman" w:hAnsi="Times New Roman" w:cs="Times New Roman" w:eastAsia="Times New Roman" w:hint="default"/>
          <w:spacing w:val="-1"/>
        </w:rPr>
        <w:t>10.17%</w:t>
      </w:r>
      <w:r>
        <w:rPr>
          <w:spacing w:val="-1"/>
        </w:rPr>
        <w:t>，主要原因为：本期母公司及色织公司应付采</w:t>
      </w:r>
      <w:r>
        <w:rPr/>
        <w:t> 购款增加。</w:t>
      </w:r>
    </w:p>
    <w:p>
      <w:pPr>
        <w:pStyle w:val="BodyText"/>
        <w:spacing w:line="386" w:lineRule="auto" w:before="65"/>
        <w:ind w:right="1123" w:firstLine="420"/>
        <w:jc w:val="left"/>
      </w:pPr>
      <w:r>
        <w:rPr>
          <w:spacing w:val="-1"/>
        </w:rPr>
        <w:t>（</w:t>
      </w:r>
      <w:r>
        <w:rPr>
          <w:rFonts w:ascii="Times New Roman" w:hAnsi="Times New Roman" w:cs="Times New Roman" w:eastAsia="Times New Roman" w:hint="default"/>
          <w:spacing w:val="-1"/>
        </w:rPr>
        <w:t>15</w:t>
      </w:r>
      <w:r>
        <w:rPr>
          <w:spacing w:val="-1"/>
        </w:rPr>
        <w:t>）报告期末，公司应付票据比上年同期减少</w:t>
      </w:r>
      <w:r>
        <w:rPr>
          <w:rFonts w:ascii="Times New Roman" w:hAnsi="Times New Roman" w:cs="Times New Roman" w:eastAsia="Times New Roman" w:hint="default"/>
          <w:spacing w:val="-1"/>
        </w:rPr>
        <w:t>76.79%</w:t>
      </w:r>
      <w:r>
        <w:rPr>
          <w:spacing w:val="-1"/>
        </w:rPr>
        <w:t>，主要原因为：子公司北斗公司以票据结算业</w:t>
      </w:r>
      <w:r>
        <w:rPr/>
        <w:t> 务减少。</w:t>
      </w:r>
    </w:p>
    <w:p>
      <w:pPr>
        <w:pStyle w:val="BodyText"/>
        <w:spacing w:line="386" w:lineRule="auto" w:before="65"/>
        <w:ind w:right="1117" w:firstLine="420"/>
        <w:jc w:val="left"/>
      </w:pPr>
      <w:r>
        <w:rPr/>
        <w:t>（</w:t>
      </w:r>
      <w:r>
        <w:rPr>
          <w:rFonts w:ascii="Times New Roman" w:hAnsi="Times New Roman" w:cs="Times New Roman" w:eastAsia="Times New Roman" w:hint="default"/>
        </w:rPr>
        <w:t>16</w:t>
      </w:r>
      <w:r>
        <w:rPr/>
        <w:t>）报告期末，公司一年内到期的非流动负债比上年同期减少</w:t>
      </w:r>
      <w:r>
        <w:rPr>
          <w:rFonts w:ascii="Times New Roman" w:hAnsi="Times New Roman" w:cs="Times New Roman" w:eastAsia="Times New Roman" w:hint="default"/>
        </w:rPr>
        <w:t>100.00%</w:t>
      </w:r>
      <w:r>
        <w:rPr/>
        <w:t>，主要原因为：</w:t>
      </w:r>
      <w:r>
        <w:rPr>
          <w:spacing w:val="-42"/>
        </w:rPr>
        <w:t> </w:t>
      </w:r>
      <w:r>
        <w:rPr/>
        <w:t>本期能源公</w:t>
      </w:r>
      <w:r>
        <w:rPr/>
        <w:t> 司偿还一年内到期的非流动负债。</w:t>
      </w:r>
    </w:p>
    <w:p>
      <w:pPr>
        <w:pStyle w:val="BodyText"/>
        <w:spacing w:line="386" w:lineRule="auto" w:before="65"/>
        <w:ind w:right="1123" w:firstLine="420"/>
        <w:jc w:val="left"/>
      </w:pPr>
      <w:r>
        <w:rPr>
          <w:spacing w:val="-1"/>
        </w:rPr>
        <w:t>（</w:t>
      </w:r>
      <w:r>
        <w:rPr>
          <w:rFonts w:ascii="Times New Roman" w:hAnsi="Times New Roman" w:cs="Times New Roman" w:eastAsia="Times New Roman" w:hint="default"/>
          <w:spacing w:val="-1"/>
        </w:rPr>
        <w:t>17</w:t>
      </w:r>
      <w:r>
        <w:rPr>
          <w:spacing w:val="-1"/>
        </w:rPr>
        <w:t>）报告期末，公司预收帐款比上年同期减少</w:t>
      </w:r>
      <w:r>
        <w:rPr>
          <w:rFonts w:ascii="Times New Roman" w:hAnsi="Times New Roman" w:cs="Times New Roman" w:eastAsia="Times New Roman" w:hint="default"/>
          <w:spacing w:val="-1"/>
        </w:rPr>
        <w:t>49.34%</w:t>
      </w:r>
      <w:r>
        <w:rPr>
          <w:spacing w:val="-1"/>
        </w:rPr>
        <w:t>，主要原因为：本期子公司三明公司和色织公</w:t>
      </w:r>
      <w:r>
        <w:rPr/>
        <w:t> 司期末预收帐款减少。</w:t>
      </w:r>
    </w:p>
    <w:p>
      <w:pPr>
        <w:pStyle w:val="BodyText"/>
        <w:spacing w:line="386" w:lineRule="auto" w:before="65"/>
        <w:ind w:right="1123" w:firstLine="420"/>
        <w:jc w:val="left"/>
      </w:pPr>
      <w:r>
        <w:rPr>
          <w:spacing w:val="-1"/>
        </w:rPr>
        <w:t>（</w:t>
      </w:r>
      <w:r>
        <w:rPr>
          <w:rFonts w:ascii="Times New Roman" w:hAnsi="Times New Roman" w:cs="Times New Roman" w:eastAsia="Times New Roman" w:hint="default"/>
          <w:spacing w:val="-1"/>
        </w:rPr>
        <w:t>18</w:t>
      </w:r>
      <w:r>
        <w:rPr>
          <w:spacing w:val="-1"/>
        </w:rPr>
        <w:t>）报告期末，公司短期借款比上年同期减少</w:t>
      </w:r>
      <w:r>
        <w:rPr>
          <w:rFonts w:ascii="Times New Roman" w:hAnsi="Times New Roman" w:cs="Times New Roman" w:eastAsia="Times New Roman" w:hint="default"/>
          <w:spacing w:val="-1"/>
        </w:rPr>
        <w:t>48.72%</w:t>
      </w:r>
      <w:r>
        <w:rPr>
          <w:spacing w:val="-1"/>
        </w:rPr>
        <w:t>，主要原因为：本期母公司、能源公司及北斗</w:t>
      </w:r>
      <w:r>
        <w:rPr/>
        <w:t> 公司偿还银行贷款。</w:t>
      </w:r>
    </w:p>
    <w:p>
      <w:pPr>
        <w:pStyle w:val="BodyText"/>
        <w:spacing w:line="386" w:lineRule="auto" w:before="65"/>
        <w:ind w:right="0" w:firstLine="420"/>
        <w:jc w:val="left"/>
      </w:pPr>
      <w:r>
        <w:rPr/>
        <w:t>（</w:t>
      </w:r>
      <w:r>
        <w:rPr>
          <w:rFonts w:ascii="Times New Roman" w:hAnsi="Times New Roman" w:cs="Times New Roman" w:eastAsia="Times New Roman" w:hint="default"/>
        </w:rPr>
        <w:t>19</w:t>
      </w:r>
      <w:r>
        <w:rPr/>
        <w:t>）报告期末，公司专项应付款比上年同期减少</w:t>
      </w:r>
      <w:r>
        <w:rPr>
          <w:rFonts w:ascii="Times New Roman" w:hAnsi="Times New Roman" w:cs="Times New Roman" w:eastAsia="Times New Roman" w:hint="default"/>
        </w:rPr>
        <w:t>100.00%</w:t>
      </w:r>
      <w:r>
        <w:rPr/>
        <w:t>，主要原因为：本期因北斗导航公司不再 纳入合并范围转出专项应付款余额。</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0" w:firstLine="420"/>
        <w:jc w:val="left"/>
      </w:pPr>
      <w:r>
        <w:rPr/>
        <w:t>（</w:t>
      </w:r>
      <w:r>
        <w:rPr>
          <w:rFonts w:ascii="Times New Roman" w:hAnsi="Times New Roman" w:cs="Times New Roman" w:eastAsia="Times New Roman" w:hint="default"/>
        </w:rPr>
        <w:t>20</w:t>
      </w:r>
      <w:r>
        <w:rPr/>
        <w:t>）报告期末，公司一般风险准备比上年同期增加</w:t>
      </w:r>
      <w:r>
        <w:rPr>
          <w:rFonts w:ascii="Times New Roman" w:hAnsi="Times New Roman" w:cs="Times New Roman" w:eastAsia="Times New Roman" w:hint="default"/>
        </w:rPr>
        <w:t>110.88%</w:t>
      </w:r>
      <w:r>
        <w:rPr/>
        <w:t>，主要原因为：子公司资丰小贷公司本 期计提一般风险准备所致。</w:t>
      </w:r>
    </w:p>
    <w:p>
      <w:pPr>
        <w:pStyle w:val="BodyText"/>
        <w:spacing w:line="386" w:lineRule="auto" w:before="65"/>
        <w:ind w:right="1118" w:firstLine="420"/>
        <w:jc w:val="left"/>
      </w:pPr>
      <w:r>
        <w:rPr/>
        <w:t>（</w:t>
      </w:r>
      <w:r>
        <w:rPr>
          <w:rFonts w:ascii="Times New Roman" w:hAnsi="Times New Roman" w:cs="Times New Roman" w:eastAsia="Times New Roman" w:hint="default"/>
        </w:rPr>
        <w:t>21</w:t>
      </w:r>
      <w:r>
        <w:rPr/>
        <w:t>）报告期末，公司未分配利润比上年同期增加</w:t>
      </w:r>
      <w:r>
        <w:rPr>
          <w:rFonts w:ascii="Times New Roman" w:hAnsi="Times New Roman" w:cs="Times New Roman" w:eastAsia="Times New Roman" w:hint="default"/>
        </w:rPr>
        <w:t>80.63%</w:t>
      </w:r>
      <w:r>
        <w:rPr/>
        <w:t>，主要原因为：</w:t>
      </w:r>
      <w:r>
        <w:rPr>
          <w:spacing w:val="48"/>
        </w:rPr>
        <w:t> </w:t>
      </w:r>
      <w:r>
        <w:rPr/>
        <w:t>本期归属于母公司的净利</w:t>
      </w:r>
      <w:r>
        <w:rPr/>
        <w:t> 润增加。</w:t>
      </w:r>
    </w:p>
    <w:p>
      <w:pPr>
        <w:pStyle w:val="BodyText"/>
        <w:spacing w:line="240" w:lineRule="auto" w:before="65"/>
        <w:ind w:left="573" w:right="0"/>
        <w:jc w:val="left"/>
      </w:pPr>
      <w:r>
        <w:rPr/>
        <w:t>（</w:t>
      </w:r>
      <w:r>
        <w:rPr>
          <w:rFonts w:ascii="Times New Roman" w:hAnsi="Times New Roman" w:cs="Times New Roman" w:eastAsia="Times New Roman" w:hint="default"/>
        </w:rPr>
        <w:t>22</w:t>
      </w:r>
      <w:r>
        <w:rPr/>
        <w:t>）报告期末，公司少数股东权益比上年同期减少</w:t>
      </w:r>
      <w:r>
        <w:rPr>
          <w:rFonts w:ascii="Times New Roman" w:hAnsi="Times New Roman" w:cs="Times New Roman" w:eastAsia="Times New Roman" w:hint="default"/>
        </w:rPr>
        <w:t>21.99%</w:t>
      </w:r>
      <w:r>
        <w:rPr/>
        <w:t>，主要原因为：本期能源公司亏损所致。</w:t>
      </w:r>
    </w:p>
    <w:p>
      <w:pPr>
        <w:pStyle w:val="BodyText"/>
        <w:spacing w:line="240" w:lineRule="auto" w:before="140"/>
        <w:ind w:left="573" w:right="0"/>
        <w:jc w:val="left"/>
      </w:pPr>
      <w:r>
        <w:rPr>
          <w:rFonts w:ascii="Times New Roman" w:hAnsi="Times New Roman" w:cs="Times New Roman" w:eastAsia="Times New Roman" w:hint="default"/>
        </w:rPr>
        <w:t>3</w:t>
      </w:r>
      <w:r>
        <w:rPr/>
        <w:t>、报告期内现金流量分析</w:t>
      </w:r>
    </w:p>
    <w:p>
      <w:pPr>
        <w:spacing w:before="86"/>
        <w:ind w:left="0" w:right="131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288" w:type="dxa"/>
        <w:tblLayout w:type="fixed"/>
        <w:tblCellMar>
          <w:top w:w="0" w:type="dxa"/>
          <w:left w:w="0" w:type="dxa"/>
          <w:bottom w:w="0" w:type="dxa"/>
          <w:right w:w="0" w:type="dxa"/>
        </w:tblCellMar>
        <w:tblLook w:val="01E0"/>
      </w:tblPr>
      <w:tblGrid>
        <w:gridCol w:w="2919"/>
        <w:gridCol w:w="1980"/>
        <w:gridCol w:w="1980"/>
        <w:gridCol w:w="2620"/>
      </w:tblGrid>
      <w:tr>
        <w:trPr>
          <w:trHeight w:val="431"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398" w:val="left" w:leader="none"/>
              </w:tabs>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1-12</w:t>
            </w:r>
            <w:r>
              <w:rPr>
                <w:rFonts w:ascii="宋体" w:hAnsi="宋体" w:cs="宋体" w:eastAsia="宋体" w:hint="default"/>
                <w:sz w:val="18"/>
                <w:szCs w:val="18"/>
              </w:rPr>
              <w:t>月</w:t>
            </w:r>
          </w:p>
        </w:tc>
        <w:tc>
          <w:tcPr>
            <w:tcW w:w="19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1-12</w:t>
            </w:r>
            <w:r>
              <w:rPr>
                <w:rFonts w:ascii="宋体" w:hAnsi="宋体" w:cs="宋体" w:eastAsia="宋体" w:hint="default"/>
                <w:sz w:val="18"/>
                <w:szCs w:val="18"/>
              </w:rPr>
              <w:t>月</w:t>
            </w:r>
          </w:p>
        </w:tc>
        <w:tc>
          <w:tcPr>
            <w:tcW w:w="26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146" w:right="0"/>
              <w:jc w:val="left"/>
              <w:rPr>
                <w:rFonts w:ascii="宋体" w:hAnsi="宋体" w:cs="宋体" w:eastAsia="宋体" w:hint="default"/>
                <w:sz w:val="18"/>
                <w:szCs w:val="18"/>
              </w:rPr>
            </w:pPr>
            <w:r>
              <w:rPr>
                <w:rFonts w:ascii="宋体" w:hAnsi="宋体" w:cs="宋体" w:eastAsia="宋体" w:hint="default"/>
                <w:sz w:val="18"/>
                <w:szCs w:val="18"/>
              </w:rPr>
              <w:t>报告期比上年同期增减（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3"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69"/>
              <w:jc w:val="right"/>
              <w:rPr>
                <w:rFonts w:ascii="Times New Roman" w:hAnsi="Times New Roman" w:cs="Times New Roman" w:eastAsia="Times New Roman" w:hint="default"/>
                <w:sz w:val="18"/>
                <w:szCs w:val="18"/>
              </w:rPr>
            </w:pPr>
            <w:r>
              <w:rPr>
                <w:rFonts w:ascii="Times New Roman"/>
                <w:spacing w:val="-1"/>
                <w:sz w:val="18"/>
              </w:rPr>
              <w:t>29,845,946.21</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8"/>
              <w:jc w:val="right"/>
              <w:rPr>
                <w:rFonts w:ascii="Times New Roman" w:hAnsi="Times New Roman" w:cs="Times New Roman" w:eastAsia="Times New Roman" w:hint="default"/>
                <w:sz w:val="18"/>
                <w:szCs w:val="18"/>
              </w:rPr>
            </w:pPr>
            <w:r>
              <w:rPr>
                <w:rFonts w:ascii="Times New Roman"/>
                <w:spacing w:val="-1"/>
                <w:sz w:val="18"/>
              </w:rPr>
              <w:t>26,160,340.65</w:t>
            </w:r>
          </w:p>
        </w:tc>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7"/>
              <w:jc w:val="right"/>
              <w:rPr>
                <w:rFonts w:ascii="Times New Roman" w:hAnsi="Times New Roman" w:cs="Times New Roman" w:eastAsia="Times New Roman" w:hint="default"/>
                <w:sz w:val="18"/>
                <w:szCs w:val="18"/>
              </w:rPr>
            </w:pPr>
            <w:r>
              <w:rPr>
                <w:rFonts w:ascii="Times New Roman"/>
                <w:sz w:val="18"/>
              </w:rPr>
              <w:t>14.09%</w:t>
            </w:r>
          </w:p>
        </w:tc>
      </w:tr>
      <w:tr>
        <w:trPr>
          <w:trHeight w:val="432"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68"/>
              <w:jc w:val="right"/>
              <w:rPr>
                <w:rFonts w:ascii="Times New Roman" w:hAnsi="Times New Roman" w:cs="Times New Roman" w:eastAsia="Times New Roman" w:hint="default"/>
                <w:sz w:val="18"/>
                <w:szCs w:val="18"/>
              </w:rPr>
            </w:pPr>
            <w:r>
              <w:rPr>
                <w:rFonts w:ascii="Times New Roman"/>
                <w:spacing w:val="-1"/>
                <w:sz w:val="18"/>
              </w:rPr>
              <w:t>-24,994,587.43</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8"/>
              <w:jc w:val="right"/>
              <w:rPr>
                <w:rFonts w:ascii="Times New Roman" w:hAnsi="Times New Roman" w:cs="Times New Roman" w:eastAsia="Times New Roman" w:hint="default"/>
                <w:sz w:val="18"/>
                <w:szCs w:val="18"/>
              </w:rPr>
            </w:pPr>
            <w:r>
              <w:rPr>
                <w:rFonts w:ascii="Times New Roman"/>
                <w:spacing w:val="-1"/>
                <w:sz w:val="18"/>
              </w:rPr>
              <w:t>-104,867,526.93</w:t>
            </w:r>
          </w:p>
        </w:tc>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7"/>
              <w:jc w:val="right"/>
              <w:rPr>
                <w:rFonts w:ascii="Times New Roman" w:hAnsi="Times New Roman" w:cs="Times New Roman" w:eastAsia="Times New Roman" w:hint="default"/>
                <w:sz w:val="18"/>
                <w:szCs w:val="18"/>
              </w:rPr>
            </w:pPr>
            <w:r>
              <w:rPr>
                <w:rFonts w:ascii="Times New Roman"/>
                <w:sz w:val="18"/>
              </w:rPr>
              <w:t>76.17%</w:t>
            </w:r>
          </w:p>
        </w:tc>
      </w:tr>
      <w:tr>
        <w:trPr>
          <w:trHeight w:val="432"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68"/>
              <w:jc w:val="right"/>
              <w:rPr>
                <w:rFonts w:ascii="Times New Roman" w:hAnsi="Times New Roman" w:cs="Times New Roman" w:eastAsia="Times New Roman" w:hint="default"/>
                <w:sz w:val="18"/>
                <w:szCs w:val="18"/>
              </w:rPr>
            </w:pPr>
            <w:r>
              <w:rPr>
                <w:rFonts w:ascii="Times New Roman"/>
                <w:spacing w:val="-1"/>
                <w:sz w:val="18"/>
              </w:rPr>
              <w:t>-130,720,432.13</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8"/>
              <w:jc w:val="right"/>
              <w:rPr>
                <w:rFonts w:ascii="Times New Roman" w:hAnsi="Times New Roman" w:cs="Times New Roman" w:eastAsia="Times New Roman" w:hint="default"/>
                <w:sz w:val="18"/>
                <w:szCs w:val="18"/>
              </w:rPr>
            </w:pPr>
            <w:r>
              <w:rPr>
                <w:rFonts w:ascii="Times New Roman"/>
                <w:spacing w:val="-1"/>
                <w:sz w:val="18"/>
              </w:rPr>
              <w:t>69,740,108.97</w:t>
            </w:r>
          </w:p>
        </w:tc>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7"/>
              <w:jc w:val="right"/>
              <w:rPr>
                <w:rFonts w:ascii="Times New Roman" w:hAnsi="Times New Roman" w:cs="Times New Roman" w:eastAsia="Times New Roman" w:hint="default"/>
                <w:sz w:val="18"/>
                <w:szCs w:val="18"/>
              </w:rPr>
            </w:pPr>
            <w:r>
              <w:rPr>
                <w:rFonts w:ascii="Times New Roman"/>
                <w:w w:val="95"/>
                <w:sz w:val="18"/>
              </w:rPr>
              <w:t>-287.44%</w:t>
            </w:r>
            <w:r>
              <w:rPr>
                <w:rFonts w:ascii="Times New Roman"/>
                <w:sz w:val="18"/>
              </w:rPr>
            </w:r>
          </w:p>
        </w:tc>
      </w:tr>
      <w:tr>
        <w:trPr>
          <w:trHeight w:val="432"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68"/>
              <w:jc w:val="right"/>
              <w:rPr>
                <w:rFonts w:ascii="Times New Roman" w:hAnsi="Times New Roman" w:cs="Times New Roman" w:eastAsia="Times New Roman" w:hint="default"/>
                <w:sz w:val="18"/>
                <w:szCs w:val="18"/>
              </w:rPr>
            </w:pPr>
            <w:r>
              <w:rPr>
                <w:rFonts w:ascii="Times New Roman"/>
                <w:spacing w:val="-1"/>
                <w:sz w:val="18"/>
              </w:rPr>
              <w:t>-124,658,100.79</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8"/>
              <w:jc w:val="right"/>
              <w:rPr>
                <w:rFonts w:ascii="Times New Roman" w:hAnsi="Times New Roman" w:cs="Times New Roman" w:eastAsia="Times New Roman" w:hint="default"/>
                <w:sz w:val="18"/>
                <w:szCs w:val="18"/>
              </w:rPr>
            </w:pPr>
            <w:r>
              <w:rPr>
                <w:rFonts w:ascii="Times New Roman"/>
                <w:spacing w:val="-1"/>
                <w:sz w:val="18"/>
              </w:rPr>
              <w:t>-17,387,430.62</w:t>
            </w:r>
          </w:p>
        </w:tc>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7"/>
              <w:jc w:val="right"/>
              <w:rPr>
                <w:rFonts w:ascii="Times New Roman" w:hAnsi="Times New Roman" w:cs="Times New Roman" w:eastAsia="Times New Roman" w:hint="default"/>
                <w:sz w:val="18"/>
                <w:szCs w:val="18"/>
              </w:rPr>
            </w:pPr>
            <w:r>
              <w:rPr>
                <w:rFonts w:ascii="Times New Roman"/>
                <w:w w:val="95"/>
                <w:sz w:val="18"/>
              </w:rPr>
              <w:t>-616.94%</w:t>
            </w:r>
            <w:r>
              <w:rPr>
                <w:rFonts w:ascii="Times New Roman"/>
                <w:sz w:val="18"/>
              </w:rPr>
            </w:r>
          </w:p>
        </w:tc>
      </w:tr>
    </w:tbl>
    <w:p>
      <w:pPr>
        <w:pStyle w:val="BodyText"/>
        <w:spacing w:line="386" w:lineRule="auto" w:before="63"/>
        <w:ind w:right="0" w:firstLine="420"/>
        <w:jc w:val="left"/>
      </w:pPr>
      <w:r>
        <w:rPr>
          <w:spacing w:val="-2"/>
        </w:rPr>
        <w:t>（</w:t>
      </w:r>
      <w:r>
        <w:rPr>
          <w:rFonts w:ascii="Times New Roman" w:hAnsi="Times New Roman" w:cs="Times New Roman" w:eastAsia="Times New Roman" w:hint="default"/>
          <w:spacing w:val="-2"/>
        </w:rPr>
        <w:t>1</w:t>
      </w:r>
      <w:r>
        <w:rPr>
          <w:spacing w:val="-2"/>
        </w:rPr>
        <w:t>）报告期内，公司经营活动产生的现金流量净额</w:t>
      </w:r>
      <w:r>
        <w:rPr>
          <w:rFonts w:ascii="Times New Roman" w:hAnsi="Times New Roman" w:cs="Times New Roman" w:eastAsia="Times New Roman" w:hint="default"/>
          <w:spacing w:val="-2"/>
        </w:rPr>
        <w:t>2,984.59</w:t>
      </w:r>
      <w:r>
        <w:rPr>
          <w:spacing w:val="-2"/>
        </w:rPr>
        <w:t>万元，比去年同期增加</w:t>
      </w:r>
      <w:r>
        <w:rPr>
          <w:rFonts w:ascii="Times New Roman" w:hAnsi="Times New Roman" w:cs="Times New Roman" w:eastAsia="Times New Roman" w:hint="default"/>
          <w:spacing w:val="-2"/>
        </w:rPr>
        <w:t>14.09%</w:t>
      </w:r>
      <w:r>
        <w:rPr>
          <w:spacing w:val="-2"/>
        </w:rPr>
        <w:t>，主要原因</w:t>
      </w:r>
      <w:r>
        <w:rPr/>
        <w:t> 为：母公司经营活动产生的现金流量净额增加所致。</w:t>
      </w:r>
    </w:p>
    <w:p>
      <w:pPr>
        <w:pStyle w:val="BodyText"/>
        <w:spacing w:line="386" w:lineRule="auto" w:before="65"/>
        <w:ind w:right="0" w:firstLine="420"/>
        <w:jc w:val="left"/>
      </w:pPr>
      <w:r>
        <w:rPr/>
        <w:t>（</w:t>
      </w:r>
      <w:r>
        <w:rPr>
          <w:rFonts w:ascii="Times New Roman" w:hAnsi="Times New Roman" w:cs="Times New Roman" w:eastAsia="Times New Roman" w:hint="default"/>
        </w:rPr>
        <w:t>2</w:t>
      </w:r>
      <w:r>
        <w:rPr/>
        <w:t>）报告期内，公司投资活动产生的现金流量净额</w:t>
      </w:r>
      <w:r>
        <w:rPr>
          <w:rFonts w:ascii="Times New Roman" w:hAnsi="Times New Roman" w:cs="Times New Roman" w:eastAsia="Times New Roman" w:hint="default"/>
        </w:rPr>
        <w:t>-2,499.46</w:t>
      </w:r>
      <w:r>
        <w:rPr/>
        <w:t>万元，比去年同期增加</w:t>
      </w:r>
      <w:r>
        <w:rPr>
          <w:rFonts w:ascii="Times New Roman" w:hAnsi="Times New Roman" w:cs="Times New Roman" w:eastAsia="Times New Roman" w:hint="default"/>
        </w:rPr>
        <w:t>76.17%</w:t>
      </w:r>
      <w:r>
        <w:rPr/>
        <w:t>，主要原 因为：公司上年度投资资丰小贷公司所致。</w:t>
      </w:r>
    </w:p>
    <w:p>
      <w:pPr>
        <w:pStyle w:val="BodyText"/>
        <w:spacing w:line="386" w:lineRule="auto" w:before="65"/>
        <w:ind w:left="154" w:right="0" w:firstLine="420"/>
        <w:jc w:val="left"/>
      </w:pPr>
      <w:r>
        <w:rPr/>
        <w:t>（</w:t>
      </w:r>
      <w:r>
        <w:rPr>
          <w:rFonts w:ascii="Times New Roman" w:hAnsi="Times New Roman" w:cs="Times New Roman" w:eastAsia="Times New Roman" w:hint="default"/>
        </w:rPr>
        <w:t>3</w:t>
      </w:r>
      <w:r>
        <w:rPr/>
        <w:t>）报告期内，公司筹资活动产生的现金流量净额</w:t>
      </w:r>
      <w:r>
        <w:rPr>
          <w:rFonts w:ascii="Times New Roman" w:hAnsi="Times New Roman" w:cs="Times New Roman" w:eastAsia="Times New Roman" w:hint="default"/>
        </w:rPr>
        <w:t>-13,072.04</w:t>
      </w:r>
      <w:r>
        <w:rPr/>
        <w:t>万元，比去年同期减少</w:t>
      </w:r>
      <w:r>
        <w:rPr>
          <w:rFonts w:ascii="Times New Roman" w:hAnsi="Times New Roman" w:cs="Times New Roman" w:eastAsia="Times New Roman" w:hint="default"/>
        </w:rPr>
        <w:t>287.44%</w:t>
      </w:r>
      <w:r>
        <w:rPr/>
        <w:t>，主要 原因为：母公司本期偿还债务及代偿能源公司与北斗公司债务支付的现金比去年同期增加所致。</w:t>
      </w:r>
    </w:p>
    <w:p>
      <w:pPr>
        <w:spacing w:line="240" w:lineRule="auto" w:before="4"/>
        <w:rPr>
          <w:rFonts w:ascii="宋体" w:hAnsi="宋体" w:cs="宋体" w:eastAsia="宋体" w:hint="default"/>
          <w:sz w:val="20"/>
          <w:szCs w:val="20"/>
        </w:rPr>
      </w:pPr>
    </w:p>
    <w:p>
      <w:pPr>
        <w:pStyle w:val="Heading2"/>
        <w:spacing w:line="240" w:lineRule="auto"/>
        <w:ind w:left="154" w:right="0"/>
        <w:jc w:val="left"/>
        <w:rPr>
          <w:b w:val="0"/>
          <w:bCs w:val="0"/>
        </w:rPr>
      </w:pPr>
      <w:bookmarkStart w:name="二、主营业务分析" w:id="21"/>
      <w:bookmarkEnd w:id="21"/>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概述" w:id="22"/>
      <w:bookmarkEnd w:id="22"/>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pStyle w:val="BodyText"/>
        <w:spacing w:line="384" w:lineRule="auto" w:before="0"/>
        <w:ind w:left="154" w:right="1130" w:firstLine="420"/>
        <w:jc w:val="left"/>
        <w:rPr>
          <w:sz w:val="18"/>
          <w:szCs w:val="18"/>
        </w:rPr>
      </w:pPr>
      <w:r>
        <w:rPr>
          <w:spacing w:val="-1"/>
        </w:rPr>
        <w:t>报告期内，公司实现营业总收入</w:t>
      </w:r>
      <w:r>
        <w:rPr>
          <w:rFonts w:ascii="Times New Roman" w:hAnsi="Times New Roman" w:cs="Times New Roman" w:eastAsia="Times New Roman" w:hint="default"/>
          <w:spacing w:val="-1"/>
        </w:rPr>
        <w:t>71,606.02</w:t>
      </w:r>
      <w:r>
        <w:rPr>
          <w:spacing w:val="-1"/>
        </w:rPr>
        <w:t>万元，比上年同期减少</w:t>
      </w:r>
      <w:r>
        <w:rPr>
          <w:rFonts w:ascii="Times New Roman" w:hAnsi="Times New Roman" w:cs="Times New Roman" w:eastAsia="Times New Roman" w:hint="default"/>
          <w:spacing w:val="-1"/>
        </w:rPr>
        <w:t>6.91%</w:t>
      </w:r>
      <w:r>
        <w:rPr>
          <w:spacing w:val="-1"/>
        </w:rPr>
        <w:t>，营业利润</w:t>
      </w:r>
      <w:r>
        <w:rPr>
          <w:rFonts w:ascii="Times New Roman" w:hAnsi="Times New Roman" w:cs="Times New Roman" w:eastAsia="Times New Roman" w:hint="default"/>
          <w:spacing w:val="-1"/>
        </w:rPr>
        <w:t>6,822.56</w:t>
      </w:r>
      <w:r>
        <w:rPr>
          <w:spacing w:val="-1"/>
        </w:rPr>
        <w:t>万元，比上</w:t>
      </w:r>
      <w:r>
        <w:rPr/>
        <w:t> 年同期增加</w:t>
      </w:r>
      <w:r>
        <w:rPr>
          <w:rFonts w:ascii="Times New Roman" w:hAnsi="Times New Roman" w:cs="Times New Roman" w:eastAsia="Times New Roman" w:hint="default"/>
        </w:rPr>
        <w:t>470.15%</w:t>
      </w:r>
      <w:r>
        <w:rPr/>
        <w:t>，利润总额</w:t>
      </w:r>
      <w:r>
        <w:rPr>
          <w:rFonts w:ascii="Times New Roman" w:hAnsi="Times New Roman" w:cs="Times New Roman" w:eastAsia="Times New Roman" w:hint="default"/>
        </w:rPr>
        <w:t>6,772.30</w:t>
      </w:r>
      <w:r>
        <w:rPr/>
        <w:t>万元，比上年同期增加</w:t>
      </w:r>
      <w:r>
        <w:rPr>
          <w:rFonts w:ascii="Times New Roman" w:hAnsi="Times New Roman" w:cs="Times New Roman" w:eastAsia="Times New Roman" w:hint="default"/>
        </w:rPr>
        <w:t>451.72%</w:t>
      </w:r>
      <w:r>
        <w:rPr/>
        <w:t>，归属于上市公司股东的净利润 </w:t>
      </w:r>
      <w:r>
        <w:rPr>
          <w:rFonts w:ascii="Times New Roman" w:hAnsi="Times New Roman" w:cs="Times New Roman" w:eastAsia="Times New Roman" w:hint="default"/>
        </w:rPr>
        <w:t>4,951.31</w:t>
      </w:r>
      <w:r>
        <w:rPr/>
        <w:t>万元，比上年同期增加</w:t>
      </w:r>
      <w:r>
        <w:rPr>
          <w:rFonts w:ascii="Times New Roman" w:hAnsi="Times New Roman" w:cs="Times New Roman" w:eastAsia="Times New Roman" w:hint="default"/>
        </w:rPr>
        <w:t>894.15%</w:t>
      </w:r>
      <w:r>
        <w:rPr/>
        <w:t>，利润增加的主要原因为：</w:t>
      </w:r>
      <w:r>
        <w:rPr>
          <w:spacing w:val="-22"/>
        </w:rPr>
        <w:t> </w:t>
      </w:r>
      <w:r>
        <w:rPr/>
        <w:t>能源公司本期亏损减少。</w:t>
      </w:r>
      <w:r>
        <w:rPr/>
        <w:t> </w:t>
      </w:r>
      <w:r>
        <w:rPr>
          <w:sz w:val="18"/>
          <w:szCs w:val="18"/>
        </w:rPr>
        <w:t>公司回顾总结前期披露的发展战略和经营计划在报告期内的进展情况</w:t>
      </w:r>
    </w:p>
    <w:p>
      <w:pPr>
        <w:pStyle w:val="BodyText"/>
        <w:spacing w:line="386" w:lineRule="auto" w:before="60"/>
        <w:ind w:left="154" w:right="0" w:firstLine="420"/>
        <w:jc w:val="left"/>
      </w:pPr>
      <w:r>
        <w:rPr/>
        <w:t>（</w:t>
      </w:r>
      <w:r>
        <w:rPr>
          <w:rFonts w:ascii="Times New Roman" w:hAnsi="Times New Roman" w:cs="Times New Roman" w:eastAsia="Times New Roman" w:hint="default"/>
        </w:rPr>
        <w:t>1</w:t>
      </w:r>
      <w:r>
        <w:rPr/>
        <w:t>）报告期内，面对纺织服装行业发展中的诸多不利因素，公司积极应对，主营业务保持了基本稳 定的发展态势。</w:t>
      </w:r>
    </w:p>
    <w:p>
      <w:pPr>
        <w:pStyle w:val="BodyText"/>
        <w:spacing w:line="386" w:lineRule="auto" w:before="65"/>
        <w:ind w:left="154" w:right="1128" w:firstLine="420"/>
        <w:jc w:val="both"/>
      </w:pPr>
      <w:r>
        <w:rPr/>
        <w:t>（</w:t>
      </w:r>
      <w:r>
        <w:rPr>
          <w:rFonts w:ascii="Times New Roman" w:hAnsi="Times New Roman" w:cs="Times New Roman" w:eastAsia="Times New Roman" w:hint="default"/>
        </w:rPr>
        <w:t>2</w:t>
      </w:r>
      <w:r>
        <w:rPr/>
        <w:t>）报告期内，子公司环保公司继续坚持以市场需求为导向，通过积极地市场开拓实现了重点产品 销售量大幅增长，其中，空气过滤器产品的销售额占该公司销售总额的</w:t>
      </w:r>
      <w:r>
        <w:rPr>
          <w:rFonts w:ascii="Times New Roman" w:hAnsi="Times New Roman" w:cs="Times New Roman" w:eastAsia="Times New Roman" w:hint="default"/>
        </w:rPr>
        <w:t>58.8%</w:t>
      </w:r>
      <w:r>
        <w:rPr/>
        <w:t>，同比增长</w:t>
      </w:r>
      <w:r>
        <w:rPr>
          <w:rFonts w:ascii="Times New Roman" w:hAnsi="Times New Roman" w:cs="Times New Roman" w:eastAsia="Times New Roman" w:hint="default"/>
        </w:rPr>
        <w:t>29%</w:t>
      </w:r>
      <w:r>
        <w:rPr/>
        <w:t>；活性炭纸</w:t>
      </w:r>
      <w:r>
        <w:rPr>
          <w:spacing w:val="-19"/>
        </w:rPr>
        <w:t> </w:t>
      </w:r>
      <w:r>
        <w:rPr/>
        <w:t>系列产品的销售额占该公司销售总额的</w:t>
      </w:r>
      <w:r>
        <w:rPr>
          <w:rFonts w:ascii="Times New Roman" w:hAnsi="Times New Roman" w:cs="Times New Roman" w:eastAsia="Times New Roman" w:hint="default"/>
        </w:rPr>
        <w:t>20.9%</w:t>
      </w:r>
      <w:r>
        <w:rPr/>
        <w:t>。随着高附价值产品空气过滤器及活性炭纸系列产品的增量</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扩产，该公司</w:t>
      </w:r>
      <w:r>
        <w:rPr>
          <w:rFonts w:ascii="Times New Roman" w:hAnsi="Times New Roman" w:cs="Times New Roman" w:eastAsia="Times New Roman" w:hint="default"/>
        </w:rPr>
        <w:t>2014</w:t>
      </w:r>
      <w:r>
        <w:rPr/>
        <w:t>年度实现的净利润同比取得较大幅度增长。</w:t>
      </w:r>
    </w:p>
    <w:p>
      <w:pPr>
        <w:pStyle w:val="BodyText"/>
        <w:spacing w:line="386" w:lineRule="auto" w:before="177"/>
        <w:ind w:right="0" w:firstLine="420"/>
        <w:jc w:val="left"/>
      </w:pPr>
      <w:r>
        <w:rPr/>
        <w:t>（</w:t>
      </w:r>
      <w:r>
        <w:rPr>
          <w:rFonts w:ascii="Times New Roman" w:hAnsi="Times New Roman" w:cs="Times New Roman" w:eastAsia="Times New Roman" w:hint="default"/>
        </w:rPr>
        <w:t>3</w:t>
      </w:r>
      <w:r>
        <w:rPr/>
        <w:t>）报告期内，资丰小贷公司严格执行国家金融方针政策，在法律法规规定范围内办理各项小额贷 款，以服务地区“三农”和小企业发展为本，审慎经营，业务收入和净利润同比取得一定幅度的增长。</w:t>
      </w:r>
    </w:p>
    <w:p>
      <w:pPr>
        <w:pStyle w:val="BodyText"/>
        <w:spacing w:line="386" w:lineRule="auto" w:before="65"/>
        <w:ind w:right="0" w:firstLine="420"/>
        <w:jc w:val="left"/>
      </w:pPr>
      <w:r>
        <w:rPr>
          <w:spacing w:val="-1"/>
        </w:rPr>
        <w:t>（</w:t>
      </w:r>
      <w:r>
        <w:rPr>
          <w:rFonts w:ascii="Times New Roman" w:hAnsi="Times New Roman" w:cs="Times New Roman" w:eastAsia="Times New Roman" w:hint="default"/>
          <w:spacing w:val="-1"/>
        </w:rPr>
        <w:t>4</w:t>
      </w:r>
      <w:r>
        <w:rPr>
          <w:spacing w:val="-1"/>
        </w:rPr>
        <w:t>）鉴于子公司北斗公司经营现状，经该公司全体股东初步协商并经本公司于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26</w:t>
      </w:r>
      <w:r>
        <w:rPr>
          <w:spacing w:val="-1"/>
        </w:rPr>
        <w:t>日召开的</w:t>
      </w:r>
      <w:r>
        <w:rPr/>
        <w:t> 第五届董事会第十二次会议审议通过，拟对北斗公司进行破产清算。（详见公司于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日刊登于</w:t>
      </w:r>
    </w:p>
    <w:p>
      <w:pPr>
        <w:pStyle w:val="BodyText"/>
        <w:spacing w:line="408" w:lineRule="auto" w:before="35"/>
        <w:ind w:right="1133"/>
        <w:jc w:val="left"/>
      </w:pPr>
      <w:r>
        <w:rPr>
          <w:spacing w:val="-1"/>
        </w:rPr>
        <w:t>《上海证券报》和巨潮资讯网的《关于控股子公司江苏北斗科技有限公司拟进行破产清算的公告》，公告</w:t>
      </w:r>
      <w:r>
        <w:rPr>
          <w:spacing w:val="-86"/>
        </w:rPr>
        <w:t> </w:t>
      </w:r>
      <w:r>
        <w:rPr>
          <w:spacing w:val="-86"/>
        </w:rPr>
      </w:r>
      <w:r>
        <w:rPr/>
        <w:t>编号：</w:t>
      </w:r>
      <w:r>
        <w:rPr>
          <w:rFonts w:ascii="Times New Roman" w:hAnsi="Times New Roman" w:cs="Times New Roman" w:eastAsia="Times New Roman" w:hint="default"/>
        </w:rPr>
        <w:t>2014</w:t>
      </w:r>
      <w:r>
        <w:rPr>
          <w:rFonts w:ascii="宋体" w:hAnsi="宋体" w:cs="宋体" w:eastAsia="宋体" w:hint="default"/>
        </w:rPr>
        <w:t>-</w:t>
      </w:r>
      <w:r>
        <w:rPr>
          <w:rFonts w:ascii="Times New Roman" w:hAnsi="Times New Roman" w:cs="Times New Roman" w:eastAsia="Times New Roman" w:hint="default"/>
        </w:rPr>
        <w:t>073</w:t>
      </w:r>
      <w:r>
        <w:rPr/>
        <w:t>）</w:t>
      </w:r>
    </w:p>
    <w:p>
      <w:pPr>
        <w:pStyle w:val="BodyText"/>
        <w:spacing w:line="398" w:lineRule="auto" w:before="14"/>
        <w:ind w:left="633" w:right="0"/>
        <w:jc w:val="left"/>
      </w:pPr>
      <w:r>
        <w:rPr/>
        <w:t>北斗公司于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月将持有的北斗导航公司</w:t>
      </w:r>
      <w:r>
        <w:rPr>
          <w:rFonts w:ascii="Times New Roman" w:hAnsi="Times New Roman" w:cs="Times New Roman" w:eastAsia="Times New Roman" w:hint="default"/>
        </w:rPr>
        <w:t>66.67%</w:t>
      </w:r>
      <w:r>
        <w:rPr/>
        <w:t>的股权进行了转让。 </w:t>
      </w:r>
      <w:r>
        <w:rPr>
          <w:spacing w:val="-5"/>
        </w:rPr>
        <w:t>因公司正在筹划重大资产重组工作，北斗公司已停止营业，截止本报告披露日尚未进入破产清算程序。</w:t>
      </w:r>
      <w:r>
        <w:rPr>
          <w:spacing w:val="-68"/>
        </w:rPr>
        <w:t> </w:t>
      </w:r>
      <w:r>
        <w:rPr>
          <w:spacing w:val="-68"/>
        </w:rPr>
      </w:r>
      <w:r>
        <w:rPr/>
        <w:t>因北斗公司拟进行破产清算并为了减少关联交易，经公司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日召开的第五届董事会第十六</w:t>
      </w:r>
    </w:p>
    <w:p>
      <w:pPr>
        <w:pStyle w:val="BodyText"/>
        <w:spacing w:line="386" w:lineRule="auto" w:before="24"/>
        <w:ind w:right="1132"/>
        <w:jc w:val="both"/>
      </w:pPr>
      <w:r>
        <w:rPr>
          <w:spacing w:val="-2"/>
        </w:rPr>
        <w:t>次会议批准，公司将持有的三友信息公司</w:t>
      </w:r>
      <w:r>
        <w:rPr>
          <w:rFonts w:ascii="Times New Roman" w:hAnsi="Times New Roman" w:cs="Times New Roman" w:eastAsia="Times New Roman" w:hint="default"/>
          <w:spacing w:val="-2"/>
        </w:rPr>
        <w:t>100%</w:t>
      </w:r>
      <w:r>
        <w:rPr>
          <w:spacing w:val="-2"/>
        </w:rPr>
        <w:t>的股权转让给关联方南通新城集团永兴汽车销售服务有限公</w:t>
      </w:r>
      <w:r>
        <w:rPr>
          <w:spacing w:val="-103"/>
        </w:rPr>
        <w:t> </w:t>
      </w:r>
      <w:r>
        <w:rPr>
          <w:spacing w:val="-103"/>
        </w:rPr>
      </w:r>
      <w:r>
        <w:rPr/>
        <w:t>司。（详见公司于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日刊登于《上海证券报》和巨潮资讯网的《关于转让子公司股权的关联交</w:t>
      </w:r>
      <w:r>
        <w:rPr>
          <w:spacing w:val="-35"/>
        </w:rPr>
        <w:t> </w:t>
      </w:r>
      <w:r>
        <w:rPr>
          <w:spacing w:val="-35"/>
        </w:rPr>
      </w:r>
      <w:r>
        <w:rPr/>
        <w:t>易公告》，公告编号：</w:t>
      </w:r>
      <w:r>
        <w:rPr>
          <w:rFonts w:ascii="Times New Roman" w:hAnsi="Times New Roman" w:cs="Times New Roman" w:eastAsia="Times New Roman" w:hint="default"/>
        </w:rPr>
        <w:t>2015</w:t>
      </w:r>
      <w:r>
        <w:rPr>
          <w:rFonts w:ascii="宋体" w:hAnsi="宋体" w:cs="宋体" w:eastAsia="宋体" w:hint="default"/>
        </w:rPr>
        <w:t>-</w:t>
      </w:r>
      <w:r>
        <w:rPr>
          <w:rFonts w:ascii="Times New Roman" w:hAnsi="Times New Roman" w:cs="Times New Roman" w:eastAsia="Times New Roman" w:hint="default"/>
        </w:rPr>
        <w:t>012</w:t>
      </w:r>
      <w:r>
        <w:rPr/>
        <w:t>）</w:t>
      </w:r>
    </w:p>
    <w:p>
      <w:pPr>
        <w:pStyle w:val="BodyText"/>
        <w:spacing w:line="240" w:lineRule="auto" w:before="35"/>
        <w:ind w:left="633" w:right="0"/>
        <w:jc w:val="left"/>
      </w:pPr>
      <w:r>
        <w:rPr/>
        <w:t>截止本报告披露日，上述关联交易尚未完成。</w:t>
      </w:r>
    </w:p>
    <w:p>
      <w:pPr>
        <w:spacing w:line="240" w:lineRule="auto" w:before="10"/>
        <w:rPr>
          <w:rFonts w:ascii="宋体" w:hAnsi="宋体" w:cs="宋体" w:eastAsia="宋体" w:hint="default"/>
          <w:sz w:val="14"/>
          <w:szCs w:val="14"/>
        </w:rPr>
      </w:pPr>
    </w:p>
    <w:p>
      <w:pPr>
        <w:pStyle w:val="BodyText"/>
        <w:spacing w:line="398" w:lineRule="auto" w:before="0"/>
        <w:ind w:left="154" w:right="1023" w:firstLine="480"/>
        <w:jc w:val="left"/>
      </w:pPr>
      <w:r>
        <w:rPr/>
        <w:t>（</w:t>
      </w:r>
      <w:r>
        <w:rPr>
          <w:rFonts w:ascii="Times New Roman" w:hAnsi="Times New Roman" w:cs="Times New Roman" w:eastAsia="Times New Roman" w:hint="default"/>
        </w:rPr>
        <w:t>5</w:t>
      </w:r>
      <w:r>
        <w:rPr/>
        <w:t>）报告期内，能源公司也因上海金匙未适当履行《工业化集成控制固废低温热解生产线设备购销 </w:t>
      </w:r>
      <w:r>
        <w:rPr>
          <w:spacing w:val="-3"/>
        </w:rPr>
        <w:t>合同》中的义务而将其诉讼至法院，请求解除双方签订的设备购买合同、返还已支付的设备款并赔偿损失；</w:t>
      </w:r>
      <w:r>
        <w:rPr>
          <w:spacing w:val="-89"/>
        </w:rPr>
        <w:t> </w:t>
      </w:r>
      <w:r>
        <w:rPr>
          <w:spacing w:val="-89"/>
        </w:rPr>
      </w:r>
      <w:r>
        <w:rPr/>
        <w:t>上海金匙针对上述诉讼提起反诉，诉讼请求为要求能源公司支付合同尾款及违约金。</w:t>
      </w:r>
    </w:p>
    <w:p>
      <w:pPr>
        <w:pStyle w:val="BodyText"/>
        <w:spacing w:line="408" w:lineRule="auto" w:before="54"/>
        <w:ind w:left="633" w:right="1125"/>
        <w:jc w:val="left"/>
      </w:pPr>
      <w:r>
        <w:rPr/>
        <w:t>上述诉讼事项已进行了首次开庭，尚未判决，目前，法院正依法组织专家对生产线设备进行鉴定。 </w:t>
      </w:r>
      <w:r>
        <w:rPr>
          <w:spacing w:val="-2"/>
        </w:rPr>
        <w:t>因能源公司生产线设备无法正常运转，该公司自</w:t>
      </w:r>
      <w:r>
        <w:rPr>
          <w:rFonts w:ascii="Times New Roman" w:hAnsi="Times New Roman" w:cs="Times New Roman" w:eastAsia="Times New Roman" w:hint="default"/>
          <w:spacing w:val="-2"/>
        </w:rPr>
        <w:t>2014</w:t>
      </w:r>
      <w:r>
        <w:rPr>
          <w:spacing w:val="-2"/>
        </w:rPr>
        <w:t>年下半年以来基本处于停产状态，公司将根据能</w:t>
      </w:r>
    </w:p>
    <w:p>
      <w:pPr>
        <w:pStyle w:val="BodyText"/>
        <w:spacing w:line="240" w:lineRule="auto" w:before="14"/>
        <w:ind w:right="0"/>
        <w:jc w:val="both"/>
      </w:pPr>
      <w:r>
        <w:rPr/>
        <w:t>源公司诉讼的进展情况审慎决策。</w:t>
      </w:r>
    </w:p>
    <w:p>
      <w:pPr>
        <w:spacing w:line="240" w:lineRule="auto" w:before="11"/>
        <w:rPr>
          <w:rFonts w:ascii="宋体" w:hAnsi="宋体" w:cs="宋体" w:eastAsia="宋体" w:hint="default"/>
          <w:sz w:val="13"/>
          <w:szCs w:val="13"/>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both"/>
        <w:rPr>
          <w:b w:val="0"/>
          <w:bCs w:val="0"/>
        </w:rPr>
      </w:pPr>
      <w:bookmarkStart w:name="2、收入" w:id="23"/>
      <w:bookmarkEnd w:id="23"/>
      <w:r>
        <w:rPr>
          <w:b w:val="0"/>
          <w:bCs w:val="0"/>
        </w:rPr>
      </w:r>
      <w:r>
        <w:rPr>
          <w:rFonts w:ascii="Times New Roman" w:hAnsi="Times New Roman" w:cs="Times New Roman" w:eastAsia="Times New Roman" w:hint="default"/>
        </w:rPr>
        <w:t>2</w:t>
      </w:r>
      <w:r>
        <w:rPr/>
        <w:t>、收入</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79" w:top="1060" w:bottom="1160" w:left="980" w:right="0"/>
        </w:sectPr>
      </w:pPr>
    </w:p>
    <w:p>
      <w:pPr>
        <w:pStyle w:val="BodyText"/>
        <w:spacing w:line="240" w:lineRule="auto" w:before="35"/>
        <w:ind w:right="-19"/>
        <w:jc w:val="left"/>
      </w:pPr>
      <w:r>
        <w:rPr/>
        <w:t>主营业务分析</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415" w:space="7505"/>
            <w:col w:w="2010"/>
          </w:cols>
        </w:sectPr>
      </w:pPr>
    </w:p>
    <w:p>
      <w:pPr>
        <w:spacing w:line="240" w:lineRule="auto" w:before="1"/>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520"/>
        <w:gridCol w:w="2160"/>
        <w:gridCol w:w="2340"/>
        <w:gridCol w:w="2620"/>
      </w:tblGrid>
      <w:tr>
        <w:trPr>
          <w:trHeight w:val="412" w:hRule="exact"/>
        </w:trPr>
        <w:tc>
          <w:tcPr>
            <w:tcW w:w="25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1073"/>
              <w:jc w:val="right"/>
              <w:rPr>
                <w:rFonts w:ascii="宋体" w:hAnsi="宋体" w:cs="宋体" w:eastAsia="宋体" w:hint="default"/>
                <w:sz w:val="18"/>
                <w:szCs w:val="18"/>
              </w:rPr>
            </w:pPr>
            <w:r>
              <w:rPr>
                <w:rFonts w:ascii="宋体" w:hAnsi="宋体" w:cs="宋体" w:eastAsia="宋体" w:hint="default"/>
                <w:sz w:val="18"/>
                <w:szCs w:val="18"/>
              </w:rPr>
              <w:t>产品</w:t>
            </w:r>
          </w:p>
        </w:tc>
        <w:tc>
          <w:tcPr>
            <w:tcW w:w="21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3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同比增减情况（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9" w:hRule="exact"/>
        </w:trPr>
        <w:tc>
          <w:tcPr>
            <w:tcW w:w="25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0"/>
              <w:ind w:left="75"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2160" w:type="dxa"/>
            <w:tcBorders>
              <w:top w:val="single" w:sz="11" w:space="0" w:color="000000"/>
              <w:left w:val="single" w:sz="7" w:space="0" w:color="000000"/>
              <w:bottom w:val="single" w:sz="6" w:space="0" w:color="000000"/>
              <w:right w:val="single" w:sz="6" w:space="0" w:color="000000"/>
            </w:tcBorders>
          </w:tcPr>
          <w:p>
            <w:pPr>
              <w:pStyle w:val="TableParagraph"/>
              <w:spacing w:line="240" w:lineRule="auto" w:before="103"/>
              <w:ind w:left="1016" w:right="0"/>
              <w:jc w:val="left"/>
              <w:rPr>
                <w:rFonts w:ascii="Times New Roman" w:hAnsi="Times New Roman" w:cs="Times New Roman" w:eastAsia="Times New Roman" w:hint="default"/>
                <w:sz w:val="18"/>
                <w:szCs w:val="18"/>
              </w:rPr>
            </w:pPr>
            <w:r>
              <w:rPr>
                <w:rFonts w:ascii="Times New Roman"/>
                <w:sz w:val="18"/>
              </w:rPr>
              <w:t>599,463,156.66</w:t>
            </w:r>
          </w:p>
        </w:tc>
        <w:tc>
          <w:tcPr>
            <w:tcW w:w="2340"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03"/>
              <w:ind w:right="133"/>
              <w:jc w:val="right"/>
              <w:rPr>
                <w:rFonts w:ascii="Times New Roman" w:hAnsi="Times New Roman" w:cs="Times New Roman" w:eastAsia="Times New Roman" w:hint="default"/>
                <w:sz w:val="18"/>
                <w:szCs w:val="18"/>
              </w:rPr>
            </w:pPr>
            <w:r>
              <w:rPr>
                <w:rFonts w:ascii="Times New Roman"/>
                <w:spacing w:val="-1"/>
                <w:sz w:val="18"/>
              </w:rPr>
              <w:t>653,638,747.35</w:t>
            </w:r>
          </w:p>
        </w:tc>
        <w:tc>
          <w:tcPr>
            <w:tcW w:w="2620"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03"/>
              <w:ind w:right="173"/>
              <w:jc w:val="right"/>
              <w:rPr>
                <w:rFonts w:ascii="Times New Roman" w:hAnsi="Times New Roman" w:cs="Times New Roman" w:eastAsia="Times New Roman" w:hint="default"/>
                <w:sz w:val="18"/>
                <w:szCs w:val="18"/>
              </w:rPr>
            </w:pPr>
            <w:r>
              <w:rPr>
                <w:rFonts w:ascii="Times New Roman"/>
                <w:w w:val="95"/>
                <w:sz w:val="18"/>
              </w:rPr>
              <w:t>-8.29</w:t>
            </w:r>
            <w:r>
              <w:rPr>
                <w:rFonts w:ascii="Times New Roman"/>
                <w:sz w:val="18"/>
              </w:rPr>
            </w:r>
          </w:p>
        </w:tc>
      </w:tr>
      <w:tr>
        <w:trPr>
          <w:trHeight w:val="432" w:hRule="exact"/>
        </w:trPr>
        <w:tc>
          <w:tcPr>
            <w:tcW w:w="25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5"/>
              <w:ind w:left="113" w:right="0"/>
              <w:jc w:val="left"/>
              <w:rPr>
                <w:rFonts w:ascii="宋体" w:hAnsi="宋体" w:cs="宋体" w:eastAsia="宋体" w:hint="default"/>
                <w:sz w:val="18"/>
                <w:szCs w:val="18"/>
              </w:rPr>
            </w:pPr>
            <w:r>
              <w:rPr>
                <w:rFonts w:ascii="宋体" w:hAnsi="宋体" w:cs="宋体" w:eastAsia="宋体" w:hint="default"/>
                <w:sz w:val="18"/>
                <w:szCs w:val="18"/>
              </w:rPr>
              <w:t>色织面料</w:t>
            </w:r>
          </w:p>
        </w:tc>
        <w:tc>
          <w:tcPr>
            <w:tcW w:w="216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left="973" w:right="0"/>
              <w:jc w:val="left"/>
              <w:rPr>
                <w:rFonts w:ascii="Times New Roman" w:hAnsi="Times New Roman" w:cs="Times New Roman" w:eastAsia="Times New Roman" w:hint="default"/>
                <w:sz w:val="18"/>
                <w:szCs w:val="18"/>
              </w:rPr>
            </w:pPr>
            <w:r>
              <w:rPr>
                <w:rFonts w:ascii="Times New Roman"/>
                <w:sz w:val="18"/>
              </w:rPr>
              <w:t>70,602,525.09</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3"/>
              <w:jc w:val="right"/>
              <w:rPr>
                <w:rFonts w:ascii="Times New Roman" w:hAnsi="Times New Roman" w:cs="Times New Roman" w:eastAsia="Times New Roman" w:hint="default"/>
                <w:sz w:val="18"/>
                <w:szCs w:val="18"/>
              </w:rPr>
            </w:pPr>
            <w:r>
              <w:rPr>
                <w:rFonts w:ascii="Times New Roman"/>
                <w:spacing w:val="-1"/>
                <w:sz w:val="18"/>
              </w:rPr>
              <w:t>79,215,379.60</w:t>
            </w:r>
          </w:p>
        </w:tc>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3"/>
              <w:jc w:val="right"/>
              <w:rPr>
                <w:rFonts w:ascii="Times New Roman" w:hAnsi="Times New Roman" w:cs="Times New Roman" w:eastAsia="Times New Roman" w:hint="default"/>
                <w:sz w:val="18"/>
                <w:szCs w:val="18"/>
              </w:rPr>
            </w:pPr>
            <w:r>
              <w:rPr>
                <w:rFonts w:ascii="Times New Roman"/>
                <w:sz w:val="18"/>
              </w:rPr>
              <w:t>-10.87</w:t>
            </w:r>
          </w:p>
        </w:tc>
      </w:tr>
      <w:tr>
        <w:trPr>
          <w:trHeight w:val="432" w:hRule="exact"/>
        </w:trPr>
        <w:tc>
          <w:tcPr>
            <w:tcW w:w="25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4"/>
              <w:ind w:left="1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6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left="974" w:right="0"/>
              <w:jc w:val="left"/>
              <w:rPr>
                <w:rFonts w:ascii="Times New Roman" w:hAnsi="Times New Roman" w:cs="Times New Roman" w:eastAsia="Times New Roman" w:hint="default"/>
                <w:sz w:val="18"/>
                <w:szCs w:val="18"/>
              </w:rPr>
            </w:pPr>
            <w:r>
              <w:rPr>
                <w:rFonts w:ascii="Times New Roman"/>
                <w:sz w:val="18"/>
              </w:rPr>
              <w:t>20,397,111.51</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3"/>
              <w:jc w:val="right"/>
              <w:rPr>
                <w:rFonts w:ascii="Times New Roman" w:hAnsi="Times New Roman" w:cs="Times New Roman" w:eastAsia="Times New Roman" w:hint="default"/>
                <w:sz w:val="18"/>
                <w:szCs w:val="18"/>
              </w:rPr>
            </w:pPr>
            <w:r>
              <w:rPr>
                <w:rFonts w:ascii="Times New Roman"/>
                <w:spacing w:val="-1"/>
                <w:sz w:val="18"/>
              </w:rPr>
              <w:t>20,946,067.26</w:t>
            </w:r>
          </w:p>
        </w:tc>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3"/>
              <w:jc w:val="right"/>
              <w:rPr>
                <w:rFonts w:ascii="Times New Roman" w:hAnsi="Times New Roman" w:cs="Times New Roman" w:eastAsia="Times New Roman" w:hint="default"/>
                <w:sz w:val="18"/>
                <w:szCs w:val="18"/>
              </w:rPr>
            </w:pPr>
            <w:r>
              <w:rPr>
                <w:rFonts w:ascii="Times New Roman"/>
                <w:w w:val="95"/>
                <w:sz w:val="18"/>
              </w:rPr>
              <w:t>-2.62</w:t>
            </w:r>
            <w:r>
              <w:rPr>
                <w:rFonts w:ascii="Times New Roman"/>
                <w:sz w:val="18"/>
              </w:rPr>
            </w:r>
          </w:p>
        </w:tc>
      </w:tr>
      <w:tr>
        <w:trPr>
          <w:trHeight w:val="432" w:hRule="exact"/>
        </w:trPr>
        <w:tc>
          <w:tcPr>
            <w:tcW w:w="25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4"/>
              <w:ind w:right="1015"/>
              <w:jc w:val="right"/>
              <w:rPr>
                <w:rFonts w:ascii="宋体" w:hAnsi="宋体" w:cs="宋体" w:eastAsia="宋体" w:hint="default"/>
                <w:sz w:val="18"/>
                <w:szCs w:val="18"/>
              </w:rPr>
            </w:pPr>
            <w:r>
              <w:rPr>
                <w:rFonts w:ascii="宋体" w:hAnsi="宋体" w:cs="宋体" w:eastAsia="宋体" w:hint="default"/>
                <w:sz w:val="18"/>
                <w:szCs w:val="18"/>
              </w:rPr>
              <w:t>合计</w:t>
            </w:r>
          </w:p>
        </w:tc>
        <w:tc>
          <w:tcPr>
            <w:tcW w:w="216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left="884" w:right="0"/>
              <w:jc w:val="left"/>
              <w:rPr>
                <w:rFonts w:ascii="Times New Roman" w:hAnsi="Times New Roman" w:cs="Times New Roman" w:eastAsia="Times New Roman" w:hint="default"/>
                <w:sz w:val="18"/>
                <w:szCs w:val="18"/>
              </w:rPr>
            </w:pPr>
            <w:r>
              <w:rPr>
                <w:rFonts w:ascii="Times New Roman"/>
                <w:sz w:val="18"/>
              </w:rPr>
              <w:t>690,462,793.26</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3"/>
              <w:jc w:val="right"/>
              <w:rPr>
                <w:rFonts w:ascii="Times New Roman" w:hAnsi="Times New Roman" w:cs="Times New Roman" w:eastAsia="Times New Roman" w:hint="default"/>
                <w:sz w:val="18"/>
                <w:szCs w:val="18"/>
              </w:rPr>
            </w:pPr>
            <w:r>
              <w:rPr>
                <w:rFonts w:ascii="Times New Roman"/>
                <w:spacing w:val="-1"/>
                <w:sz w:val="18"/>
              </w:rPr>
              <w:t>753,800,194.21</w:t>
            </w:r>
          </w:p>
        </w:tc>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3"/>
              <w:jc w:val="right"/>
              <w:rPr>
                <w:rFonts w:ascii="Times New Roman" w:hAnsi="Times New Roman" w:cs="Times New Roman" w:eastAsia="Times New Roman" w:hint="default"/>
                <w:sz w:val="18"/>
                <w:szCs w:val="18"/>
              </w:rPr>
            </w:pPr>
            <w:r>
              <w:rPr>
                <w:rFonts w:ascii="Times New Roman"/>
                <w:w w:val="95"/>
                <w:sz w:val="18"/>
              </w:rPr>
              <w:t>-8.40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6"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1608" w:type="dxa"/>
            <w:vMerge w:val="restart"/>
            <w:tcBorders>
              <w:top w:val="single" w:sz="5"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服装</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5" w:space="0" w:color="000000"/>
              <w:left w:val="single" w:sz="13" w:space="0" w:color="D2D2D2"/>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4,323,915</w:t>
            </w:r>
          </w:p>
        </w:tc>
        <w:tc>
          <w:tcPr>
            <w:tcW w:w="159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5,419,816</w:t>
            </w:r>
          </w:p>
        </w:tc>
        <w:tc>
          <w:tcPr>
            <w:tcW w:w="159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-20.22%</w:t>
            </w:r>
          </w:p>
        </w:tc>
      </w:tr>
      <w:tr>
        <w:trPr>
          <w:trHeight w:val="407"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4,261,098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5,479,819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-22.24%</w:t>
            </w:r>
          </w:p>
        </w:tc>
      </w:tr>
      <w:tr>
        <w:trPr>
          <w:trHeight w:val="407"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5" w:space="0" w:color="000000"/>
              <w:right w:val="single" w:sz="4" w:space="0" w:color="000000"/>
            </w:tcBorders>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73,010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135,827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-46.25%</w:t>
            </w:r>
          </w:p>
        </w:tc>
      </w:tr>
      <w:tr>
        <w:trPr>
          <w:trHeight w:val="406"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市场占有率</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-0.01%</w:t>
            </w:r>
          </w:p>
        </w:tc>
      </w:tr>
    </w:tbl>
    <w:p>
      <w:pPr>
        <w:spacing w:before="53"/>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81" w:lineRule="auto" w:before="103"/>
        <w:ind w:left="153" w:right="4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年度服装销售量小于生产量，</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年度服装销售量大于生产量所致。 </w:t>
      </w:r>
      <w:r>
        <w:rPr>
          <w:rFonts w:ascii="宋体" w:hAnsi="宋体" w:cs="宋体" w:eastAsia="宋体" w:hint="default"/>
          <w:sz w:val="18"/>
          <w:szCs w:val="18"/>
        </w:rPr>
        <w:t>公司重大的在手订单情况</w:t>
      </w:r>
    </w:p>
    <w:p>
      <w:pPr>
        <w:spacing w:line="340" w:lineRule="auto" w:before="1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line="338" w:lineRule="auto" w:before="40"/>
        <w:ind w:left="153" w:right="8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7"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547,677,664.81</w:t>
            </w:r>
          </w:p>
        </w:tc>
      </w:tr>
      <w:tr>
        <w:trPr>
          <w:trHeight w:val="407"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78.70%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888"/>
        <w:gridCol w:w="2268"/>
        <w:gridCol w:w="2622"/>
      </w:tblGrid>
      <w:tr>
        <w:trPr>
          <w:trHeight w:val="405"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9" w:right="0"/>
              <w:jc w:val="center"/>
              <w:rPr>
                <w:rFonts w:ascii="Times New Roman" w:hAnsi="Times New Roman" w:cs="Times New Roman" w:eastAsia="Times New Roman" w:hint="default"/>
                <w:sz w:val="18"/>
                <w:szCs w:val="18"/>
              </w:rPr>
            </w:pPr>
            <w:r>
              <w:rPr>
                <w:rFonts w:ascii="Times New Roman"/>
                <w:sz w:val="18"/>
              </w:rPr>
              <w:t>1</w:t>
            </w:r>
          </w:p>
        </w:tc>
        <w:tc>
          <w:tcPr>
            <w:tcW w:w="3888" w:type="dxa"/>
            <w:tcBorders>
              <w:top w:val="single" w:sz="5"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MARUBENI CORPORATION</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丸红</w:t>
            </w:r>
          </w:p>
        </w:tc>
        <w:tc>
          <w:tcPr>
            <w:tcW w:w="226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292,081,166.51</w:t>
            </w:r>
          </w:p>
        </w:tc>
        <w:tc>
          <w:tcPr>
            <w:tcW w:w="262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41.97%</w:t>
            </w:r>
          </w:p>
        </w:tc>
      </w:tr>
      <w:tr>
        <w:trPr>
          <w:trHeight w:val="407"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2</w:t>
            </w:r>
          </w:p>
        </w:tc>
        <w:tc>
          <w:tcPr>
            <w:tcW w:w="3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UNQLO</w:t>
            </w:r>
            <w:r>
              <w:rPr>
                <w:rFonts w:ascii="Times New Roman"/>
                <w:spacing w:val="1"/>
                <w:sz w:val="18"/>
              </w:rPr>
              <w:t> </w:t>
            </w:r>
            <w:r>
              <w:rPr>
                <w:rFonts w:ascii="Times New Roman"/>
                <w:spacing w:val="-3"/>
                <w:sz w:val="18"/>
              </w:rPr>
              <w:t>CO.,LTD</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139,118,831.27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19.99%</w:t>
            </w:r>
          </w:p>
        </w:tc>
      </w:tr>
      <w:tr>
        <w:trPr>
          <w:trHeight w:val="407"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3</w:t>
            </w:r>
          </w:p>
        </w:tc>
        <w:tc>
          <w:tcPr>
            <w:tcW w:w="3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丸红（上海）有限公司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79,386,276.27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11.41%</w:t>
            </w:r>
          </w:p>
        </w:tc>
      </w:tr>
      <w:tr>
        <w:trPr>
          <w:trHeight w:val="407"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9" w:right="0"/>
              <w:jc w:val="center"/>
              <w:rPr>
                <w:rFonts w:ascii="Times New Roman" w:hAnsi="Times New Roman" w:cs="Times New Roman" w:eastAsia="Times New Roman" w:hint="default"/>
                <w:sz w:val="18"/>
                <w:szCs w:val="18"/>
              </w:rPr>
            </w:pPr>
            <w:r>
              <w:rPr>
                <w:rFonts w:ascii="Times New Roman"/>
                <w:sz w:val="18"/>
              </w:rPr>
              <w:t>4</w:t>
            </w:r>
          </w:p>
        </w:tc>
        <w:tc>
          <w:tcPr>
            <w:tcW w:w="3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NIPPON STEEL &amp;SUMIKIN BUSSAN</w:t>
            </w:r>
            <w:r>
              <w:rPr>
                <w:rFonts w:ascii="Times New Roman"/>
                <w:spacing w:val="-12"/>
                <w:sz w:val="18"/>
              </w:rPr>
              <w:t> </w:t>
            </w:r>
            <w:r>
              <w:rPr>
                <w:rFonts w:ascii="Times New Roman"/>
                <w:sz w:val="18"/>
              </w:rPr>
              <w:t>CORPO</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19,374,531.64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2.78%</w:t>
            </w:r>
          </w:p>
        </w:tc>
      </w:tr>
      <w:tr>
        <w:trPr>
          <w:trHeight w:val="409"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9" w:right="0"/>
              <w:jc w:val="center"/>
              <w:rPr>
                <w:rFonts w:ascii="Times New Roman" w:hAnsi="Times New Roman" w:cs="Times New Roman" w:eastAsia="Times New Roman" w:hint="default"/>
                <w:sz w:val="18"/>
                <w:szCs w:val="18"/>
              </w:rPr>
            </w:pPr>
            <w:r>
              <w:rPr>
                <w:rFonts w:ascii="Times New Roman"/>
                <w:sz w:val="18"/>
              </w:rPr>
              <w:t>5</w:t>
            </w:r>
          </w:p>
        </w:tc>
        <w:tc>
          <w:tcPr>
            <w:tcW w:w="3888" w:type="dxa"/>
            <w:tcBorders>
              <w:top w:val="single" w:sz="4" w:space="0" w:color="000000"/>
              <w:left w:val="single" w:sz="13" w:space="0" w:color="D2D2D2"/>
              <w:bottom w:val="single" w:sz="5"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南通三荣实业有限公司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17,716,859.12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2.55%</w:t>
            </w:r>
          </w:p>
        </w:tc>
      </w:tr>
      <w:tr>
        <w:trPr>
          <w:trHeight w:val="405"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547,677,664.81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78.70%</w:t>
            </w:r>
          </w:p>
        </w:tc>
      </w:tr>
    </w:tbl>
    <w:p>
      <w:pPr>
        <w:spacing w:line="240" w:lineRule="auto" w:before="4"/>
        <w:rPr>
          <w:rFonts w:ascii="宋体" w:hAnsi="宋体" w:cs="宋体" w:eastAsia="宋体" w:hint="default"/>
          <w:sz w:val="19"/>
          <w:szCs w:val="19"/>
        </w:rPr>
      </w:pPr>
    </w:p>
    <w:p>
      <w:pPr>
        <w:pStyle w:val="Heading5"/>
        <w:spacing w:line="240" w:lineRule="auto" w:before="35"/>
        <w:ind w:right="0"/>
        <w:jc w:val="left"/>
        <w:rPr>
          <w:b w:val="0"/>
          <w:bCs w:val="0"/>
        </w:rPr>
      </w:pPr>
      <w:bookmarkStart w:name="3、成本" w:id="24"/>
      <w:bookmarkEnd w:id="24"/>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6"/>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542,578,628.59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608,436,944.38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11,848,171.71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14,853,262.53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554,426,800.30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623,290,206.91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6"/>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478,448,070.84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536,527,082.16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色织面料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64,130,557.75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71,909,862.22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11,848,171.71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14,853,262.53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554,426,800.30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623,290,206.91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994"/>
        <w:gridCol w:w="991"/>
        <w:gridCol w:w="1417"/>
        <w:gridCol w:w="1844"/>
        <w:gridCol w:w="1418"/>
        <w:gridCol w:w="1842"/>
        <w:gridCol w:w="992"/>
      </w:tblGrid>
      <w:tr>
        <w:trPr>
          <w:trHeight w:val="426" w:hRule="exact"/>
        </w:trPr>
        <w:tc>
          <w:tcPr>
            <w:tcW w:w="9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326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326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9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994"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29"/>
              <w:jc w:val="right"/>
              <w:rPr>
                <w:rFonts w:ascii="宋体" w:hAnsi="宋体" w:cs="宋体" w:eastAsia="宋体" w:hint="default"/>
                <w:sz w:val="18"/>
                <w:szCs w:val="18"/>
              </w:rPr>
            </w:pPr>
            <w:r>
              <w:rPr>
                <w:rFonts w:ascii="宋体" w:hAnsi="宋体" w:cs="宋体" w:eastAsia="宋体" w:hint="default"/>
                <w:sz w:val="18"/>
                <w:szCs w:val="18"/>
              </w:rPr>
              <w:t>占营业成本比重（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29"/>
              <w:jc w:val="right"/>
              <w:rPr>
                <w:rFonts w:ascii="宋体" w:hAnsi="宋体" w:cs="宋体" w:eastAsia="宋体" w:hint="default"/>
                <w:sz w:val="18"/>
                <w:szCs w:val="18"/>
              </w:rPr>
            </w:pPr>
            <w:r>
              <w:rPr>
                <w:rFonts w:ascii="宋体" w:hAnsi="宋体" w:cs="宋体" w:eastAsia="宋体" w:hint="default"/>
                <w:sz w:val="18"/>
                <w:szCs w:val="18"/>
              </w:rPr>
              <w:t>占营业成本比重（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vMerge/>
            <w:tcBorders>
              <w:left w:val="single" w:sz="6" w:space="0" w:color="000000"/>
              <w:bottom w:val="single" w:sz="6" w:space="0" w:color="000000"/>
              <w:right w:val="single" w:sz="6" w:space="0" w:color="000000"/>
            </w:tcBorders>
            <w:shd w:val="clear" w:color="auto" w:fill="D2D2D2"/>
          </w:tcPr>
          <w:p>
            <w:pPr/>
          </w:p>
        </w:tc>
      </w:tr>
      <w:tr>
        <w:trPr>
          <w:trHeight w:val="427"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292,779,979.42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4"/>
              <w:jc w:val="right"/>
              <w:rPr>
                <w:rFonts w:ascii="Times New Roman" w:hAnsi="Times New Roman" w:cs="Times New Roman" w:eastAsia="Times New Roman" w:hint="default"/>
                <w:sz w:val="18"/>
                <w:szCs w:val="18"/>
              </w:rPr>
            </w:pPr>
            <w:r>
              <w:rPr>
                <w:rFonts w:ascii="Times New Roman"/>
                <w:sz w:val="18"/>
              </w:rPr>
              <w:t>52.81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314,749,727.17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4"/>
              <w:jc w:val="right"/>
              <w:rPr>
                <w:rFonts w:ascii="Times New Roman" w:hAnsi="Times New Roman" w:cs="Times New Roman" w:eastAsia="Times New Roman" w:hint="default"/>
                <w:sz w:val="18"/>
                <w:szCs w:val="18"/>
              </w:rPr>
            </w:pPr>
            <w:r>
              <w:rPr>
                <w:rFonts w:ascii="Times New Roman"/>
                <w:sz w:val="18"/>
              </w:rPr>
              <w:t>50.50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-6.98</w:t>
            </w:r>
          </w:p>
        </w:tc>
      </w:tr>
      <w:tr>
        <w:trPr>
          <w:trHeight w:val="427" w:hRule="exact"/>
        </w:trPr>
        <w:tc>
          <w:tcPr>
            <w:tcW w:w="99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63,775,655.90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4"/>
              <w:jc w:val="right"/>
              <w:rPr>
                <w:rFonts w:ascii="Times New Roman" w:hAnsi="Times New Roman" w:cs="Times New Roman" w:eastAsia="Times New Roman" w:hint="default"/>
                <w:sz w:val="18"/>
                <w:szCs w:val="18"/>
              </w:rPr>
            </w:pPr>
            <w:r>
              <w:rPr>
                <w:rFonts w:ascii="Times New Roman"/>
                <w:sz w:val="18"/>
              </w:rPr>
              <w:t>11.50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70.475.560.28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4"/>
              <w:jc w:val="right"/>
              <w:rPr>
                <w:rFonts w:ascii="Times New Roman" w:hAnsi="Times New Roman" w:cs="Times New Roman" w:eastAsia="Times New Roman" w:hint="default"/>
                <w:sz w:val="18"/>
                <w:szCs w:val="18"/>
              </w:rPr>
            </w:pPr>
            <w:r>
              <w:rPr>
                <w:rFonts w:ascii="Times New Roman"/>
                <w:sz w:val="18"/>
              </w:rPr>
              <w:t>11.31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-9.51</w:t>
            </w:r>
          </w:p>
        </w:tc>
      </w:tr>
      <w:tr>
        <w:trPr>
          <w:trHeight w:val="427" w:hRule="exact"/>
        </w:trPr>
        <w:tc>
          <w:tcPr>
            <w:tcW w:w="99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16,238,839.90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4"/>
              <w:jc w:val="right"/>
              <w:rPr>
                <w:rFonts w:ascii="Times New Roman" w:hAnsi="Times New Roman" w:cs="Times New Roman" w:eastAsia="Times New Roman" w:hint="default"/>
                <w:sz w:val="18"/>
                <w:szCs w:val="18"/>
              </w:rPr>
            </w:pPr>
            <w:r>
              <w:rPr>
                <w:rFonts w:ascii="Times New Roman"/>
                <w:sz w:val="18"/>
              </w:rPr>
              <w:t>2.93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21.129.499.85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4"/>
              <w:jc w:val="right"/>
              <w:rPr>
                <w:rFonts w:ascii="Times New Roman" w:hAnsi="Times New Roman" w:cs="Times New Roman" w:eastAsia="Times New Roman" w:hint="default"/>
                <w:sz w:val="18"/>
                <w:szCs w:val="18"/>
              </w:rPr>
            </w:pPr>
            <w:r>
              <w:rPr>
                <w:rFonts w:ascii="Times New Roman"/>
                <w:sz w:val="18"/>
              </w:rPr>
              <w:t>3.39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-23.15</w:t>
            </w:r>
          </w:p>
        </w:tc>
      </w:tr>
      <w:tr>
        <w:trPr>
          <w:trHeight w:val="427" w:hRule="exact"/>
        </w:trPr>
        <w:tc>
          <w:tcPr>
            <w:tcW w:w="994"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外加工费</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105,653,595.62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4"/>
              <w:jc w:val="right"/>
              <w:rPr>
                <w:rFonts w:ascii="Times New Roman" w:hAnsi="Times New Roman" w:cs="Times New Roman" w:eastAsia="Times New Roman" w:hint="default"/>
                <w:sz w:val="18"/>
                <w:szCs w:val="18"/>
              </w:rPr>
            </w:pPr>
            <w:r>
              <w:rPr>
                <w:rFonts w:ascii="Times New Roman"/>
                <w:sz w:val="18"/>
              </w:rPr>
              <w:t>19.06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130.172.294.86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4"/>
              <w:jc w:val="right"/>
              <w:rPr>
                <w:rFonts w:ascii="Times New Roman" w:hAnsi="Times New Roman" w:cs="Times New Roman" w:eastAsia="Times New Roman" w:hint="default"/>
                <w:sz w:val="18"/>
                <w:szCs w:val="18"/>
              </w:rPr>
            </w:pPr>
            <w:r>
              <w:rPr>
                <w:rFonts w:ascii="Times New Roman"/>
                <w:sz w:val="18"/>
              </w:rPr>
              <w:t>20.88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-18.84</w:t>
            </w:r>
          </w:p>
        </w:tc>
      </w:tr>
      <w:tr>
        <w:trPr>
          <w:trHeight w:val="426"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色织面料</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46,420,456.38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8.37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38.469.139.67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4"/>
              <w:jc w:val="right"/>
              <w:rPr>
                <w:rFonts w:ascii="Times New Roman" w:hAnsi="Times New Roman" w:cs="Times New Roman" w:eastAsia="Times New Roman" w:hint="default"/>
                <w:sz w:val="18"/>
                <w:szCs w:val="18"/>
              </w:rPr>
            </w:pPr>
            <w:r>
              <w:rPr>
                <w:rFonts w:ascii="Times New Roman"/>
                <w:sz w:val="18"/>
              </w:rPr>
              <w:t>6.17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20.67</w:t>
            </w:r>
          </w:p>
        </w:tc>
      </w:tr>
      <w:tr>
        <w:trPr>
          <w:trHeight w:val="427" w:hRule="exact"/>
        </w:trPr>
        <w:tc>
          <w:tcPr>
            <w:tcW w:w="99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4,362,019.54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0.79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4.650.145.93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4"/>
              <w:jc w:val="right"/>
              <w:rPr>
                <w:rFonts w:ascii="Times New Roman" w:hAnsi="Times New Roman" w:cs="Times New Roman" w:eastAsia="Times New Roman" w:hint="default"/>
                <w:sz w:val="18"/>
                <w:szCs w:val="18"/>
              </w:rPr>
            </w:pPr>
            <w:r>
              <w:rPr>
                <w:rFonts w:ascii="Times New Roman"/>
                <w:sz w:val="18"/>
              </w:rPr>
              <w:t>0.75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-6.20</w:t>
            </w:r>
          </w:p>
        </w:tc>
      </w:tr>
      <w:tr>
        <w:trPr>
          <w:trHeight w:val="428" w:hRule="exact"/>
        </w:trPr>
        <w:tc>
          <w:tcPr>
            <w:tcW w:w="99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6,390,251.01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1.15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12.264.123.40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4"/>
              <w:jc w:val="right"/>
              <w:rPr>
                <w:rFonts w:ascii="Times New Roman" w:hAnsi="Times New Roman" w:cs="Times New Roman" w:eastAsia="Times New Roman" w:hint="default"/>
                <w:sz w:val="18"/>
                <w:szCs w:val="18"/>
              </w:rPr>
            </w:pPr>
            <w:r>
              <w:rPr>
                <w:rFonts w:ascii="Times New Roman"/>
                <w:sz w:val="18"/>
              </w:rPr>
              <w:t>1.97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-47.89</w:t>
            </w:r>
          </w:p>
        </w:tc>
      </w:tr>
      <w:tr>
        <w:trPr>
          <w:trHeight w:val="427" w:hRule="exact"/>
        </w:trPr>
        <w:tc>
          <w:tcPr>
            <w:tcW w:w="994"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外加工费</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6,957,830.82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16.526.453.22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4"/>
              <w:jc w:val="right"/>
              <w:rPr>
                <w:rFonts w:ascii="Times New Roman" w:hAnsi="Times New Roman" w:cs="Times New Roman" w:eastAsia="Times New Roman" w:hint="default"/>
                <w:sz w:val="18"/>
                <w:szCs w:val="18"/>
              </w:rPr>
            </w:pPr>
            <w:r>
              <w:rPr>
                <w:rFonts w:ascii="Times New Roman"/>
                <w:sz w:val="18"/>
              </w:rPr>
              <w:t>2.65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-57.90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140,618,881.50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828"/>
        <w:gridCol w:w="3264"/>
        <w:gridCol w:w="2322"/>
        <w:gridCol w:w="3143"/>
      </w:tblGrid>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3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MARUBENI CORPORATION</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丸红</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65,727,527.35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14.54%</w:t>
            </w: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浙江万翔寝具制品有限公司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23,688,395.30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5.24%</w:t>
            </w: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南通剑烽服装有限公司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19,070,250.00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w:t>
            </w: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c>
          <w:tcPr>
            <w:tcW w:w="3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东丽酒伊织染（南通）有限公司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16,418,925.61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w:t>
            </w: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济宁锦霞服饰有限公司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15,713,783.25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w:t>
            </w:r>
          </w:p>
        </w:tc>
      </w:tr>
      <w:tr>
        <w:trPr>
          <w:trHeight w:val="40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140,618,881.50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31.10%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费用" w:id="25"/>
      <w:bookmarkEnd w:id="25"/>
      <w:r>
        <w:rPr>
          <w:b w:val="0"/>
          <w:bCs w:val="0"/>
        </w:rPr>
      </w:r>
      <w:r>
        <w:rPr>
          <w:rFonts w:ascii="Times New Roman" w:hAnsi="Times New Roman" w:cs="Times New Roman" w:eastAsia="Times New Roman" w:hint="default"/>
        </w:rPr>
        <w:t>4</w:t>
      </w:r>
      <w:r>
        <w:rPr/>
        <w:t>、费用</w:t>
      </w:r>
      <w:r>
        <w:rPr>
          <w:b w:val="0"/>
          <w:bCs w:val="0"/>
        </w:rPr>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spacing w:before="44"/>
        <w:ind w:left="0" w:right="140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1800"/>
        <w:gridCol w:w="1800"/>
        <w:gridCol w:w="1800"/>
        <w:gridCol w:w="1980"/>
        <w:gridCol w:w="2118"/>
      </w:tblGrid>
      <w:tr>
        <w:trPr>
          <w:trHeight w:val="409" w:hRule="exact"/>
        </w:trPr>
        <w:tc>
          <w:tcPr>
            <w:tcW w:w="1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1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19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同比增减情况（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427"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5"/>
              <w:jc w:val="right"/>
              <w:rPr>
                <w:rFonts w:ascii="Times New Roman" w:hAnsi="Times New Roman" w:cs="Times New Roman" w:eastAsia="Times New Roman" w:hint="default"/>
                <w:sz w:val="18"/>
                <w:szCs w:val="18"/>
              </w:rPr>
            </w:pPr>
            <w:r>
              <w:rPr>
                <w:rFonts w:ascii="Times New Roman"/>
                <w:spacing w:val="-1"/>
                <w:sz w:val="18"/>
              </w:rPr>
              <w:t>5,794,018.94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5"/>
              <w:jc w:val="right"/>
              <w:rPr>
                <w:rFonts w:ascii="Times New Roman" w:hAnsi="Times New Roman" w:cs="Times New Roman" w:eastAsia="Times New Roman" w:hint="default"/>
                <w:sz w:val="18"/>
                <w:szCs w:val="18"/>
              </w:rPr>
            </w:pPr>
            <w:r>
              <w:rPr>
                <w:rFonts w:ascii="Times New Roman"/>
                <w:spacing w:val="-1"/>
                <w:sz w:val="18"/>
              </w:rPr>
              <w:t>4,530,749.54</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9"/>
              <w:jc w:val="right"/>
              <w:rPr>
                <w:rFonts w:ascii="Times New Roman" w:hAnsi="Times New Roman" w:cs="Times New Roman" w:eastAsia="Times New Roman" w:hint="default"/>
                <w:sz w:val="18"/>
                <w:szCs w:val="18"/>
              </w:rPr>
            </w:pPr>
            <w:r>
              <w:rPr>
                <w:rFonts w:ascii="Times New Roman"/>
                <w:sz w:val="18"/>
              </w:rPr>
              <w:t>27.88%</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5"/>
              <w:jc w:val="right"/>
              <w:rPr>
                <w:rFonts w:ascii="Times New Roman" w:hAnsi="Times New Roman" w:cs="Times New Roman" w:eastAsia="Times New Roman" w:hint="default"/>
                <w:sz w:val="18"/>
                <w:szCs w:val="18"/>
              </w:rPr>
            </w:pPr>
            <w:r>
              <w:rPr>
                <w:rFonts w:ascii="Times New Roman"/>
                <w:spacing w:val="-1"/>
                <w:sz w:val="18"/>
              </w:rPr>
              <w:t>5,160,140.84</w:t>
            </w:r>
          </w:p>
        </w:tc>
      </w:tr>
      <w:tr>
        <w:trPr>
          <w:trHeight w:val="42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6"/>
              <w:jc w:val="right"/>
              <w:rPr>
                <w:rFonts w:ascii="Times New Roman" w:hAnsi="Times New Roman" w:cs="Times New Roman" w:eastAsia="Times New Roman" w:hint="default"/>
                <w:sz w:val="18"/>
                <w:szCs w:val="18"/>
              </w:rPr>
            </w:pPr>
            <w:r>
              <w:rPr>
                <w:rFonts w:ascii="Times New Roman"/>
                <w:spacing w:val="-1"/>
                <w:sz w:val="18"/>
              </w:rPr>
              <w:t>10,790,437.96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5"/>
              <w:jc w:val="right"/>
              <w:rPr>
                <w:rFonts w:ascii="Times New Roman" w:hAnsi="Times New Roman" w:cs="Times New Roman" w:eastAsia="Times New Roman" w:hint="default"/>
                <w:sz w:val="18"/>
                <w:szCs w:val="18"/>
              </w:rPr>
            </w:pPr>
            <w:r>
              <w:rPr>
                <w:rFonts w:ascii="Times New Roman"/>
                <w:spacing w:val="-1"/>
                <w:sz w:val="18"/>
              </w:rPr>
              <w:t>10,842,038.74</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9"/>
              <w:jc w:val="right"/>
              <w:rPr>
                <w:rFonts w:ascii="Times New Roman" w:hAnsi="Times New Roman" w:cs="Times New Roman" w:eastAsia="Times New Roman" w:hint="default"/>
                <w:sz w:val="18"/>
                <w:szCs w:val="18"/>
              </w:rPr>
            </w:pPr>
            <w:r>
              <w:rPr>
                <w:rFonts w:ascii="Times New Roman"/>
                <w:sz w:val="18"/>
              </w:rPr>
              <w:t>-0.48%</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5"/>
              <w:jc w:val="right"/>
              <w:rPr>
                <w:rFonts w:ascii="Times New Roman" w:hAnsi="Times New Roman" w:cs="Times New Roman" w:eastAsia="Times New Roman" w:hint="default"/>
                <w:sz w:val="18"/>
                <w:szCs w:val="18"/>
              </w:rPr>
            </w:pPr>
            <w:r>
              <w:rPr>
                <w:rFonts w:ascii="Times New Roman"/>
                <w:spacing w:val="-1"/>
                <w:sz w:val="18"/>
              </w:rPr>
              <w:t>10,121,159.45</w:t>
            </w:r>
          </w:p>
        </w:tc>
      </w:tr>
      <w:tr>
        <w:trPr>
          <w:trHeight w:val="427"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5"/>
              <w:jc w:val="right"/>
              <w:rPr>
                <w:rFonts w:ascii="Times New Roman" w:hAnsi="Times New Roman" w:cs="Times New Roman" w:eastAsia="Times New Roman" w:hint="default"/>
                <w:sz w:val="18"/>
                <w:szCs w:val="18"/>
              </w:rPr>
            </w:pPr>
            <w:r>
              <w:rPr>
                <w:rFonts w:ascii="Times New Roman"/>
                <w:spacing w:val="-1"/>
                <w:sz w:val="18"/>
              </w:rPr>
              <w:t>50,180,749.78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5"/>
              <w:jc w:val="right"/>
              <w:rPr>
                <w:rFonts w:ascii="Times New Roman" w:hAnsi="Times New Roman" w:cs="Times New Roman" w:eastAsia="Times New Roman" w:hint="default"/>
                <w:sz w:val="18"/>
                <w:szCs w:val="18"/>
              </w:rPr>
            </w:pPr>
            <w:r>
              <w:rPr>
                <w:rFonts w:ascii="Times New Roman"/>
                <w:spacing w:val="-1"/>
                <w:sz w:val="18"/>
              </w:rPr>
              <w:t>44,008,332.51</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9"/>
              <w:jc w:val="right"/>
              <w:rPr>
                <w:rFonts w:ascii="Times New Roman" w:hAnsi="Times New Roman" w:cs="Times New Roman" w:eastAsia="Times New Roman" w:hint="default"/>
                <w:sz w:val="18"/>
                <w:szCs w:val="18"/>
              </w:rPr>
            </w:pPr>
            <w:r>
              <w:rPr>
                <w:rFonts w:ascii="Times New Roman"/>
                <w:sz w:val="18"/>
              </w:rPr>
              <w:t>14.03%</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5"/>
              <w:jc w:val="right"/>
              <w:rPr>
                <w:rFonts w:ascii="Times New Roman" w:hAnsi="Times New Roman" w:cs="Times New Roman" w:eastAsia="Times New Roman" w:hint="default"/>
                <w:sz w:val="18"/>
                <w:szCs w:val="18"/>
              </w:rPr>
            </w:pPr>
            <w:r>
              <w:rPr>
                <w:rFonts w:ascii="Times New Roman"/>
                <w:spacing w:val="-1"/>
                <w:sz w:val="18"/>
              </w:rPr>
              <w:t>38,157,845.32</w:t>
            </w:r>
          </w:p>
        </w:tc>
      </w:tr>
      <w:tr>
        <w:trPr>
          <w:trHeight w:val="42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5"/>
              <w:jc w:val="right"/>
              <w:rPr>
                <w:rFonts w:ascii="Times New Roman" w:hAnsi="Times New Roman" w:cs="Times New Roman" w:eastAsia="Times New Roman" w:hint="default"/>
                <w:sz w:val="18"/>
                <w:szCs w:val="18"/>
              </w:rPr>
            </w:pPr>
            <w:r>
              <w:rPr>
                <w:rFonts w:ascii="Times New Roman"/>
                <w:spacing w:val="-1"/>
                <w:sz w:val="18"/>
              </w:rPr>
              <w:t>8,098,209.26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5"/>
              <w:jc w:val="right"/>
              <w:rPr>
                <w:rFonts w:ascii="Times New Roman" w:hAnsi="Times New Roman" w:cs="Times New Roman" w:eastAsia="Times New Roman" w:hint="default"/>
                <w:sz w:val="18"/>
                <w:szCs w:val="18"/>
              </w:rPr>
            </w:pPr>
            <w:r>
              <w:rPr>
                <w:rFonts w:ascii="Times New Roman"/>
                <w:spacing w:val="-1"/>
                <w:sz w:val="18"/>
              </w:rPr>
              <w:t>11,548,955.90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9"/>
              <w:jc w:val="right"/>
              <w:rPr>
                <w:rFonts w:ascii="Times New Roman" w:hAnsi="Times New Roman" w:cs="Times New Roman" w:eastAsia="Times New Roman" w:hint="default"/>
                <w:sz w:val="18"/>
                <w:szCs w:val="18"/>
              </w:rPr>
            </w:pPr>
            <w:r>
              <w:rPr>
                <w:rFonts w:ascii="Times New Roman"/>
                <w:sz w:val="18"/>
              </w:rPr>
              <w:t>-29.88%</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4"/>
              <w:jc w:val="right"/>
              <w:rPr>
                <w:rFonts w:ascii="Times New Roman" w:hAnsi="Times New Roman" w:cs="Times New Roman" w:eastAsia="Times New Roman" w:hint="default"/>
                <w:sz w:val="18"/>
                <w:szCs w:val="18"/>
              </w:rPr>
            </w:pPr>
            <w:r>
              <w:rPr>
                <w:rFonts w:ascii="Times New Roman"/>
                <w:sz w:val="18"/>
              </w:rPr>
              <w:t>918,550.34</w:t>
            </w:r>
          </w:p>
        </w:tc>
      </w:tr>
      <w:tr>
        <w:trPr>
          <w:trHeight w:val="42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5"/>
              <w:jc w:val="right"/>
              <w:rPr>
                <w:rFonts w:ascii="Times New Roman" w:hAnsi="Times New Roman" w:cs="Times New Roman" w:eastAsia="Times New Roman" w:hint="default"/>
                <w:sz w:val="18"/>
                <w:szCs w:val="18"/>
              </w:rPr>
            </w:pPr>
            <w:r>
              <w:rPr>
                <w:rFonts w:ascii="Times New Roman"/>
                <w:spacing w:val="-1"/>
                <w:sz w:val="18"/>
              </w:rPr>
              <w:t>22,629,534.36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5"/>
              <w:jc w:val="right"/>
              <w:rPr>
                <w:rFonts w:ascii="Times New Roman" w:hAnsi="Times New Roman" w:cs="Times New Roman" w:eastAsia="Times New Roman" w:hint="default"/>
                <w:sz w:val="18"/>
                <w:szCs w:val="18"/>
              </w:rPr>
            </w:pPr>
            <w:r>
              <w:rPr>
                <w:rFonts w:ascii="Times New Roman"/>
                <w:spacing w:val="-1"/>
                <w:sz w:val="18"/>
              </w:rPr>
              <w:t>25,914,665.49</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9"/>
              <w:jc w:val="right"/>
              <w:rPr>
                <w:rFonts w:ascii="Times New Roman" w:hAnsi="Times New Roman" w:cs="Times New Roman" w:eastAsia="Times New Roman" w:hint="default"/>
                <w:sz w:val="18"/>
                <w:szCs w:val="18"/>
              </w:rPr>
            </w:pPr>
            <w:r>
              <w:rPr>
                <w:rFonts w:ascii="Times New Roman"/>
                <w:sz w:val="18"/>
              </w:rPr>
              <w:t>-12.68%</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5"/>
              <w:jc w:val="right"/>
              <w:rPr>
                <w:rFonts w:ascii="Times New Roman" w:hAnsi="Times New Roman" w:cs="Times New Roman" w:eastAsia="Times New Roman" w:hint="default"/>
                <w:sz w:val="18"/>
                <w:szCs w:val="18"/>
              </w:rPr>
            </w:pPr>
            <w:r>
              <w:rPr>
                <w:rFonts w:ascii="Times New Roman"/>
                <w:spacing w:val="-1"/>
                <w:sz w:val="18"/>
              </w:rPr>
              <w:t>23,202,577.04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研发支出" w:id="26"/>
      <w:bookmarkEnd w:id="26"/>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61"/>
        <w:gridCol w:w="2140"/>
        <w:gridCol w:w="2020"/>
        <w:gridCol w:w="2378"/>
      </w:tblGrid>
      <w:tr>
        <w:trPr>
          <w:trHeight w:val="431" w:hRule="exact"/>
        </w:trPr>
        <w:tc>
          <w:tcPr>
            <w:tcW w:w="29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21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7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0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23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432" w:hRule="exact"/>
        </w:trPr>
        <w:tc>
          <w:tcPr>
            <w:tcW w:w="29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研发费用投入金额（万元）</w:t>
            </w:r>
          </w:p>
        </w:tc>
        <w:tc>
          <w:tcPr>
            <w:tcW w:w="214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27"/>
              <w:jc w:val="right"/>
              <w:rPr>
                <w:rFonts w:ascii="Times New Roman" w:hAnsi="Times New Roman" w:cs="Times New Roman" w:eastAsia="Times New Roman" w:hint="default"/>
                <w:sz w:val="18"/>
                <w:szCs w:val="18"/>
              </w:rPr>
            </w:pPr>
            <w:r>
              <w:rPr>
                <w:rFonts w:ascii="Times New Roman"/>
                <w:sz w:val="18"/>
              </w:rPr>
              <w:t>0.00</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28"/>
              <w:jc w:val="right"/>
              <w:rPr>
                <w:rFonts w:ascii="Times New Roman" w:hAnsi="Times New Roman" w:cs="Times New Roman" w:eastAsia="Times New Roman" w:hint="default"/>
                <w:sz w:val="18"/>
                <w:szCs w:val="18"/>
              </w:rPr>
            </w:pPr>
            <w:r>
              <w:rPr>
                <w:rFonts w:ascii="Times New Roman"/>
                <w:sz w:val="18"/>
              </w:rPr>
              <w:t>0.00</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0.00</w:t>
            </w:r>
          </w:p>
        </w:tc>
      </w:tr>
      <w:tr>
        <w:trPr>
          <w:trHeight w:val="432" w:hRule="exact"/>
        </w:trPr>
        <w:tc>
          <w:tcPr>
            <w:tcW w:w="29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营业收入（万元）</w:t>
            </w:r>
          </w:p>
        </w:tc>
        <w:tc>
          <w:tcPr>
            <w:tcW w:w="214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28"/>
              <w:jc w:val="right"/>
              <w:rPr>
                <w:rFonts w:ascii="Times New Roman" w:hAnsi="Times New Roman" w:cs="Times New Roman" w:eastAsia="Times New Roman" w:hint="default"/>
                <w:sz w:val="18"/>
                <w:szCs w:val="18"/>
              </w:rPr>
            </w:pPr>
            <w:r>
              <w:rPr>
                <w:rFonts w:ascii="Times New Roman"/>
                <w:sz w:val="18"/>
              </w:rPr>
              <w:t>69,600.85</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28"/>
              <w:jc w:val="right"/>
              <w:rPr>
                <w:rFonts w:ascii="Times New Roman" w:hAnsi="Times New Roman" w:cs="Times New Roman" w:eastAsia="Times New Roman" w:hint="default"/>
                <w:sz w:val="18"/>
                <w:szCs w:val="18"/>
              </w:rPr>
            </w:pPr>
            <w:r>
              <w:rPr>
                <w:rFonts w:ascii="Times New Roman"/>
                <w:sz w:val="18"/>
              </w:rPr>
              <w:t>75,870.04</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69,121.47</w:t>
            </w:r>
          </w:p>
        </w:tc>
      </w:tr>
      <w:tr>
        <w:trPr>
          <w:trHeight w:val="432" w:hRule="exact"/>
        </w:trPr>
        <w:tc>
          <w:tcPr>
            <w:tcW w:w="29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4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27"/>
              <w:jc w:val="right"/>
              <w:rPr>
                <w:rFonts w:ascii="Times New Roman" w:hAnsi="Times New Roman" w:cs="Times New Roman" w:eastAsia="Times New Roman" w:hint="default"/>
                <w:sz w:val="18"/>
                <w:szCs w:val="18"/>
              </w:rPr>
            </w:pPr>
            <w:r>
              <w:rPr>
                <w:rFonts w:ascii="Times New Roman"/>
                <w:sz w:val="18"/>
              </w:rPr>
              <w:t>0.00</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28"/>
              <w:jc w:val="right"/>
              <w:rPr>
                <w:rFonts w:ascii="Times New Roman" w:hAnsi="Times New Roman" w:cs="Times New Roman" w:eastAsia="Times New Roman" w:hint="default"/>
                <w:sz w:val="18"/>
                <w:szCs w:val="18"/>
              </w:rPr>
            </w:pPr>
            <w:r>
              <w:rPr>
                <w:rFonts w:ascii="Times New Roman"/>
                <w:sz w:val="18"/>
              </w:rPr>
              <w:t>0.00</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0.00</w:t>
            </w:r>
          </w:p>
        </w:tc>
      </w:tr>
      <w:tr>
        <w:trPr>
          <w:trHeight w:val="432" w:hRule="exact"/>
        </w:trPr>
        <w:tc>
          <w:tcPr>
            <w:tcW w:w="29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占净资产比重（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4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27"/>
              <w:jc w:val="right"/>
              <w:rPr>
                <w:rFonts w:ascii="Times New Roman" w:hAnsi="Times New Roman" w:cs="Times New Roman" w:eastAsia="Times New Roman" w:hint="default"/>
                <w:sz w:val="18"/>
                <w:szCs w:val="18"/>
              </w:rPr>
            </w:pPr>
            <w:r>
              <w:rPr>
                <w:rFonts w:ascii="Times New Roman"/>
                <w:sz w:val="18"/>
              </w:rPr>
              <w:t>0.00</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28"/>
              <w:jc w:val="right"/>
              <w:rPr>
                <w:rFonts w:ascii="Times New Roman" w:hAnsi="Times New Roman" w:cs="Times New Roman" w:eastAsia="Times New Roman" w:hint="default"/>
                <w:sz w:val="18"/>
                <w:szCs w:val="18"/>
              </w:rPr>
            </w:pPr>
            <w:r>
              <w:rPr>
                <w:rFonts w:ascii="Times New Roman"/>
                <w:sz w:val="18"/>
              </w:rPr>
              <w:t>0.00</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6、现金流" w:id="27"/>
      <w:bookmarkEnd w:id="27"/>
      <w:r>
        <w:rPr>
          <w:b w:val="0"/>
          <w:bCs w:val="0"/>
        </w:rPr>
      </w: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6"/>
        <w:gridCol w:w="1997"/>
        <w:gridCol w:w="2073"/>
        <w:gridCol w:w="2392"/>
      </w:tblGrid>
      <w:tr>
        <w:trPr>
          <w:trHeight w:val="406"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807,777,319.45</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876,333,825.04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-7.82%</w:t>
            </w:r>
          </w:p>
        </w:tc>
      </w:tr>
      <w:tr>
        <w:trPr>
          <w:trHeight w:val="407"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777,931,373.24</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850,173,484.39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-8.50%</w:t>
            </w:r>
          </w:p>
        </w:tc>
      </w:tr>
      <w:tr>
        <w:trPr>
          <w:trHeight w:val="407"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29,845,946.21</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26,160,340.65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14.09%</w:t>
            </w:r>
          </w:p>
        </w:tc>
      </w:tr>
      <w:tr>
        <w:trPr>
          <w:trHeight w:val="408"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55,913,427.45</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769,819.23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7,163.19%</w:t>
            </w:r>
          </w:p>
        </w:tc>
      </w:tr>
      <w:tr>
        <w:trPr>
          <w:trHeight w:val="407"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80,908,014.88</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105,637,346.16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-23.41%</w:t>
            </w:r>
          </w:p>
        </w:tc>
      </w:tr>
      <w:tr>
        <w:trPr>
          <w:trHeight w:val="407"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-24,994,587.43</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-104,867,526.93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76.17%</w:t>
            </w:r>
          </w:p>
        </w:tc>
      </w:tr>
      <w:tr>
        <w:trPr>
          <w:trHeight w:val="407"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186,000,000.00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16.25%</w:t>
            </w:r>
          </w:p>
        </w:tc>
      </w:tr>
      <w:tr>
        <w:trPr>
          <w:trHeight w:val="407"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316,720,432.13</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90,259,891.03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250.90%</w:t>
            </w:r>
          </w:p>
        </w:tc>
      </w:tr>
      <w:tr>
        <w:trPr>
          <w:trHeight w:val="407"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-130,720,432.13</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69,740,108.97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-287.44%</w:t>
            </w:r>
            <w:r>
              <w:rPr>
                <w:rFonts w:ascii="Times New Roman"/>
                <w:sz w:val="18"/>
              </w:rPr>
            </w:r>
          </w:p>
        </w:tc>
      </w:tr>
      <w:tr>
        <w:trPr>
          <w:trHeight w:val="408"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-124,658,100.79</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-17,387,430.62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-616.94%</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4"/>
        <w:ind w:right="0" w:firstLine="420"/>
        <w:jc w:val="left"/>
      </w:pPr>
      <w:r>
        <w:rPr/>
        <w:t>（</w:t>
      </w:r>
      <w:r>
        <w:rPr>
          <w:rFonts w:ascii="Times New Roman" w:hAnsi="Times New Roman" w:cs="Times New Roman" w:eastAsia="Times New Roman" w:hint="default"/>
        </w:rPr>
        <w:t>1</w:t>
      </w:r>
      <w:r>
        <w:rPr/>
        <w:t>）报告期内，公司投资活动产生的现金流量净额</w:t>
      </w:r>
      <w:r>
        <w:rPr>
          <w:rFonts w:ascii="Times New Roman" w:hAnsi="Times New Roman" w:cs="Times New Roman" w:eastAsia="Times New Roman" w:hint="default"/>
        </w:rPr>
        <w:t>-2,499.46</w:t>
      </w:r>
      <w:r>
        <w:rPr/>
        <w:t>万元，比去年同期增加</w:t>
      </w:r>
      <w:r>
        <w:rPr>
          <w:rFonts w:ascii="Times New Roman" w:hAnsi="Times New Roman" w:cs="Times New Roman" w:eastAsia="Times New Roman" w:hint="default"/>
        </w:rPr>
        <w:t>76.17%</w:t>
      </w:r>
      <w:r>
        <w:rPr/>
        <w:t>，主要原</w:t>
      </w:r>
      <w:r>
        <w:rPr>
          <w:spacing w:val="2"/>
        </w:rPr>
        <w:t> </w:t>
      </w:r>
      <w:r>
        <w:rPr/>
        <w:t>因为：公司上年度投资资丰小贷公司所致。</w:t>
      </w:r>
    </w:p>
    <w:p>
      <w:pPr>
        <w:pStyle w:val="BodyText"/>
        <w:spacing w:line="240" w:lineRule="auto" w:before="65"/>
        <w:ind w:left="574" w:right="0"/>
        <w:jc w:val="left"/>
      </w:pPr>
      <w:r>
        <w:rPr/>
        <w:t>（</w:t>
      </w:r>
      <w:r>
        <w:rPr>
          <w:rFonts w:ascii="Times New Roman" w:hAnsi="Times New Roman" w:cs="Times New Roman" w:eastAsia="Times New Roman" w:hint="default"/>
        </w:rPr>
        <w:t>2</w:t>
      </w:r>
      <w:r>
        <w:rPr/>
        <w:t>）报告期内，公司筹资活动产生的现金流量净额</w:t>
      </w:r>
      <w:r>
        <w:rPr>
          <w:rFonts w:ascii="Times New Roman" w:hAnsi="Times New Roman" w:cs="Times New Roman" w:eastAsia="Times New Roman" w:hint="default"/>
        </w:rPr>
        <w:t>-13,072.04</w:t>
      </w:r>
      <w:r>
        <w:rPr/>
        <w:t>万元，比去年同期减少</w:t>
      </w:r>
      <w:r>
        <w:rPr>
          <w:rFonts w:ascii="Times New Roman" w:hAnsi="Times New Roman" w:cs="Times New Roman" w:eastAsia="Times New Roman" w:hint="default"/>
        </w:rPr>
        <w:t>287.44%</w:t>
      </w:r>
      <w:r>
        <w:rPr/>
        <w:t>，主要</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原因为：母公司本期偿还债务及代偿能源公司与北斗公司债务支付的现金比去年同期增加所致。</w:t>
      </w:r>
    </w:p>
    <w:p>
      <w:pPr>
        <w:spacing w:line="240" w:lineRule="auto" w:before="1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主营业务构成情况" w:id="28"/>
      <w:bookmarkEnd w:id="28"/>
      <w:r>
        <w:rPr>
          <w:b w:val="0"/>
          <w:bCs w:val="0"/>
        </w:rPr>
      </w:r>
      <w:r>
        <w:rPr/>
        <w:t>三、主营业务构成情况</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4"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8" w:hRule="exact"/>
        </w:trPr>
        <w:tc>
          <w:tcPr>
            <w:tcW w:w="137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670,065,681.75</w:t>
            </w:r>
          </w:p>
        </w:tc>
        <w:tc>
          <w:tcPr>
            <w:tcW w:w="136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542,578,628.59</w:t>
            </w:r>
          </w:p>
        </w:tc>
        <w:tc>
          <w:tcPr>
            <w:tcW w:w="136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19.03%</w:t>
            </w:r>
          </w:p>
        </w:tc>
        <w:tc>
          <w:tcPr>
            <w:tcW w:w="136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-8.57%</w:t>
            </w:r>
          </w:p>
        </w:tc>
        <w:tc>
          <w:tcPr>
            <w:tcW w:w="136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-10.82%</w:t>
            </w:r>
          </w:p>
        </w:tc>
        <w:tc>
          <w:tcPr>
            <w:tcW w:w="137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2.05%</w:t>
            </w:r>
          </w:p>
        </w:tc>
      </w:tr>
      <w:tr>
        <w:trPr>
          <w:trHeight w:val="409" w:hRule="exact"/>
        </w:trPr>
        <w:tc>
          <w:tcPr>
            <w:tcW w:w="1370"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2"/>
                <w:sz w:val="18"/>
              </w:rPr>
              <w:t>20,397,111.51</w:t>
            </w:r>
          </w:p>
        </w:tc>
        <w:tc>
          <w:tcPr>
            <w:tcW w:w="1367"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11,848,171.71</w:t>
            </w:r>
          </w:p>
        </w:tc>
        <w:tc>
          <w:tcPr>
            <w:tcW w:w="1367"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41.91%</w:t>
            </w:r>
          </w:p>
        </w:tc>
        <w:tc>
          <w:tcPr>
            <w:tcW w:w="1366"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-2.62%</w:t>
            </w:r>
          </w:p>
        </w:tc>
        <w:tc>
          <w:tcPr>
            <w:tcW w:w="1366"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-20.23%</w:t>
            </w:r>
          </w:p>
        </w:tc>
        <w:tc>
          <w:tcPr>
            <w:tcW w:w="1370"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12.82%</w:t>
            </w:r>
          </w:p>
        </w:tc>
      </w:tr>
      <w:tr>
        <w:trPr>
          <w:trHeight w:val="404"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8" w:hRule="exact"/>
        </w:trPr>
        <w:tc>
          <w:tcPr>
            <w:tcW w:w="137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599,463,156.66</w:t>
            </w:r>
          </w:p>
        </w:tc>
        <w:tc>
          <w:tcPr>
            <w:tcW w:w="136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478,448,070.84</w:t>
            </w:r>
          </w:p>
        </w:tc>
        <w:tc>
          <w:tcPr>
            <w:tcW w:w="136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20.19%</w:t>
            </w:r>
          </w:p>
        </w:tc>
        <w:tc>
          <w:tcPr>
            <w:tcW w:w="136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-8.29%</w:t>
            </w:r>
          </w:p>
        </w:tc>
        <w:tc>
          <w:tcPr>
            <w:tcW w:w="136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-10.82%</w:t>
            </w:r>
          </w:p>
        </w:tc>
        <w:tc>
          <w:tcPr>
            <w:tcW w:w="137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2.27%</w:t>
            </w:r>
          </w:p>
        </w:tc>
      </w:tr>
      <w:tr>
        <w:trPr>
          <w:trHeight w:val="40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色织面料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70,602,525.09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64,130,557.75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-0.05%</w:t>
            </w:r>
          </w:p>
        </w:tc>
      </w:tr>
      <w:tr>
        <w:trPr>
          <w:trHeight w:val="409" w:hRule="exact"/>
        </w:trPr>
        <w:tc>
          <w:tcPr>
            <w:tcW w:w="1370"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20,397,111.51</w:t>
            </w:r>
          </w:p>
        </w:tc>
        <w:tc>
          <w:tcPr>
            <w:tcW w:w="1367"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11,848,171.71</w:t>
            </w:r>
          </w:p>
        </w:tc>
        <w:tc>
          <w:tcPr>
            <w:tcW w:w="1367"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41.91%</w:t>
            </w:r>
          </w:p>
        </w:tc>
        <w:tc>
          <w:tcPr>
            <w:tcW w:w="1366"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-2.62%</w:t>
            </w:r>
          </w:p>
        </w:tc>
        <w:tc>
          <w:tcPr>
            <w:tcW w:w="1366"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-20.23%</w:t>
            </w:r>
          </w:p>
        </w:tc>
        <w:tc>
          <w:tcPr>
            <w:tcW w:w="1370"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12.82%</w:t>
            </w:r>
          </w:p>
        </w:tc>
      </w:tr>
      <w:tr>
        <w:trPr>
          <w:trHeight w:val="404"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9" w:hRule="exact"/>
        </w:trPr>
        <w:tc>
          <w:tcPr>
            <w:tcW w:w="137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524,272,001.52</w:t>
            </w:r>
          </w:p>
        </w:tc>
        <w:tc>
          <w:tcPr>
            <w:tcW w:w="136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419,092,321.92</w:t>
            </w:r>
          </w:p>
        </w:tc>
        <w:tc>
          <w:tcPr>
            <w:tcW w:w="136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20.06%</w:t>
            </w:r>
          </w:p>
        </w:tc>
        <w:tc>
          <w:tcPr>
            <w:tcW w:w="136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-2.46%</w:t>
            </w:r>
          </w:p>
        </w:tc>
        <w:tc>
          <w:tcPr>
            <w:tcW w:w="136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-4.33%</w:t>
            </w:r>
          </w:p>
        </w:tc>
        <w:tc>
          <w:tcPr>
            <w:tcW w:w="137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1.55%</w:t>
            </w:r>
          </w:p>
        </w:tc>
      </w:tr>
      <w:tr>
        <w:trPr>
          <w:trHeight w:val="40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166,190,791.74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135,334,478.38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-26.94%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负债状况分析" w:id="29"/>
      <w:bookmarkEnd w:id="29"/>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资产项目重大变动情况" w:id="30"/>
      <w:bookmarkEnd w:id="30"/>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1145"/>
        <w:gridCol w:w="1186"/>
        <w:gridCol w:w="1196"/>
        <w:gridCol w:w="1164"/>
        <w:gridCol w:w="829"/>
        <w:gridCol w:w="2786"/>
      </w:tblGrid>
      <w:tr>
        <w:trPr>
          <w:trHeight w:val="206"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2331" w:type="dxa"/>
            <w:gridSpan w:val="2"/>
            <w:vMerge/>
            <w:tcBorders>
              <w:left w:val="single" w:sz="4" w:space="0" w:color="000000"/>
              <w:bottom w:val="single" w:sz="4" w:space="0" w:color="000000"/>
              <w:right w:val="single" w:sz="4" w:space="0" w:color="000000"/>
            </w:tcBorders>
            <w:shd w:val="clear" w:color="auto" w:fill="D2D2D2"/>
          </w:tcPr>
          <w:p>
            <w:pPr/>
          </w:p>
        </w:tc>
        <w:tc>
          <w:tcPr>
            <w:tcW w:w="2360" w:type="dxa"/>
            <w:gridSpan w:val="2"/>
            <w:vMerge/>
            <w:tcBorders>
              <w:left w:val="single" w:sz="4" w:space="0" w:color="000000"/>
              <w:bottom w:val="single" w:sz="4" w:space="0" w:color="000000"/>
              <w:right w:val="single" w:sz="4" w:space="0" w:color="000000"/>
            </w:tcBorders>
            <w:shd w:val="clear" w:color="auto" w:fill="D2D2D2"/>
          </w:tcPr>
          <w:p>
            <w:pPr/>
          </w:p>
        </w:tc>
        <w:tc>
          <w:tcPr>
            <w:tcW w:w="829" w:type="dxa"/>
            <w:vMerge/>
            <w:tcBorders>
              <w:left w:val="single" w:sz="4" w:space="0" w:color="000000"/>
              <w:right w:val="single" w:sz="4" w:space="0" w:color="000000"/>
            </w:tcBorders>
            <w:shd w:val="clear" w:color="auto" w:fill="D2D2D2"/>
          </w:tcPr>
          <w:p>
            <w:pPr/>
          </w:p>
        </w:tc>
        <w:tc>
          <w:tcPr>
            <w:tcW w:w="2786" w:type="dxa"/>
            <w:vMerge/>
            <w:tcBorders>
              <w:left w:val="single" w:sz="4" w:space="0" w:color="000000"/>
              <w:right w:val="single" w:sz="4" w:space="0" w:color="000000"/>
            </w:tcBorders>
            <w:shd w:val="clear" w:color="auto" w:fill="D2D2D2"/>
          </w:tcPr>
          <w:p>
            <w:pPr/>
          </w:p>
        </w:tc>
      </w:tr>
      <w:tr>
        <w:trPr>
          <w:trHeight w:val="196"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6"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29" w:type="dxa"/>
            <w:vMerge/>
            <w:tcBorders>
              <w:left w:val="single" w:sz="4" w:space="0" w:color="000000"/>
              <w:right w:val="single" w:sz="4" w:space="0" w:color="000000"/>
            </w:tcBorders>
            <w:shd w:val="clear" w:color="auto" w:fill="D2D2D2"/>
          </w:tcPr>
          <w:p>
            <w:pPr/>
          </w:p>
        </w:tc>
        <w:tc>
          <w:tcPr>
            <w:tcW w:w="2786" w:type="dxa"/>
            <w:vMerge/>
            <w:tcBorders>
              <w:left w:val="single" w:sz="4" w:space="0" w:color="000000"/>
              <w:right w:val="single" w:sz="4" w:space="0" w:color="000000"/>
            </w:tcBorders>
            <w:shd w:val="clear" w:color="auto" w:fill="D2D2D2"/>
          </w:tcPr>
          <w:p>
            <w:pPr/>
          </w:p>
        </w:tc>
      </w:tr>
      <w:tr>
        <w:trPr>
          <w:trHeight w:val="205"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829"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169"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6"/>
              <w:jc w:val="left"/>
              <w:rPr>
                <w:rFonts w:ascii="Times New Roman" w:hAnsi="Times New Roman" w:cs="Times New Roman" w:eastAsia="Times New Roman" w:hint="default"/>
                <w:sz w:val="18"/>
                <w:szCs w:val="18"/>
              </w:rPr>
            </w:pPr>
            <w:r>
              <w:rPr>
                <w:rFonts w:ascii="Times New Roman"/>
                <w:sz w:val="18"/>
              </w:rPr>
              <w:t>172,298,023.02</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98" w:right="0"/>
              <w:jc w:val="left"/>
              <w:rPr>
                <w:rFonts w:ascii="Times New Roman" w:hAnsi="Times New Roman" w:cs="Times New Roman" w:eastAsia="Times New Roman" w:hint="default"/>
                <w:sz w:val="18"/>
                <w:szCs w:val="18"/>
              </w:rPr>
            </w:pPr>
            <w:r>
              <w:rPr>
                <w:rFonts w:ascii="Times New Roman"/>
                <w:sz w:val="18"/>
              </w:rPr>
              <w:t>25.20%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318,456,123.81</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40.83%</w:t>
            </w:r>
          </w:p>
        </w:tc>
        <w:tc>
          <w:tcPr>
            <w:tcW w:w="82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-15.63%</w:t>
            </w:r>
          </w:p>
        </w:tc>
        <w:tc>
          <w:tcPr>
            <w:tcW w:w="2786" w:type="dxa"/>
            <w:vMerge w:val="restart"/>
            <w:tcBorders>
              <w:top w:val="single" w:sz="4" w:space="0" w:color="000000"/>
              <w:left w:val="single" w:sz="4" w:space="0" w:color="000000"/>
              <w:right w:val="single" w:sz="4" w:space="0" w:color="000000"/>
            </w:tcBorders>
          </w:tcPr>
          <w:p>
            <w:pPr>
              <w:pStyle w:val="TableParagraph"/>
              <w:spacing w:line="240" w:lineRule="exact" w:before="1"/>
              <w:ind w:left="23" w:right="51"/>
              <w:jc w:val="both"/>
              <w:rPr>
                <w:rFonts w:ascii="宋体" w:hAnsi="宋体" w:cs="宋体" w:eastAsia="宋体" w:hint="default"/>
                <w:sz w:val="18"/>
                <w:szCs w:val="18"/>
              </w:rPr>
            </w:pPr>
            <w:r>
              <w:rPr>
                <w:rFonts w:ascii="宋体" w:hAnsi="宋体" w:cs="宋体" w:eastAsia="宋体" w:hint="default"/>
                <w:sz w:val="18"/>
                <w:szCs w:val="18"/>
              </w:rPr>
              <w:t>母公司贷款减少、母公司为能源公 司代偿银行债务及母公司资助资丰 小贷公司所致。</w:t>
            </w:r>
          </w:p>
        </w:tc>
      </w:tr>
      <w:tr>
        <w:trPr>
          <w:trHeight w:val="39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45" w:type="dxa"/>
            <w:vMerge/>
            <w:tcBorders>
              <w:left w:val="single" w:sz="9" w:space="0" w:color="D2D2D2"/>
              <w:right w:val="single" w:sz="4" w:space="0" w:color="000000"/>
            </w:tcBorders>
          </w:tcPr>
          <w:p>
            <w:pPr/>
          </w:p>
        </w:tc>
        <w:tc>
          <w:tcPr>
            <w:tcW w:w="118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9"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9" w:space="0" w:color="D2D2D2"/>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55,991,607.02</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8.19%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63,551,740.39</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6" w:right="0"/>
              <w:jc w:val="left"/>
              <w:rPr>
                <w:rFonts w:ascii="Times New Roman" w:hAnsi="Times New Roman" w:cs="Times New Roman" w:eastAsia="Times New Roman" w:hint="default"/>
                <w:sz w:val="18"/>
                <w:szCs w:val="18"/>
              </w:rPr>
            </w:pPr>
            <w:r>
              <w:rPr>
                <w:rFonts w:ascii="Times New Roman"/>
                <w:sz w:val="18"/>
              </w:rPr>
              <w:t>8.15%</w:t>
            </w:r>
          </w:p>
        </w:tc>
        <w:tc>
          <w:tcPr>
            <w:tcW w:w="82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0.04%</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本期母公司及北斗公司收回前期销 售货款。</w:t>
            </w:r>
          </w:p>
        </w:tc>
      </w:tr>
      <w:tr>
        <w:trPr>
          <w:trHeight w:val="39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45" w:type="dxa"/>
            <w:vMerge/>
            <w:tcBorders>
              <w:left w:val="single" w:sz="9" w:space="0" w:color="D2D2D2"/>
              <w:right w:val="single" w:sz="4" w:space="0" w:color="000000"/>
            </w:tcBorders>
          </w:tcPr>
          <w:p>
            <w:pPr/>
          </w:p>
        </w:tc>
        <w:tc>
          <w:tcPr>
            <w:tcW w:w="118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9" w:space="0" w:color="D2D2D2"/>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63,925,647.11</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9.35%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62,509,537.66</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6" w:right="0"/>
              <w:jc w:val="left"/>
              <w:rPr>
                <w:rFonts w:ascii="Times New Roman" w:hAnsi="Times New Roman" w:cs="Times New Roman" w:eastAsia="Times New Roman" w:hint="default"/>
                <w:sz w:val="18"/>
                <w:szCs w:val="18"/>
              </w:rPr>
            </w:pPr>
            <w:r>
              <w:rPr>
                <w:rFonts w:ascii="Times New Roman"/>
                <w:sz w:val="18"/>
              </w:rPr>
              <w:t>8.01%</w:t>
            </w:r>
          </w:p>
        </w:tc>
        <w:tc>
          <w:tcPr>
            <w:tcW w:w="82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1.34%</w:t>
            </w:r>
          </w:p>
        </w:tc>
        <w:tc>
          <w:tcPr>
            <w:tcW w:w="278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本期母公司、色织公司及环保公司 存货增加。</w:t>
            </w:r>
          </w:p>
        </w:tc>
      </w:tr>
      <w:tr>
        <w:trPr>
          <w:trHeight w:val="393"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45" w:type="dxa"/>
            <w:vMerge/>
            <w:tcBorders>
              <w:left w:val="single" w:sz="9" w:space="0" w:color="D2D2D2"/>
              <w:right w:val="single" w:sz="4" w:space="0" w:color="000000"/>
            </w:tcBorders>
          </w:tcPr>
          <w:p>
            <w:pPr/>
          </w:p>
        </w:tc>
        <w:tc>
          <w:tcPr>
            <w:tcW w:w="118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9" w:space="0" w:color="D2D2D2"/>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3,802,773.93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5,740,532.30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2,761,283.73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2,725,792.98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27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1134"/>
        <w:gridCol w:w="1186"/>
        <w:gridCol w:w="1196"/>
        <w:gridCol w:w="1164"/>
        <w:gridCol w:w="829"/>
        <w:gridCol w:w="2786"/>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6"/>
              <w:jc w:val="left"/>
              <w:rPr>
                <w:rFonts w:ascii="Times New Roman" w:hAnsi="Times New Roman" w:cs="Times New Roman" w:eastAsia="Times New Roman" w:hint="default"/>
                <w:sz w:val="18"/>
                <w:szCs w:val="18"/>
              </w:rPr>
            </w:pPr>
            <w:r>
              <w:rPr>
                <w:rFonts w:ascii="Times New Roman"/>
                <w:sz w:val="18"/>
              </w:rPr>
              <w:t>109,353,799.56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8" w:right="0"/>
              <w:jc w:val="left"/>
              <w:rPr>
                <w:rFonts w:ascii="Times New Roman" w:hAnsi="Times New Roman" w:cs="Times New Roman" w:eastAsia="Times New Roman" w:hint="default"/>
                <w:sz w:val="18"/>
                <w:szCs w:val="18"/>
              </w:rPr>
            </w:pPr>
            <w:r>
              <w:rPr>
                <w:rFonts w:ascii="Times New Roman"/>
                <w:sz w:val="18"/>
              </w:rPr>
              <w:t>16.00%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134,528,661.02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17.25%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-1.25%</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母公司报废部分固定资产及能源公 司计提固定资产减值准备所致。</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负债项目重大变动情况" w:id="31"/>
      <w:bookmarkEnd w:id="31"/>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154"/>
        <w:gridCol w:w="1276"/>
        <w:gridCol w:w="1276"/>
        <w:gridCol w:w="851"/>
        <w:gridCol w:w="2480"/>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4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2318"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4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1" w:type="dxa"/>
            <w:vMerge/>
            <w:tcBorders>
              <w:left w:val="single" w:sz="4" w:space="0" w:color="000000"/>
              <w:bottom w:val="nil" w:sz="6" w:space="0" w:color="auto"/>
              <w:right w:val="single" w:sz="4" w:space="0" w:color="000000"/>
            </w:tcBorders>
            <w:shd w:val="clear" w:color="auto" w:fill="D2D2D2"/>
          </w:tcPr>
          <w:p>
            <w:pPr/>
          </w:p>
        </w:tc>
        <w:tc>
          <w:tcPr>
            <w:tcW w:w="248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4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80,000,000.00</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2" w:right="0"/>
              <w:jc w:val="left"/>
              <w:rPr>
                <w:rFonts w:ascii="Times New Roman" w:hAnsi="Times New Roman" w:cs="Times New Roman" w:eastAsia="Times New Roman" w:hint="default"/>
                <w:sz w:val="18"/>
                <w:szCs w:val="18"/>
              </w:rPr>
            </w:pPr>
            <w:r>
              <w:rPr>
                <w:rFonts w:ascii="Times New Roman"/>
                <w:sz w:val="18"/>
              </w:rPr>
              <w:t>11.70%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156,000,000.00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7" w:right="0"/>
              <w:jc w:val="left"/>
              <w:rPr>
                <w:rFonts w:ascii="Times New Roman" w:hAnsi="Times New Roman" w:cs="Times New Roman" w:eastAsia="Times New Roman" w:hint="default"/>
                <w:sz w:val="18"/>
                <w:szCs w:val="18"/>
              </w:rPr>
            </w:pPr>
            <w:r>
              <w:rPr>
                <w:rFonts w:ascii="Times New Roman"/>
                <w:sz w:val="18"/>
              </w:rPr>
              <w:t>20.00%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-8.30%</w:t>
            </w:r>
          </w:p>
        </w:tc>
        <w:tc>
          <w:tcPr>
            <w:tcW w:w="248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本期母公司偿还贷款及为子公 司代偿银行贷款。</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15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480"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480" w:type="dxa"/>
            <w:vMerge/>
            <w:tcBorders>
              <w:left w:val="single" w:sz="4" w:space="0" w:color="000000"/>
              <w:bottom w:val="single" w:sz="4" w:space="0" w:color="000000"/>
              <w:right w:val="single" w:sz="4" w:space="0" w:color="000000"/>
            </w:tcBorders>
          </w:tcPr>
          <w:p>
            <w:pPr/>
          </w:p>
        </w:tc>
      </w:tr>
      <w:tr>
        <w:trPr>
          <w:trHeight w:val="46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1"/>
              <w:ind w:left="84" w:right="0"/>
              <w:jc w:val="left"/>
              <w:rPr>
                <w:rFonts w:ascii="Times New Roman" w:hAnsi="Times New Roman" w:cs="Times New Roman" w:eastAsia="Times New Roman" w:hint="default"/>
                <w:sz w:val="18"/>
                <w:szCs w:val="18"/>
              </w:rPr>
            </w:pPr>
            <w:r>
              <w:rPr>
                <w:rFonts w:ascii="Times New Roman"/>
                <w:sz w:val="18"/>
              </w:rPr>
              <w:t>22,000,000.00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56" w:right="0"/>
              <w:jc w:val="left"/>
              <w:rPr>
                <w:rFonts w:ascii="Times New Roman" w:hAnsi="Times New Roman" w:cs="Times New Roman" w:eastAsia="Times New Roman" w:hint="default"/>
                <w:sz w:val="18"/>
                <w:szCs w:val="18"/>
              </w:rPr>
            </w:pPr>
            <w:r>
              <w:rPr>
                <w:rFonts w:ascii="Times New Roman"/>
                <w:sz w:val="18"/>
              </w:rPr>
              <w:t>3.22%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9" w:right="0"/>
              <w:jc w:val="left"/>
              <w:rPr>
                <w:rFonts w:ascii="Times New Roman" w:hAnsi="Times New Roman" w:cs="Times New Roman" w:eastAsia="Times New Roman" w:hint="default"/>
                <w:sz w:val="18"/>
                <w:szCs w:val="18"/>
              </w:rPr>
            </w:pPr>
            <w:r>
              <w:rPr>
                <w:rFonts w:ascii="Times New Roman"/>
                <w:sz w:val="18"/>
              </w:rPr>
              <w:t>22,000,000.00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777" w:right="0"/>
              <w:jc w:val="left"/>
              <w:rPr>
                <w:rFonts w:ascii="Times New Roman" w:hAnsi="Times New Roman" w:cs="Times New Roman" w:eastAsia="Times New Roman" w:hint="default"/>
                <w:sz w:val="18"/>
                <w:szCs w:val="18"/>
              </w:rPr>
            </w:pPr>
            <w:r>
              <w:rPr>
                <w:rFonts w:ascii="Times New Roman"/>
                <w:sz w:val="18"/>
              </w:rPr>
              <w:t>2.82%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53" w:right="0"/>
              <w:jc w:val="left"/>
              <w:rPr>
                <w:rFonts w:ascii="Times New Roman" w:hAnsi="Times New Roman" w:cs="Times New Roman" w:eastAsia="Times New Roman" w:hint="default"/>
                <w:sz w:val="18"/>
                <w:szCs w:val="18"/>
              </w:rPr>
            </w:pPr>
            <w:r>
              <w:rPr>
                <w:rFonts w:ascii="Times New Roman"/>
                <w:sz w:val="18"/>
              </w:rPr>
              <w:t>0.40%</w:t>
            </w: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以公允价值计量的资产和负债" w:id="32"/>
      <w:bookmarkEnd w:id="32"/>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核心竞争力分析" w:id="33"/>
      <w:bookmarkEnd w:id="33"/>
      <w:r>
        <w:rPr>
          <w:b w:val="0"/>
          <w:bCs w:val="0"/>
        </w:rPr>
      </w:r>
      <w:r>
        <w:rPr/>
        <w:t>五、核心竞争力分析</w:t>
      </w:r>
      <w:r>
        <w:rPr>
          <w:b w:val="0"/>
          <w:bCs w:val="0"/>
        </w:rPr>
      </w:r>
    </w:p>
    <w:p>
      <w:pPr>
        <w:spacing w:line="240" w:lineRule="auto" w:before="6"/>
        <w:rPr>
          <w:rFonts w:ascii="宋体" w:hAnsi="宋体" w:cs="宋体" w:eastAsia="宋体" w:hint="default"/>
          <w:b/>
          <w:bCs/>
          <w:sz w:val="30"/>
          <w:szCs w:val="30"/>
        </w:rPr>
      </w:pPr>
    </w:p>
    <w:p>
      <w:pPr>
        <w:pStyle w:val="BodyText"/>
        <w:spacing w:line="398" w:lineRule="auto" w:before="0"/>
        <w:ind w:right="0" w:firstLine="420"/>
        <w:jc w:val="left"/>
      </w:pPr>
      <w:r>
        <w:rPr/>
        <w:t>公司主营业务为中、高档女装的制造和销售，是国内最大的</w:t>
      </w:r>
      <w:r>
        <w:rPr>
          <w:rFonts w:ascii="Times New Roman" w:hAnsi="Times New Roman" w:cs="Times New Roman" w:eastAsia="Times New Roman" w:hint="default"/>
        </w:rPr>
        <w:t>OEM</w:t>
      </w:r>
      <w:r>
        <w:rPr/>
        <w:t>和</w:t>
      </w:r>
      <w:r>
        <w:rPr>
          <w:rFonts w:ascii="Times New Roman" w:hAnsi="Times New Roman" w:cs="Times New Roman" w:eastAsia="Times New Roman" w:hint="default"/>
        </w:rPr>
        <w:t>ODM</w:t>
      </w:r>
      <w:r>
        <w:rPr/>
        <w:t>女装制造商之一。公司具有 </w:t>
      </w:r>
      <w:r>
        <w:rPr>
          <w:spacing w:val="-1"/>
        </w:rPr>
        <w:t>较强的产品设计能力和质量管理水平，并拥有一批优质、稳定的外协工厂，产品质量和生产能力均能得到</w:t>
      </w:r>
      <w:r>
        <w:rPr>
          <w:spacing w:val="-83"/>
        </w:rPr>
        <w:t> </w:t>
      </w:r>
      <w:r>
        <w:rPr>
          <w:spacing w:val="-83"/>
        </w:rPr>
      </w:r>
      <w:r>
        <w:rPr/>
        <w:t>有效的保障。报告期内，公司核心竞争力未发生重大变化。</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投资状况分析" w:id="34"/>
      <w:bookmarkEnd w:id="34"/>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对外股权投资情况" w:id="35"/>
      <w:bookmarkEnd w:id="35"/>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对外投资情况" w:id="36"/>
      <w:bookmarkEnd w:id="36"/>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公司报告期无对外投资。</w:t>
      </w:r>
    </w:p>
    <w:p>
      <w:pPr>
        <w:spacing w:line="240" w:lineRule="auto" w:before="1"/>
        <w:rPr>
          <w:rFonts w:ascii="宋体" w:hAnsi="宋体" w:cs="宋体" w:eastAsia="宋体" w:hint="default"/>
          <w:sz w:val="21"/>
          <w:szCs w:val="21"/>
        </w:rPr>
      </w:pPr>
    </w:p>
    <w:p>
      <w:pPr>
        <w:pStyle w:val="Heading5"/>
        <w:spacing w:line="240" w:lineRule="auto"/>
        <w:ind w:left="153" w:right="0"/>
        <w:jc w:val="left"/>
        <w:rPr>
          <w:b w:val="0"/>
          <w:bCs w:val="0"/>
        </w:rPr>
      </w:pPr>
      <w:bookmarkStart w:name="（2）持有金融企业股权情况" w:id="37"/>
      <w:bookmarkEnd w:id="37"/>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before="8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480"/>
        <w:gridCol w:w="870"/>
        <w:gridCol w:w="870"/>
        <w:gridCol w:w="870"/>
        <w:gridCol w:w="869"/>
        <w:gridCol w:w="869"/>
        <w:gridCol w:w="869"/>
        <w:gridCol w:w="869"/>
        <w:gridCol w:w="869"/>
        <w:gridCol w:w="856"/>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5" w:right="53"/>
              <w:jc w:val="left"/>
              <w:rPr>
                <w:rFonts w:ascii="宋体" w:hAnsi="宋体" w:cs="宋体" w:eastAsia="宋体" w:hint="default"/>
                <w:sz w:val="18"/>
                <w:szCs w:val="18"/>
              </w:rPr>
            </w:pPr>
            <w:r>
              <w:rPr>
                <w:rFonts w:ascii="宋体" w:hAnsi="宋体" w:cs="宋体" w:eastAsia="宋体" w:hint="default"/>
                <w:sz w:val="18"/>
                <w:szCs w:val="18"/>
              </w:rPr>
              <w:t>公司 类别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34" w:firstLine="46"/>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67" w:firstLine="46"/>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8"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8" w:right="68"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南通市港闸区 资丰农村小额 贷款有限公司</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84,797,800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77,380,683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5,261,223.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4"/>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both"/>
              <w:rPr>
                <w:rFonts w:ascii="宋体" w:hAnsi="宋体" w:cs="宋体" w:eastAsia="宋体" w:hint="default"/>
                <w:sz w:val="18"/>
                <w:szCs w:val="18"/>
              </w:rPr>
            </w:pPr>
            <w:r>
              <w:rPr>
                <w:rFonts w:ascii="宋体" w:hAnsi="宋体" w:cs="宋体" w:eastAsia="宋体" w:hint="default"/>
                <w:sz w:val="18"/>
                <w:szCs w:val="18"/>
              </w:rPr>
              <w:t>同一控制 下的企业 合并</w:t>
            </w:r>
          </w:p>
        </w:tc>
      </w:tr>
      <w:tr>
        <w:trPr>
          <w:trHeight w:val="714"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84,797,800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77,380,683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5,261,223.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3）证券投资情况" w:id="38"/>
      <w:bookmarkEnd w:id="38"/>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公司报告期不存在证券投资。</w:t>
      </w:r>
    </w:p>
    <w:p>
      <w:pPr>
        <w:spacing w:line="240" w:lineRule="auto" w:before="3"/>
        <w:rPr>
          <w:rFonts w:ascii="宋体" w:hAnsi="宋体" w:cs="宋体" w:eastAsia="宋体" w:hint="default"/>
          <w:sz w:val="21"/>
          <w:szCs w:val="21"/>
        </w:rPr>
      </w:pPr>
    </w:p>
    <w:p>
      <w:pPr>
        <w:pStyle w:val="Heading5"/>
        <w:spacing w:line="240" w:lineRule="auto"/>
        <w:ind w:left="153" w:right="0"/>
        <w:jc w:val="left"/>
        <w:rPr>
          <w:b w:val="0"/>
          <w:bCs w:val="0"/>
        </w:rPr>
      </w:pPr>
      <w:bookmarkStart w:name="（4）持有其他上市公司股权情况的说明" w:id="39"/>
      <w:bookmarkEnd w:id="39"/>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公司报告期未持有其他上市公司股权。</w:t>
      </w:r>
    </w:p>
    <w:p>
      <w:pPr>
        <w:spacing w:line="240" w:lineRule="auto" w:before="12"/>
        <w:rPr>
          <w:rFonts w:ascii="宋体" w:hAnsi="宋体" w:cs="宋体" w:eastAsia="宋体" w:hint="default"/>
          <w:sz w:val="20"/>
          <w:szCs w:val="20"/>
        </w:rPr>
      </w:pPr>
    </w:p>
    <w:p>
      <w:pPr>
        <w:pStyle w:val="Heading5"/>
        <w:spacing w:line="240" w:lineRule="auto"/>
        <w:ind w:left="153" w:right="0"/>
        <w:jc w:val="left"/>
        <w:rPr>
          <w:b w:val="0"/>
          <w:bCs w:val="0"/>
        </w:rPr>
      </w:pPr>
      <w:bookmarkStart w:name="2、委托理财、衍生品投资和委托贷款情况" w:id="40"/>
      <w:bookmarkEnd w:id="40"/>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委托理财情况" w:id="41"/>
      <w:bookmarkEnd w:id="4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1008"/>
        <w:gridCol w:w="604"/>
        <w:gridCol w:w="956"/>
        <w:gridCol w:w="992"/>
        <w:gridCol w:w="566"/>
        <w:gridCol w:w="851"/>
        <w:gridCol w:w="851"/>
        <w:gridCol w:w="565"/>
        <w:gridCol w:w="784"/>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7"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7"/>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59"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7"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南京银行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7" w:right="138"/>
              <w:jc w:val="left"/>
              <w:rPr>
                <w:rFonts w:ascii="宋体" w:hAnsi="宋体" w:cs="宋体" w:eastAsia="宋体" w:hint="default"/>
                <w:sz w:val="18"/>
                <w:szCs w:val="18"/>
              </w:rPr>
            </w:pPr>
            <w:r>
              <w:rPr>
                <w:rFonts w:ascii="宋体" w:hAnsi="宋体" w:cs="宋体" w:eastAsia="宋体" w:hint="default"/>
                <w:sz w:val="18"/>
                <w:szCs w:val="18"/>
              </w:rPr>
              <w:t>银行承诺 保本收益</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152.08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152.08</w:t>
            </w: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152.08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152.08</w:t>
            </w: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1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公司自有资金。</w:t>
            </w: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1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1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委托理财审批董事会公告披露日期（如有</w:t>
            </w:r>
            <w:r>
              <w:rPr>
                <w:rFonts w:ascii="Times New Roman" w:hAnsi="Times New Roman" w:cs="Times New Roman" w:eastAsia="Times New Roman" w:hint="default"/>
                <w:sz w:val="18"/>
                <w:szCs w:val="18"/>
              </w:rPr>
              <w:t>)</w:t>
            </w:r>
          </w:p>
        </w:tc>
        <w:tc>
          <w:tcPr>
            <w:tcW w:w="61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委托理财审批股东会公告披露日期（如有</w:t>
            </w:r>
            <w:r>
              <w:rPr>
                <w:rFonts w:ascii="Times New Roman" w:hAnsi="Times New Roman" w:cs="Times New Roman" w:eastAsia="Times New Roman" w:hint="default"/>
                <w:sz w:val="18"/>
                <w:szCs w:val="18"/>
              </w:rPr>
              <w:t>)</w:t>
            </w:r>
          </w:p>
        </w:tc>
        <w:tc>
          <w:tcPr>
            <w:tcW w:w="61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衍生品投资情况" w:id="42"/>
      <w:bookmarkEnd w:id="42"/>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bookmarkStart w:name="（3）委托贷款情况" w:id="43"/>
      <w:bookmarkEnd w:id="43"/>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3"/>
        <w:rPr>
          <w:rFonts w:ascii="宋体" w:hAnsi="宋体" w:cs="宋体" w:eastAsia="宋体" w:hint="default"/>
          <w:sz w:val="20"/>
          <w:szCs w:val="20"/>
        </w:rPr>
      </w:pPr>
    </w:p>
    <w:p>
      <w:pPr>
        <w:pStyle w:val="Heading5"/>
        <w:spacing w:line="240" w:lineRule="auto"/>
        <w:ind w:left="153" w:right="0"/>
        <w:jc w:val="left"/>
        <w:rPr>
          <w:b w:val="0"/>
          <w:bCs w:val="0"/>
        </w:rPr>
      </w:pPr>
      <w:bookmarkStart w:name="3、募集资金使用情况" w:id="44"/>
      <w:bookmarkEnd w:id="44"/>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left"/>
        <w:rPr>
          <w:b w:val="0"/>
          <w:bCs w:val="0"/>
        </w:rPr>
      </w:pPr>
      <w:bookmarkStart w:name="（1）募集资金总体使用情况" w:id="45"/>
      <w:bookmarkEnd w:id="45"/>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35"/>
        <w:ind w:left="0" w:right="1126"/>
        <w:jc w:val="right"/>
      </w:pPr>
      <w:r>
        <w:rPr/>
        <w:pict>
          <v:shape style="position:absolute;margin-left:56.459999pt;margin-top:-167.986343pt;width:479.2pt;height:383.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14,627.58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13,781.18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11,060.7</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75.62%</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85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42" w:right="0"/>
                          <w:jc w:val="left"/>
                          <w:rPr>
                            <w:rFonts w:ascii="宋体" w:hAnsi="宋体" w:cs="宋体" w:eastAsia="宋体" w:hint="default"/>
                            <w:sz w:val="21"/>
                            <w:szCs w:val="21"/>
                          </w:rPr>
                        </w:pPr>
                        <w:r>
                          <w:rPr>
                            <w:rFonts w:ascii="宋体" w:hAnsi="宋体" w:cs="宋体" w:eastAsia="宋体" w:hint="default"/>
                            <w:sz w:val="21"/>
                            <w:szCs w:val="21"/>
                          </w:rPr>
                          <w:t>本公司实际募集资金净额为人民币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14,627.58 </w:t>
                        </w:r>
                        <w:r>
                          <w:rPr>
                            <w:rFonts w:ascii="宋体" w:hAnsi="宋体" w:cs="宋体" w:eastAsia="宋体" w:hint="default"/>
                            <w:spacing w:val="-5"/>
                            <w:sz w:val="21"/>
                            <w:szCs w:val="21"/>
                          </w:rPr>
                          <w:t>万元。截止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日，募集资金存款利息收入</w:t>
                        </w:r>
                      </w:p>
                      <w:p>
                        <w:pPr>
                          <w:pStyle w:val="TableParagraph"/>
                          <w:spacing w:line="386" w:lineRule="auto" w:before="176"/>
                          <w:ind w:left="22" w:right="21"/>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1,625.38</w:t>
                        </w:r>
                        <w:r>
                          <w:rPr>
                            <w:rFonts w:ascii="Times New Roman" w:hAnsi="Times New Roman" w:cs="Times New Roman" w:eastAsia="Times New Roman" w:hint="default"/>
                            <w:spacing w:val="3"/>
                            <w:sz w:val="21"/>
                            <w:szCs w:val="21"/>
                          </w:rPr>
                          <w:t> </w:t>
                        </w:r>
                        <w:r>
                          <w:rPr>
                            <w:rFonts w:ascii="宋体" w:hAnsi="宋体" w:cs="宋体" w:eastAsia="宋体" w:hint="default"/>
                            <w:spacing w:val="-10"/>
                            <w:sz w:val="21"/>
                            <w:szCs w:val="21"/>
                          </w:rPr>
                          <w:t>万元，（其中本期利息收入为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17.14</w:t>
                        </w:r>
                        <w:r>
                          <w:rPr>
                            <w:rFonts w:ascii="Times New Roman" w:hAnsi="Times New Roman" w:cs="Times New Roman" w:eastAsia="Times New Roman" w:hint="default"/>
                            <w:spacing w:val="3"/>
                            <w:sz w:val="21"/>
                            <w:szCs w:val="21"/>
                          </w:rPr>
                          <w:t> </w:t>
                        </w:r>
                        <w:r>
                          <w:rPr>
                            <w:rFonts w:ascii="宋体" w:hAnsi="宋体" w:cs="宋体" w:eastAsia="宋体" w:hint="default"/>
                            <w:spacing w:val="-9"/>
                            <w:sz w:val="21"/>
                            <w:szCs w:val="21"/>
                          </w:rPr>
                          <w:t>万元），项目投入已使用募集资金</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13,781.18</w:t>
                        </w:r>
                        <w:r>
                          <w:rPr>
                            <w:rFonts w:ascii="Times New Roman" w:hAnsi="Times New Roman" w:cs="Times New Roman" w:eastAsia="Times New Roman" w:hint="default"/>
                            <w:spacing w:val="1"/>
                            <w:sz w:val="21"/>
                            <w:szCs w:val="21"/>
                          </w:rPr>
                          <w:t> </w:t>
                        </w:r>
                        <w:r>
                          <w:rPr>
                            <w:rFonts w:ascii="宋体" w:hAnsi="宋体" w:cs="宋体" w:eastAsia="宋体" w:hint="default"/>
                            <w:spacing w:val="-19"/>
                            <w:w w:val="99"/>
                            <w:sz w:val="21"/>
                            <w:szCs w:val="21"/>
                          </w:rPr>
                          <w:t>万元，（其中：</w:t>
                        </w:r>
                        <w:r>
                          <w:rPr>
                            <w:rFonts w:ascii="Times New Roman" w:hAnsi="Times New Roman" w:cs="Times New Roman" w:eastAsia="Times New Roman" w:hint="default"/>
                            <w:spacing w:val="-19"/>
                            <w:w w:val="99"/>
                            <w:sz w:val="21"/>
                            <w:szCs w:val="21"/>
                          </w:rPr>
                          <w:t>A</w:t>
                        </w:r>
                        <w:r>
                          <w:rPr>
                            <w:rFonts w:ascii="Times New Roman" w:hAnsi="Times New Roman" w:cs="Times New Roman" w:eastAsia="Times New Roman" w:hint="default"/>
                            <w:spacing w:val="-46"/>
                            <w:w w:val="99"/>
                            <w:sz w:val="21"/>
                            <w:szCs w:val="21"/>
                          </w:rPr>
                          <w:t> </w:t>
                        </w:r>
                        <w:r>
                          <w:rPr>
                            <w:rFonts w:ascii="宋体" w:hAnsi="宋体" w:cs="宋体" w:eastAsia="宋体" w:hint="default"/>
                            <w:sz w:val="21"/>
                            <w:szCs w:val="21"/>
                          </w:rPr>
                          <w:t>投入“高档仿真面料生产线技术改造项目”</w:t>
                        </w:r>
                        <w:r>
                          <w:rPr>
                            <w:rFonts w:ascii="Times New Roman" w:hAnsi="Times New Roman" w:cs="Times New Roman" w:eastAsia="Times New Roman" w:hint="default"/>
                            <w:sz w:val="21"/>
                            <w:szCs w:val="21"/>
                          </w:rPr>
                          <w:t>2,951.11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B</w:t>
                        </w:r>
                        <w:r>
                          <w:rPr>
                            <w:rFonts w:ascii="宋体" w:hAnsi="宋体" w:cs="宋体" w:eastAsia="宋体" w:hint="default"/>
                            <w:sz w:val="21"/>
                            <w:szCs w:val="21"/>
                          </w:rPr>
                          <w:t>、投入“引进服装关键设备提高出口服装档 </w:t>
                        </w:r>
                        <w:r>
                          <w:rPr>
                            <w:rFonts w:ascii="宋体" w:hAnsi="宋体" w:cs="宋体" w:eastAsia="宋体" w:hint="default"/>
                            <w:spacing w:val="-1"/>
                            <w:sz w:val="21"/>
                            <w:szCs w:val="21"/>
                          </w:rPr>
                          <w:t>次技术改造项目”</w:t>
                        </w:r>
                        <w:r>
                          <w:rPr>
                            <w:rFonts w:ascii="Times New Roman" w:hAnsi="Times New Roman" w:cs="Times New Roman" w:eastAsia="Times New Roman" w:hint="default"/>
                            <w:spacing w:val="-1"/>
                            <w:sz w:val="21"/>
                            <w:szCs w:val="21"/>
                          </w:rPr>
                          <w:t>1,804.99</w:t>
                        </w:r>
                        <w:r>
                          <w:rPr>
                            <w:rFonts w:ascii="Times New Roman" w:hAnsi="Times New Roman" w:cs="Times New Roman" w:eastAsia="Times New Roman" w:hint="default"/>
                            <w:sz w:val="21"/>
                            <w:szCs w:val="21"/>
                          </w:rPr>
                          <w:t> </w:t>
                        </w:r>
                        <w:r>
                          <w:rPr>
                            <w:rFonts w:ascii="宋体" w:hAnsi="宋体" w:cs="宋体" w:eastAsia="宋体" w:hint="default"/>
                            <w:spacing w:val="-1"/>
                            <w:sz w:val="21"/>
                            <w:szCs w:val="21"/>
                          </w:rPr>
                          <w:t>万元，</w:t>
                        </w:r>
                        <w:r>
                          <w:rPr>
                            <w:rFonts w:ascii="Times New Roman" w:hAnsi="Times New Roman" w:cs="Times New Roman" w:eastAsia="Times New Roman" w:hint="default"/>
                            <w:spacing w:val="-1"/>
                            <w:sz w:val="21"/>
                            <w:szCs w:val="21"/>
                          </w:rPr>
                          <w:t>C</w:t>
                        </w:r>
                        <w:r>
                          <w:rPr>
                            <w:rFonts w:ascii="宋体" w:hAnsi="宋体" w:cs="宋体" w:eastAsia="宋体" w:hint="default"/>
                            <w:spacing w:val="-1"/>
                            <w:sz w:val="21"/>
                            <w:szCs w:val="21"/>
                          </w:rPr>
                          <w:t>、投入“工业化集成控制固废低温热解生产线项目”</w:t>
                        </w:r>
                        <w:r>
                          <w:rPr>
                            <w:rFonts w:ascii="Times New Roman" w:hAnsi="Times New Roman" w:cs="Times New Roman" w:eastAsia="Times New Roman" w:hint="default"/>
                            <w:spacing w:val="-1"/>
                            <w:sz w:val="21"/>
                            <w:szCs w:val="21"/>
                          </w:rPr>
                          <w:t>9,025.08</w:t>
                        </w:r>
                        <w:r>
                          <w:rPr>
                            <w:rFonts w:ascii="Times New Roman" w:hAnsi="Times New Roman" w:cs="Times New Roman" w:eastAsia="Times New Roman" w:hint="default"/>
                            <w:sz w:val="21"/>
                            <w:szCs w:val="21"/>
                          </w:rPr>
                          <w:t> </w:t>
                        </w:r>
                        <w:r>
                          <w:rPr>
                            <w:rFonts w:ascii="宋体" w:hAnsi="宋体" w:cs="宋体" w:eastAsia="宋体" w:hint="default"/>
                            <w:spacing w:val="-36"/>
                            <w:sz w:val="21"/>
                            <w:szCs w:val="21"/>
                          </w:rPr>
                          <w:t>万元）</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其他使用募集资金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411.08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D</w:t>
                        </w:r>
                        <w:r>
                          <w:rPr>
                            <w:rFonts w:ascii="宋体" w:hAnsi="宋体" w:cs="宋体" w:eastAsia="宋体" w:hint="default"/>
                            <w:sz w:val="21"/>
                            <w:szCs w:val="21"/>
                          </w:rPr>
                          <w:t>、专户利息收入转入基本户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410.58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E</w:t>
                        </w:r>
                        <w:r>
                          <w:rPr>
                            <w:rFonts w:ascii="宋体" w:hAnsi="宋体" w:cs="宋体" w:eastAsia="宋体" w:hint="default"/>
                            <w:sz w:val="21"/>
                            <w:szCs w:val="21"/>
                          </w:rPr>
                          <w:t>、支付银行手续费</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，募集</w:t>
                        </w:r>
                        <w:r>
                          <w:rPr>
                            <w:rFonts w:ascii="宋体" w:hAnsi="宋体" w:cs="宋体" w:eastAsia="宋体" w:hint="default"/>
                            <w:spacing w:val="-2"/>
                            <w:sz w:val="21"/>
                            <w:szCs w:val="21"/>
                          </w:rPr>
                          <w:t>资</w:t>
                        </w:r>
                        <w:r>
                          <w:rPr>
                            <w:rFonts w:ascii="宋体" w:hAnsi="宋体" w:cs="宋体" w:eastAsia="宋体" w:hint="default"/>
                            <w:sz w:val="21"/>
                            <w:szCs w:val="21"/>
                          </w:rPr>
                          <w:t>金专户余额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2,060.70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z w:val="21"/>
                            <w:szCs w:val="21"/>
                          </w:rPr>
                          <w:t>。</w:t>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日，公司召开的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年第四次临时股东大会审议通过了《关于终止实施募投项目的</w:t>
                        </w:r>
                      </w:p>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议案》及《关于使用节余资金永久补充流动资金的议案</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公司将截止</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 </w:t>
                        </w:r>
                        <w:r>
                          <w:rPr>
                            <w:rFonts w:ascii="宋体" w:hAnsi="宋体" w:cs="宋体" w:eastAsia="宋体" w:hint="default"/>
                            <w:sz w:val="21"/>
                            <w:szCs w:val="21"/>
                          </w:rPr>
                          <w:t>日募集资</w:t>
                        </w:r>
                        <w:r>
                          <w:rPr>
                            <w:rFonts w:ascii="宋体" w:hAnsi="宋体" w:cs="宋体" w:eastAsia="宋体" w:hint="default"/>
                            <w:spacing w:val="-2"/>
                            <w:sz w:val="21"/>
                            <w:szCs w:val="21"/>
                          </w:rPr>
                          <w:t>金</w:t>
                        </w:r>
                        <w:r>
                          <w:rPr>
                            <w:rFonts w:ascii="宋体" w:hAnsi="宋体" w:cs="宋体" w:eastAsia="宋体" w:hint="default"/>
                            <w:sz w:val="21"/>
                            <w:szCs w:val="21"/>
                          </w:rPr>
                          <w:t>余额</w:t>
                        </w:r>
                      </w:p>
                      <w:p>
                        <w:pPr>
                          <w:pStyle w:val="TableParagraph"/>
                          <w:spacing w:line="240" w:lineRule="auto" w:before="17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2,060.70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万元（包含利息收入，转出金额以资金转出日当日银行结息余额为准）永久补充流动资金。</w:t>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日，公司募集资金余额为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宋体" w:hAnsi="宋体" w:cs="宋体" w:eastAsia="宋体" w:hint="default"/>
                            <w:sz w:val="21"/>
                            <w:szCs w:val="21"/>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5"/>
        <w:ind w:left="0" w:right="115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5"/>
        <w:spacing w:line="240" w:lineRule="auto"/>
        <w:ind w:right="0"/>
        <w:jc w:val="left"/>
        <w:rPr>
          <w:b w:val="0"/>
          <w:bCs w:val="0"/>
        </w:rPr>
      </w:pPr>
      <w:bookmarkStart w:name="（2）募集资金承诺项目情况" w:id="46"/>
      <w:bookmarkEnd w:id="46"/>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782"/>
        <w:gridCol w:w="782"/>
        <w:gridCol w:w="782"/>
        <w:gridCol w:w="786"/>
      </w:tblGrid>
      <w:tr>
        <w:trPr>
          <w:trHeight w:val="133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81"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1"/>
              <w:jc w:val="left"/>
              <w:rPr>
                <w:rFonts w:ascii="宋体" w:hAnsi="宋体" w:cs="宋体" w:eastAsia="宋体" w:hint="default"/>
                <w:sz w:val="18"/>
                <w:szCs w:val="18"/>
              </w:rPr>
            </w:pPr>
            <w:r>
              <w:rPr>
                <w:rFonts w:ascii="宋体" w:hAnsi="宋体" w:cs="宋体" w:eastAsia="宋体" w:hint="default"/>
                <w:sz w:val="18"/>
                <w:szCs w:val="18"/>
              </w:rPr>
              <w:t>高档仿真面料生产线 技术改造项目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16,529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2,951.11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2,951.11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192.21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引进服装关键设备提 高出口服装档次技术</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1,804.99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1,804.99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64"/>
        <w:gridCol w:w="769"/>
        <w:gridCol w:w="782"/>
        <w:gridCol w:w="776"/>
        <w:gridCol w:w="781"/>
        <w:gridCol w:w="788"/>
        <w:gridCol w:w="776"/>
        <w:gridCol w:w="776"/>
        <w:gridCol w:w="794"/>
        <w:gridCol w:w="776"/>
        <w:gridCol w:w="786"/>
      </w:tblGrid>
      <w:tr>
        <w:trPr>
          <w:trHeight w:val="36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改造项目</w:t>
            </w:r>
          </w:p>
        </w:tc>
        <w:tc>
          <w:tcPr>
            <w:tcW w:w="76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面料、服装研究开发 中心技术改造项目</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活性碳纤维植绒布、 活性碳喷涂等功能性 面料生产线技术改造 项目</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2,954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7"/>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工业化集成控制固废 低温热解生产线项目</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9,025.08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-2,624.06</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25,161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13,756.1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13,781.18</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-2,431.85</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25,161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13,756.1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13,781.18</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w w:val="95"/>
                <w:sz w:val="18"/>
              </w:rPr>
              <w:t>-2,431.85</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1820"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338" w:lineRule="auto" w:before="51"/>
              <w:ind w:left="376"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、高档仿真面料生产线技术改造项目 </w:t>
            </w:r>
            <w:r>
              <w:rPr>
                <w:rFonts w:ascii="宋体" w:hAnsi="宋体" w:cs="宋体" w:eastAsia="宋体" w:hint="default"/>
                <w:spacing w:val="-5"/>
                <w:sz w:val="18"/>
                <w:szCs w:val="18"/>
              </w:rPr>
              <w:t>高档仿真面料生产线技术改造项目已经终止实施。《关于终止实施高档仿真面料生产线技术改造</w:t>
            </w:r>
          </w:p>
          <w:p>
            <w:pPr>
              <w:pStyle w:val="TableParagraph"/>
              <w:spacing w:line="338" w:lineRule="auto" w:before="4"/>
              <w:ind w:left="376" w:right="29" w:hanging="360"/>
              <w:jc w:val="left"/>
              <w:rPr>
                <w:rFonts w:ascii="宋体" w:hAnsi="宋体" w:cs="宋体" w:eastAsia="宋体" w:hint="default"/>
                <w:sz w:val="18"/>
                <w:szCs w:val="18"/>
              </w:rPr>
            </w:pPr>
            <w:r>
              <w:rPr>
                <w:rFonts w:ascii="宋体" w:hAnsi="宋体" w:cs="宋体" w:eastAsia="宋体" w:hint="default"/>
                <w:sz w:val="18"/>
                <w:szCs w:val="18"/>
              </w:rPr>
              <w:t>项目的议案》分别经公司第三届董事会第九次会议和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年第一次临时股东大会审议批准。 </w:t>
            </w:r>
            <w:r>
              <w:rPr>
                <w:rFonts w:ascii="Times New Roman" w:hAnsi="Times New Roman" w:cs="Times New Roman" w:eastAsia="Times New Roman" w:hint="default"/>
                <w:sz w:val="18"/>
                <w:szCs w:val="18"/>
              </w:rPr>
              <w:t>2</w:t>
            </w:r>
            <w:r>
              <w:rPr>
                <w:rFonts w:ascii="宋体" w:hAnsi="宋体" w:cs="宋体" w:eastAsia="宋体" w:hint="default"/>
                <w:sz w:val="18"/>
                <w:szCs w:val="18"/>
              </w:rPr>
              <w:t>、引进服装关键设备提高出口服装档次技术改造项目 “引进服装关键设备提高出口服装档次技术改造项目”经过前期投入后，为盘活存量资产对现</w:t>
            </w:r>
          </w:p>
          <w:p>
            <w:pPr>
              <w:pStyle w:val="TableParagraph"/>
              <w:spacing w:line="319" w:lineRule="auto" w:before="2"/>
              <w:ind w:left="16" w:right="20"/>
              <w:jc w:val="both"/>
              <w:rPr>
                <w:rFonts w:ascii="宋体" w:hAnsi="宋体" w:cs="宋体" w:eastAsia="宋体" w:hint="default"/>
                <w:sz w:val="18"/>
                <w:szCs w:val="18"/>
              </w:rPr>
            </w:pPr>
            <w:r>
              <w:rPr>
                <w:rFonts w:ascii="宋体" w:hAnsi="宋体" w:cs="宋体" w:eastAsia="宋体" w:hint="default"/>
                <w:sz w:val="18"/>
                <w:szCs w:val="18"/>
              </w:rPr>
              <w:t>有部分设备进行技术革新和改造，目前看，现有设备与员工人数已基本匹配。公司董事会经慎重研 </w:t>
            </w:r>
            <w:r>
              <w:rPr>
                <w:rFonts w:ascii="宋体" w:hAnsi="宋体" w:cs="宋体" w:eastAsia="宋体" w:hint="default"/>
                <w:spacing w:val="-4"/>
                <w:sz w:val="18"/>
                <w:szCs w:val="18"/>
              </w:rPr>
              <w:t>究后决定终止实施“引进服装关键设备提高出口服装档次技术改造项目”。《关于终止实施募投项目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的议案》分别经公司第五届董事会第七次会议和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年第四次临时股东大会审议批准。</w:t>
            </w:r>
          </w:p>
          <w:p>
            <w:pPr>
              <w:pStyle w:val="TableParagraph"/>
              <w:spacing w:line="302" w:lineRule="auto" w:before="37"/>
              <w:ind w:left="16"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、面料、服装研究开发中心技术改造项目以及活性碳纤维植绒布、活性碳喷涂等功能性面料生</w:t>
            </w:r>
            <w:r>
              <w:rPr>
                <w:rFonts w:ascii="宋体" w:hAnsi="宋体" w:cs="宋体" w:eastAsia="宋体" w:hint="default"/>
                <w:sz w:val="18"/>
                <w:szCs w:val="18"/>
              </w:rPr>
              <w:t> 产线技术改造项目</w:t>
            </w:r>
          </w:p>
          <w:p>
            <w:pPr>
              <w:pStyle w:val="TableParagraph"/>
              <w:spacing w:line="319" w:lineRule="auto" w:before="68"/>
              <w:ind w:left="16" w:right="29" w:firstLine="360"/>
              <w:jc w:val="left"/>
              <w:rPr>
                <w:rFonts w:ascii="宋体" w:hAnsi="宋体" w:cs="宋体" w:eastAsia="宋体" w:hint="default"/>
                <w:sz w:val="18"/>
                <w:szCs w:val="18"/>
              </w:rPr>
            </w:pPr>
            <w:r>
              <w:rPr>
                <w:rFonts w:ascii="宋体" w:hAnsi="宋体" w:cs="宋体" w:eastAsia="宋体" w:hint="default"/>
                <w:sz w:val="18"/>
                <w:szCs w:val="18"/>
              </w:rPr>
              <w:t>鉴于当前国际、国内经济形势及纺织服装市场的整体状况，公司董事会经慎重研究后决定不再 实施“面料、服装研究开发中心技术改造项目”和“活性碳纤维植绒布、活性碳喷涂等功能性面料 </w:t>
            </w:r>
            <w:r>
              <w:rPr>
                <w:rFonts w:ascii="宋体" w:hAnsi="宋体" w:cs="宋体" w:eastAsia="宋体" w:hint="default"/>
                <w:spacing w:val="-3"/>
                <w:sz w:val="18"/>
                <w:szCs w:val="18"/>
              </w:rPr>
              <w:t>生产线技术改造项目”。《关于终止实施募投项目的议案》分别经公司第五届董事会第七次会议和</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年第四次临时股东大会审议批准。</w:t>
            </w:r>
          </w:p>
        </w:tc>
      </w:tr>
      <w:tr>
        <w:trPr>
          <w:trHeight w:val="1017"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vMerge/>
            <w:tcBorders>
              <w:left w:val="single" w:sz="9" w:space="0" w:color="D2D2D2"/>
              <w:right w:val="single" w:sz="4" w:space="0" w:color="000000"/>
            </w:tcBorders>
          </w:tcPr>
          <w:p>
            <w:pPr/>
          </w:p>
        </w:tc>
      </w:tr>
      <w:tr>
        <w:trPr>
          <w:trHeight w:val="1820"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是，同上。</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6"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316" w:lineRule="auto" w:before="53"/>
              <w:ind w:left="16" w:right="31" w:firstLine="360"/>
              <w:jc w:val="left"/>
              <w:rPr>
                <w:rFonts w:ascii="宋体" w:hAnsi="宋体" w:cs="宋体" w:eastAsia="宋体" w:hint="default"/>
                <w:sz w:val="18"/>
                <w:szCs w:val="18"/>
              </w:rPr>
            </w:pPr>
            <w:r>
              <w:rPr>
                <w:rFonts w:ascii="宋体" w:hAnsi="宋体" w:cs="宋体" w:eastAsia="宋体" w:hint="default"/>
                <w:sz w:val="18"/>
                <w:szCs w:val="18"/>
              </w:rPr>
              <w:t>公司的募集资金项目从项目规划到募集资金到位经历了较长时间，在募集资金到位前曾使用自 有资金先期投入募集资金项目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万元，其中：高档仿真面料生产线技术改造项目先期投入</w:t>
            </w:r>
          </w:p>
          <w:p>
            <w:pPr>
              <w:pStyle w:val="TableParagraph"/>
              <w:spacing w:line="248"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307.97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万元，引进服装关键设备提高出口服装档次技术改造项目先期投入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到位后，公司从募集资金专用账户中共划拨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万元至基本存款账户，用于补偿公司先期投入</w:t>
            </w:r>
          </w:p>
        </w:tc>
      </w:tr>
      <w:tr>
        <w:trPr>
          <w:trHeight w:val="704"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0"/>
            <w:vMerge/>
            <w:tcBorders>
              <w:left w:val="single" w:sz="9" w:space="0" w:color="D2D2D2"/>
              <w:right w:val="single" w:sz="4" w:space="0" w:color="000000"/>
            </w:tcBorders>
          </w:tcPr>
          <w:p>
            <w:pPr/>
          </w:p>
        </w:tc>
      </w:tr>
      <w:tr>
        <w:trPr>
          <w:trHeight w:val="498"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362" w:hRule="exact"/>
        </w:trPr>
        <w:tc>
          <w:tcPr>
            <w:tcW w:w="1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募集资金项目的自有资金。</w:t>
            </w: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0"/>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经公司第五届董事会第七次会议和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第四次临时股东大会批准</w:t>
            </w:r>
            <w:r>
              <w:rPr>
                <w:rFonts w:ascii="宋体" w:hAnsi="宋体" w:cs="宋体" w:eastAsia="宋体" w:hint="default"/>
                <w:spacing w:val="-82"/>
                <w:sz w:val="18"/>
                <w:szCs w:val="18"/>
              </w:rPr>
              <w:t>，</w:t>
            </w:r>
            <w:r>
              <w:rPr>
                <w:rFonts w:ascii="宋体" w:hAnsi="宋体" w:cs="宋体" w:eastAsia="宋体" w:hint="default"/>
                <w:sz w:val="18"/>
                <w:szCs w:val="18"/>
              </w:rPr>
              <w:t>公司将终止实施募投项目</w:t>
            </w:r>
          </w:p>
          <w:p>
            <w:pPr>
              <w:pStyle w:val="TableParagraph"/>
              <w:spacing w:line="300" w:lineRule="auto" w:before="61"/>
              <w:ind w:left="22" w:right="21"/>
              <w:jc w:val="both"/>
              <w:rPr>
                <w:rFonts w:ascii="宋体" w:hAnsi="宋体" w:cs="宋体" w:eastAsia="宋体" w:hint="default"/>
                <w:sz w:val="18"/>
                <w:szCs w:val="18"/>
              </w:rPr>
            </w:pPr>
            <w:r>
              <w:rPr>
                <w:rFonts w:ascii="宋体" w:hAnsi="宋体" w:cs="宋体" w:eastAsia="宋体" w:hint="default"/>
                <w:sz w:val="18"/>
                <w:szCs w:val="18"/>
              </w:rPr>
              <w:t>后的节余募集资金变更为永久补充流动资金。详见公司于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日在《上海证券报》和巨 </w:t>
            </w:r>
            <w:r>
              <w:rPr>
                <w:rFonts w:ascii="宋体" w:hAnsi="宋体" w:cs="宋体" w:eastAsia="宋体" w:hint="default"/>
                <w:spacing w:val="-7"/>
                <w:sz w:val="18"/>
                <w:szCs w:val="18"/>
              </w:rPr>
              <w:t>潮资讯网发布的《关于终止实施募投项目的公告》（公告编号：</w:t>
            </w:r>
            <w:r>
              <w:rPr>
                <w:rFonts w:ascii="Times New Roman" w:hAnsi="Times New Roman" w:cs="Times New Roman" w:eastAsia="Times New Roman" w:hint="default"/>
                <w:spacing w:val="-7"/>
                <w:sz w:val="18"/>
                <w:szCs w:val="18"/>
              </w:rPr>
              <w:t>2014-044</w:t>
            </w:r>
            <w:r>
              <w:rPr>
                <w:rFonts w:ascii="宋体" w:hAnsi="宋体" w:cs="宋体" w:eastAsia="宋体" w:hint="default"/>
                <w:spacing w:val="-7"/>
                <w:sz w:val="18"/>
                <w:szCs w:val="18"/>
              </w:rPr>
              <w:t>）、《关于使用节余募集资金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0"/>
                <w:sz w:val="18"/>
                <w:szCs w:val="18"/>
              </w:rPr>
              <w:t>永久补充流动资金的公告》（公告编号：</w:t>
            </w:r>
            <w:r>
              <w:rPr>
                <w:rFonts w:ascii="Times New Roman" w:hAnsi="Times New Roman" w:cs="Times New Roman" w:eastAsia="Times New Roman" w:hint="default"/>
                <w:spacing w:val="-10"/>
                <w:sz w:val="18"/>
                <w:szCs w:val="18"/>
              </w:rPr>
              <w:t>2014-045</w:t>
            </w:r>
            <w:r>
              <w:rPr>
                <w:rFonts w:ascii="宋体" w:hAnsi="宋体" w:cs="宋体" w:eastAsia="宋体" w:hint="default"/>
                <w:spacing w:val="-10"/>
                <w:sz w:val="18"/>
                <w:szCs w:val="18"/>
              </w:rPr>
              <w:t>）。</w:t>
            </w:r>
            <w:r>
              <w:rPr>
                <w:rFonts w:ascii="宋体" w:hAnsi="宋体" w:cs="宋体" w:eastAsia="宋体" w:hint="default"/>
                <w:sz w:val="18"/>
                <w:szCs w:val="18"/>
              </w:rPr>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经公司第五届董事会第七次会议和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第四次临时股东大会批准</w:t>
            </w:r>
            <w:r>
              <w:rPr>
                <w:rFonts w:ascii="宋体" w:hAnsi="宋体" w:cs="宋体" w:eastAsia="宋体" w:hint="default"/>
                <w:spacing w:val="-82"/>
                <w:sz w:val="18"/>
                <w:szCs w:val="18"/>
              </w:rPr>
              <w:t>，</w:t>
            </w:r>
            <w:r>
              <w:rPr>
                <w:rFonts w:ascii="宋体" w:hAnsi="宋体" w:cs="宋体" w:eastAsia="宋体" w:hint="default"/>
                <w:sz w:val="18"/>
                <w:szCs w:val="18"/>
              </w:rPr>
              <w:t>公司终止实施募投项目后</w:t>
            </w:r>
          </w:p>
          <w:p>
            <w:pPr>
              <w:pStyle w:val="TableParagraph"/>
              <w:spacing w:line="302" w:lineRule="auto" w:before="61"/>
              <w:ind w:left="22" w:right="30"/>
              <w:jc w:val="left"/>
              <w:rPr>
                <w:rFonts w:ascii="宋体" w:hAnsi="宋体" w:cs="宋体" w:eastAsia="宋体" w:hint="default"/>
                <w:sz w:val="18"/>
                <w:szCs w:val="18"/>
              </w:rPr>
            </w:pPr>
            <w:r>
              <w:rPr>
                <w:rFonts w:ascii="宋体" w:hAnsi="宋体" w:cs="宋体" w:eastAsia="宋体" w:hint="default"/>
                <w:sz w:val="18"/>
                <w:szCs w:val="18"/>
              </w:rPr>
              <w:t>的节余募集资金已变更为永久补充流动资金。详见公司于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日在《上海证券报》和巨 </w:t>
            </w:r>
            <w:r>
              <w:rPr>
                <w:rFonts w:ascii="宋体" w:hAnsi="宋体" w:cs="宋体" w:eastAsia="宋体" w:hint="default"/>
                <w:spacing w:val="-6"/>
                <w:sz w:val="18"/>
                <w:szCs w:val="18"/>
              </w:rPr>
              <w:t>潮资讯网发布的《关于使用节余募集资金永久补充流动资金的公告》（公告编号：</w:t>
            </w:r>
            <w:r>
              <w:rPr>
                <w:rFonts w:ascii="Times New Roman" w:hAnsi="Times New Roman" w:cs="Times New Roman" w:eastAsia="Times New Roman" w:hint="default"/>
                <w:spacing w:val="-6"/>
                <w:sz w:val="18"/>
                <w:szCs w:val="18"/>
              </w:rPr>
              <w:t>2014-045</w:t>
            </w:r>
            <w:r>
              <w:rPr>
                <w:rFonts w:ascii="宋体" w:hAnsi="宋体" w:cs="宋体" w:eastAsia="宋体" w:hint="default"/>
                <w:spacing w:val="-6"/>
                <w:sz w:val="18"/>
                <w:szCs w:val="18"/>
              </w:rPr>
              <w:t>）。</w:t>
            </w:r>
            <w:r>
              <w:rPr>
                <w:rFonts w:ascii="宋体" w:hAnsi="宋体" w:cs="宋体" w:eastAsia="宋体" w:hint="default"/>
                <w:sz w:val="18"/>
                <w:szCs w:val="18"/>
              </w:rPr>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3）募集资金变更项目情况" w:id="47"/>
      <w:bookmarkEnd w:id="47"/>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1061"/>
        <w:gridCol w:w="851"/>
        <w:gridCol w:w="956"/>
        <w:gridCol w:w="955"/>
        <w:gridCol w:w="956"/>
        <w:gridCol w:w="957"/>
        <w:gridCol w:w="712"/>
        <w:gridCol w:w="1206"/>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4" w:right="24"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w:t>
            </w:r>
            <w:r>
              <w:rPr>
                <w:rFonts w:ascii="Times New Roman" w:hAnsi="Times New Roman" w:cs="Times New Roman" w:eastAsia="Times New Roman" w:hint="default"/>
                <w:sz w:val="18"/>
                <w:szCs w:val="18"/>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1"/>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2" w:right="22"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79"/>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 w:right="56"/>
              <w:jc w:val="both"/>
              <w:rPr>
                <w:rFonts w:ascii="宋体" w:hAnsi="宋体" w:cs="宋体" w:eastAsia="宋体" w:hint="default"/>
                <w:sz w:val="18"/>
                <w:szCs w:val="18"/>
              </w:rPr>
            </w:pPr>
            <w:r>
              <w:rPr>
                <w:rFonts w:ascii="宋体" w:hAnsi="宋体" w:cs="宋体" w:eastAsia="宋体" w:hint="default"/>
                <w:sz w:val="18"/>
                <w:szCs w:val="18"/>
              </w:rPr>
              <w:t>变更后的项目 可行性是否发 生重大变化</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工业化集成 控制固废低 温热解生产 线项目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高档仿真面 料生产线技 术改造项目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9,025.08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-2,624.06</w:t>
            </w:r>
            <w:r>
              <w:rPr>
                <w:rFonts w:ascii="Times New Roman"/>
                <w:sz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9,025.08</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-2,624.06</w:t>
            </w:r>
            <w:r>
              <w:rPr>
                <w:rFonts w:ascii="Times New Roman"/>
                <w:sz w:val="18"/>
              </w:rPr>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w:t>
            </w:r>
          </w:p>
        </w:tc>
      </w:tr>
      <w:tr>
        <w:trPr>
          <w:trHeight w:val="4458"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594" w:type="dxa"/>
            <w:gridSpan w:val="7"/>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firstLine="360"/>
              <w:jc w:val="both"/>
              <w:rPr>
                <w:rFonts w:ascii="宋体" w:hAnsi="宋体" w:cs="宋体" w:eastAsia="宋体" w:hint="default"/>
                <w:sz w:val="18"/>
                <w:szCs w:val="18"/>
              </w:rPr>
            </w:pPr>
            <w:r>
              <w:rPr>
                <w:rFonts w:ascii="宋体" w:hAnsi="宋体" w:cs="宋体" w:eastAsia="宋体" w:hint="default"/>
                <w:sz w:val="18"/>
                <w:szCs w:val="18"/>
              </w:rPr>
              <w:t>鉴于公司在历年的年度及半年度报告中所披露的对本项目实施进展情况的客观 </w:t>
            </w:r>
            <w:r>
              <w:rPr>
                <w:rFonts w:ascii="宋体" w:hAnsi="宋体" w:cs="宋体" w:eastAsia="宋体" w:hint="default"/>
                <w:spacing w:val="-3"/>
                <w:sz w:val="18"/>
                <w:szCs w:val="18"/>
              </w:rPr>
              <w:t>分析，再加之自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年下半年由美国次贷危机引发的经济危机席卷全球，作为劳动 密集型的纺织行业大都面临着巨大的压力和严峻的挑战。考虑到当前国际、国内经 济形势及纺织品市场的整体现状，公司第三届董事会第九次会议经慎重研究后审议 </w:t>
            </w:r>
            <w:r>
              <w:rPr>
                <w:rFonts w:ascii="宋体" w:hAnsi="宋体" w:cs="宋体" w:eastAsia="宋体" w:hint="default"/>
                <w:spacing w:val="-4"/>
                <w:sz w:val="18"/>
                <w:szCs w:val="18"/>
              </w:rPr>
              <w:t>通过了《关于终止实施高档仿真面料生产线技术改造项目的议案》，该议案已经公司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w:t>
            </w:r>
          </w:p>
          <w:p>
            <w:pPr>
              <w:pStyle w:val="TableParagraph"/>
              <w:spacing w:line="240" w:lineRule="auto" w:before="40"/>
              <w:ind w:left="38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年第一次临时股东大会审议通过了《关于变更部分募集资金投资项目</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分别发布了关于变更部分</w:t>
            </w:r>
          </w:p>
          <w:p>
            <w:pPr>
              <w:pStyle w:val="TableParagraph"/>
              <w:spacing w:line="300"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募集资金投资项目的公告（公告编号：</w:t>
            </w:r>
            <w:r>
              <w:rPr>
                <w:rFonts w:ascii="Times New Roman" w:hAnsi="Times New Roman" w:cs="Times New Roman" w:eastAsia="Times New Roman" w:hint="default"/>
                <w:sz w:val="18"/>
                <w:szCs w:val="18"/>
              </w:rPr>
              <w:t>2010-033</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年第一次临时股东大会决 </w:t>
            </w:r>
            <w:r>
              <w:rPr>
                <w:rFonts w:ascii="宋体" w:hAnsi="宋体" w:cs="宋体" w:eastAsia="宋体" w:hint="default"/>
                <w:spacing w:val="-3"/>
                <w:sz w:val="18"/>
                <w:szCs w:val="18"/>
              </w:rPr>
              <w:t>议公告（公告编号：</w:t>
            </w:r>
            <w:r>
              <w:rPr>
                <w:rFonts w:ascii="Times New Roman" w:hAnsi="Times New Roman" w:cs="Times New Roman" w:eastAsia="Times New Roman" w:hint="default"/>
                <w:spacing w:val="-3"/>
                <w:sz w:val="18"/>
                <w:szCs w:val="18"/>
              </w:rPr>
              <w:t>2010-036</w:t>
            </w:r>
            <w:r>
              <w:rPr>
                <w:rFonts w:ascii="宋体" w:hAnsi="宋体" w:cs="宋体" w:eastAsia="宋体" w:hint="default"/>
                <w:spacing w:val="-3"/>
                <w:sz w:val="18"/>
                <w:szCs w:val="18"/>
              </w:rPr>
              <w:t>）。公司监事会以决议形式对《关于变更部分募集资金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投资项目的议案》发表了独立意见，详见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日发布的第三届监事会第 </w:t>
            </w:r>
            <w:r>
              <w:rPr>
                <w:rFonts w:ascii="宋体" w:hAnsi="宋体" w:cs="宋体" w:eastAsia="宋体" w:hint="default"/>
                <w:spacing w:val="-3"/>
                <w:sz w:val="18"/>
                <w:szCs w:val="18"/>
              </w:rPr>
              <w:t>十三次会议决议公告（公告编号：</w:t>
            </w:r>
            <w:r>
              <w:rPr>
                <w:rFonts w:ascii="Times New Roman" w:hAnsi="Times New Roman" w:cs="Times New Roman" w:eastAsia="Times New Roman" w:hint="default"/>
                <w:spacing w:val="-3"/>
                <w:sz w:val="18"/>
                <w:szCs w:val="18"/>
              </w:rPr>
              <w:t>2010-031</w:t>
            </w:r>
            <w:r>
              <w:rPr>
                <w:rFonts w:ascii="宋体" w:hAnsi="宋体" w:cs="宋体" w:eastAsia="宋体" w:hint="default"/>
                <w:spacing w:val="-3"/>
                <w:sz w:val="18"/>
                <w:szCs w:val="18"/>
              </w:rPr>
              <w:t>）；独立董事对公司第三届董事会第十五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次会议审议的《关于变更部分募集资金投资项目的议案》发表了独立意见，详见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2010</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日发布在巨潮资讯网的公司独立董事关于变更部分募集资金投资项目的独</w:t>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8"/>
        <w:gridCol w:w="6594"/>
      </w:tblGrid>
      <w:tr>
        <w:trPr>
          <w:trHeight w:val="1338"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立意见。</w:t>
            </w:r>
          </w:p>
          <w:p>
            <w:pPr>
              <w:pStyle w:val="TableParagraph"/>
              <w:spacing w:line="319" w:lineRule="auto" w:before="116"/>
              <w:ind w:left="22" w:right="20" w:firstLine="360"/>
              <w:jc w:val="left"/>
              <w:rPr>
                <w:rFonts w:ascii="宋体" w:hAnsi="宋体" w:cs="宋体" w:eastAsia="宋体" w:hint="default"/>
                <w:sz w:val="18"/>
                <w:szCs w:val="18"/>
              </w:rPr>
            </w:pPr>
            <w:r>
              <w:rPr>
                <w:rFonts w:ascii="宋体" w:hAnsi="宋体" w:cs="宋体" w:eastAsia="宋体" w:hint="default"/>
                <w:spacing w:val="-14"/>
                <w:sz w:val="18"/>
                <w:szCs w:val="18"/>
              </w:rPr>
              <w:t>公司变更募集资金投资项目严格按照《公司法》、《证券法》、深圳证券交易所《股</w:t>
            </w:r>
            <w:r>
              <w:rPr>
                <w:rFonts w:ascii="宋体" w:hAnsi="宋体" w:cs="宋体" w:eastAsia="宋体" w:hint="default"/>
                <w:sz w:val="18"/>
                <w:szCs w:val="18"/>
              </w:rPr>
              <w:t> </w:t>
            </w:r>
            <w:r>
              <w:rPr>
                <w:rFonts w:ascii="宋体" w:hAnsi="宋体" w:cs="宋体" w:eastAsia="宋体" w:hint="default"/>
                <w:spacing w:val="-5"/>
                <w:sz w:val="18"/>
                <w:szCs w:val="18"/>
              </w:rPr>
              <w:t>票上市规则》、《中小企业板上市公司募集资金管理细则》等相关法律、法规及规范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性文件及公司《募集资金管理办法》履行了审批手续和信息披露义务。</w:t>
            </w:r>
          </w:p>
        </w:tc>
      </w:tr>
      <w:tr>
        <w:trPr>
          <w:trHeight w:val="165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 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、项目基建期间因天气原因以及因天气原因造成园区相关配套工程未及时到位</w:t>
            </w:r>
            <w:r>
              <w:rPr>
                <w:rFonts w:ascii="宋体" w:hAnsi="宋体" w:cs="宋体" w:eastAsia="宋体" w:hint="default"/>
                <w:sz w:val="18"/>
                <w:szCs w:val="18"/>
              </w:rPr>
              <w:t> </w:t>
            </w:r>
            <w:r>
              <w:rPr>
                <w:rFonts w:ascii="宋体" w:hAnsi="宋体" w:cs="宋体" w:eastAsia="宋体" w:hint="default"/>
                <w:spacing w:val="-1"/>
                <w:sz w:val="18"/>
                <w:szCs w:val="18"/>
              </w:rPr>
              <w:t>等对项目建设进度造成一定的延误；</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、在设备调试过程中，对生产线炭黑处理的后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道部分进行技术改造升级，也对项目建设进度造成一定的影响；</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、试生产过程中生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产线设备的连续运行问题、处理能力问题等以及炭黑产品滞销因素的影响。上述各 项因素使得该项目未达到计划进度和预期收益。</w:t>
            </w:r>
          </w:p>
        </w:tc>
      </w:tr>
      <w:tr>
        <w:trPr>
          <w:trHeight w:val="2586"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63"/>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 情况说明</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因能源公司生产线设备问题以及炭黑产品滞销等因素，该公司的生产经营状况 与项目投资时的预计存在较大的差异。该公司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年度对四条“工业化集成控制固 废低温热解生产线成套设备”计提资产减值准备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8,493.42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年上半年，能 源公司的生产和经营状况未得到改善，因设备无法正常运行，能源公司自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7"/>
              <w:ind w:left="22" w:right="0"/>
              <w:jc w:val="both"/>
              <w:rPr>
                <w:rFonts w:ascii="宋体" w:hAnsi="宋体" w:cs="宋体" w:eastAsia="宋体" w:hint="default"/>
                <w:sz w:val="18"/>
                <w:szCs w:val="18"/>
              </w:rPr>
            </w:pPr>
            <w:r>
              <w:rPr>
                <w:rFonts w:ascii="宋体" w:hAnsi="宋体" w:cs="宋体" w:eastAsia="宋体" w:hint="default"/>
                <w:sz w:val="18"/>
                <w:szCs w:val="18"/>
              </w:rPr>
              <w:t>月起全部停产，根据该生产线之状况，能源公司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年度将该生产线补提资产减值</w:t>
            </w:r>
          </w:p>
          <w:p>
            <w:pPr>
              <w:pStyle w:val="TableParagraph"/>
              <w:spacing w:line="309" w:lineRule="auto" w:before="63"/>
              <w:ind w:left="22" w:right="78"/>
              <w:jc w:val="both"/>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1,286.69 </w:t>
            </w:r>
            <w:r>
              <w:rPr>
                <w:rFonts w:ascii="宋体" w:hAnsi="宋体" w:cs="宋体" w:eastAsia="宋体" w:hint="default"/>
                <w:sz w:val="18"/>
                <w:szCs w:val="18"/>
              </w:rPr>
              <w:t>万元。该公司因上海金匙未适当履行《工业化集成控制固废低温热解 生产线设备购销合同》中的义务，将其诉讼至法院。公司将根据能源公司经营情况 和诉讼的进展情况审慎决策。</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主要子公司、参股公司分析" w:id="48"/>
      <w:bookmarkEnd w:id="48"/>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15" w:space="65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784"/>
        <w:gridCol w:w="955"/>
        <w:gridCol w:w="958"/>
        <w:gridCol w:w="956"/>
        <w:gridCol w:w="956"/>
        <w:gridCol w:w="956"/>
        <w:gridCol w:w="957"/>
        <w:gridCol w:w="958"/>
        <w:gridCol w:w="956"/>
      </w:tblGrid>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left"/>
              <w:rPr>
                <w:rFonts w:ascii="宋体" w:hAnsi="宋体" w:cs="宋体" w:eastAsia="宋体" w:hint="default"/>
                <w:sz w:val="18"/>
                <w:szCs w:val="18"/>
              </w:rPr>
            </w:pPr>
            <w:r>
              <w:rPr>
                <w:rFonts w:ascii="宋体" w:hAnsi="宋体" w:cs="宋体" w:eastAsia="宋体" w:hint="default"/>
                <w:sz w:val="18"/>
                <w:szCs w:val="18"/>
              </w:rPr>
              <w:t>南通三明时 装有限公司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服装及面、 辅料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1,134.8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28,319,697.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24,081,025.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47,875,030.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946,004.73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760,541.80</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both"/>
              <w:rPr>
                <w:rFonts w:ascii="宋体" w:hAnsi="宋体" w:cs="宋体" w:eastAsia="宋体" w:hint="default"/>
                <w:sz w:val="18"/>
                <w:szCs w:val="18"/>
              </w:rPr>
            </w:pPr>
            <w:r>
              <w:rPr>
                <w:rFonts w:ascii="宋体" w:hAnsi="宋体" w:cs="宋体" w:eastAsia="宋体" w:hint="default"/>
                <w:sz w:val="18"/>
                <w:szCs w:val="18"/>
              </w:rPr>
              <w:t>南通三友环 保科技有限 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环保材料</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环保材料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17,301,231.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13,921,723.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14,785,947.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5,024,172.9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3,739,885.7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both"/>
              <w:rPr>
                <w:rFonts w:ascii="宋体" w:hAnsi="宋体" w:cs="宋体" w:eastAsia="宋体" w:hint="default"/>
                <w:sz w:val="18"/>
                <w:szCs w:val="18"/>
              </w:rPr>
            </w:pPr>
            <w:r>
              <w:rPr>
                <w:rFonts w:ascii="宋体" w:hAnsi="宋体" w:cs="宋体" w:eastAsia="宋体" w:hint="default"/>
                <w:sz w:val="18"/>
                <w:szCs w:val="18"/>
              </w:rPr>
              <w:t>江苏三友集 团南通色织 有限公司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纺织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色织面料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5,501.90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69,301,381.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55,675,718.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71,320,688.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2,507,762.0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1,921,067.4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江苏北斗科 技有限公司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通信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北斗</w:t>
            </w:r>
            <w:r>
              <w:rPr>
                <w:rFonts w:ascii="Times New Roman" w:hAnsi="Times New Roman" w:cs="Times New Roman" w:eastAsia="Times New Roman" w:hint="default"/>
                <w:sz w:val="18"/>
                <w:szCs w:val="18"/>
              </w:rPr>
              <w:t>/GPS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双模授时、 光通信产品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4,942,186.3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-11,146,368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1,134,561.9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-2,109,807.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-2,772,749.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01"/>
              <w:jc w:val="both"/>
              <w:rPr>
                <w:rFonts w:ascii="宋体" w:hAnsi="宋体" w:cs="宋体" w:eastAsia="宋体" w:hint="default"/>
                <w:sz w:val="18"/>
                <w:szCs w:val="18"/>
              </w:rPr>
            </w:pPr>
            <w:r>
              <w:rPr>
                <w:rFonts w:ascii="宋体" w:hAnsi="宋体" w:cs="宋体" w:eastAsia="宋体" w:hint="default"/>
                <w:sz w:val="18"/>
                <w:szCs w:val="18"/>
              </w:rPr>
              <w:t>江苏三友环 保能源科技 有限公司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循环经济</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可再生能源 循环使用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115,262,866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13,629,591.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111,025.64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-27,096,751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-26,240,643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1"/>
              <w:jc w:val="left"/>
              <w:rPr>
                <w:rFonts w:ascii="宋体" w:hAnsi="宋体" w:cs="宋体" w:eastAsia="宋体" w:hint="default"/>
                <w:sz w:val="18"/>
                <w:szCs w:val="18"/>
              </w:rPr>
            </w:pPr>
            <w:r>
              <w:rPr>
                <w:rFonts w:ascii="宋体" w:hAnsi="宋体" w:cs="宋体" w:eastAsia="宋体" w:hint="default"/>
                <w:sz w:val="18"/>
                <w:szCs w:val="18"/>
              </w:rPr>
              <w:t>南通三友信 息科技发展</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电子产品研 发销售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z w:val="18"/>
                <w:szCs w:val="18"/>
              </w:rPr>
              <w:t>电子科技产 品的研发、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6,251,546.9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5,431,560.6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4,874,190.3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382,227.25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282,635.35</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784"/>
        <w:gridCol w:w="955"/>
        <w:gridCol w:w="958"/>
        <w:gridCol w:w="956"/>
        <w:gridCol w:w="956"/>
        <w:gridCol w:w="956"/>
        <w:gridCol w:w="957"/>
        <w:gridCol w:w="958"/>
        <w:gridCol w:w="956"/>
      </w:tblGrid>
      <w:tr>
        <w:trPr>
          <w:trHeight w:val="36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8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销售等</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南通市港闸 区资丰农村 小额贷款有 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金融机构业 务代理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面向“三 农”发放贷 款，提供融 资性担保等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181,239,064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128,967,805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20,051,712.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9,564,041.8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8,768,705.2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南京三友北 斗导航工程 研究有限公 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通讯设备研 发销售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卫星应用设 备生产销售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1,839,359.8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839,359.87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132,201.64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-576,851.04</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-576,851.04</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南通世川时 装有限公司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服装及服装 </w:t>
            </w:r>
            <w:r>
              <w:rPr>
                <w:rFonts w:ascii="宋体" w:hAnsi="宋体" w:cs="宋体" w:eastAsia="宋体" w:hint="default"/>
                <w:spacing w:val="-18"/>
                <w:sz w:val="18"/>
                <w:szCs w:val="18"/>
              </w:rPr>
              <w:t>辅料、面料</w:t>
            </w:r>
            <w:r>
              <w:rPr>
                <w:rFonts w:ascii="宋体" w:hAnsi="宋体" w:cs="宋体" w:eastAsia="宋体" w:hint="default"/>
                <w:sz w:val="18"/>
                <w:szCs w:val="18"/>
              </w:rPr>
              <w:t> 围巾、帽子</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0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149"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before="1"/>
              <w:ind w:right="0"/>
              <w:jc w:val="left"/>
              <w:rPr>
                <w:rFonts w:ascii="宋体" w:hAnsi="宋体" w:cs="宋体" w:eastAsia="宋体" w:hint="default"/>
                <w:sz w:val="11"/>
                <w:szCs w:val="11"/>
              </w:rPr>
            </w:pPr>
          </w:p>
          <w:p>
            <w:pPr>
              <w:pStyle w:val="TableParagraph"/>
              <w:spacing w:line="727" w:lineRule="exact"/>
              <w:ind w:right="-15"/>
              <w:jc w:val="left"/>
              <w:rPr>
                <w:rFonts w:ascii="宋体" w:hAnsi="宋体" w:cs="宋体" w:eastAsia="宋体" w:hint="default"/>
                <w:sz w:val="20"/>
                <w:szCs w:val="20"/>
              </w:rPr>
            </w:pPr>
            <w:r>
              <w:rPr>
                <w:rFonts w:ascii="宋体" w:hAnsi="宋体" w:cs="宋体" w:eastAsia="宋体" w:hint="default"/>
                <w:position w:val="-14"/>
                <w:sz w:val="20"/>
                <w:szCs w:val="20"/>
              </w:rPr>
              <w:pict>
                <v:group style="width:46.2pt;height:36.4pt;mso-position-horizontal-relative:char;mso-position-vertical-relative:line" coordorigin="0,0" coordsize="924,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902;height:352" coordorigin="23,11" coordsize="902,352">
                    <v:shape style="position:absolute;left:23;top:11;width:902;height:352" coordorigin="23,11" coordsize="902,352" path="m23,363l924,363,924,11,23,11,23,363xe" filled="true" fillcolor="#ffffff" stroked="false">
                      <v:path arrowok="t"/>
                      <v:fill type="solid"/>
                    </v:shape>
                  </v:group>
                  <v:group style="position:absolute;left:23;top:363;width:902;height:353" coordorigin="23,363" coordsize="902,353">
                    <v:shape style="position:absolute;left:23;top:363;width:902;height:353" coordorigin="23,363" coordsize="902,353" path="m23,716l924,716,924,363,23,363,23,716xe" filled="true" fillcolor="#ffffff" stroked="false">
                      <v:path arrowok="t"/>
                      <v:fill type="solid"/>
                    </v:shape>
                  </v:group>
                </v:group>
              </w:pict>
            </w:r>
            <w:r>
              <w:rPr>
                <w:rFonts w:ascii="宋体" w:hAnsi="宋体" w:cs="宋体" w:eastAsia="宋体" w:hint="default"/>
                <w:position w:val="-14"/>
                <w:sz w:val="20"/>
                <w:szCs w:val="20"/>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23,951,560.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11,089,685.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56,199,937.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190,636.84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141,962.99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spacing w:line="240" w:lineRule="auto" w:before="12"/>
        <w:rPr>
          <w:rFonts w:ascii="宋体" w:hAnsi="宋体" w:cs="宋体" w:eastAsia="宋体" w:hint="default"/>
          <w:sz w:val="12"/>
          <w:szCs w:val="12"/>
        </w:rPr>
      </w:pPr>
    </w:p>
    <w:p>
      <w:pPr>
        <w:pStyle w:val="BodyText"/>
        <w:spacing w:line="386" w:lineRule="auto" w:before="0"/>
        <w:ind w:right="1216" w:firstLine="420"/>
        <w:jc w:val="left"/>
      </w:pPr>
      <w:r>
        <w:rPr/>
        <w:t>（</w:t>
      </w:r>
      <w:r>
        <w:rPr>
          <w:rFonts w:ascii="Times New Roman" w:hAnsi="Times New Roman" w:cs="Times New Roman" w:eastAsia="Times New Roman" w:hint="default"/>
        </w:rPr>
        <w:t>1</w:t>
      </w:r>
      <w:r>
        <w:rPr/>
        <w:t>）报告期内，能源公司净利润</w:t>
      </w:r>
      <w:r>
        <w:rPr>
          <w:rFonts w:ascii="Times New Roman" w:hAnsi="Times New Roman" w:cs="Times New Roman" w:eastAsia="Times New Roman" w:hint="default"/>
        </w:rPr>
        <w:t>-2,624.06</w:t>
      </w:r>
      <w:r>
        <w:rPr/>
        <w:t>万元，同比增加</w:t>
      </w:r>
      <w:r>
        <w:rPr>
          <w:rFonts w:ascii="Times New Roman" w:hAnsi="Times New Roman" w:cs="Times New Roman" w:eastAsia="Times New Roman" w:hint="default"/>
        </w:rPr>
        <w:t>74.61%</w:t>
      </w:r>
      <w:r>
        <w:rPr/>
        <w:t>，主要原因为：能源公司</w:t>
      </w:r>
      <w:r>
        <w:rPr>
          <w:rFonts w:ascii="Times New Roman" w:hAnsi="Times New Roman" w:cs="Times New Roman" w:eastAsia="Times New Roman" w:hint="default"/>
        </w:rPr>
        <w:t>2014</w:t>
      </w:r>
      <w:r>
        <w:rPr/>
        <w:t>年度</w:t>
      </w:r>
      <w:r>
        <w:rPr>
          <w:spacing w:val="-2"/>
        </w:rPr>
        <w:t> </w:t>
      </w:r>
      <w:r>
        <w:rPr/>
        <w:t>计提的资产减值准备同比大幅减少所致。</w:t>
      </w:r>
    </w:p>
    <w:p>
      <w:pPr>
        <w:pStyle w:val="BodyText"/>
        <w:spacing w:line="386" w:lineRule="auto" w:before="65"/>
        <w:ind w:right="1163" w:firstLine="420"/>
        <w:jc w:val="left"/>
      </w:pPr>
      <w:r>
        <w:rPr/>
        <w:t>（</w:t>
      </w:r>
      <w:r>
        <w:rPr>
          <w:rFonts w:ascii="Times New Roman" w:hAnsi="Times New Roman" w:cs="Times New Roman" w:eastAsia="Times New Roman" w:hint="default"/>
        </w:rPr>
        <w:t>2</w:t>
      </w:r>
      <w:r>
        <w:rPr/>
        <w:t>）报告期内，北斗公司净利润</w:t>
      </w:r>
      <w:r>
        <w:rPr>
          <w:rFonts w:ascii="Times New Roman" w:hAnsi="Times New Roman" w:cs="Times New Roman" w:eastAsia="Times New Roman" w:hint="default"/>
        </w:rPr>
        <w:t>-277.27</w:t>
      </w:r>
      <w:r>
        <w:rPr/>
        <w:t>万元，同比增加</w:t>
      </w:r>
      <w:r>
        <w:rPr>
          <w:rFonts w:ascii="Times New Roman" w:hAnsi="Times New Roman" w:cs="Times New Roman" w:eastAsia="Times New Roman" w:hint="default"/>
        </w:rPr>
        <w:t>64.79%</w:t>
      </w:r>
      <w:r>
        <w:rPr/>
        <w:t>，主要原因为：北斗公司</w:t>
      </w:r>
      <w:r>
        <w:rPr>
          <w:rFonts w:ascii="Times New Roman" w:hAnsi="Times New Roman" w:cs="Times New Roman" w:eastAsia="Times New Roman" w:hint="default"/>
        </w:rPr>
        <w:t>2014</w:t>
      </w:r>
      <w:r>
        <w:rPr/>
        <w:t>年度期 间费用同比减少及资产减值损失同比大幅减少所致。</w:t>
      </w:r>
    </w:p>
    <w:p>
      <w:pPr>
        <w:pStyle w:val="BodyText"/>
        <w:spacing w:line="386" w:lineRule="auto" w:before="65"/>
        <w:ind w:right="1129" w:firstLine="420"/>
        <w:jc w:val="left"/>
      </w:pPr>
      <w:r>
        <w:rPr>
          <w:spacing w:val="-2"/>
        </w:rPr>
        <w:t>（</w:t>
      </w:r>
      <w:r>
        <w:rPr>
          <w:rFonts w:ascii="Times New Roman" w:hAnsi="Times New Roman" w:cs="Times New Roman" w:eastAsia="Times New Roman" w:hint="default"/>
          <w:spacing w:val="-2"/>
        </w:rPr>
        <w:t>3</w:t>
      </w:r>
      <w:r>
        <w:rPr>
          <w:spacing w:val="-2"/>
        </w:rPr>
        <w:t>）报告期内，环保公司净利润</w:t>
      </w:r>
      <w:r>
        <w:rPr>
          <w:rFonts w:ascii="Times New Roman" w:hAnsi="Times New Roman" w:cs="Times New Roman" w:eastAsia="Times New Roman" w:hint="default"/>
          <w:spacing w:val="-2"/>
        </w:rPr>
        <w:t>373.99</w:t>
      </w:r>
      <w:r>
        <w:rPr>
          <w:spacing w:val="-2"/>
        </w:rPr>
        <w:t>万元，同比增加</w:t>
      </w:r>
      <w:r>
        <w:rPr>
          <w:rFonts w:ascii="Times New Roman" w:hAnsi="Times New Roman" w:cs="Times New Roman" w:eastAsia="Times New Roman" w:hint="default"/>
          <w:spacing w:val="-2"/>
        </w:rPr>
        <w:t>40.53%</w:t>
      </w:r>
      <w:r>
        <w:rPr>
          <w:spacing w:val="-2"/>
        </w:rPr>
        <w:t>，主要原因为：环保公司</w:t>
      </w:r>
      <w:r>
        <w:rPr>
          <w:rFonts w:ascii="Times New Roman" w:hAnsi="Times New Roman" w:cs="Times New Roman" w:eastAsia="Times New Roman" w:hint="default"/>
          <w:spacing w:val="-2"/>
        </w:rPr>
        <w:t>2014</w:t>
      </w:r>
      <w:r>
        <w:rPr>
          <w:spacing w:val="-2"/>
        </w:rPr>
        <w:t>年度营业</w:t>
      </w:r>
      <w:r>
        <w:rPr/>
        <w:t> 收入及毛利率同比均有所增加所致。</w:t>
      </w:r>
    </w:p>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2835"/>
        <w:gridCol w:w="2640"/>
        <w:gridCol w:w="2392"/>
      </w:tblGrid>
      <w:tr>
        <w:trPr>
          <w:trHeight w:val="418"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8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2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3"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035" w:hRule="exact"/>
        </w:trPr>
        <w:tc>
          <w:tcPr>
            <w:tcW w:w="1702"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南京三友北斗导航工 程研究有限公司</w:t>
            </w:r>
          </w:p>
        </w:tc>
        <w:tc>
          <w:tcPr>
            <w:tcW w:w="2835"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7"/>
              <w:jc w:val="center"/>
              <w:rPr>
                <w:rFonts w:ascii="宋体" w:hAnsi="宋体" w:cs="宋体" w:eastAsia="宋体" w:hint="default"/>
                <w:sz w:val="18"/>
                <w:szCs w:val="18"/>
              </w:rPr>
            </w:pPr>
            <w:r>
              <w:rPr>
                <w:rFonts w:ascii="宋体" w:hAnsi="宋体" w:cs="宋体" w:eastAsia="宋体" w:hint="default"/>
                <w:sz w:val="18"/>
                <w:szCs w:val="18"/>
              </w:rPr>
              <w:t>其母公司北斗公司拟进行破产清算</w:t>
            </w:r>
          </w:p>
        </w:tc>
        <w:tc>
          <w:tcPr>
            <w:tcW w:w="2640"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北斗公司转让其股权</w:t>
            </w:r>
          </w:p>
        </w:tc>
        <w:tc>
          <w:tcPr>
            <w:tcW w:w="2392" w:type="dxa"/>
            <w:tcBorders>
              <w:top w:val="single" w:sz="10" w:space="0" w:color="D2D2D2"/>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该公司规模较小，处置该公司 对本公司经营及财务状况基 本无影响。</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非募集资金投资的重大项目情况" w:id="49"/>
      <w:bookmarkEnd w:id="49"/>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公司报告期无非募集资金投资的重大项目。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七、公司控制的特殊目的主体情况" w:id="50"/>
      <w:bookmarkEnd w:id="50"/>
      <w:r>
        <w:rPr>
          <w:b w:val="0"/>
          <w:bCs w:val="0"/>
        </w:rPr>
      </w:r>
      <w:r>
        <w:rPr/>
        <w:t>七、公司控制的特殊目的主体情况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八、公司未来发展的展望" w:id="51"/>
      <w:bookmarkEnd w:id="51"/>
      <w:r>
        <w:rPr>
          <w:b w:val="0"/>
          <w:bCs w:val="0"/>
        </w:rPr>
      </w:r>
      <w:r>
        <w:rPr/>
        <w:t>八、公司未来发展的展望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left"/>
      </w:pPr>
      <w:r>
        <w:rPr/>
        <w:t>（一）行业的竞争格局和发展趋势</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09" w:firstLine="420"/>
        <w:jc w:val="both"/>
      </w:pPr>
      <w:r>
        <w:rPr/>
        <w:t>据有关资料显示，</w:t>
      </w:r>
      <w:r>
        <w:rPr>
          <w:rFonts w:ascii="宋体" w:hAnsi="宋体" w:cs="宋体" w:eastAsia="宋体" w:hint="default"/>
        </w:rPr>
        <w:t>2014</w:t>
      </w:r>
      <w:r>
        <w:rPr/>
        <w:t>年我国纺织品服装基本保持了平稳发展态势，全年累计出口</w:t>
      </w:r>
      <w:r>
        <w:rPr>
          <w:rFonts w:ascii="宋体" w:hAnsi="宋体" w:cs="宋体" w:eastAsia="宋体" w:hint="default"/>
        </w:rPr>
        <w:t>2,984.26</w:t>
      </w:r>
      <w:r>
        <w:rPr/>
        <w:t>亿美元， 同比增长</w:t>
      </w:r>
      <w:r>
        <w:rPr>
          <w:rFonts w:ascii="宋体" w:hAnsi="宋体" w:cs="宋体" w:eastAsia="宋体" w:hint="default"/>
        </w:rPr>
        <w:t>5.08%</w:t>
      </w:r>
      <w:r>
        <w:rPr/>
        <w:t>。其中服装出口额累计</w:t>
      </w:r>
      <w:r>
        <w:rPr>
          <w:rFonts w:ascii="宋体" w:hAnsi="宋体" w:cs="宋体" w:eastAsia="宋体" w:hint="default"/>
        </w:rPr>
        <w:t>1,862.85</w:t>
      </w:r>
      <w:r>
        <w:rPr/>
        <w:t>亿美元，同比增长</w:t>
      </w:r>
      <w:r>
        <w:rPr>
          <w:rFonts w:ascii="宋体" w:hAnsi="宋体" w:cs="宋体" w:eastAsia="宋体" w:hint="default"/>
        </w:rPr>
        <w:t>5.22%</w:t>
      </w:r>
      <w:r>
        <w:rPr/>
        <w:t>。增速比</w:t>
      </w:r>
      <w:r>
        <w:rPr>
          <w:rFonts w:ascii="宋体" w:hAnsi="宋体" w:cs="宋体" w:eastAsia="宋体" w:hint="default"/>
        </w:rPr>
        <w:t>2013</w:t>
      </w:r>
      <w:r>
        <w:rPr/>
        <w:t>年明显放缓。</w:t>
      </w:r>
    </w:p>
    <w:p>
      <w:pPr>
        <w:pStyle w:val="BodyText"/>
        <w:spacing w:line="408" w:lineRule="auto" w:before="46"/>
        <w:ind w:right="1131" w:firstLine="420"/>
        <w:jc w:val="both"/>
      </w:pPr>
      <w:r>
        <w:rPr>
          <w:spacing w:val="-1"/>
        </w:rPr>
        <w:t>目前，我国的对外贸易正处于增速的换挡期和结构的转型期，</w:t>
      </w:r>
      <w:r>
        <w:rPr>
          <w:rFonts w:ascii="宋体" w:hAnsi="宋体" w:cs="宋体" w:eastAsia="宋体" w:hint="default"/>
          <w:spacing w:val="-1"/>
        </w:rPr>
        <w:t>2015</w:t>
      </w:r>
      <w:r>
        <w:rPr>
          <w:spacing w:val="-1"/>
        </w:rPr>
        <w:t>年国内纺织服装行业将面临更为复</w:t>
      </w:r>
      <w:r>
        <w:rPr/>
        <w:t> </w:t>
      </w:r>
      <w:r>
        <w:rPr>
          <w:spacing w:val="-1"/>
        </w:rPr>
        <w:t>杂的局面，一方面，主要市场经济复苏仍未全面稳固，新型市场经济未能独善其身，将继续影响中国纺织</w:t>
      </w:r>
      <w:r>
        <w:rPr>
          <w:spacing w:val="-86"/>
        </w:rPr>
        <w:t> </w:t>
      </w:r>
      <w:r>
        <w:rPr>
          <w:spacing w:val="-86"/>
        </w:rPr>
      </w:r>
      <w:r>
        <w:rPr>
          <w:spacing w:val="-1"/>
        </w:rPr>
        <w:t>服装出口；另一方面，与生产、出口直接相关的原材料价格波动不确定性增强、市场需求增长放缓、综合</w:t>
      </w:r>
      <w:r>
        <w:rPr>
          <w:spacing w:val="-83"/>
        </w:rPr>
        <w:t> </w:t>
      </w:r>
      <w:r>
        <w:rPr>
          <w:spacing w:val="-83"/>
        </w:rPr>
      </w:r>
      <w:r>
        <w:rPr>
          <w:spacing w:val="-1"/>
        </w:rPr>
        <w:t>成本持续上升等因素的影响突出，行业继续保持平稳运行面临较大的压力；此外，我国纺织服装业的用工</w:t>
      </w:r>
      <w:r>
        <w:rPr>
          <w:spacing w:val="-83"/>
        </w:rPr>
        <w:t> </w:t>
      </w:r>
      <w:r>
        <w:rPr>
          <w:spacing w:val="-83"/>
        </w:rPr>
      </w:r>
      <w:r>
        <w:rPr>
          <w:spacing w:val="-1"/>
        </w:rPr>
        <w:t>成本持续上涨，环保、资源等因素的约束也在拉高生产成本，在国际市场上的价格优势逐渐被东南亚国家</w:t>
      </w:r>
      <w:r>
        <w:rPr>
          <w:spacing w:val="-83"/>
        </w:rPr>
        <w:t> </w:t>
      </w:r>
      <w:r>
        <w:rPr>
          <w:spacing w:val="-83"/>
        </w:rPr>
      </w:r>
      <w:r>
        <w:rPr>
          <w:spacing w:val="-1"/>
        </w:rPr>
        <w:t>取代，订单出现向东南亚转移的迹象。尽管行业形势依旧非常严峻，但由于我国纺织、服装行业的产业链</w:t>
      </w:r>
      <w:r>
        <w:rPr>
          <w:spacing w:val="-86"/>
        </w:rPr>
        <w:t> </w:t>
      </w:r>
      <w:r>
        <w:rPr>
          <w:spacing w:val="-86"/>
        </w:rPr>
      </w:r>
      <w:r>
        <w:rPr/>
        <w:t>较为完整、技术水平较为先进，在国际市场竞争中仍具备一定的优势。</w:t>
      </w:r>
    </w:p>
    <w:p>
      <w:pPr>
        <w:pStyle w:val="BodyText"/>
        <w:spacing w:line="398" w:lineRule="auto" w:before="46"/>
        <w:ind w:right="1133" w:firstLine="420"/>
        <w:jc w:val="both"/>
      </w:pPr>
      <w:r>
        <w:rPr/>
        <w:t>公司主营业务为中、高档女装的制造和销售，是国内最大的</w:t>
      </w:r>
      <w:r>
        <w:rPr>
          <w:rFonts w:ascii="Times New Roman" w:hAnsi="Times New Roman" w:cs="Times New Roman" w:eastAsia="Times New Roman" w:hint="default"/>
        </w:rPr>
        <w:t>OEM</w:t>
      </w:r>
      <w:r>
        <w:rPr/>
        <w:t>和</w:t>
      </w:r>
      <w:r>
        <w:rPr>
          <w:rFonts w:ascii="Times New Roman" w:hAnsi="Times New Roman" w:cs="Times New Roman" w:eastAsia="Times New Roman" w:hint="default"/>
        </w:rPr>
        <w:t>ODM</w:t>
      </w:r>
      <w:r>
        <w:rPr/>
        <w:t>女装制造商之一。公司拥有 </w:t>
      </w:r>
      <w:r>
        <w:rPr>
          <w:spacing w:val="-1"/>
        </w:rPr>
        <w:t>较强的产品设计能力和质量管理水平、严谨高效的管理团队，并拥有一批优质、稳定的外协工厂，产品质</w:t>
      </w:r>
      <w:r>
        <w:rPr>
          <w:spacing w:val="-86"/>
        </w:rPr>
        <w:t> </w:t>
      </w:r>
      <w:r>
        <w:rPr>
          <w:spacing w:val="-86"/>
        </w:rPr>
      </w:r>
      <w:r>
        <w:rPr/>
        <w:t>量和交期均能得到有效的保障，在同行业企业中具备一定的竞争优势。</w:t>
      </w:r>
    </w:p>
    <w:p>
      <w:pPr>
        <w:pStyle w:val="BodyText"/>
        <w:spacing w:line="398" w:lineRule="auto" w:before="54"/>
        <w:ind w:right="1131" w:firstLine="420"/>
        <w:jc w:val="both"/>
      </w:pPr>
      <w:r>
        <w:rPr>
          <w:rFonts w:ascii="Times New Roman" w:hAnsi="Times New Roman" w:cs="Times New Roman" w:eastAsia="Times New Roman" w:hint="default"/>
          <w:spacing w:val="-1"/>
        </w:rPr>
        <w:t>2015</w:t>
      </w:r>
      <w:r>
        <w:rPr>
          <w:spacing w:val="-1"/>
        </w:rPr>
        <w:t>年对公司而言将会是机遇与挑战并存的一年，公司将进一步发挥自身优势，积极推动服装制造业</w:t>
      </w:r>
      <w:r>
        <w:rPr/>
        <w:t> </w:t>
      </w:r>
      <w:r>
        <w:rPr>
          <w:spacing w:val="-1"/>
        </w:rPr>
        <w:t>务的发展。此外，公司将积极推进重大资产重组工作，力争通过资产重组对资源进行重新配置并引入新的</w:t>
      </w:r>
      <w:r>
        <w:rPr>
          <w:spacing w:val="-83"/>
        </w:rPr>
        <w:t> </w:t>
      </w:r>
      <w:r>
        <w:rPr>
          <w:spacing w:val="-83"/>
        </w:rPr>
      </w:r>
      <w:r>
        <w:rPr/>
        <w:t>经营业务，增强公司的发展后劲和持续盈利能力。</w:t>
      </w:r>
    </w:p>
    <w:p>
      <w:pPr>
        <w:pStyle w:val="BodyText"/>
        <w:spacing w:line="386" w:lineRule="auto" w:before="55"/>
        <w:ind w:left="574" w:right="0" w:hanging="420"/>
        <w:jc w:val="left"/>
      </w:pPr>
      <w:r>
        <w:rPr/>
        <w:t>（二）公司的发展战略及</w:t>
      </w:r>
      <w:r>
        <w:rPr>
          <w:rFonts w:ascii="Times New Roman" w:hAnsi="Times New Roman" w:cs="Times New Roman" w:eastAsia="Times New Roman" w:hint="default"/>
        </w:rPr>
        <w:t>2015</w:t>
      </w:r>
      <w:r>
        <w:rPr/>
        <w:t>年度经营管理计划 </w:t>
      </w:r>
      <w:r>
        <w:rPr>
          <w:spacing w:val="-1"/>
        </w:rPr>
        <w:t>公司的发展战略为：在服装制造主业稳定发展的基础上，积极推动子公司的发展，努力实现公司的可</w:t>
      </w:r>
    </w:p>
    <w:p>
      <w:pPr>
        <w:pStyle w:val="BodyText"/>
        <w:spacing w:line="240" w:lineRule="auto" w:before="65"/>
        <w:ind w:left="154" w:right="0"/>
        <w:jc w:val="left"/>
      </w:pPr>
      <w:r>
        <w:rPr/>
        <w:t>持续发展。</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公司在</w:t>
      </w:r>
      <w:r>
        <w:rPr>
          <w:rFonts w:ascii="Times New Roman" w:hAnsi="Times New Roman" w:cs="Times New Roman" w:eastAsia="Times New Roman" w:hint="default"/>
        </w:rPr>
        <w:t>2015</w:t>
      </w:r>
      <w:r>
        <w:rPr/>
        <w:t>年将重点做好以下工作：</w:t>
      </w:r>
    </w:p>
    <w:p>
      <w:pPr>
        <w:pStyle w:val="BodyText"/>
        <w:spacing w:line="240" w:lineRule="auto" w:before="177"/>
        <w:ind w:left="574" w:right="0"/>
        <w:jc w:val="left"/>
      </w:pPr>
      <w:r>
        <w:rPr>
          <w:rFonts w:ascii="Times New Roman" w:hAnsi="Times New Roman" w:cs="Times New Roman" w:eastAsia="Times New Roman" w:hint="default"/>
        </w:rPr>
        <w:t>1</w:t>
      </w:r>
      <w:r>
        <w:rPr/>
        <w:t>、采取积极措施，迎难而上，实现服装制造主业的稳定发展。</w:t>
      </w:r>
    </w:p>
    <w:p>
      <w:pPr>
        <w:pStyle w:val="BodyText"/>
        <w:spacing w:line="386" w:lineRule="auto" w:before="177"/>
        <w:ind w:right="1109" w:firstLine="420"/>
        <w:jc w:val="both"/>
      </w:pPr>
      <w:r>
        <w:rPr>
          <w:rFonts w:ascii="Times New Roman" w:hAnsi="Times New Roman" w:cs="Times New Roman" w:eastAsia="Times New Roman" w:hint="default"/>
          <w:spacing w:val="-1"/>
        </w:rPr>
        <w:t>2015</w:t>
      </w:r>
      <w:r>
        <w:rPr>
          <w:spacing w:val="-1"/>
        </w:rPr>
        <w:t>年，受宏观经济环境以及原辅材料价格及用工成本上涨、汇率变动等因素的影响，纺织服装行业</w:t>
      </w:r>
      <w:r>
        <w:rPr/>
        <w:t> 所面临的形势难言乐观。为实现公司经营业绩的稳定，发展服装制造主业仍将是公司</w:t>
      </w:r>
      <w:r>
        <w:rPr>
          <w:rFonts w:ascii="宋体" w:hAnsi="宋体" w:cs="宋体" w:eastAsia="宋体" w:hint="default"/>
        </w:rPr>
        <w:t>2015</w:t>
      </w:r>
      <w:r>
        <w:rPr/>
        <w:t>年的重点工作。</w:t>
      </w:r>
    </w:p>
    <w:p>
      <w:pPr>
        <w:pStyle w:val="BodyText"/>
        <w:spacing w:line="408" w:lineRule="auto" w:before="65"/>
        <w:ind w:right="1215" w:firstLine="420"/>
        <w:jc w:val="both"/>
      </w:pPr>
      <w:r>
        <w:rPr/>
        <w:t>（</w:t>
      </w:r>
      <w:r>
        <w:rPr>
          <w:rFonts w:ascii="宋体" w:hAnsi="宋体" w:cs="宋体" w:eastAsia="宋体" w:hint="default"/>
        </w:rPr>
        <w:t>1</w:t>
      </w:r>
      <w:r>
        <w:rPr/>
        <w:t>）为实现多元化的客户市场，优化客户结构，公司将在巩固和稳定现有客户的基础上，进一步加 强新客户的开发工作。</w:t>
      </w:r>
    </w:p>
    <w:p>
      <w:pPr>
        <w:pStyle w:val="BodyText"/>
        <w:spacing w:line="408" w:lineRule="auto" w:before="46"/>
        <w:ind w:right="1215" w:firstLine="420"/>
        <w:jc w:val="both"/>
      </w:pPr>
      <w:r>
        <w:rPr/>
        <w:t>（</w:t>
      </w:r>
      <w:r>
        <w:rPr>
          <w:rFonts w:ascii="宋体" w:hAnsi="宋体" w:cs="宋体" w:eastAsia="宋体" w:hint="default"/>
        </w:rPr>
        <w:t>2</w:t>
      </w:r>
      <w:r>
        <w:rPr/>
        <w:t>）为提高生产效率，更好地适应不同订单的生产要求，公司将进一步加大技改投入，对现有部分 设备进行改造升级。</w:t>
      </w:r>
    </w:p>
    <w:p>
      <w:pPr>
        <w:pStyle w:val="BodyText"/>
        <w:spacing w:line="408" w:lineRule="auto" w:before="46"/>
        <w:ind w:right="1215" w:firstLine="420"/>
        <w:jc w:val="both"/>
      </w:pPr>
      <w:r>
        <w:rPr/>
        <w:t>（</w:t>
      </w:r>
      <w:r>
        <w:rPr>
          <w:rFonts w:ascii="宋体" w:hAnsi="宋体" w:cs="宋体" w:eastAsia="宋体" w:hint="default"/>
        </w:rPr>
        <w:t>3</w:t>
      </w:r>
      <w:r>
        <w:rPr/>
        <w:t>）为保障公司的生产能力，公司将进一步加强员工的招聘及培养工作，并继续加大外协工厂的开 发力度，同时，寻求在人力资源相对丰富的中部等地区的合作、发展。</w:t>
      </w:r>
    </w:p>
    <w:p>
      <w:pPr>
        <w:pStyle w:val="BodyText"/>
        <w:spacing w:line="240" w:lineRule="auto" w:before="46"/>
        <w:ind w:left="573" w:right="0"/>
        <w:jc w:val="left"/>
      </w:pPr>
      <w:r>
        <w:rPr>
          <w:rFonts w:ascii="Times New Roman" w:hAnsi="Times New Roman" w:cs="Times New Roman" w:eastAsia="Times New Roman" w:hint="default"/>
        </w:rPr>
        <w:t>2</w:t>
      </w:r>
      <w:r>
        <w:rPr/>
        <w:t>、继续重点支持环保公司、资丰小贷公司等子公司的发展，使其为公司的经济效益作出更积极贡献。</w:t>
      </w:r>
    </w:p>
    <w:p>
      <w:pPr>
        <w:spacing w:after="0" w:line="240" w:lineRule="auto"/>
        <w:jc w:val="left"/>
        <w:sectPr>
          <w:footerReference w:type="default" r:id="rId13"/>
          <w:pgSz w:w="11910" w:h="16840"/>
          <w:pgMar w:footer="1497" w:header="747" w:top="1060" w:bottom="1680" w:left="980" w:right="0"/>
          <w:pgNumType w:start="26"/>
        </w:sectPr>
      </w:pPr>
    </w:p>
    <w:p>
      <w:pPr>
        <w:spacing w:line="240" w:lineRule="auto" w:before="0"/>
        <w:rPr>
          <w:rFonts w:ascii="宋体" w:hAnsi="宋体" w:cs="宋体" w:eastAsia="宋体" w:hint="default"/>
          <w:sz w:val="20"/>
          <w:szCs w:val="20"/>
        </w:rPr>
      </w:pPr>
    </w:p>
    <w:p>
      <w:pPr>
        <w:pStyle w:val="BodyText"/>
        <w:spacing w:line="408" w:lineRule="auto" w:before="174"/>
        <w:ind w:left="573" w:right="0" w:hanging="420"/>
        <w:jc w:val="left"/>
      </w:pPr>
      <w:r>
        <w:rPr/>
        <w:t>售量大幅增长，该公司</w:t>
      </w:r>
      <w:r>
        <w:rPr>
          <w:rFonts w:ascii="宋体" w:hAnsi="宋体" w:cs="宋体" w:eastAsia="宋体" w:hint="default"/>
        </w:rPr>
        <w:t>2014</w:t>
      </w:r>
      <w:r>
        <w:rPr/>
        <w:t>年度实现的净利润同比取得较大幅度增长。 </w:t>
      </w:r>
      <w:r>
        <w:rPr>
          <w:rFonts w:ascii="宋体" w:hAnsi="宋体" w:cs="宋体" w:eastAsia="宋体" w:hint="default"/>
          <w:spacing w:val="-1"/>
        </w:rPr>
        <w:t>2015</w:t>
      </w:r>
      <w:r>
        <w:rPr>
          <w:spacing w:val="-1"/>
        </w:rPr>
        <w:t>年，环保公司将持续开展产品研发及技术创新工作，并始终坚持以市场需求为导向，继续扩大重</w:t>
      </w:r>
    </w:p>
    <w:p>
      <w:pPr>
        <w:pStyle w:val="BodyText"/>
        <w:spacing w:line="240" w:lineRule="auto" w:before="46"/>
        <w:ind w:left="154" w:right="0"/>
        <w:jc w:val="left"/>
      </w:pPr>
      <w:r>
        <w:rPr/>
        <w:t>点产品的经营规模，通过技术改造进一步提升产品质量和生产效率，保持公司持续、健康、稳定的发展。</w:t>
      </w:r>
    </w:p>
    <w:p>
      <w:pPr>
        <w:spacing w:line="240" w:lineRule="auto" w:before="10"/>
        <w:rPr>
          <w:rFonts w:ascii="宋体" w:hAnsi="宋体" w:cs="宋体" w:eastAsia="宋体" w:hint="default"/>
          <w:sz w:val="14"/>
          <w:szCs w:val="14"/>
        </w:rPr>
      </w:pPr>
    </w:p>
    <w:p>
      <w:pPr>
        <w:pStyle w:val="BodyText"/>
        <w:spacing w:line="408" w:lineRule="auto" w:before="0"/>
        <w:ind w:left="154" w:right="0" w:firstLine="420"/>
        <w:jc w:val="left"/>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2014</w:t>
      </w:r>
      <w:r>
        <w:rPr>
          <w:spacing w:val="-1"/>
        </w:rPr>
        <w:t>年，资丰小贷公司严格执行国家金融方针政策，在法律法规规定范围内办理各项小额贷款，</w:t>
      </w:r>
      <w:r>
        <w:rPr/>
        <w:t> 以服务地区“三农”和小企业发展为本，审慎经营，业务收入和净利润同比取得一定幅度的增长。</w:t>
      </w:r>
    </w:p>
    <w:p>
      <w:pPr>
        <w:pStyle w:val="BodyText"/>
        <w:spacing w:line="408" w:lineRule="auto" w:before="46"/>
        <w:ind w:right="1130" w:firstLine="420"/>
        <w:jc w:val="both"/>
      </w:pPr>
      <w:r>
        <w:rPr>
          <w:rFonts w:ascii="宋体" w:hAnsi="宋体" w:cs="宋体" w:eastAsia="宋体" w:hint="default"/>
          <w:spacing w:val="-1"/>
        </w:rPr>
        <w:t>2015</w:t>
      </w:r>
      <w:r>
        <w:rPr>
          <w:spacing w:val="-1"/>
        </w:rPr>
        <w:t>年，在复杂的经济环境以及小额资金融资渠道日渐丰富的情况下，小额贷款公司发展将面临着一</w:t>
      </w:r>
      <w:r>
        <w:rPr/>
        <w:t> </w:t>
      </w:r>
      <w:r>
        <w:rPr>
          <w:spacing w:val="-1"/>
        </w:rPr>
        <w:t>定的挑战。资丰小贷公司将在加大业务发展的同时进一步加强风险防控措施，同时，进一步优化绩效管理</w:t>
      </w:r>
      <w:r>
        <w:rPr>
          <w:spacing w:val="-82"/>
        </w:rPr>
        <w:t> </w:t>
      </w:r>
      <w:r>
        <w:rPr>
          <w:spacing w:val="-82"/>
        </w:rPr>
      </w:r>
      <w:r>
        <w:rPr/>
        <w:t>制度，充分发挥员工的主观能动性，力争取得更好的经营业绩。</w:t>
      </w:r>
    </w:p>
    <w:p>
      <w:pPr>
        <w:pStyle w:val="BodyText"/>
        <w:spacing w:line="408" w:lineRule="auto" w:before="46"/>
        <w:ind w:right="1215" w:firstLine="420"/>
        <w:jc w:val="both"/>
      </w:pPr>
      <w:r>
        <w:rPr/>
        <w:t>（</w:t>
      </w:r>
      <w:r>
        <w:rPr>
          <w:rFonts w:ascii="宋体" w:hAnsi="宋体" w:cs="宋体" w:eastAsia="宋体" w:hint="default"/>
        </w:rPr>
        <w:t>3</w:t>
      </w:r>
      <w:r>
        <w:rPr/>
        <w:t>）充分发挥自身优势，进一步对业务相关的色织公司、三明公司进行资源优化配置和整合，助推 主营业务的稳步发展。</w:t>
      </w:r>
    </w:p>
    <w:p>
      <w:pPr>
        <w:pStyle w:val="BodyText"/>
        <w:spacing w:line="240" w:lineRule="auto" w:before="46"/>
        <w:ind w:left="573" w:right="0"/>
        <w:jc w:val="left"/>
      </w:pPr>
      <w:r>
        <w:rPr>
          <w:rFonts w:ascii="宋体" w:hAnsi="宋体" w:cs="宋体" w:eastAsia="宋体" w:hint="default"/>
        </w:rPr>
        <w:t>3</w:t>
      </w:r>
      <w:r>
        <w:rPr/>
        <w:t>、积极推进资产重组工作。</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rFonts w:ascii="宋体" w:hAnsi="宋体" w:cs="宋体" w:eastAsia="宋体" w:hint="default"/>
          <w:spacing w:val="-1"/>
        </w:rPr>
        <w:t>2015</w:t>
      </w:r>
      <w:r>
        <w:rPr>
          <w:spacing w:val="-1"/>
        </w:rPr>
        <w:t>年，公司在努力做好生产经营的基础上，积极推进重大资产重组工作，力争通过资产重组引进新</w:t>
      </w:r>
      <w:r>
        <w:rPr/>
        <w:t> 的资产和业务，为公司盈利能力的提升和加快发展注入新的动力。</w:t>
      </w:r>
    </w:p>
    <w:p>
      <w:pPr>
        <w:pStyle w:val="BodyText"/>
        <w:spacing w:line="240" w:lineRule="auto" w:before="46"/>
        <w:ind w:left="573" w:right="0"/>
        <w:jc w:val="left"/>
      </w:pPr>
      <w:r>
        <w:rPr>
          <w:rFonts w:ascii="Times New Roman" w:hAnsi="Times New Roman" w:cs="Times New Roman" w:eastAsia="Times New Roman" w:hint="default"/>
        </w:rPr>
        <w:t>4</w:t>
      </w:r>
      <w:r>
        <w:rPr/>
        <w:t>、进一步加强内部管理，实现管理增效。</w:t>
      </w:r>
    </w:p>
    <w:p>
      <w:pPr>
        <w:pStyle w:val="BodyText"/>
        <w:spacing w:line="386" w:lineRule="auto" w:before="177"/>
        <w:ind w:right="1131" w:firstLine="420"/>
        <w:jc w:val="both"/>
      </w:pPr>
      <w:r>
        <w:rPr>
          <w:rFonts w:ascii="Times New Roman" w:hAnsi="Times New Roman" w:cs="Times New Roman" w:eastAsia="Times New Roman" w:hint="default"/>
          <w:spacing w:val="-1"/>
        </w:rPr>
        <w:t>2015</w:t>
      </w:r>
      <w:r>
        <w:rPr>
          <w:spacing w:val="-1"/>
        </w:rPr>
        <w:t>年，公司将通过进一步强化内部管理，重点加强在经营目标实现过程中各个环节的成本控制，全</w:t>
      </w:r>
      <w:r>
        <w:rPr/>
        <w:t> 面提升公司的精细化管理水平，最大限度地减少物料损耗及人力资源浪费，实现管理增效。</w:t>
      </w:r>
    </w:p>
    <w:p>
      <w:pPr>
        <w:pStyle w:val="BodyText"/>
        <w:spacing w:line="240" w:lineRule="auto" w:before="65"/>
        <w:ind w:left="573" w:right="0"/>
        <w:jc w:val="left"/>
      </w:pPr>
      <w:r>
        <w:rPr>
          <w:rFonts w:ascii="Times New Roman" w:hAnsi="Times New Roman" w:cs="Times New Roman" w:eastAsia="Times New Roman" w:hint="default"/>
        </w:rPr>
        <w:t>5</w:t>
      </w:r>
      <w:r>
        <w:rPr/>
        <w:t>、继续坚持以人为本，实现职工与企业的共同发展。</w:t>
      </w:r>
    </w:p>
    <w:p>
      <w:pPr>
        <w:pStyle w:val="BodyText"/>
        <w:spacing w:line="403" w:lineRule="auto" w:before="177"/>
        <w:ind w:right="1131" w:firstLine="420"/>
        <w:jc w:val="both"/>
      </w:pPr>
      <w:r>
        <w:rPr>
          <w:rFonts w:ascii="Times New Roman" w:hAnsi="Times New Roman" w:cs="Times New Roman" w:eastAsia="Times New Roman" w:hint="default"/>
          <w:spacing w:val="-1"/>
        </w:rPr>
        <w:t>2014</w:t>
      </w:r>
      <w:r>
        <w:rPr>
          <w:spacing w:val="-1"/>
        </w:rPr>
        <w:t>年，公司通过一系列措施进一步落实“以人为本”的管理理念。为给全体员工创造公平的发展环</w:t>
      </w:r>
      <w:r>
        <w:rPr/>
        <w:t> </w:t>
      </w:r>
      <w:r>
        <w:rPr>
          <w:spacing w:val="-1"/>
        </w:rPr>
        <w:t>境和晋升通道，公司通过内部公开招聘将在广大职工中挖掘的优秀人才充实到管理岗位；通过对职工薪酬</w:t>
      </w:r>
      <w:r>
        <w:rPr>
          <w:spacing w:val="-81"/>
        </w:rPr>
        <w:t> </w:t>
      </w:r>
      <w:r>
        <w:rPr>
          <w:spacing w:val="-81"/>
        </w:rPr>
      </w:r>
      <w:r>
        <w:rPr>
          <w:spacing w:val="-1"/>
        </w:rPr>
        <w:t>方案进行优化调整，在职工收入稳步增长的同时，也进一步调动了职工的积极性和创造性；通过举办相关</w:t>
      </w:r>
      <w:r>
        <w:rPr>
          <w:spacing w:val="-83"/>
        </w:rPr>
        <w:t> </w:t>
      </w:r>
      <w:r>
        <w:rPr>
          <w:spacing w:val="-83"/>
        </w:rPr>
      </w:r>
      <w:r>
        <w:rPr>
          <w:spacing w:val="-1"/>
        </w:rPr>
        <w:t>培训，进一步提升员工的岗位工作能力和综合素质。此外，职工通过每月一次的总经理接待日和民主生活</w:t>
      </w:r>
      <w:r>
        <w:rPr>
          <w:spacing w:val="-83"/>
        </w:rPr>
        <w:t> </w:t>
      </w:r>
      <w:r>
        <w:rPr>
          <w:spacing w:val="-83"/>
        </w:rPr>
      </w:r>
      <w:r>
        <w:rPr/>
        <w:t>会等方式为公司的发展建言献策，进一步畅通了沟通渠道。</w:t>
      </w:r>
    </w:p>
    <w:p>
      <w:pPr>
        <w:pStyle w:val="BodyText"/>
        <w:spacing w:line="408" w:lineRule="auto" w:before="50"/>
        <w:ind w:left="154" w:right="1131" w:firstLine="420"/>
        <w:jc w:val="both"/>
      </w:pPr>
      <w:r>
        <w:rPr>
          <w:rFonts w:ascii="宋体" w:hAnsi="宋体" w:cs="宋体" w:eastAsia="宋体" w:hint="default"/>
          <w:spacing w:val="-1"/>
        </w:rPr>
        <w:t>2015</w:t>
      </w:r>
      <w:r>
        <w:rPr>
          <w:spacing w:val="-1"/>
        </w:rPr>
        <w:t>年，公司将继续坚持以人为本的理念，与职工共享企业发展成果，进一步增强员工的归属感和主</w:t>
      </w:r>
      <w:r>
        <w:rPr/>
        <w:t> 人翁意识。</w:t>
      </w:r>
    </w:p>
    <w:p>
      <w:pPr>
        <w:pStyle w:val="BodyText"/>
        <w:spacing w:line="408" w:lineRule="auto" w:before="46"/>
        <w:ind w:left="574" w:right="1023" w:hanging="420"/>
        <w:jc w:val="left"/>
      </w:pPr>
      <w:r>
        <w:rPr/>
        <w:t>（三）资金需求及使用计划 </w:t>
      </w:r>
      <w:r>
        <w:rPr>
          <w:spacing w:val="-3"/>
        </w:rPr>
        <w:t>为实现公司的经营目标，</w:t>
      </w:r>
      <w:r>
        <w:rPr>
          <w:rFonts w:ascii="宋体" w:hAnsi="宋体" w:cs="宋体" w:eastAsia="宋体" w:hint="default"/>
          <w:spacing w:val="-3"/>
        </w:rPr>
        <w:t>2015</w:t>
      </w:r>
      <w:r>
        <w:rPr>
          <w:spacing w:val="-3"/>
        </w:rPr>
        <w:t>年将会有一定的资金需求。公司主要客户均为世界知名企业，信誉良好，</w:t>
      </w:r>
    </w:p>
    <w:p>
      <w:pPr>
        <w:pStyle w:val="BodyText"/>
        <w:spacing w:line="408" w:lineRule="auto" w:before="46"/>
        <w:ind w:left="154" w:right="1092"/>
        <w:jc w:val="left"/>
      </w:pPr>
      <w:r>
        <w:rPr/>
        <w:t>资金的及时回笼应有保障。公司资产结构较为合理、偿债能力较强、银行资信状况良好、融资渠道畅通， 公司发展资金的来源有充分的保障。此外，公司将根据资金使用计划加强资金管理，提高资金使用效率。</w:t>
      </w:r>
    </w:p>
    <w:p>
      <w:pPr>
        <w:pStyle w:val="BodyText"/>
        <w:spacing w:line="240" w:lineRule="auto" w:before="46"/>
        <w:ind w:left="154" w:right="0"/>
        <w:jc w:val="left"/>
      </w:pPr>
      <w:r>
        <w:rPr/>
        <w:t>（四）可能面临的风险因素</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Times New Roman" w:hAnsi="Times New Roman" w:cs="Times New Roman" w:eastAsia="Times New Roman" w:hint="default"/>
        </w:rPr>
        <w:t>1</w:t>
      </w:r>
      <w:r>
        <w:rPr/>
        <w:t>、人民币汇率大幅波动导致的风险</w:t>
      </w:r>
    </w:p>
    <w:p>
      <w:pPr>
        <w:spacing w:after="0" w:line="240" w:lineRule="auto"/>
        <w:jc w:val="left"/>
        <w:sectPr>
          <w:footerReference w:type="default" r:id="rId14"/>
          <w:pgSz w:w="11910" w:h="16840"/>
          <w:pgMar w:footer="979" w:header="747" w:top="1060" w:bottom="1160" w:left="980" w:right="0"/>
          <w:pgNumType w:start="27"/>
        </w:sectPr>
      </w:pPr>
    </w:p>
    <w:p>
      <w:pPr>
        <w:spacing w:line="240" w:lineRule="auto" w:before="0"/>
        <w:rPr>
          <w:rFonts w:ascii="宋体" w:hAnsi="宋体" w:cs="宋体" w:eastAsia="宋体" w:hint="default"/>
          <w:sz w:val="20"/>
          <w:szCs w:val="20"/>
        </w:rPr>
      </w:pPr>
    </w:p>
    <w:p>
      <w:pPr>
        <w:pStyle w:val="BodyText"/>
        <w:spacing w:line="408" w:lineRule="auto" w:before="174"/>
        <w:ind w:right="1110" w:firstLine="420"/>
        <w:jc w:val="both"/>
      </w:pPr>
      <w:r>
        <w:rPr>
          <w:spacing w:val="-1"/>
        </w:rPr>
        <w:t>公司主营业务为服装的制造及出口，与客户结算的主要币种为美元。</w:t>
      </w:r>
      <w:r>
        <w:rPr>
          <w:rFonts w:ascii="宋体" w:hAnsi="宋体" w:cs="宋体" w:eastAsia="宋体" w:hint="default"/>
          <w:spacing w:val="-1"/>
        </w:rPr>
        <w:t>2014</w:t>
      </w:r>
      <w:r>
        <w:rPr>
          <w:spacing w:val="-1"/>
        </w:rPr>
        <w:t>年，人民币兑美元汇率基本</w:t>
      </w:r>
      <w:r>
        <w:rPr/>
        <w:t> </w:t>
      </w:r>
      <w:r>
        <w:rPr>
          <w:spacing w:val="-1"/>
        </w:rPr>
        <w:t>保持了稳定，若</w:t>
      </w:r>
      <w:r>
        <w:rPr>
          <w:rFonts w:ascii="宋体" w:hAnsi="宋体" w:cs="宋体" w:eastAsia="宋体" w:hint="default"/>
          <w:spacing w:val="-1"/>
        </w:rPr>
        <w:t>2015</w:t>
      </w:r>
      <w:r>
        <w:rPr>
          <w:spacing w:val="-1"/>
        </w:rPr>
        <w:t>年人民币汇率出现大幅波动将对公司的经营发展带来风险。一方面，人民币大幅升值</w:t>
      </w:r>
      <w:r>
        <w:rPr>
          <w:spacing w:val="-82"/>
        </w:rPr>
        <w:t> </w:t>
      </w:r>
      <w:r>
        <w:rPr>
          <w:spacing w:val="-82"/>
        </w:rPr>
      </w:r>
      <w:r>
        <w:rPr>
          <w:spacing w:val="-1"/>
        </w:rPr>
        <w:t>将削弱企业在国际市场中的竞争优势，削减企业的利润空间；另一方面，人民币大幅贬值表面来看对出口</w:t>
      </w:r>
      <w:r>
        <w:rPr>
          <w:spacing w:val="-83"/>
        </w:rPr>
        <w:t> </w:t>
      </w:r>
      <w:r>
        <w:rPr>
          <w:spacing w:val="-83"/>
        </w:rPr>
      </w:r>
      <w:r>
        <w:rPr/>
        <w:t>型企业有利，但可能会导致本已高企的制造成本和用工成本进一步攀升，加剧企业间的无序、恶性竞争， 对行业的发展产生不利影响。</w:t>
      </w:r>
    </w:p>
    <w:p>
      <w:pPr>
        <w:pStyle w:val="BodyText"/>
        <w:spacing w:line="408" w:lineRule="auto" w:before="46"/>
        <w:ind w:right="1110" w:firstLine="420"/>
        <w:jc w:val="both"/>
      </w:pPr>
      <w:r>
        <w:rPr/>
        <w:t>公司将采取如下措施积极应对：通过积极调整生产结构和产品结构，提高劳动生产率和产品附加值， </w:t>
      </w:r>
      <w:r>
        <w:rPr>
          <w:spacing w:val="-1"/>
        </w:rPr>
        <w:t>争取更大的利润空间；合理利用结汇规则，力求结汇利益最大化；加快资金回笼速度，及时结汇，加快资</w:t>
      </w:r>
      <w:r>
        <w:rPr>
          <w:spacing w:val="-82"/>
        </w:rPr>
        <w:t> </w:t>
      </w:r>
      <w:r>
        <w:rPr>
          <w:spacing w:val="-82"/>
        </w:rPr>
      </w:r>
      <w:r>
        <w:rPr>
          <w:spacing w:val="-1"/>
        </w:rPr>
        <w:t>金的周转率；在接单过程中全面考虑人民币汇率波动预期，在出口合同中附加相关条款，尽量减少和转嫁</w:t>
      </w:r>
      <w:r>
        <w:rPr>
          <w:spacing w:val="-83"/>
        </w:rPr>
        <w:t> </w:t>
      </w:r>
      <w:r>
        <w:rPr>
          <w:spacing w:val="-83"/>
        </w:rPr>
      </w:r>
      <w:r>
        <w:rPr/>
        <w:t>部分汇率波动风险。</w:t>
      </w:r>
    </w:p>
    <w:p>
      <w:pPr>
        <w:pStyle w:val="BodyText"/>
        <w:spacing w:line="386" w:lineRule="auto" w:before="46"/>
        <w:ind w:left="573" w:right="0"/>
        <w:jc w:val="left"/>
      </w:pPr>
      <w:r>
        <w:rPr>
          <w:rFonts w:ascii="Times New Roman" w:hAnsi="Times New Roman" w:cs="Times New Roman" w:eastAsia="Times New Roman" w:hint="default"/>
        </w:rPr>
        <w:t>2</w:t>
      </w:r>
      <w:r>
        <w:rPr/>
        <w:t>、企业运营成本持续上升导致的风险 </w:t>
      </w:r>
      <w:r>
        <w:rPr>
          <w:spacing w:val="-1"/>
        </w:rPr>
        <w:t>近年来，纺织服装业的用工成本持续上涨，环保、资源等因素的约束也在拉高生产成本，在国际市场</w:t>
      </w:r>
    </w:p>
    <w:p>
      <w:pPr>
        <w:pStyle w:val="BodyText"/>
        <w:spacing w:line="408" w:lineRule="auto" w:before="65"/>
        <w:ind w:right="0"/>
        <w:jc w:val="left"/>
      </w:pPr>
      <w:r>
        <w:rPr>
          <w:spacing w:val="-1"/>
        </w:rPr>
        <w:t>上的价格优势逐渐被东南亚国家取代。上述因素将对纺织服装企业特别是以</w:t>
      </w:r>
      <w:r>
        <w:rPr>
          <w:rFonts w:ascii="宋体" w:hAnsi="宋体" w:cs="宋体" w:eastAsia="宋体" w:hint="default"/>
          <w:spacing w:val="-1"/>
        </w:rPr>
        <w:t>OEM</w:t>
      </w:r>
      <w:r>
        <w:rPr>
          <w:spacing w:val="-1"/>
        </w:rPr>
        <w:t>、</w:t>
      </w:r>
      <w:r>
        <w:rPr>
          <w:rFonts w:ascii="宋体" w:hAnsi="宋体" w:cs="宋体" w:eastAsia="宋体" w:hint="default"/>
          <w:spacing w:val="-1"/>
        </w:rPr>
        <w:t>ODM</w:t>
      </w:r>
      <w:r>
        <w:rPr>
          <w:spacing w:val="-1"/>
        </w:rPr>
        <w:t>出口业务为主的纺织</w:t>
      </w:r>
      <w:r>
        <w:rPr>
          <w:spacing w:val="-80"/>
        </w:rPr>
        <w:t> </w:t>
      </w:r>
      <w:r>
        <w:rPr>
          <w:spacing w:val="-80"/>
        </w:rPr>
      </w:r>
      <w:r>
        <w:rPr/>
        <w:t>服装企业的经营发展带来风险。</w:t>
      </w:r>
    </w:p>
    <w:p>
      <w:pPr>
        <w:pStyle w:val="BodyText"/>
        <w:spacing w:line="408" w:lineRule="auto" w:before="46"/>
        <w:ind w:right="1133" w:firstLine="420"/>
        <w:jc w:val="both"/>
      </w:pPr>
      <w:r>
        <w:rPr>
          <w:spacing w:val="-1"/>
        </w:rPr>
        <w:t>公司将进一步强化内部管理，控制成本；加强质量管理，降低不必要的损耗和资源浪费。同时，继续</w:t>
      </w:r>
      <w:r>
        <w:rPr/>
        <w:t> 巩固和发展外协工厂，努力转嫁部分劳动力成本上升的风险。</w:t>
      </w:r>
    </w:p>
    <w:p>
      <w:pPr>
        <w:pStyle w:val="BodyText"/>
        <w:spacing w:line="386" w:lineRule="auto" w:before="46"/>
        <w:ind w:left="573" w:right="0"/>
        <w:jc w:val="left"/>
      </w:pPr>
      <w:r>
        <w:rPr>
          <w:rFonts w:ascii="Times New Roman" w:hAnsi="Times New Roman" w:cs="Times New Roman" w:eastAsia="Times New Roman" w:hint="default"/>
        </w:rPr>
        <w:t>3</w:t>
      </w:r>
      <w:r>
        <w:rPr/>
        <w:t>、中日双边贸易现状的变化及客户集中的风险 </w:t>
      </w:r>
      <w:r>
        <w:rPr>
          <w:spacing w:val="-1"/>
        </w:rPr>
        <w:t>公司的主营服装业务主要以出口日本为主，若中日双边贸易政策发生重大变化将对公司的主营业务产</w:t>
      </w:r>
    </w:p>
    <w:p>
      <w:pPr>
        <w:pStyle w:val="BodyText"/>
        <w:spacing w:line="408" w:lineRule="auto" w:before="65"/>
        <w:ind w:right="0"/>
        <w:jc w:val="left"/>
      </w:pPr>
      <w:r>
        <w:rPr>
          <w:spacing w:val="-1"/>
        </w:rPr>
        <w:t>生较大的影响。此外，公司的客户集中，结构相对单一，若出现个别主要客户流失或客户自身的经营情况</w:t>
      </w:r>
      <w:r>
        <w:rPr>
          <w:spacing w:val="-85"/>
        </w:rPr>
        <w:t> </w:t>
      </w:r>
      <w:r>
        <w:rPr>
          <w:spacing w:val="-85"/>
        </w:rPr>
      </w:r>
      <w:r>
        <w:rPr/>
        <w:t>发生重大变化将对公司的经营发展产生不利影响。</w:t>
      </w:r>
    </w:p>
    <w:p>
      <w:pPr>
        <w:pStyle w:val="BodyText"/>
        <w:spacing w:line="408" w:lineRule="auto" w:before="46"/>
        <w:ind w:right="1110" w:firstLine="420"/>
        <w:jc w:val="both"/>
      </w:pPr>
      <w:r>
        <w:rPr>
          <w:spacing w:val="-1"/>
        </w:rPr>
        <w:t>针对中日双边贸易现状变化的风险，公司将密切关注国内外政治经济形势的变化，加强对中日双边贸</w:t>
      </w:r>
      <w:r>
        <w:rPr/>
        <w:t> </w:t>
      </w:r>
      <w:r>
        <w:rPr>
          <w:spacing w:val="-1"/>
        </w:rPr>
        <w:t>易相关政策信息的收集、分析和研究；此外，公司今年来加大了对美国及国内客户的开发，进一步优化客</w:t>
      </w:r>
      <w:r>
        <w:rPr>
          <w:spacing w:val="-85"/>
        </w:rPr>
        <w:t> </w:t>
      </w:r>
      <w:r>
        <w:rPr>
          <w:spacing w:val="-85"/>
        </w:rPr>
      </w:r>
      <w:r>
        <w:rPr>
          <w:spacing w:val="-1"/>
        </w:rPr>
        <w:t>户结构，减弱中日双边贸易政策变化对公司经营的影响。针对客户集中的风险，公司主要客户均为国际知</w:t>
      </w:r>
      <w:r>
        <w:rPr>
          <w:spacing w:val="-83"/>
        </w:rPr>
        <w:t> </w:t>
      </w:r>
      <w:r>
        <w:rPr>
          <w:spacing w:val="-83"/>
        </w:rPr>
      </w:r>
      <w:r>
        <w:rPr/>
        <w:t>名企业，有着相对较强的抗拒风险能力，基本不存在因其突然倒闭而对公司的经营产生重大影响的风险， </w:t>
      </w:r>
      <w:r>
        <w:rPr>
          <w:spacing w:val="-1"/>
        </w:rPr>
        <w:t>但随着国内服装企业价格优势的减弱，可能存在部分订单流失的风险。公司专业从事服装设计、制造，具</w:t>
      </w:r>
      <w:r>
        <w:rPr>
          <w:spacing w:val="-85"/>
        </w:rPr>
        <w:t> </w:t>
      </w:r>
      <w:r>
        <w:rPr>
          <w:spacing w:val="-85"/>
        </w:rPr>
      </w:r>
      <w:r>
        <w:rPr>
          <w:spacing w:val="-1"/>
        </w:rPr>
        <w:t>有一定的规模优势、优良的产品质量以及良好的信誉，与主要客户建立了良好的合作关系。公司将进一步</w:t>
      </w:r>
      <w:r>
        <w:rPr>
          <w:spacing w:val="-83"/>
        </w:rPr>
        <w:t> </w:t>
      </w:r>
      <w:r>
        <w:rPr>
          <w:spacing w:val="-83"/>
        </w:rPr>
      </w:r>
      <w:r>
        <w:rPr>
          <w:spacing w:val="-1"/>
        </w:rPr>
        <w:t>加强与客户之间的协作与沟通，持续关注客户的经营情况，以防客户自身情况发生重大变化对公司的经营</w:t>
      </w:r>
      <w:r>
        <w:rPr>
          <w:spacing w:val="-81"/>
        </w:rPr>
        <w:t> </w:t>
      </w:r>
      <w:r>
        <w:rPr>
          <w:spacing w:val="-81"/>
        </w:rPr>
      </w:r>
      <w:r>
        <w:rPr/>
        <w:t>发展带来影响。</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九、董事会、监事会对会计师事务所本报告期“非标准审计报告”的说明" w:id="52"/>
      <w:bookmarkEnd w:id="52"/>
      <w:r>
        <w:rPr>
          <w:b w:val="0"/>
          <w:bCs w:val="0"/>
        </w:rPr>
      </w:r>
      <w:r>
        <w:rPr/>
        <w:t>九、董事会、监事会对会计师事务所本报告期“非标准审计报告”的说明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与上年度财务报告相比，会计政策、会计估计和核算方法发生变化的情况说明" w:id="53"/>
      <w:bookmarkEnd w:id="53"/>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29" w:firstLine="384"/>
        <w:jc w:val="left"/>
      </w:pPr>
      <w:r>
        <w:rPr/>
        <w:t>经本公司</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10</w:t>
      </w:r>
      <w:r>
        <w:rPr/>
        <w:t>日第五届董事会第十五次会议决议通过，本公司于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日开始执行《企 业会计准则—基本准则》（修订）、《企业会计准则第</w:t>
      </w:r>
      <w:r>
        <w:rPr>
          <w:rFonts w:ascii="宋体" w:hAnsi="宋体" w:cs="宋体" w:eastAsia="宋体" w:hint="default"/>
        </w:rPr>
        <w:t>2</w:t>
      </w:r>
      <w:r>
        <w:rPr/>
        <w:t>号——长期股权投资》（修订）、《企业会计准 则第</w:t>
      </w:r>
      <w:r>
        <w:rPr>
          <w:rFonts w:ascii="宋体" w:hAnsi="宋体" w:cs="宋体" w:eastAsia="宋体" w:hint="default"/>
        </w:rPr>
        <w:t>9</w:t>
      </w:r>
      <w:r>
        <w:rPr/>
        <w:t>号——职工薪酬》（修订）、《企业会计准则第</w:t>
      </w:r>
      <w:r>
        <w:rPr>
          <w:rFonts w:ascii="宋体" w:hAnsi="宋体" w:cs="宋体" w:eastAsia="宋体" w:hint="default"/>
        </w:rPr>
        <w:t>30</w:t>
      </w:r>
      <w:r>
        <w:rPr/>
        <w:t>号——财务报表列报》（修订）、《企业会计准 </w:t>
      </w:r>
      <w:r>
        <w:rPr>
          <w:spacing w:val="-1"/>
        </w:rPr>
        <w:t>则第</w:t>
      </w:r>
      <w:r>
        <w:rPr>
          <w:rFonts w:ascii="宋体" w:hAnsi="宋体" w:cs="宋体" w:eastAsia="宋体" w:hint="default"/>
          <w:spacing w:val="-1"/>
        </w:rPr>
        <w:t>33</w:t>
      </w:r>
      <w:r>
        <w:rPr>
          <w:spacing w:val="-1"/>
        </w:rPr>
        <w:t>号——合并财务报表》（修订）、《企业会计准则第</w:t>
      </w:r>
      <w:r>
        <w:rPr>
          <w:rFonts w:ascii="宋体" w:hAnsi="宋体" w:cs="宋体" w:eastAsia="宋体" w:hint="default"/>
          <w:spacing w:val="-1"/>
        </w:rPr>
        <w:t>39</w:t>
      </w:r>
      <w:r>
        <w:rPr>
          <w:spacing w:val="-1"/>
        </w:rPr>
        <w:t>号——公允价值计量》、《企业会计准则第</w:t>
      </w:r>
      <w:r>
        <w:rPr>
          <w:spacing w:val="-87"/>
        </w:rPr>
        <w:t> </w:t>
      </w:r>
      <w:r>
        <w:rPr>
          <w:spacing w:val="-87"/>
        </w:rPr>
      </w:r>
      <w:r>
        <w:rPr>
          <w:rFonts w:ascii="宋体" w:hAnsi="宋体" w:cs="宋体" w:eastAsia="宋体" w:hint="default"/>
        </w:rPr>
        <w:t>40</w:t>
      </w:r>
      <w:r>
        <w:rPr/>
        <w:t>号——合营安排》、《企业会计准则第</w:t>
      </w:r>
      <w:r>
        <w:rPr>
          <w:rFonts w:ascii="宋体" w:hAnsi="宋体" w:cs="宋体" w:eastAsia="宋体" w:hint="default"/>
        </w:rPr>
        <w:t>41</w:t>
      </w:r>
      <w:r>
        <w:rPr/>
        <w:t>号——在其他主体中权益的披露》等</w:t>
      </w:r>
      <w:r>
        <w:rPr>
          <w:rFonts w:ascii="宋体" w:hAnsi="宋体" w:cs="宋体" w:eastAsia="宋体" w:hint="default"/>
        </w:rPr>
        <w:t>7</w:t>
      </w:r>
      <w:r>
        <w:rPr/>
        <w:t>项新颁布或修订的企业 </w:t>
      </w:r>
      <w:r>
        <w:rPr>
          <w:spacing w:val="-1"/>
        </w:rPr>
        <w:t>会计准则，在编制</w:t>
      </w:r>
      <w:r>
        <w:rPr>
          <w:rFonts w:ascii="宋体" w:hAnsi="宋体" w:cs="宋体" w:eastAsia="宋体" w:hint="default"/>
          <w:spacing w:val="-1"/>
        </w:rPr>
        <w:t>2014</w:t>
      </w:r>
      <w:r>
        <w:rPr>
          <w:spacing w:val="-1"/>
        </w:rPr>
        <w:t>年年度财务报告时开始执行《企业会计准则第</w:t>
      </w:r>
      <w:r>
        <w:rPr>
          <w:rFonts w:ascii="宋体" w:hAnsi="宋体" w:cs="宋体" w:eastAsia="宋体" w:hint="default"/>
          <w:spacing w:val="-1"/>
        </w:rPr>
        <w:t>37</w:t>
      </w:r>
      <w:r>
        <w:rPr>
          <w:spacing w:val="-1"/>
        </w:rPr>
        <w:t>号——金融工具列报》，并根据各</w:t>
      </w:r>
      <w:r>
        <w:rPr>
          <w:spacing w:val="-85"/>
        </w:rPr>
        <w:t> </w:t>
      </w:r>
      <w:r>
        <w:rPr>
          <w:spacing w:val="-85"/>
        </w:rPr>
      </w:r>
      <w:r>
        <w:rPr>
          <w:spacing w:val="-1"/>
        </w:rPr>
        <w:t>准则衔接要求进行了调整。调整后对当期和列报前期财务报表项目及金额的影响详见本公司“</w:t>
      </w:r>
      <w:r>
        <w:rPr>
          <w:rFonts w:ascii="宋体" w:hAnsi="宋体" w:cs="宋体" w:eastAsia="宋体" w:hint="default"/>
          <w:spacing w:val="-1"/>
        </w:rPr>
        <w:t>2014</w:t>
      </w:r>
      <w:r>
        <w:rPr>
          <w:spacing w:val="-1"/>
        </w:rPr>
        <w:t>年度财</w:t>
      </w:r>
      <w:r>
        <w:rPr>
          <w:spacing w:val="-80"/>
        </w:rPr>
        <w:t> </w:t>
      </w:r>
      <w:r>
        <w:rPr>
          <w:spacing w:val="-80"/>
        </w:rPr>
      </w:r>
      <w:r>
        <w:rPr/>
        <w:t>务报告四、</w:t>
      </w:r>
      <w:r>
        <w:rPr>
          <w:rFonts w:ascii="宋体" w:hAnsi="宋体" w:cs="宋体" w:eastAsia="宋体" w:hint="default"/>
        </w:rPr>
        <w:t>27</w:t>
      </w:r>
      <w:r>
        <w:rPr/>
        <w:t>重要会计政策的变更”部分。</w:t>
      </w:r>
    </w:p>
    <w:p>
      <w:pPr>
        <w:spacing w:line="240" w:lineRule="auto" w:before="11"/>
        <w:rPr>
          <w:rFonts w:ascii="宋体" w:hAnsi="宋体" w:cs="宋体" w:eastAsia="宋体" w:hint="default"/>
          <w:sz w:val="18"/>
          <w:szCs w:val="18"/>
        </w:rPr>
      </w:pPr>
    </w:p>
    <w:p>
      <w:pPr>
        <w:pStyle w:val="Heading2"/>
        <w:spacing w:line="240" w:lineRule="auto"/>
        <w:ind w:left="154" w:right="0"/>
        <w:jc w:val="left"/>
        <w:rPr>
          <w:b w:val="0"/>
          <w:bCs w:val="0"/>
        </w:rPr>
      </w:pPr>
      <w:bookmarkStart w:name="十一、报告期内发生重大会计差错更正需追溯重述的情况说明" w:id="54"/>
      <w:bookmarkEnd w:id="54"/>
      <w:r>
        <w:rPr>
          <w:b w:val="0"/>
          <w:bCs w:val="0"/>
        </w:rPr>
      </w: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十二、与上年度财务报告相比，合并报表范围发生变化的情况说明" w:id="55"/>
      <w:bookmarkEnd w:id="55"/>
      <w:r>
        <w:rPr>
          <w:b w:val="0"/>
          <w:bCs w:val="0"/>
        </w:rPr>
      </w:r>
      <w:r>
        <w:rPr/>
        <w:t>十二、与上年度财务报告相比，合并报表范围发生变化的情况说明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126" w:firstLine="420"/>
        <w:jc w:val="left"/>
      </w:pPr>
      <w:r>
        <w:rPr>
          <w:spacing w:val="-1"/>
        </w:rPr>
        <w:t>报告期内，北斗公司转让北斗导航公司</w:t>
      </w:r>
      <w:r>
        <w:rPr>
          <w:rFonts w:ascii="Times New Roman" w:hAnsi="Times New Roman" w:cs="Times New Roman" w:eastAsia="Times New Roman" w:hint="default"/>
          <w:spacing w:val="-1"/>
        </w:rPr>
        <w:t>66.67%</w:t>
      </w:r>
      <w:r>
        <w:rPr>
          <w:spacing w:val="-1"/>
        </w:rPr>
        <w:t>的股权，转让后截止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日北斗公司不再持有</w:t>
      </w:r>
      <w:r>
        <w:rPr/>
        <w:t> 北斗导航公司股权，北斗导航公司自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日起不再纳入本公司合并财务报表的合并范围。</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bookmarkStart w:name="十三、公司利润分配及分红派息情况" w:id="56"/>
      <w:bookmarkEnd w:id="56"/>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6" w:lineRule="auto" w:before="153"/>
        <w:ind w:right="1024" w:firstLine="427"/>
        <w:jc w:val="left"/>
      </w:pPr>
      <w:r>
        <w:rPr/>
        <w:t>公司根据中国证监会《关于进一步落实上市公司现金分红有关事项的通知》（证监发【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37</w:t>
      </w:r>
      <w:r>
        <w:rPr/>
        <w:t>号） 和江苏证监局《关于进一步落实上市公司现金分红有关要求的通知》（苏证监公司字【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276</w:t>
      </w:r>
      <w:r>
        <w:rPr/>
        <w:t>号）等 通知要求，结合公司自身实际情况，经公司</w:t>
      </w:r>
      <w:r>
        <w:rPr>
          <w:rFonts w:ascii="Times New Roman" w:hAnsi="Times New Roman" w:cs="Times New Roman" w:eastAsia="Times New Roman" w:hint="default"/>
        </w:rPr>
        <w:t>2012</w:t>
      </w:r>
      <w:r>
        <w:rPr/>
        <w:t>年第一次临时股东大会审议批准后对《公司章程》中利润 分配政策进行了修订完善。公司的利润分配政策符合中国证监会有关文件以及《公司章程》的规定，充分 保护了中小投资者的合法权益，分红标准和分红比例明确、清晰。报告期内，公司未对利润分配政策进行 </w:t>
      </w:r>
      <w:r>
        <w:rPr>
          <w:spacing w:val="-3"/>
        </w:rPr>
        <w:t>调整或变更。公司利润分配政策和决策程序详见《公司章程》第一百六十五条、第一百六十六条。分别为：</w:t>
      </w:r>
    </w:p>
    <w:p>
      <w:pPr>
        <w:pStyle w:val="BodyText"/>
        <w:spacing w:line="240" w:lineRule="auto" w:before="56"/>
        <w:ind w:left="595" w:right="0"/>
        <w:jc w:val="left"/>
      </w:pPr>
      <w:r>
        <w:rPr/>
        <w:t>第一百六十五条</w:t>
      </w:r>
      <w:r>
        <w:rPr>
          <w:spacing w:val="-21"/>
        </w:rPr>
        <w:t> </w:t>
      </w:r>
      <w:r>
        <w:rPr/>
        <w:t>公司的利润分配政策为：</w:t>
      </w:r>
    </w:p>
    <w:p>
      <w:pPr>
        <w:spacing w:line="240" w:lineRule="auto" w:before="10"/>
        <w:rPr>
          <w:rFonts w:ascii="宋体" w:hAnsi="宋体" w:cs="宋体" w:eastAsia="宋体" w:hint="default"/>
          <w:sz w:val="14"/>
          <w:szCs w:val="14"/>
        </w:rPr>
      </w:pPr>
    </w:p>
    <w:p>
      <w:pPr>
        <w:pStyle w:val="BodyText"/>
        <w:spacing w:line="240" w:lineRule="auto" w:before="0"/>
        <w:ind w:left="595" w:right="0"/>
        <w:jc w:val="left"/>
      </w:pPr>
      <w:r>
        <w:rPr/>
        <w:t>（一）利润分配政策的基本原则</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41"/>
        <w:jc w:val="both"/>
      </w:pPr>
      <w:r>
        <w:rPr>
          <w:spacing w:val="-2"/>
        </w:rPr>
        <w:t>公司充分考虑对投资者的回报，每年按当年实现的可分配利润（以母公司与合并报表孰低原则）的规</w:t>
      </w:r>
      <w:r>
        <w:rPr/>
        <w:t> </w:t>
      </w:r>
      <w:r>
        <w:rPr>
          <w:spacing w:val="-1"/>
        </w:rPr>
        <w:t>定比例向股东分配股利；公司的利润分配政策保持连续性和稳定性，同时兼顾公司的长远利益、全体股东</w:t>
      </w:r>
      <w:r>
        <w:rPr>
          <w:spacing w:val="-83"/>
        </w:rPr>
        <w:t> </w:t>
      </w:r>
      <w:r>
        <w:rPr>
          <w:spacing w:val="-83"/>
        </w:rPr>
      </w:r>
      <w:r>
        <w:rPr/>
        <w:t>的整体利益及公司的可持续发展；公司优先采用现金分红的利润分配方式。</w:t>
      </w:r>
    </w:p>
    <w:p>
      <w:pPr>
        <w:pStyle w:val="BodyText"/>
        <w:spacing w:line="408" w:lineRule="auto" w:before="46"/>
        <w:ind w:left="595" w:right="4221"/>
        <w:jc w:val="left"/>
      </w:pPr>
      <w:r>
        <w:rPr/>
        <w:t>（二）利润分配形式 公司可以采用现金、股票或者现金与股票相结合的方式分配利润。</w:t>
      </w:r>
    </w:p>
    <w:p>
      <w:pPr>
        <w:pStyle w:val="BodyText"/>
        <w:spacing w:line="408" w:lineRule="auto" w:before="46"/>
        <w:ind w:left="595" w:right="1115"/>
        <w:jc w:val="left"/>
      </w:pPr>
      <w:r>
        <w:rPr/>
        <w:t>（三）现金分红的具体条件、比例和期间间隔 </w:t>
      </w:r>
      <w:r>
        <w:rPr>
          <w:spacing w:val="-1"/>
        </w:rPr>
        <w:t>公司在当年盈利且累计未分配利润为正的情况下，应当采取现金方式分配股利，且以现金方式分配的</w:t>
      </w:r>
    </w:p>
    <w:p>
      <w:pPr>
        <w:pStyle w:val="BodyText"/>
        <w:spacing w:line="408" w:lineRule="auto" w:before="46"/>
        <w:ind w:left="595" w:right="1176" w:hanging="442"/>
        <w:jc w:val="left"/>
      </w:pPr>
      <w:r>
        <w:rPr/>
        <w:t>利润不少于当年实现的可分配利润（以母公司与合并报表孰低原则）的百分之十。 公司在下列两种情形发生时可以不进行当年度的现金分红： </w:t>
      </w:r>
      <w:r>
        <w:rPr>
          <w:rFonts w:ascii="Times New Roman" w:hAnsi="Times New Roman" w:cs="Times New Roman" w:eastAsia="Times New Roman" w:hint="default"/>
        </w:rPr>
        <w:t>1</w:t>
      </w:r>
      <w:r>
        <w:rPr/>
        <w:t>、公司在未来十二个月内拟进行收购资产、对外投资和投资项目（募集资金投资项目除外）的累计</w:t>
      </w:r>
    </w:p>
    <w:p>
      <w:pPr>
        <w:pStyle w:val="BodyText"/>
        <w:spacing w:line="240" w:lineRule="auto" w:before="14"/>
        <w:ind w:right="0"/>
        <w:jc w:val="left"/>
      </w:pPr>
      <w:r>
        <w:rPr/>
        <w:t>支出达到或超过公司最近一期经审计净资产的百分之三十；</w:t>
      </w:r>
    </w:p>
    <w:p>
      <w:pPr>
        <w:spacing w:line="240" w:lineRule="auto" w:before="10"/>
        <w:rPr>
          <w:rFonts w:ascii="宋体" w:hAnsi="宋体" w:cs="宋体" w:eastAsia="宋体" w:hint="default"/>
          <w:sz w:val="14"/>
          <w:szCs w:val="14"/>
        </w:rPr>
      </w:pPr>
    </w:p>
    <w:p>
      <w:pPr>
        <w:pStyle w:val="BodyText"/>
        <w:spacing w:line="386" w:lineRule="auto" w:before="0"/>
        <w:ind w:right="1192" w:firstLine="441"/>
        <w:jc w:val="both"/>
      </w:pPr>
      <w:r>
        <w:rPr>
          <w:rFonts w:ascii="Times New Roman" w:hAnsi="Times New Roman" w:cs="Times New Roman" w:eastAsia="Times New Roman" w:hint="default"/>
        </w:rPr>
        <w:t>2</w:t>
      </w:r>
      <w:r>
        <w:rPr/>
        <w:t>、公司经营活动现金流量连续两年为负时。公司最近三年以现金累计分配的利润不得少于最近三年 实现的年均可供分配利润的百分之三十。</w:t>
      </w:r>
    </w:p>
    <w:p>
      <w:pPr>
        <w:pStyle w:val="BodyText"/>
        <w:spacing w:line="408" w:lineRule="auto" w:before="65"/>
        <w:ind w:right="1130" w:firstLine="441"/>
        <w:jc w:val="both"/>
      </w:pPr>
      <w:r>
        <w:rPr>
          <w:spacing w:val="-1"/>
        </w:rPr>
        <w:t>在满足现金分红条件，保证公司正常经营和长远发展的前提下，公司原则上每年年度股东大会召开后</w:t>
      </w:r>
      <w:r>
        <w:rPr/>
        <w:t> 进行一次现金分红，公司董事会可以根据公司的盈利状况及资金需求状况提议公司进行中期现金分红。</w:t>
      </w:r>
    </w:p>
    <w:p>
      <w:pPr>
        <w:pStyle w:val="BodyText"/>
        <w:spacing w:line="408" w:lineRule="auto" w:before="46"/>
        <w:ind w:right="1131" w:firstLine="441"/>
        <w:jc w:val="both"/>
      </w:pPr>
      <w:r>
        <w:rPr>
          <w:spacing w:val="-1"/>
        </w:rPr>
        <w:t>（四）发放股票股利的具体条件公司在经营情况良好，并且董事会认为公司股票价格与公司股本规模</w:t>
      </w:r>
      <w:r>
        <w:rPr/>
        <w:t> </w:t>
      </w:r>
      <w:r>
        <w:rPr>
          <w:spacing w:val="-1"/>
        </w:rPr>
        <w:t>不匹配、发放股票股利有利于公司全体股东整体利益时，可以在满足上述现金分红的条件下，提出股票股</w:t>
      </w:r>
      <w:r>
        <w:rPr>
          <w:spacing w:val="-83"/>
        </w:rPr>
        <w:t> </w:t>
      </w:r>
      <w:r>
        <w:rPr>
          <w:spacing w:val="-83"/>
        </w:rPr>
      </w:r>
      <w:r>
        <w:rPr/>
        <w:t>利分配方案。</w:t>
      </w:r>
    </w:p>
    <w:p>
      <w:pPr>
        <w:pStyle w:val="BodyText"/>
        <w:spacing w:line="408" w:lineRule="auto" w:before="46"/>
        <w:ind w:left="574" w:right="1512" w:firstLine="21"/>
        <w:jc w:val="left"/>
      </w:pPr>
      <w:r>
        <w:rPr/>
        <w:t>（五）利润分配方案的实施 公司股东大会对利润分配方案做出决议后，公司董事会须在股东大会召开后二个月内实施完成。</w:t>
      </w:r>
    </w:p>
    <w:p>
      <w:pPr>
        <w:pStyle w:val="BodyText"/>
        <w:spacing w:line="408" w:lineRule="auto" w:before="46"/>
        <w:ind w:right="1130" w:firstLine="441"/>
        <w:jc w:val="both"/>
      </w:pPr>
      <w:r>
        <w:rPr>
          <w:spacing w:val="-1"/>
        </w:rPr>
        <w:t>（六）如股东发生违规占用公司资金情形的，公司在分配利润时，先从该股东应分配的现金红利中扣</w:t>
      </w:r>
      <w:r>
        <w:rPr/>
        <w:t> 减其占用的资金。</w:t>
      </w:r>
    </w:p>
    <w:p>
      <w:pPr>
        <w:pStyle w:val="BodyText"/>
        <w:spacing w:line="408" w:lineRule="auto" w:before="46"/>
        <w:ind w:left="595" w:right="1115"/>
        <w:jc w:val="left"/>
      </w:pPr>
      <w:r>
        <w:rPr/>
        <w:t>（七）利润分配政策的调整或变更 </w:t>
      </w:r>
      <w:r>
        <w:rPr>
          <w:spacing w:val="-1"/>
        </w:rPr>
        <w:t>如遇到战争、自然灾害等不可抗力或者公司外部经营环境变化并对公司生产经营造成重大影响，或公</w:t>
      </w:r>
    </w:p>
    <w:p>
      <w:pPr>
        <w:pStyle w:val="BodyText"/>
        <w:spacing w:line="408" w:lineRule="auto" w:before="46"/>
        <w:ind w:right="1131"/>
        <w:jc w:val="both"/>
      </w:pPr>
      <w:r>
        <w:rPr>
          <w:spacing w:val="-1"/>
        </w:rPr>
        <w:t>司自身经营情况发生重大变化时，公司根据生产经营情况、投资规划和长期发展的需要，可对利润分配政</w:t>
      </w:r>
      <w:r>
        <w:rPr>
          <w:spacing w:val="-83"/>
        </w:rPr>
        <w:t> </w:t>
      </w:r>
      <w:r>
        <w:rPr>
          <w:spacing w:val="-83"/>
        </w:rPr>
      </w:r>
      <w:r>
        <w:rPr>
          <w:spacing w:val="-1"/>
        </w:rPr>
        <w:t>策进行调整或变更。公司调整或变更利润分配政策应以股东权益保护为出发点，调整或变更后的利润分配</w:t>
      </w:r>
      <w:r>
        <w:rPr>
          <w:spacing w:val="-81"/>
        </w:rPr>
        <w:t> </w:t>
      </w:r>
      <w:r>
        <w:rPr>
          <w:spacing w:val="-81"/>
        </w:rPr>
      </w:r>
      <w:r>
        <w:rPr>
          <w:spacing w:val="-1"/>
        </w:rPr>
        <w:t>政策不得违反相关法律法规、规范性文件和本章程的有关规定；调整或变更利润分配政策应由董事会做出</w:t>
      </w:r>
      <w:r>
        <w:rPr>
          <w:spacing w:val="-81"/>
        </w:rPr>
        <w:t> </w:t>
      </w:r>
      <w:r>
        <w:rPr>
          <w:spacing w:val="-81"/>
        </w:rPr>
      </w:r>
      <w:r>
        <w:rPr>
          <w:spacing w:val="-1"/>
        </w:rPr>
        <w:t>专题论述，详细论证调整理由，形成书面论证报告，由独立董事、监事会发表意见，经公司董事会审议后</w:t>
      </w:r>
      <w:r>
        <w:rPr>
          <w:spacing w:val="-82"/>
        </w:rPr>
        <w:t> </w:t>
      </w:r>
      <w:r>
        <w:rPr>
          <w:spacing w:val="-82"/>
        </w:rPr>
      </w:r>
      <w:r>
        <w:rPr>
          <w:spacing w:val="-1"/>
        </w:rPr>
        <w:t>提交公司股东大会特别决议通过；调整或变更利润分配政策议案中如为减少每年或最近三年累计现金分红</w:t>
      </w:r>
      <w:r>
        <w:rPr>
          <w:spacing w:val="-81"/>
        </w:rPr>
        <w:t> </w:t>
      </w:r>
      <w:r>
        <w:rPr>
          <w:spacing w:val="-81"/>
        </w:rPr>
      </w:r>
      <w:r>
        <w:rPr/>
        <w:t>比例的，该议案在提交股东大会审议批准时，公司应为股东提供网络投票方式。</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95" w:right="1115"/>
        <w:jc w:val="left"/>
      </w:pPr>
      <w:r>
        <w:rPr/>
        <w:t>（八）利润分配政策的披露 </w:t>
      </w:r>
      <w:r>
        <w:rPr>
          <w:spacing w:val="-1"/>
        </w:rPr>
        <w:t>公司应当在定期报告中详细披露利润分配政策的制定和执行情况，说明是否符合公司章程的规定或者</w:t>
      </w:r>
    </w:p>
    <w:p>
      <w:pPr>
        <w:pStyle w:val="BodyText"/>
        <w:spacing w:line="408" w:lineRule="auto" w:before="46"/>
        <w:ind w:right="1131"/>
        <w:jc w:val="both"/>
      </w:pPr>
      <w:r>
        <w:rPr>
          <w:spacing w:val="-1"/>
        </w:rPr>
        <w:t>股东大会决议的要求，现金分红标准和比例是否明确和清晰，相关的决策程序和机制是否完备，独立董事</w:t>
      </w:r>
      <w:r>
        <w:rPr>
          <w:spacing w:val="-83"/>
        </w:rPr>
        <w:t> </w:t>
      </w:r>
      <w:r>
        <w:rPr>
          <w:spacing w:val="-83"/>
        </w:rPr>
      </w:r>
      <w:r>
        <w:rPr>
          <w:spacing w:val="-1"/>
        </w:rPr>
        <w:t>是否尽责履职并发挥了应有的作用，中小股东是否有充分表达意见和诉求的机会，中小股东的合法权益是</w:t>
      </w:r>
      <w:r>
        <w:rPr>
          <w:spacing w:val="-81"/>
        </w:rPr>
        <w:t> </w:t>
      </w:r>
      <w:r>
        <w:rPr>
          <w:spacing w:val="-81"/>
        </w:rPr>
      </w:r>
      <w:r>
        <w:rPr>
          <w:spacing w:val="-1"/>
        </w:rPr>
        <w:t>否得到充分维护等。如涉及利润分配政策进行调整或变更的，还要详细说明调整或变更的条件和程序是否</w:t>
      </w:r>
      <w:r>
        <w:rPr>
          <w:spacing w:val="-81"/>
        </w:rPr>
        <w:t> </w:t>
      </w:r>
      <w:r>
        <w:rPr>
          <w:spacing w:val="-81"/>
        </w:rPr>
      </w:r>
      <w:r>
        <w:rPr/>
        <w:t>合规和透明等。</w:t>
      </w:r>
    </w:p>
    <w:p>
      <w:pPr>
        <w:pStyle w:val="BodyText"/>
        <w:spacing w:line="240" w:lineRule="auto" w:before="46"/>
        <w:ind w:left="595" w:right="0"/>
        <w:jc w:val="left"/>
      </w:pPr>
      <w:r>
        <w:rPr/>
        <w:t>第一百六十六条公司利润分配的决策程序和机制为：</w:t>
      </w:r>
    </w:p>
    <w:p>
      <w:pPr>
        <w:spacing w:line="240" w:lineRule="auto" w:before="10"/>
        <w:rPr>
          <w:rFonts w:ascii="宋体" w:hAnsi="宋体" w:cs="宋体" w:eastAsia="宋体" w:hint="default"/>
          <w:sz w:val="14"/>
          <w:szCs w:val="14"/>
        </w:rPr>
      </w:pPr>
    </w:p>
    <w:p>
      <w:pPr>
        <w:pStyle w:val="BodyText"/>
        <w:spacing w:line="400" w:lineRule="auto" w:before="0"/>
        <w:ind w:right="1131" w:firstLine="441"/>
        <w:jc w:val="both"/>
      </w:pPr>
      <w:r>
        <w:rPr>
          <w:rFonts w:ascii="Times New Roman" w:hAnsi="Times New Roman" w:cs="Times New Roman" w:eastAsia="Times New Roman" w:hint="default"/>
        </w:rPr>
        <w:t>1</w:t>
      </w:r>
      <w:r>
        <w:rPr/>
        <w:t>、公司利润分配方案应由公司管理层拟定后提交公司董事会、监事会审议。董事会就利润分配方案 </w:t>
      </w:r>
      <w:r>
        <w:rPr>
          <w:spacing w:val="-1"/>
        </w:rPr>
        <w:t>的合理性进行充分讨论，形成专项决议后提交股东大会审议。公司应切实保障社会公众股东参与股东大会</w:t>
      </w:r>
      <w:r>
        <w:rPr>
          <w:spacing w:val="-81"/>
        </w:rPr>
        <w:t> </w:t>
      </w:r>
      <w:r>
        <w:rPr>
          <w:spacing w:val="-81"/>
        </w:rPr>
      </w:r>
      <w:r>
        <w:rPr>
          <w:spacing w:val="-1"/>
        </w:rPr>
        <w:t>的权利，审议利润分配方案时，董事会、独立董事和符合一定条件的股东可以向公司股东征集其在股东大</w:t>
      </w:r>
      <w:r>
        <w:rPr>
          <w:spacing w:val="-83"/>
        </w:rPr>
        <w:t> </w:t>
      </w:r>
      <w:r>
        <w:rPr>
          <w:spacing w:val="-83"/>
        </w:rPr>
      </w:r>
      <w:r>
        <w:rPr/>
        <w:t>会的投票权。</w:t>
      </w:r>
    </w:p>
    <w:p>
      <w:pPr>
        <w:pStyle w:val="BodyText"/>
        <w:spacing w:line="386" w:lineRule="auto" w:before="52"/>
        <w:ind w:right="1177" w:firstLine="441"/>
        <w:jc w:val="left"/>
      </w:pPr>
      <w:r>
        <w:rPr>
          <w:rFonts w:ascii="Times New Roman" w:hAnsi="Times New Roman" w:cs="Times New Roman" w:eastAsia="Times New Roman" w:hint="default"/>
        </w:rPr>
        <w:t>2</w:t>
      </w:r>
      <w:r>
        <w:rPr/>
        <w:t>、董事会审议现金分红具体方案时，应当认真研究和论证公司现金分红的时机、条件和最低比例、 调整的条件及其决策程序要求等事宜，独立董事应当发表明确意见。</w:t>
      </w:r>
    </w:p>
    <w:p>
      <w:pPr>
        <w:pStyle w:val="BodyText"/>
        <w:spacing w:line="398" w:lineRule="auto" w:before="65"/>
        <w:ind w:right="0" w:firstLine="441"/>
        <w:jc w:val="left"/>
      </w:pPr>
      <w:r>
        <w:rPr>
          <w:rFonts w:ascii="Times New Roman" w:hAnsi="Times New Roman" w:cs="Times New Roman" w:eastAsia="Times New Roman" w:hint="default"/>
          <w:spacing w:val="-2"/>
        </w:rPr>
        <w:t>3</w:t>
      </w:r>
      <w:r>
        <w:rPr>
          <w:spacing w:val="-2"/>
        </w:rPr>
        <w:t>、股东大会对现金分红具体方案进行审议时，应当通过多种渠道（包括但不限于电话、传真、邮件、</w:t>
      </w:r>
      <w:r>
        <w:rPr/>
        <w:t> 互动平台等途径）主动与股东特别是中小股东进行沟通和交流，充分听取中小股东的意见和诉求，并及时 答复中小股东关心的问题。</w:t>
      </w:r>
    </w:p>
    <w:p>
      <w:pPr>
        <w:pStyle w:val="BodyText"/>
        <w:spacing w:line="398" w:lineRule="auto" w:before="54"/>
        <w:ind w:right="1024" w:firstLine="441"/>
        <w:jc w:val="left"/>
      </w:pPr>
      <w:r>
        <w:rPr>
          <w:rFonts w:ascii="Times New Roman" w:hAnsi="Times New Roman" w:cs="Times New Roman" w:eastAsia="Times New Roman" w:hint="default"/>
        </w:rPr>
        <w:t>4</w:t>
      </w:r>
      <w:r>
        <w:rPr/>
        <w:t>、监事会应当对董事会制订的利润分配方案进行审议，并经过半数监事通过。监事会应对利润分配 </w:t>
      </w:r>
      <w:r>
        <w:rPr>
          <w:spacing w:val="-3"/>
        </w:rPr>
        <w:t>方案和利润分配政策的执行情况进行监督，若公司年度盈利但未提出现金分红方案，监事会应就相关政策、</w:t>
      </w:r>
      <w:r>
        <w:rPr>
          <w:spacing w:val="-91"/>
        </w:rPr>
        <w:t> </w:t>
      </w:r>
      <w:r>
        <w:rPr>
          <w:spacing w:val="-91"/>
        </w:rPr>
      </w:r>
      <w:r>
        <w:rPr/>
        <w:t>规划执行情况发表专项说明和意见。</w:t>
      </w:r>
    </w:p>
    <w:p>
      <w:pPr>
        <w:pStyle w:val="BodyText"/>
        <w:spacing w:line="398" w:lineRule="auto" w:before="54"/>
        <w:ind w:right="1131" w:firstLine="441"/>
        <w:jc w:val="both"/>
      </w:pPr>
      <w:r>
        <w:rPr>
          <w:rFonts w:ascii="Times New Roman" w:hAnsi="Times New Roman" w:cs="Times New Roman" w:eastAsia="Times New Roman" w:hint="default"/>
        </w:rPr>
        <w:t>5</w:t>
      </w:r>
      <w:r>
        <w:rPr/>
        <w:t>、公司因本章程第一百六十五条规定的特殊情形而不进行现金分红时，董事会应就不进行现金分红 </w:t>
      </w:r>
      <w:r>
        <w:rPr>
          <w:spacing w:val="-1"/>
        </w:rPr>
        <w:t>的具体原因、公司留存收益的确切用途及预计投资收益等事项进行专项说明，经独立董事发表意见后提交</w:t>
      </w:r>
      <w:r>
        <w:rPr>
          <w:spacing w:val="-81"/>
        </w:rPr>
        <w:t> </w:t>
      </w:r>
      <w:r>
        <w:rPr>
          <w:spacing w:val="-81"/>
        </w:rPr>
      </w:r>
      <w:r>
        <w:rPr/>
        <w:t>股东大会审议，并在公司指定媒体上予以披露。</w:t>
      </w:r>
    </w:p>
    <w:p>
      <w:pPr>
        <w:pStyle w:val="BodyText"/>
        <w:spacing w:line="398" w:lineRule="auto" w:before="54"/>
        <w:ind w:right="1120" w:firstLine="441"/>
        <w:jc w:val="left"/>
      </w:pPr>
      <w:r>
        <w:rPr>
          <w:spacing w:val="-1"/>
        </w:rPr>
        <w:t>报告期内，公司实施了</w:t>
      </w:r>
      <w:r>
        <w:rPr>
          <w:rFonts w:ascii="Times New Roman" w:hAnsi="Times New Roman" w:cs="Times New Roman" w:eastAsia="Times New Roman" w:hint="default"/>
          <w:spacing w:val="-1"/>
        </w:rPr>
        <w:t>2013</w:t>
      </w:r>
      <w:r>
        <w:rPr>
          <w:spacing w:val="-1"/>
        </w:rPr>
        <w:t>年度利润分配方案。公司</w:t>
      </w:r>
      <w:r>
        <w:rPr>
          <w:rFonts w:ascii="Times New Roman" w:hAnsi="Times New Roman" w:cs="Times New Roman" w:eastAsia="Times New Roman" w:hint="default"/>
          <w:spacing w:val="-1"/>
        </w:rPr>
        <w:t>2014</w:t>
      </w:r>
      <w:r>
        <w:rPr>
          <w:spacing w:val="-1"/>
        </w:rPr>
        <w:t>年度及最近三年制定及实施的利润分配方案</w:t>
      </w:r>
      <w:r>
        <w:rPr/>
        <w:t> 符合中国证监会《关于进一步落实上市公司现金分红有关事项的通知》和《上市公司监管指引第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 </w:t>
      </w:r>
      <w:r>
        <w:rPr>
          <w:spacing w:val="-1"/>
        </w:rPr>
        <w:t>市公司现金分红》以及《公司章程》中利润分配政策的规定和股东大会决议的要求，现金分红标准和比例</w:t>
      </w:r>
      <w:r>
        <w:rPr>
          <w:spacing w:val="-85"/>
        </w:rPr>
        <w:t> </w:t>
      </w:r>
      <w:r>
        <w:rPr>
          <w:spacing w:val="-85"/>
        </w:rPr>
      </w:r>
      <w:r>
        <w:rPr>
          <w:spacing w:val="-1"/>
        </w:rPr>
        <w:t>明确、清晰，相关的决策程序和机制完备，独立董事尽责履职并发挥了应有的作用，公司通过多种途径为</w:t>
      </w:r>
      <w:r>
        <w:rPr>
          <w:spacing w:val="-86"/>
        </w:rPr>
        <w:t> </w:t>
      </w:r>
      <w:r>
        <w:rPr>
          <w:spacing w:val="-86"/>
        </w:rPr>
      </w:r>
      <w:r>
        <w:rPr/>
        <w:t>中小股东提供充分表达意见和诉求的机会，维护了中小股东的合法权益。</w:t>
      </w:r>
    </w:p>
    <w:tbl>
      <w:tblPr>
        <w:tblW w:w="0" w:type="auto"/>
        <w:jc w:val="left"/>
        <w:tblInd w:w="160" w:type="dxa"/>
        <w:tblLayout w:type="fixed"/>
        <w:tblCellMar>
          <w:top w:w="0" w:type="dxa"/>
          <w:left w:w="0" w:type="dxa"/>
          <w:bottom w:w="0" w:type="dxa"/>
          <w:right w:w="0" w:type="dxa"/>
        </w:tblCellMar>
        <w:tblLook w:val="01E0"/>
      </w:tblPr>
      <w:tblGrid>
        <w:gridCol w:w="6357"/>
        <w:gridCol w:w="3201"/>
      </w:tblGrid>
      <w:tr>
        <w:trPr>
          <w:trHeight w:val="406"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1" w:type="dxa"/>
            <w:tcBorders>
              <w:top w:val="single" w:sz="5" w:space="0" w:color="000000"/>
              <w:left w:val="single" w:sz="10" w:space="0" w:color="D2D2D2"/>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80"/>
        <w:gridCol w:w="3189"/>
      </w:tblGrid>
      <w:tr>
        <w:trPr>
          <w:trHeight w:val="406"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pStyle w:val="BodyText"/>
        <w:spacing w:line="386" w:lineRule="auto" w:before="155"/>
        <w:ind w:right="1093" w:firstLine="420"/>
        <w:jc w:val="left"/>
      </w:pPr>
      <w:r>
        <w:rPr>
          <w:spacing w:val="-1"/>
        </w:rPr>
        <w:t>公司拟定的</w:t>
      </w:r>
      <w:r>
        <w:rPr>
          <w:rFonts w:ascii="Times New Roman" w:hAnsi="Times New Roman" w:cs="Times New Roman" w:eastAsia="Times New Roman" w:hint="default"/>
          <w:spacing w:val="-1"/>
        </w:rPr>
        <w:t>2014</w:t>
      </w:r>
      <w:r>
        <w:rPr>
          <w:spacing w:val="-1"/>
        </w:rPr>
        <w:t>年度利润分配预案为：经瑞华会计师事务所（特殊普通合伙）审计确认，公司</w:t>
      </w:r>
      <w:r>
        <w:rPr>
          <w:rFonts w:ascii="Times New Roman" w:hAnsi="Times New Roman" w:cs="Times New Roman" w:eastAsia="Times New Roman" w:hint="default"/>
          <w:spacing w:val="-1"/>
        </w:rPr>
        <w:t>2014</w:t>
      </w:r>
      <w:r>
        <w:rPr>
          <w:spacing w:val="-1"/>
        </w:rPr>
        <w:t>年</w:t>
      </w:r>
      <w:r>
        <w:rPr/>
        <w:t> </w:t>
      </w:r>
      <w:r>
        <w:rPr>
          <w:spacing w:val="-1"/>
        </w:rPr>
        <w:t>实现净利润</w:t>
      </w:r>
      <w:r>
        <w:rPr>
          <w:rFonts w:ascii="Times New Roman" w:hAnsi="Times New Roman" w:cs="Times New Roman" w:eastAsia="Times New Roman" w:hint="default"/>
          <w:spacing w:val="-1"/>
        </w:rPr>
        <w:t>18,014,162.13</w:t>
      </w:r>
      <w:r>
        <w:rPr>
          <w:spacing w:val="-1"/>
        </w:rPr>
        <w:t>元，加上年初未分配利润</w:t>
      </w:r>
      <w:r>
        <w:rPr>
          <w:rFonts w:ascii="Times New Roman" w:hAnsi="Times New Roman" w:cs="Times New Roman" w:eastAsia="Times New Roman" w:hint="default"/>
          <w:spacing w:val="-1"/>
        </w:rPr>
        <w:t>67,124,885.49</w:t>
      </w:r>
      <w:r>
        <w:rPr>
          <w:spacing w:val="-1"/>
        </w:rPr>
        <w:t>元，减上年提取盈余公积</w:t>
      </w:r>
      <w:r>
        <w:rPr>
          <w:rFonts w:ascii="Times New Roman" w:hAnsi="Times New Roman" w:cs="Times New Roman" w:eastAsia="Times New Roman" w:hint="default"/>
          <w:spacing w:val="-1"/>
        </w:rPr>
        <w:t>824,147.77</w:t>
      </w:r>
      <w:r>
        <w:rPr>
          <w:spacing w:val="-1"/>
        </w:rPr>
        <w:t>元，减</w:t>
      </w:r>
      <w:r>
        <w:rPr>
          <w:spacing w:val="-67"/>
        </w:rPr>
        <w:t> </w:t>
      </w:r>
      <w:r>
        <w:rPr>
          <w:spacing w:val="-67"/>
        </w:rPr>
      </w:r>
      <w:r>
        <w:rPr/>
        <w:t>上年已分配利润</w:t>
      </w:r>
      <w:r>
        <w:rPr>
          <w:rFonts w:ascii="Times New Roman" w:hAnsi="Times New Roman" w:cs="Times New Roman" w:eastAsia="Times New Roman" w:hint="default"/>
        </w:rPr>
        <w:t>11,212,500.00</w:t>
      </w:r>
      <w:r>
        <w:rPr/>
        <w:t>元，实际可供股东分配利润为</w:t>
      </w:r>
      <w:r>
        <w:rPr>
          <w:rFonts w:ascii="Times New Roman" w:hAnsi="Times New Roman" w:cs="Times New Roman" w:eastAsia="Times New Roman" w:hint="default"/>
        </w:rPr>
        <w:t>73,102,399.85</w:t>
      </w:r>
      <w:r>
        <w:rPr/>
        <w:t>元，现根据公司的实际情况，决 定以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224,250,000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0.20</w:t>
      </w:r>
      <w:r>
        <w:rPr/>
        <w:t>元（含税）， 共计派发现金股利</w:t>
      </w:r>
      <w:r>
        <w:rPr>
          <w:rFonts w:ascii="Times New Roman" w:hAnsi="Times New Roman" w:cs="Times New Roman" w:eastAsia="Times New Roman" w:hint="default"/>
        </w:rPr>
        <w:t>4,485,000.00</w:t>
      </w:r>
      <w:r>
        <w:rPr/>
        <w:t>元。剩余未分配利润</w:t>
      </w:r>
      <w:r>
        <w:rPr>
          <w:rFonts w:ascii="Times New Roman" w:hAnsi="Times New Roman" w:cs="Times New Roman" w:eastAsia="Times New Roman" w:hint="default"/>
        </w:rPr>
        <w:t>68,617,399.85</w:t>
      </w:r>
      <w:r>
        <w:rPr/>
        <w:t>元，向后滚存。</w:t>
      </w:r>
      <w:r>
        <w:rPr>
          <w:rFonts w:ascii="Times New Roman" w:hAnsi="Times New Roman" w:cs="Times New Roman" w:eastAsia="Times New Roman" w:hint="default"/>
        </w:rPr>
        <w:t>2014</w:t>
      </w:r>
      <w:r>
        <w:rPr/>
        <w:t>年度公司不送红股， 不以资本公积金转增股本。公司</w:t>
      </w:r>
      <w:r>
        <w:rPr>
          <w:rFonts w:ascii="Times New Roman" w:hAnsi="Times New Roman" w:cs="Times New Roman" w:eastAsia="Times New Roman" w:hint="default"/>
        </w:rPr>
        <w:t>2014</w:t>
      </w:r>
      <w:r>
        <w:rPr/>
        <w:t>年度利润分配预案尚需</w:t>
      </w:r>
      <w:r>
        <w:rPr>
          <w:rFonts w:ascii="Times New Roman" w:hAnsi="Times New Roman" w:cs="Times New Roman" w:eastAsia="Times New Roman" w:hint="default"/>
        </w:rPr>
        <w:t>2014</w:t>
      </w:r>
      <w:r>
        <w:rPr/>
        <w:t>年度股东大会批准。</w:t>
      </w:r>
    </w:p>
    <w:p>
      <w:pPr>
        <w:pStyle w:val="BodyText"/>
        <w:spacing w:line="386" w:lineRule="auto" w:before="35"/>
        <w:ind w:right="0" w:firstLine="420"/>
        <w:jc w:val="left"/>
      </w:pPr>
      <w:r>
        <w:rPr>
          <w:spacing w:val="-1"/>
        </w:rPr>
        <w:t>公司</w:t>
      </w:r>
      <w:r>
        <w:rPr>
          <w:rFonts w:ascii="Times New Roman" w:hAnsi="Times New Roman" w:cs="Times New Roman" w:eastAsia="Times New Roman" w:hint="default"/>
          <w:spacing w:val="-1"/>
        </w:rPr>
        <w:t>2013</w:t>
      </w:r>
      <w:r>
        <w:rPr>
          <w:spacing w:val="-1"/>
        </w:rPr>
        <w:t>年度利润分配方案为：以</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224,250,000</w:t>
      </w:r>
      <w:r>
        <w:rPr>
          <w:spacing w:val="-1"/>
        </w:rPr>
        <w:t>股为基数，向全体股东每</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
        </w:rPr>
        <w:t> </w:t>
      </w:r>
      <w:r>
        <w:rPr/>
        <w:t>股派发现金股利人民币</w:t>
      </w:r>
      <w:r>
        <w:rPr>
          <w:rFonts w:ascii="Times New Roman" w:hAnsi="Times New Roman" w:cs="Times New Roman" w:eastAsia="Times New Roman" w:hint="default"/>
        </w:rPr>
        <w:t>0.50</w:t>
      </w:r>
      <w:r>
        <w:rPr/>
        <w:t>元（含税），共计派发现金股利</w:t>
      </w:r>
      <w:r>
        <w:rPr>
          <w:rFonts w:ascii="Times New Roman" w:hAnsi="Times New Roman" w:cs="Times New Roman" w:eastAsia="Times New Roman" w:hint="default"/>
        </w:rPr>
        <w:t>11,212,500.00</w:t>
      </w:r>
      <w:r>
        <w:rPr/>
        <w:t>元。公司</w:t>
      </w:r>
      <w:r>
        <w:rPr>
          <w:rFonts w:ascii="Times New Roman" w:hAnsi="Times New Roman" w:cs="Times New Roman" w:eastAsia="Times New Roman" w:hint="default"/>
        </w:rPr>
        <w:t>2013</w:t>
      </w:r>
      <w:r>
        <w:rPr/>
        <w:t>年度不送红股，不 以资本公积金转增股本。公司于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日在巨潮资讯网（</w:t>
      </w:r>
      <w:hyperlink r:id="rId12">
        <w:r>
          <w:rPr>
            <w:rFonts w:ascii="Times New Roman" w:hAnsi="Times New Roman" w:cs="Times New Roman" w:eastAsia="Times New Roman" w:hint="default"/>
          </w:rPr>
          <w:t>www.cninfo.com.cn</w:t>
        </w:r>
      </w:hyperlink>
      <w:r>
        <w:rPr/>
        <w:t>）和《上海证券报》上</w:t>
      </w:r>
      <w:r>
        <w:rPr>
          <w:w w:val="99"/>
        </w:rPr>
        <w:t> </w:t>
      </w:r>
      <w:r>
        <w:rPr/>
        <w:t>刊登了公司《</w:t>
      </w:r>
      <w:r>
        <w:rPr>
          <w:rFonts w:ascii="Times New Roman" w:hAnsi="Times New Roman" w:cs="Times New Roman" w:eastAsia="Times New Roman" w:hint="default"/>
        </w:rPr>
        <w:t>2013</w:t>
      </w:r>
      <w:r>
        <w:rPr/>
        <w:t>年年度权益分派实施公告》，股权登记日为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日，除息日为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w:t>
      </w:r>
    </w:p>
    <w:p>
      <w:pPr>
        <w:pStyle w:val="BodyText"/>
        <w:spacing w:line="386" w:lineRule="auto" w:before="36"/>
        <w:ind w:right="1130" w:firstLine="420"/>
        <w:jc w:val="both"/>
      </w:pPr>
      <w:r>
        <w:rPr>
          <w:spacing w:val="-1"/>
        </w:rPr>
        <w:t>公司</w:t>
      </w:r>
      <w:r>
        <w:rPr>
          <w:rFonts w:ascii="Times New Roman" w:hAnsi="Times New Roman" w:cs="Times New Roman" w:eastAsia="Times New Roman" w:hint="default"/>
          <w:spacing w:val="-1"/>
        </w:rPr>
        <w:t>2012</w:t>
      </w:r>
      <w:r>
        <w:rPr>
          <w:spacing w:val="-1"/>
        </w:rPr>
        <w:t>年度利润分配方案为：以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224,250,000</w:t>
      </w:r>
      <w:r>
        <w:rPr>
          <w:spacing w:val="-1"/>
        </w:rPr>
        <w:t>股为基数，向全体股东每</w:t>
      </w:r>
      <w:r>
        <w:rPr>
          <w:rFonts w:ascii="Times New Roman" w:hAnsi="Times New Roman" w:cs="Times New Roman" w:eastAsia="Times New Roman" w:hint="default"/>
          <w:spacing w:val="-1"/>
        </w:rPr>
        <w:t>10</w:t>
      </w:r>
      <w:r>
        <w:rPr>
          <w:rFonts w:ascii="Times New Roman" w:hAnsi="Times New Roman" w:cs="Times New Roman" w:eastAsia="Times New Roman" w:hint="default"/>
        </w:rPr>
        <w:t> </w:t>
      </w:r>
      <w:r>
        <w:rPr/>
        <w:t>股派发现金股利人民币</w:t>
      </w:r>
      <w:r>
        <w:rPr>
          <w:rFonts w:ascii="Times New Roman" w:hAnsi="Times New Roman" w:cs="Times New Roman" w:eastAsia="Times New Roman" w:hint="default"/>
        </w:rPr>
        <w:t>2.00</w:t>
      </w:r>
      <w:r>
        <w:rPr/>
        <w:t>元（含税），共计派发现金股利</w:t>
      </w:r>
      <w:r>
        <w:rPr>
          <w:rFonts w:ascii="Times New Roman" w:hAnsi="Times New Roman" w:cs="Times New Roman" w:eastAsia="Times New Roman" w:hint="default"/>
        </w:rPr>
        <w:t>44,850,000.00</w:t>
      </w:r>
      <w:r>
        <w:rPr>
          <w:rFonts w:ascii="Times New Roman" w:hAnsi="Times New Roman" w:cs="Times New Roman" w:eastAsia="Times New Roman" w:hint="default"/>
          <w:spacing w:val="27"/>
        </w:rPr>
        <w:t> </w:t>
      </w:r>
      <w:r>
        <w:rPr/>
        <w:t>元。公司</w:t>
      </w:r>
      <w:r>
        <w:rPr>
          <w:rFonts w:ascii="Times New Roman" w:hAnsi="Times New Roman" w:cs="Times New Roman" w:eastAsia="Times New Roman" w:hint="default"/>
        </w:rPr>
        <w:t>2012</w:t>
      </w:r>
      <w:r>
        <w:rPr/>
        <w:t>年度不送红股，不 </w:t>
      </w:r>
      <w:r>
        <w:rPr>
          <w:spacing w:val="-1"/>
        </w:rPr>
        <w:t>以资本公积金转增股本。公司于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4</w:t>
      </w:r>
      <w:r>
        <w:rPr>
          <w:spacing w:val="-1"/>
        </w:rPr>
        <w:t>日在巨潮资讯网（</w:t>
      </w:r>
      <w:hyperlink r:id="rId12">
        <w:r>
          <w:rPr>
            <w:rFonts w:ascii="Times New Roman" w:hAnsi="Times New Roman" w:cs="Times New Roman" w:eastAsia="Times New Roman" w:hint="default"/>
            <w:spacing w:val="-1"/>
          </w:rPr>
          <w:t>www.cninfo.com.cn</w:t>
        </w:r>
      </w:hyperlink>
      <w:r>
        <w:rPr>
          <w:spacing w:val="-1"/>
        </w:rPr>
        <w:t>）和《上海证券报》上刊</w:t>
      </w:r>
      <w:r>
        <w:rPr>
          <w:w w:val="99"/>
        </w:rPr>
        <w:t> </w:t>
      </w:r>
      <w:r>
        <w:rPr/>
        <w:t>登了公司《</w:t>
      </w:r>
      <w:r>
        <w:rPr>
          <w:rFonts w:ascii="Times New Roman" w:hAnsi="Times New Roman" w:cs="Times New Roman" w:eastAsia="Times New Roman" w:hint="default"/>
        </w:rPr>
        <w:t>2012</w:t>
      </w:r>
      <w:r>
        <w:rPr/>
        <w:t>年年度权益分派实施公告》，股权登记日为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日，除息日为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w:t>
      </w: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6"/>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40"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7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75"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4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49,513,142.68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11,212,500.00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-6,234,721.90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-179.84%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65,882,961.66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四、本报告期利润分配及资本公积金转增股本预案" w:id="57"/>
      <w:bookmarkEnd w:id="57"/>
      <w:r>
        <w:rPr>
          <w:b w:val="0"/>
          <w:bCs w:val="0"/>
        </w:rPr>
      </w: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35"/>
        <w:ind w:left="0" w:right="1124"/>
        <w:jc w:val="right"/>
      </w:pPr>
      <w:r>
        <w:rPr/>
        <w:pict>
          <v:shape style="position:absolute;margin-left:56.459999pt;margin-top:-208.246353pt;width:479.2pt;height:326.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5"/>
                    <w:gridCol w:w="5864"/>
                  </w:tblGrid>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224,250,000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4,485,000.00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73,102,399.85</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89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42" w:right="0"/>
                          <w:jc w:val="left"/>
                          <w:rPr>
                            <w:rFonts w:ascii="宋体" w:hAnsi="宋体" w:cs="宋体" w:eastAsia="宋体" w:hint="default"/>
                            <w:sz w:val="21"/>
                            <w:szCs w:val="21"/>
                          </w:rPr>
                        </w:pPr>
                        <w:r>
                          <w:rPr>
                            <w:rFonts w:ascii="宋体" w:hAnsi="宋体" w:cs="宋体" w:eastAsia="宋体" w:hint="default"/>
                            <w:spacing w:val="-3"/>
                            <w:sz w:val="21"/>
                            <w:szCs w:val="21"/>
                          </w:rPr>
                          <w:t>经瑞华会计师事务所（特殊普通合伙）审计确认，公司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年实现净利润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18,014,162.13 </w:t>
                        </w:r>
                        <w:r>
                          <w:rPr>
                            <w:rFonts w:ascii="宋体" w:hAnsi="宋体" w:cs="宋体" w:eastAsia="宋体" w:hint="default"/>
                            <w:spacing w:val="-5"/>
                            <w:sz w:val="21"/>
                            <w:szCs w:val="21"/>
                          </w:rPr>
                          <w:t>元，加上年</w:t>
                        </w:r>
                      </w:p>
                      <w:p>
                        <w:pPr>
                          <w:pStyle w:val="TableParagraph"/>
                          <w:spacing w:line="240" w:lineRule="auto" w:before="177"/>
                          <w:ind w:left="22" w:right="0"/>
                          <w:jc w:val="both"/>
                          <w:rPr>
                            <w:rFonts w:ascii="宋体" w:hAnsi="宋体" w:cs="宋体" w:eastAsia="宋体" w:hint="default"/>
                            <w:sz w:val="21"/>
                            <w:szCs w:val="21"/>
                          </w:rPr>
                        </w:pPr>
                        <w:r>
                          <w:rPr>
                            <w:rFonts w:ascii="宋体" w:hAnsi="宋体" w:cs="宋体" w:eastAsia="宋体" w:hint="default"/>
                            <w:sz w:val="21"/>
                            <w:szCs w:val="21"/>
                          </w:rPr>
                          <w:t>初未分配利润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67,124,885.49</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元，减上年提取盈余公积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824,147.77 </w:t>
                        </w:r>
                        <w:r>
                          <w:rPr>
                            <w:rFonts w:ascii="宋体" w:hAnsi="宋体" w:cs="宋体" w:eastAsia="宋体" w:hint="default"/>
                            <w:spacing w:val="-8"/>
                            <w:sz w:val="21"/>
                            <w:szCs w:val="21"/>
                          </w:rPr>
                          <w:t>元，减上年已分配利润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11,212,500.00 </w:t>
                        </w:r>
                        <w:r>
                          <w:rPr>
                            <w:rFonts w:ascii="宋体" w:hAnsi="宋体" w:cs="宋体" w:eastAsia="宋体" w:hint="default"/>
                            <w:sz w:val="21"/>
                            <w:szCs w:val="21"/>
                          </w:rPr>
                          <w:t>元</w:t>
                        </w:r>
                      </w:p>
                      <w:p>
                        <w:pPr>
                          <w:pStyle w:val="TableParagraph"/>
                          <w:spacing w:line="240" w:lineRule="auto" w:before="177"/>
                          <w:ind w:left="22" w:right="0"/>
                          <w:jc w:val="both"/>
                          <w:rPr>
                            <w:rFonts w:ascii="宋体" w:hAnsi="宋体" w:cs="宋体" w:eastAsia="宋体" w:hint="default"/>
                            <w:sz w:val="21"/>
                            <w:szCs w:val="21"/>
                          </w:rPr>
                        </w:pPr>
                        <w:r>
                          <w:rPr>
                            <w:rFonts w:ascii="宋体" w:hAnsi="宋体" w:cs="宋体" w:eastAsia="宋体" w:hint="default"/>
                            <w:sz w:val="21"/>
                            <w:szCs w:val="21"/>
                          </w:rPr>
                          <w:t>实际可供股东分配利润为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73,102,399.85</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元，现根据公司的实际情况，决定以</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日公司总股</w:t>
                        </w:r>
                      </w:p>
                      <w:p>
                        <w:pPr>
                          <w:pStyle w:val="TableParagraph"/>
                          <w:spacing w:line="386" w:lineRule="auto" w:before="177"/>
                          <w:ind w:left="22" w:right="-19"/>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224,250,000</w:t>
                        </w:r>
                        <w:r>
                          <w:rPr>
                            <w:rFonts w:ascii="Times New Roman" w:hAnsi="Times New Roman" w:cs="Times New Roman" w:eastAsia="Times New Roman" w:hint="default"/>
                            <w:spacing w:val="-13"/>
                            <w:sz w:val="21"/>
                            <w:szCs w:val="21"/>
                          </w:rPr>
                          <w:t> </w:t>
                        </w:r>
                        <w:r>
                          <w:rPr>
                            <w:rFonts w:ascii="宋体" w:hAnsi="宋体" w:cs="宋体" w:eastAsia="宋体" w:hint="default"/>
                            <w:spacing w:val="-10"/>
                            <w:sz w:val="21"/>
                            <w:szCs w:val="21"/>
                          </w:rPr>
                          <w:t>股为基数，向全体股东每</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股派发现金股利</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0.20</w:t>
                        </w:r>
                        <w:r>
                          <w:rPr>
                            <w:rFonts w:ascii="Times New Roman" w:hAnsi="Times New Roman" w:cs="Times New Roman" w:eastAsia="Times New Roman" w:hint="default"/>
                            <w:spacing w:val="-13"/>
                            <w:sz w:val="21"/>
                            <w:szCs w:val="21"/>
                          </w:rPr>
                          <w:t> </w:t>
                        </w:r>
                        <w:r>
                          <w:rPr>
                            <w:rFonts w:ascii="宋体" w:hAnsi="宋体" w:cs="宋体" w:eastAsia="宋体" w:hint="default"/>
                            <w:spacing w:val="-23"/>
                            <w:sz w:val="21"/>
                            <w:szCs w:val="21"/>
                          </w:rPr>
                          <w:t>元（含税），共计派发现金股利</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4,485,000.00 </w:t>
                        </w:r>
                        <w:r>
                          <w:rPr>
                            <w:rFonts w:ascii="宋体" w:hAnsi="宋体" w:cs="宋体" w:eastAsia="宋体" w:hint="default"/>
                            <w:sz w:val="21"/>
                            <w:szCs w:val="21"/>
                          </w:rPr>
                          <w:t>元。剩余未分配利润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68,617,399.85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元，向后滚存。</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年度公司不送红股，不以资本公积金转增股本。 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年度利润分配预案尚需</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年度股东大会批准。</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before="26"/>
        <w:ind w:left="154" w:right="0"/>
        <w:jc w:val="both"/>
        <w:rPr>
          <w:b w:val="0"/>
          <w:bCs w:val="0"/>
        </w:rPr>
      </w:pPr>
      <w:bookmarkStart w:name="十五、社会责任情况" w:id="58"/>
      <w:bookmarkEnd w:id="58"/>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118" w:firstLine="420"/>
        <w:jc w:val="left"/>
      </w:pPr>
      <w:r>
        <w:rPr>
          <w:spacing w:val="-1"/>
        </w:rPr>
        <w:t>报告期内，公司恪守“商道酬信、精益求精”的经营理念，积极承担社会责任，促进了公司的和谐发</w:t>
      </w:r>
      <w:r>
        <w:rPr>
          <w:spacing w:val="1"/>
        </w:rPr>
        <w:t> </w:t>
      </w:r>
      <w:r>
        <w:rPr/>
        <w:t>展。</w:t>
      </w:r>
    </w:p>
    <w:p>
      <w:pPr>
        <w:pStyle w:val="BodyText"/>
        <w:spacing w:line="386" w:lineRule="auto" w:before="46"/>
        <w:ind w:left="574" w:right="0"/>
        <w:jc w:val="left"/>
      </w:pPr>
      <w:r>
        <w:rPr>
          <w:rFonts w:ascii="Times New Roman" w:hAnsi="Times New Roman" w:cs="Times New Roman" w:eastAsia="Times New Roman" w:hint="default"/>
        </w:rPr>
        <w:t>1</w:t>
      </w:r>
      <w:r>
        <w:rPr/>
        <w:t>、投资者权益保护 </w:t>
      </w:r>
      <w:r>
        <w:rPr>
          <w:spacing w:val="-1"/>
        </w:rPr>
        <w:t>公司依据《公司法》、《上市公司治理准则》、《公司章程》等法律法规，建立了较完善的治理结构</w:t>
      </w:r>
    </w:p>
    <w:p>
      <w:pPr>
        <w:pStyle w:val="BodyText"/>
        <w:spacing w:line="408" w:lineRule="auto" w:before="65"/>
        <w:ind w:left="154" w:right="1131"/>
        <w:jc w:val="both"/>
      </w:pPr>
      <w:r>
        <w:rPr>
          <w:spacing w:val="-1"/>
        </w:rPr>
        <w:t>并规范运作，同时围绕法人治理及其有关规章制度，形成了较完善的内控体系。公司注重投资者关系管理</w:t>
      </w:r>
      <w:r>
        <w:rPr>
          <w:spacing w:val="-83"/>
        </w:rPr>
        <w:t> </w:t>
      </w:r>
      <w:r>
        <w:rPr>
          <w:spacing w:val="-83"/>
        </w:rPr>
      </w:r>
      <w:r>
        <w:rPr>
          <w:spacing w:val="-1"/>
        </w:rPr>
        <w:t>工作，通过电话、电子邮箱、业绩说明会、互动平台等多形式的沟通方式，积极保持与投资者良好的沟通</w:t>
      </w:r>
      <w:r>
        <w:rPr>
          <w:spacing w:val="-83"/>
        </w:rPr>
        <w:t> </w:t>
      </w:r>
      <w:r>
        <w:rPr>
          <w:spacing w:val="-83"/>
        </w:rPr>
      </w:r>
      <w:r>
        <w:rPr>
          <w:spacing w:val="-1"/>
        </w:rPr>
        <w:t>与交流，促进了公司与投资者之间的良性关系，确保股东和投资者充分享有法律、法规、规章所规定的各</w:t>
      </w:r>
      <w:r>
        <w:rPr>
          <w:spacing w:val="-86"/>
        </w:rPr>
        <w:t> </w:t>
      </w:r>
      <w:r>
        <w:rPr>
          <w:spacing w:val="-86"/>
        </w:rPr>
      </w:r>
      <w:r>
        <w:rPr>
          <w:spacing w:val="-1"/>
        </w:rPr>
        <w:t>项合法权益。报告期内，公司多次通过深圳证券交易所交易系统和互联网投票系统为全体股东提供网络投</w:t>
      </w:r>
      <w:r>
        <w:rPr>
          <w:spacing w:val="-81"/>
        </w:rPr>
        <w:t> </w:t>
      </w:r>
      <w:r>
        <w:rPr>
          <w:spacing w:val="-81"/>
        </w:rPr>
      </w:r>
      <w:r>
        <w:rPr/>
        <w:t>票方式参与股东大会，充分保障股东合法权益。</w:t>
      </w:r>
    </w:p>
    <w:p>
      <w:pPr>
        <w:pStyle w:val="BodyText"/>
        <w:spacing w:line="386" w:lineRule="auto" w:before="46"/>
        <w:ind w:left="574" w:right="0"/>
        <w:jc w:val="left"/>
      </w:pPr>
      <w:r>
        <w:rPr>
          <w:rFonts w:ascii="Times New Roman" w:hAnsi="Times New Roman" w:cs="Times New Roman" w:eastAsia="Times New Roman" w:hint="default"/>
        </w:rPr>
        <w:t>2</w:t>
      </w:r>
      <w:r>
        <w:rPr/>
        <w:t>、职工权益保护 </w:t>
      </w:r>
      <w:r>
        <w:rPr>
          <w:spacing w:val="-1"/>
        </w:rPr>
        <w:t>公司十分重视职工权利的保护，严格遵守《劳动法》等相关规定，与职工签订劳动合同，依法保护职</w:t>
      </w:r>
    </w:p>
    <w:p>
      <w:pPr>
        <w:pStyle w:val="BodyText"/>
        <w:spacing w:line="408" w:lineRule="auto" w:before="65"/>
        <w:ind w:left="154" w:right="1131"/>
        <w:jc w:val="both"/>
      </w:pPr>
      <w:r>
        <w:rPr>
          <w:spacing w:val="-1"/>
        </w:rPr>
        <w:t>工合法权益；支持工会依法展开工作，关心和重视职工的合理需求，聆听员工的声音；关注员工的健康安</w:t>
      </w:r>
      <w:r>
        <w:rPr>
          <w:spacing w:val="-86"/>
        </w:rPr>
        <w:t> </w:t>
      </w:r>
      <w:r>
        <w:rPr>
          <w:spacing w:val="-86"/>
        </w:rPr>
      </w:r>
      <w:r>
        <w:rPr>
          <w:spacing w:val="-1"/>
        </w:rPr>
        <w:t>全，定期免费组织员工参加体检；建立了健全的劳动保护及消防安全管理制度并制定相应的应急预案，每</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年进行两次消防安全疏散演练；完善了的人才培养体系；报告期内，公司通过各种方式和途径，构建和谐</w:t>
      </w:r>
      <w:r>
        <w:rPr>
          <w:spacing w:val="-86"/>
        </w:rPr>
        <w:t> </w:t>
      </w:r>
      <w:r>
        <w:rPr>
          <w:spacing w:val="-86"/>
        </w:rPr>
      </w:r>
      <w:r>
        <w:rPr/>
        <w:t>稳定的关系；同时还积极开展各项文化娱乐活动，丰富员工的业余文化生活。</w:t>
      </w:r>
    </w:p>
    <w:p>
      <w:pPr>
        <w:pStyle w:val="BodyText"/>
        <w:spacing w:line="386" w:lineRule="auto" w:before="46"/>
        <w:ind w:left="573" w:right="1117"/>
        <w:jc w:val="left"/>
      </w:pPr>
      <w:r>
        <w:rPr>
          <w:rFonts w:ascii="Times New Roman" w:hAnsi="Times New Roman" w:cs="Times New Roman" w:eastAsia="Times New Roman" w:hint="default"/>
        </w:rPr>
        <w:t>3</w:t>
      </w:r>
      <w:r>
        <w:rPr/>
        <w:t>、供应商、客户权益保护 公司本着</w:t>
      </w:r>
      <w:r>
        <w:rPr>
          <w:rFonts w:ascii="Times New Roman" w:hAnsi="Times New Roman" w:cs="Times New Roman" w:eastAsia="Times New Roman" w:hint="default"/>
        </w:rPr>
        <w:t>“</w:t>
      </w:r>
      <w:r>
        <w:rPr/>
        <w:t>诚信、平等、共赢</w:t>
      </w:r>
      <w:r>
        <w:rPr>
          <w:rFonts w:ascii="Times New Roman" w:hAnsi="Times New Roman" w:cs="Times New Roman" w:eastAsia="Times New Roman" w:hint="default"/>
        </w:rPr>
        <w:t>”</w:t>
      </w:r>
      <w:r>
        <w:rPr/>
        <w:t>的原则，积极构建和发展与供应商、客户的战略合作伙伴关系，注重与</w:t>
      </w:r>
    </w:p>
    <w:p>
      <w:pPr>
        <w:pStyle w:val="BodyText"/>
        <w:spacing w:line="408" w:lineRule="auto" w:before="35"/>
        <w:ind w:left="154" w:right="1133"/>
        <w:jc w:val="both"/>
      </w:pPr>
      <w:r>
        <w:rPr>
          <w:spacing w:val="-1"/>
        </w:rPr>
        <w:t>各相关方的沟通与协调，建立了信息反馈平台，了解客户需求，及时处理各方反馈信息，提高客户对产品</w:t>
      </w:r>
      <w:r>
        <w:rPr>
          <w:spacing w:val="-86"/>
        </w:rPr>
        <w:t> </w:t>
      </w:r>
      <w:r>
        <w:rPr>
          <w:spacing w:val="-86"/>
        </w:rPr>
      </w:r>
      <w:r>
        <w:rPr>
          <w:spacing w:val="-1"/>
        </w:rPr>
        <w:t>质量的满意度。报告期内，公司与供应商和客户合同履约良好，较好地履行了公司对供应商、客户的社会</w:t>
      </w:r>
      <w:r>
        <w:rPr>
          <w:spacing w:val="-86"/>
        </w:rPr>
        <w:t> </w:t>
      </w:r>
      <w:r>
        <w:rPr>
          <w:spacing w:val="-86"/>
        </w:rPr>
      </w:r>
      <w:r>
        <w:rPr/>
        <w:t>责任。</w:t>
      </w:r>
    </w:p>
    <w:p>
      <w:pPr>
        <w:pStyle w:val="BodyText"/>
        <w:spacing w:line="386" w:lineRule="auto" w:before="46"/>
        <w:ind w:left="574" w:right="0"/>
        <w:jc w:val="left"/>
      </w:pPr>
      <w:r>
        <w:rPr>
          <w:rFonts w:ascii="Times New Roman" w:hAnsi="Times New Roman" w:cs="Times New Roman" w:eastAsia="Times New Roman" w:hint="default"/>
        </w:rPr>
        <w:t>4</w:t>
      </w:r>
      <w:r>
        <w:rPr/>
        <w:t>、积极参与社会公益事业 </w:t>
      </w:r>
      <w:r>
        <w:rPr>
          <w:spacing w:val="-1"/>
        </w:rPr>
        <w:t>公司积极参与社会公益事业，以实际行动履行着企业的社会责任。公司在南通市总工会爱心帮困基金</w:t>
      </w:r>
    </w:p>
    <w:p>
      <w:pPr>
        <w:pStyle w:val="BodyText"/>
        <w:spacing w:line="400" w:lineRule="auto" w:before="65"/>
        <w:ind w:left="154" w:right="0"/>
        <w:jc w:val="left"/>
      </w:pPr>
      <w:r>
        <w:rPr/>
        <w:t>会设立了“南通市外来困难农民工子女助学金”并先后向该助学金捐资三十余万元，用于定向资助在南通 </w:t>
      </w:r>
      <w:r>
        <w:rPr>
          <w:spacing w:val="-1"/>
        </w:rPr>
        <w:t>的外来困难农民工子女就学。自该助学金设立以来，已累计资助外来困难农民工子女</w:t>
      </w:r>
      <w:r>
        <w:rPr>
          <w:rFonts w:ascii="Times New Roman" w:hAnsi="Times New Roman" w:cs="Times New Roman" w:eastAsia="Times New Roman" w:hint="default"/>
          <w:spacing w:val="-1"/>
        </w:rPr>
        <w:t>476</w:t>
      </w:r>
      <w:r>
        <w:rPr>
          <w:spacing w:val="-1"/>
        </w:rPr>
        <w:t>人次。春节前夕，</w:t>
      </w:r>
      <w:r>
        <w:rPr>
          <w:spacing w:val="-84"/>
        </w:rPr>
        <w:t> </w:t>
      </w:r>
      <w:r>
        <w:rPr>
          <w:spacing w:val="-84"/>
        </w:rPr>
      </w:r>
      <w:r>
        <w:rPr/>
        <w:t>公司连续第四年对结对共建的南通观音山街道山港桥社区的低保家庭进行了慰问。公司在注重经济发展的</w:t>
      </w:r>
      <w:r>
        <w:rPr/>
        <w:t> 同时，积极参与社会公益事业，关爱弱势群体，为构建和谐社会做出了积极的贡献。</w:t>
      </w:r>
    </w:p>
    <w:p>
      <w:pPr>
        <w:pStyle w:val="BodyText"/>
        <w:spacing w:line="386" w:lineRule="auto" w:before="52"/>
        <w:ind w:left="573" w:right="0"/>
        <w:jc w:val="left"/>
      </w:pPr>
      <w:r>
        <w:rPr>
          <w:rFonts w:ascii="Times New Roman" w:hAnsi="Times New Roman" w:cs="Times New Roman" w:eastAsia="Times New Roman" w:hint="default"/>
        </w:rPr>
        <w:t>5</w:t>
      </w:r>
      <w:r>
        <w:rPr/>
        <w:t>、环境保护与可持续发展 </w:t>
      </w:r>
      <w:r>
        <w:rPr>
          <w:spacing w:val="-1"/>
        </w:rPr>
        <w:t>公司严格贯彻执行国家环保相关法律法规、标准，注重节能降耗和环境保护，努力提高环保水平，注</w:t>
      </w:r>
    </w:p>
    <w:p>
      <w:pPr>
        <w:pStyle w:val="BodyText"/>
        <w:spacing w:line="408" w:lineRule="auto" w:before="65"/>
        <w:ind w:right="0"/>
        <w:jc w:val="left"/>
      </w:pPr>
      <w:r>
        <w:rPr>
          <w:spacing w:val="-1"/>
        </w:rPr>
        <w:t>重将节能减排、降低能耗融入到平日生产管理中，不断提升全体员工的节约和环保意识，并使其贯彻于整</w:t>
      </w:r>
      <w:r>
        <w:rPr>
          <w:spacing w:val="-83"/>
        </w:rPr>
        <w:t> </w:t>
      </w:r>
      <w:r>
        <w:rPr>
          <w:spacing w:val="-83"/>
        </w:rPr>
      </w:r>
      <w:r>
        <w:rPr/>
        <w:t>个生产经营过程中，为促进经济与环境的协调发展履行了应担的社会责任。</w:t>
      </w:r>
    </w:p>
    <w:p>
      <w:pPr>
        <w:pStyle w:val="BodyText"/>
        <w:spacing w:line="393" w:lineRule="auto" w:before="87"/>
        <w:ind w:right="1131" w:firstLine="420"/>
        <w:jc w:val="both"/>
      </w:pPr>
      <w:r>
        <w:rPr>
          <w:rFonts w:ascii="Times New Roman" w:hAnsi="Times New Roman" w:cs="Times New Roman" w:eastAsia="Times New Roman" w:hint="default"/>
          <w:spacing w:val="-1"/>
        </w:rPr>
        <w:t>2014</w:t>
      </w:r>
      <w:r>
        <w:rPr>
          <w:spacing w:val="-1"/>
        </w:rPr>
        <w:t>年，公司在股东和投资者权益保护，职工权益保护，供应商、客户权益保护，社会公益事业以及</w:t>
      </w:r>
      <w:r>
        <w:rPr/>
        <w:t> </w:t>
      </w:r>
      <w:r>
        <w:rPr>
          <w:spacing w:val="-1"/>
        </w:rPr>
        <w:t>环境保护、节能减排等方面开展了大量的工作，积极地履行了企业应担的社会责任。</w:t>
      </w:r>
      <w:r>
        <w:rPr>
          <w:rFonts w:ascii="Times New Roman" w:hAnsi="Times New Roman" w:cs="Times New Roman" w:eastAsia="Times New Roman" w:hint="default"/>
          <w:spacing w:val="-1"/>
        </w:rPr>
        <w:t>2015</w:t>
      </w:r>
      <w:r>
        <w:rPr>
          <w:spacing w:val="-1"/>
        </w:rPr>
        <w:t>年，公司将在今</w:t>
      </w:r>
      <w:r>
        <w:rPr>
          <w:spacing w:val="-83"/>
        </w:rPr>
        <w:t> </w:t>
      </w:r>
      <w:r>
        <w:rPr>
          <w:spacing w:val="-83"/>
        </w:rPr>
      </w:r>
      <w:r>
        <w:rPr>
          <w:spacing w:val="-1"/>
        </w:rPr>
        <w:t>后的经营管理中，在追求经济效益的同时继续积极履行社会责任，加强对职工社会责任的培训教育，为经</w:t>
      </w:r>
      <w:r>
        <w:rPr>
          <w:spacing w:val="-83"/>
        </w:rPr>
        <w:t> </w:t>
      </w:r>
      <w:r>
        <w:rPr>
          <w:spacing w:val="-83"/>
        </w:rPr>
      </w:r>
      <w:r>
        <w:rPr/>
        <w:t>济社会的和谐、可持续发展作出更积极的贡献。</w:t>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38" w:lineRule="auto" w:before="116"/>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3"/>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154" w:right="0"/>
        <w:jc w:val="left"/>
        <w:rPr>
          <w:b w:val="0"/>
          <w:bCs w:val="0"/>
        </w:rPr>
      </w:pPr>
      <w:bookmarkStart w:name="十六、报告期内接待调研、沟通、采访等活动登记表" w:id="59"/>
      <w:bookmarkEnd w:id="59"/>
      <w:r>
        <w:rPr>
          <w:b w:val="0"/>
          <w:bCs w:val="0"/>
        </w:rPr>
      </w:r>
      <w:r>
        <w:rPr/>
        <w:t>十六、报告期内接待调研、沟通、采访等活动登记表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公司报告期内未发生接待调研、沟通、采访等活动。</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_TOC_250007"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62"/>
      <w:bookmarkEnd w:id="62"/>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0" w:right="1138" w:firstLine="0"/>
        <w:jc w:val="right"/>
        <w:rPr>
          <w:rFonts w:ascii="宋体" w:hAnsi="宋体" w:cs="宋体" w:eastAsia="宋体" w:hint="default"/>
          <w:sz w:val="18"/>
          <w:szCs w:val="18"/>
        </w:rPr>
      </w:pPr>
      <w:r>
        <w:rPr/>
        <w:pict>
          <v:shape style="position:absolute;margin-left:56.459999pt;margin-top:-69.888268pt;width:479.3pt;height:17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852"/>
                    <w:gridCol w:w="850"/>
                    <w:gridCol w:w="1276"/>
                    <w:gridCol w:w="1277"/>
                    <w:gridCol w:w="1134"/>
                    <w:gridCol w:w="850"/>
                    <w:gridCol w:w="2057"/>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52" w:right="31" w:hanging="42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 情况</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6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82" w:right="32"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1" w:right="50"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能源公司因买 卖合同纠纷起 诉上海金匙</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该案于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日进行 </w:t>
                        </w:r>
                        <w:r>
                          <w:rPr>
                            <w:rFonts w:ascii="宋体" w:hAnsi="宋体" w:cs="宋体" w:eastAsia="宋体" w:hint="default"/>
                            <w:spacing w:val="-6"/>
                            <w:sz w:val="18"/>
                            <w:szCs w:val="18"/>
                          </w:rPr>
                          <w:t>了首次开庭，尚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未判决。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《关于控股子公司诉讼事 </w:t>
                        </w:r>
                        <w:r>
                          <w:rPr>
                            <w:rFonts w:ascii="宋体" w:hAnsi="宋体" w:cs="宋体" w:eastAsia="宋体" w:hint="default"/>
                            <w:spacing w:val="-9"/>
                            <w:sz w:val="18"/>
                            <w:szCs w:val="18"/>
                          </w:rPr>
                          <w:t>项的公告》（公告编号：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pacing w:val="-14"/>
                            <w:sz w:val="18"/>
                            <w:szCs w:val="18"/>
                          </w:rPr>
                          <w:t>2014-048</w:t>
                        </w:r>
                        <w:r>
                          <w:rPr>
                            <w:rFonts w:ascii="宋体" w:hAnsi="宋体" w:cs="宋体" w:eastAsia="宋体" w:hint="default"/>
                            <w:spacing w:val="-14"/>
                            <w:sz w:val="18"/>
                            <w:szCs w:val="18"/>
                          </w:rPr>
                          <w:t>）；《上海证券报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和巨潮资讯网</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上海金匙因买 卖合同纠纷反 诉能源公司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该案于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日进行 </w:t>
                        </w:r>
                        <w:r>
                          <w:rPr>
                            <w:rFonts w:ascii="宋体" w:hAnsi="宋体" w:cs="宋体" w:eastAsia="宋体" w:hint="default"/>
                            <w:spacing w:val="-6"/>
                            <w:sz w:val="18"/>
                            <w:szCs w:val="18"/>
                          </w:rPr>
                          <w:t>了首次开庭，尚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未判决。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《关于控股子公司诉讼事 </w:t>
                        </w:r>
                        <w:r>
                          <w:rPr>
                            <w:rFonts w:ascii="宋体" w:hAnsi="宋体" w:cs="宋体" w:eastAsia="宋体" w:hint="default"/>
                            <w:spacing w:val="-9"/>
                            <w:sz w:val="18"/>
                            <w:szCs w:val="18"/>
                          </w:rPr>
                          <w:t>项的公告》（公告编号：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pacing w:val="-14"/>
                            <w:sz w:val="18"/>
                            <w:szCs w:val="18"/>
                          </w:rPr>
                          <w:t>2014-056</w:t>
                        </w:r>
                        <w:r>
                          <w:rPr>
                            <w:rFonts w:ascii="宋体" w:hAnsi="宋体" w:cs="宋体" w:eastAsia="宋体" w:hint="default"/>
                            <w:spacing w:val="-14"/>
                            <w:sz w:val="18"/>
                            <w:szCs w:val="18"/>
                          </w:rPr>
                          <w:t>）；《上海证券报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和巨潮资讯网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8"/>
        <w:ind w:left="154" w:right="0"/>
        <w:jc w:val="left"/>
        <w:rPr>
          <w:b w:val="0"/>
          <w:bCs w:val="0"/>
        </w:rPr>
      </w:pPr>
      <w:bookmarkStart w:name="二、媒体质疑情况" w:id="63"/>
      <w:bookmarkEnd w:id="63"/>
      <w:r>
        <w:rPr>
          <w:b w:val="0"/>
          <w:bCs w:val="0"/>
        </w:rPr>
      </w:r>
      <w:r>
        <w:rPr/>
        <w:t>二、媒体质疑情况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本报告期公司无媒体普遍质疑事项。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破产重整相关事项" w:id="65"/>
      <w:bookmarkEnd w:id="65"/>
      <w:r>
        <w:rPr>
          <w:b w:val="0"/>
          <w:bCs w:val="0"/>
        </w:rPr>
      </w:r>
      <w:r>
        <w:rPr/>
        <w:t>四、破产重整相关事项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五、资产交易事项" w:id="66"/>
      <w:bookmarkEnd w:id="66"/>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收购资产情况" w:id="67"/>
      <w:bookmarkEnd w:id="67"/>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公司报告期未收购资产。</w:t>
      </w:r>
    </w:p>
    <w:p>
      <w:pPr>
        <w:spacing w:line="240" w:lineRule="auto" w:before="12"/>
        <w:rPr>
          <w:rFonts w:ascii="宋体" w:hAnsi="宋体" w:cs="宋体" w:eastAsia="宋体" w:hint="default"/>
          <w:sz w:val="20"/>
          <w:szCs w:val="20"/>
        </w:rPr>
      </w:pPr>
    </w:p>
    <w:p>
      <w:pPr>
        <w:pStyle w:val="Heading5"/>
        <w:spacing w:line="240" w:lineRule="auto"/>
        <w:ind w:left="153" w:right="0"/>
        <w:jc w:val="left"/>
        <w:rPr>
          <w:b w:val="0"/>
          <w:bCs w:val="0"/>
        </w:rPr>
      </w:pPr>
      <w:bookmarkStart w:name="2、出售资产情况" w:id="68"/>
      <w:bookmarkEnd w:id="68"/>
      <w:r>
        <w:rPr>
          <w:b w:val="0"/>
          <w:bCs w:val="0"/>
        </w:rPr>
      </w:r>
      <w:r>
        <w:rPr>
          <w:rFonts w:ascii="Times New Roman" w:hAnsi="Times New Roman" w:cs="Times New Roman" w:eastAsia="Times New Roman" w:hint="default"/>
        </w:rPr>
        <w:t>2</w:t>
      </w:r>
      <w:r>
        <w:rPr/>
        <w:t>、出售资产情况</w:t>
      </w:r>
      <w:r>
        <w:rPr>
          <w:b w:val="0"/>
          <w:bCs w:val="0"/>
        </w:rPr>
      </w:r>
    </w:p>
    <w:p>
      <w:pPr>
        <w:spacing w:after="0" w:line="240" w:lineRule="auto"/>
        <w:jc w:val="left"/>
        <w:sectPr>
          <w:footerReference w:type="default" r:id="rId15"/>
          <w:pgSz w:w="11910" w:h="16840"/>
          <w:pgMar w:footer="1547" w:header="747" w:top="1060" w:bottom="1740" w:left="980" w:right="0"/>
          <w:pgNumType w:start="35"/>
        </w:sectPr>
      </w:pPr>
    </w:p>
    <w:p>
      <w:pPr>
        <w:spacing w:line="240" w:lineRule="auto" w:before="13"/>
        <w:rPr>
          <w:rFonts w:ascii="宋体" w:hAnsi="宋体" w:cs="宋体" w:eastAsia="宋体" w:hint="default"/>
          <w:b/>
          <w:bCs/>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公司报告期未出售资产。</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3、企业合并情况" w:id="69"/>
      <w:bookmarkEnd w:id="69"/>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公司报告期未发生企业合并情况。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公司股权激励的实施情况及其影响" w:id="70"/>
      <w:bookmarkEnd w:id="70"/>
      <w:r>
        <w:rPr>
          <w:b w:val="0"/>
          <w:bCs w:val="0"/>
        </w:rPr>
      </w:r>
      <w:r>
        <w:rPr/>
        <w:t>六、公司股权激励的实施情况及其影响</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公司报告期无股权激励计划及其实施情况。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七、重大关联交易" w:id="71"/>
      <w:bookmarkEnd w:id="71"/>
      <w:r>
        <w:rPr>
          <w:b w:val="0"/>
          <w:bCs w:val="0"/>
        </w:rPr>
      </w:r>
      <w:r>
        <w:rPr/>
        <w:t>七、重大关联交易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与日常经营相关的关联交易" w:id="72"/>
      <w:bookmarkEnd w:id="7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0"/>
        <w:ind w:left="0" w:right="1137" w:firstLine="0"/>
        <w:jc w:val="right"/>
        <w:rPr>
          <w:rFonts w:ascii="宋体" w:hAnsi="宋体" w:cs="宋体" w:eastAsia="宋体" w:hint="default"/>
          <w:sz w:val="18"/>
          <w:szCs w:val="18"/>
        </w:rPr>
      </w:pPr>
      <w:r>
        <w:rPr/>
        <w:pict>
          <v:shape style="position:absolute;margin-left:57.029999pt;margin-top:-161.498291pt;width:478.8pt;height:368.6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6"/>
                    <w:gridCol w:w="799"/>
                    <w:gridCol w:w="798"/>
                    <w:gridCol w:w="804"/>
                    <w:gridCol w:w="798"/>
                    <w:gridCol w:w="796"/>
                    <w:gridCol w:w="798"/>
                    <w:gridCol w:w="798"/>
                    <w:gridCol w:w="798"/>
                    <w:gridCol w:w="798"/>
                    <w:gridCol w:w="796"/>
                    <w:gridCol w:w="792"/>
                  </w:tblGrid>
                  <w:tr>
                    <w:trPr>
                      <w:trHeight w:val="1025" w:hRule="exact"/>
                    </w:trPr>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92" w:right="33"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4"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1"/>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1" w:right="42"/>
                          <w:jc w:val="both"/>
                          <w:rPr>
                            <w:rFonts w:ascii="宋体" w:hAnsi="宋体" w:cs="宋体" w:eastAsia="宋体" w:hint="default"/>
                            <w:sz w:val="18"/>
                            <w:szCs w:val="18"/>
                          </w:rPr>
                        </w:pPr>
                        <w:r>
                          <w:rPr>
                            <w:rFonts w:ascii="宋体" w:hAnsi="宋体" w:cs="宋体" w:eastAsia="宋体" w:hint="default"/>
                            <w:sz w:val="18"/>
                            <w:szCs w:val="18"/>
                          </w:rPr>
                          <w:t>南通新城 丰瑞汽车 销售服务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9"/>
                          <w:ind w:left="22" w:right="44"/>
                          <w:jc w:val="left"/>
                          <w:rPr>
                            <w:rFonts w:ascii="宋体" w:hAnsi="宋体" w:cs="宋体" w:eastAsia="宋体" w:hint="default"/>
                            <w:sz w:val="18"/>
                            <w:szCs w:val="18"/>
                          </w:rPr>
                        </w:pPr>
                        <w:r>
                          <w:rPr>
                            <w:rFonts w:ascii="宋体" w:hAnsi="宋体" w:cs="宋体" w:eastAsia="宋体" w:hint="default"/>
                            <w:sz w:val="18"/>
                            <w:szCs w:val="18"/>
                          </w:rPr>
                          <w:t>受同一控 制人控制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9"/>
                          <w:jc w:val="both"/>
                          <w:rPr>
                            <w:rFonts w:ascii="宋体" w:hAnsi="宋体" w:cs="宋体" w:eastAsia="宋体" w:hint="default"/>
                            <w:sz w:val="18"/>
                            <w:szCs w:val="18"/>
                          </w:rPr>
                        </w:pPr>
                        <w:r>
                          <w:rPr>
                            <w:rFonts w:ascii="宋体" w:hAnsi="宋体" w:cs="宋体" w:eastAsia="宋体" w:hint="default"/>
                            <w:sz w:val="18"/>
                            <w:szCs w:val="18"/>
                          </w:rPr>
                          <w:t>子公司三 友信息公 司向其销 售商品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568.43</w:t>
                        </w:r>
                      </w:p>
                      <w:p>
                        <w:pPr>
                          <w:pStyle w:val="TableParagraph"/>
                          <w:spacing w:line="240" w:lineRule="auto" w:before="65"/>
                          <w:ind w:left="45" w:right="0"/>
                          <w:jc w:val="left"/>
                          <w:rPr>
                            <w:rFonts w:ascii="宋体" w:hAnsi="宋体" w:cs="宋体" w:eastAsia="宋体" w:hint="default"/>
                            <w:sz w:val="18"/>
                            <w:szCs w:val="18"/>
                          </w:rPr>
                        </w:pPr>
                        <w:r>
                          <w:rPr>
                            <w:rFonts w:ascii="宋体" w:hAnsi="宋体" w:cs="宋体" w:eastAsia="宋体" w:hint="default"/>
                            <w:sz w:val="18"/>
                            <w:szCs w:val="18"/>
                          </w:rPr>
                          <w:t>（含税）</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99.68%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7"/>
                          <w:jc w:val="both"/>
                          <w:rPr>
                            <w:rFonts w:ascii="宋体" w:hAnsi="宋体" w:cs="宋体" w:eastAsia="宋体" w:hint="default"/>
                            <w:sz w:val="18"/>
                            <w:szCs w:val="18"/>
                          </w:rPr>
                        </w:pPr>
                        <w:r>
                          <w:rPr>
                            <w:rFonts w:ascii="宋体" w:hAnsi="宋体" w:cs="宋体" w:eastAsia="宋体" w:hint="default"/>
                            <w:sz w:val="18"/>
                            <w:szCs w:val="18"/>
                          </w:rPr>
                          <w:t>巨潮资讯 网公告编 号：</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2014-038</w:t>
                        </w:r>
                      </w:p>
                    </w:tc>
                  </w:tr>
                  <w:tr>
                    <w:trPr>
                      <w:trHeight w:val="402" w:hRule="exact"/>
                    </w:trPr>
                    <w:tc>
                      <w:tcPr>
                        <w:tcW w:w="31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left="271" w:right="0"/>
                          <w:jc w:val="left"/>
                          <w:rPr>
                            <w:rFonts w:ascii="Times New Roman" w:hAnsi="Times New Roman" w:cs="Times New Roman" w:eastAsia="Times New Roman" w:hint="default"/>
                            <w:sz w:val="18"/>
                            <w:szCs w:val="18"/>
                          </w:rPr>
                        </w:pPr>
                        <w:r>
                          <w:rPr>
                            <w:rFonts w:ascii="Times New Roman"/>
                            <w:sz w:val="18"/>
                          </w:rPr>
                          <w:t>568.43</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31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5"/>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309" w:lineRule="auto" w:before="52"/>
                          <w:ind w:left="11" w:right="39"/>
                          <w:jc w:val="left"/>
                          <w:rPr>
                            <w:rFonts w:ascii="宋体" w:hAnsi="宋体" w:cs="宋体" w:eastAsia="宋体" w:hint="default"/>
                            <w:sz w:val="18"/>
                            <w:szCs w:val="18"/>
                          </w:rPr>
                        </w:pPr>
                        <w:r>
                          <w:rPr>
                            <w:rFonts w:ascii="宋体" w:hAnsi="宋体" w:cs="宋体" w:eastAsia="宋体" w:hint="default"/>
                            <w:sz w:val="18"/>
                            <w:szCs w:val="18"/>
                          </w:rPr>
                          <w:t>三友信息公司成立于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月，该公司向关联方销售车载终端产品及提供服务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通过关联方汽车业务的客户资源将该公司的车载终端产品快速地推向市场，符合 公司的整体利益。</w:t>
                        </w:r>
                      </w:p>
                    </w:tc>
                  </w:tr>
                  <w:tr>
                    <w:trPr>
                      <w:trHeight w:val="402" w:hRule="exact"/>
                    </w:trPr>
                    <w:tc>
                      <w:tcPr>
                        <w:tcW w:w="31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三友信息公司与关联方发生的日常关联交易对上市公司的独立性不构成影响。</w:t>
                        </w:r>
                      </w:p>
                    </w:tc>
                  </w:tr>
                  <w:tr>
                    <w:trPr>
                      <w:trHeight w:val="162" w:hRule="exact"/>
                    </w:trPr>
                    <w:tc>
                      <w:tcPr>
                        <w:tcW w:w="318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8"/>
                        <w:vMerge w:val="restart"/>
                        <w:tcBorders>
                          <w:top w:val="single" w:sz="4" w:space="0" w:color="000000"/>
                          <w:left w:val="single" w:sz="9" w:space="0" w:color="D2D2D2"/>
                          <w:right w:val="single" w:sz="4" w:space="0" w:color="000000"/>
                        </w:tcBorders>
                      </w:tcPr>
                      <w:p>
                        <w:pPr>
                          <w:pStyle w:val="TableParagraph"/>
                          <w:spacing w:line="309" w:lineRule="auto" w:before="52"/>
                          <w:ind w:left="16" w:right="23"/>
                          <w:jc w:val="both"/>
                          <w:rPr>
                            <w:rFonts w:ascii="宋体" w:hAnsi="宋体" w:cs="宋体" w:eastAsia="宋体" w:hint="default"/>
                            <w:sz w:val="18"/>
                            <w:szCs w:val="18"/>
                          </w:rPr>
                        </w:pPr>
                        <w:r>
                          <w:rPr>
                            <w:rFonts w:ascii="宋体" w:hAnsi="宋体" w:cs="宋体" w:eastAsia="宋体" w:hint="default"/>
                            <w:sz w:val="18"/>
                            <w:szCs w:val="18"/>
                          </w:rPr>
                          <w:t>三友信息公司的商品销售对关联方的依赖程度较高，为减少关联交易，经公司第 </w:t>
                        </w:r>
                        <w:r>
                          <w:rPr>
                            <w:rFonts w:ascii="宋体" w:hAnsi="宋体" w:cs="宋体" w:eastAsia="宋体" w:hint="default"/>
                            <w:spacing w:val="-4"/>
                            <w:sz w:val="18"/>
                            <w:szCs w:val="18"/>
                          </w:rPr>
                          <w:t>五届董事会第十六次会议批准，公司拟将持有的三友信息公司</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的股权转让给</w:t>
                        </w:r>
                        <w:r>
                          <w:rPr>
                            <w:rFonts w:ascii="宋体" w:hAnsi="宋体" w:cs="宋体" w:eastAsia="宋体" w:hint="default"/>
                            <w:spacing w:val="-85"/>
                            <w:sz w:val="18"/>
                            <w:szCs w:val="18"/>
                          </w:rPr>
                          <w:t> </w:t>
                        </w:r>
                        <w:r>
                          <w:rPr>
                            <w:rFonts w:ascii="宋体" w:hAnsi="宋体" w:cs="宋体" w:eastAsia="宋体" w:hint="default"/>
                            <w:sz w:val="18"/>
                            <w:szCs w:val="18"/>
                          </w:rPr>
                          <w:t>关联方。</w:t>
                        </w:r>
                      </w:p>
                    </w:tc>
                  </w:tr>
                  <w:tr>
                    <w:trPr>
                      <w:trHeight w:val="703" w:hRule="exact"/>
                    </w:trPr>
                    <w:tc>
                      <w:tcPr>
                        <w:tcW w:w="318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5"/>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74" w:type="dxa"/>
                        <w:gridSpan w:val="8"/>
                        <w:vMerge/>
                        <w:tcBorders>
                          <w:left w:val="single" w:sz="9" w:space="0" w:color="D2D2D2"/>
                          <w:right w:val="single" w:sz="4" w:space="0" w:color="000000"/>
                        </w:tcBorders>
                      </w:tcPr>
                      <w:p>
                        <w:pPr/>
                      </w:p>
                    </w:tc>
                  </w:tr>
                  <w:tr>
                    <w:trPr>
                      <w:trHeight w:val="161" w:hRule="exact"/>
                    </w:trPr>
                    <w:tc>
                      <w:tcPr>
                        <w:tcW w:w="318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8"/>
                        <w:vMerge/>
                        <w:tcBorders>
                          <w:left w:val="single" w:sz="9" w:space="0" w:color="D2D2D2"/>
                          <w:bottom w:val="single" w:sz="4" w:space="0" w:color="000000"/>
                          <w:right w:val="single" w:sz="4" w:space="0" w:color="000000"/>
                        </w:tcBorders>
                      </w:tcPr>
                      <w:p>
                        <w:pPr/>
                      </w:p>
                    </w:tc>
                  </w:tr>
                  <w:tr>
                    <w:trPr>
                      <w:trHeight w:val="1026" w:hRule="exact"/>
                    </w:trPr>
                    <w:tc>
                      <w:tcPr>
                        <w:tcW w:w="31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5"/>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公司预计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年度与南通新城丰瑞汽车销售服务有限公司发生的日常关联交易</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总金额为不超过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万元，报告期内实际发生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568.43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万元（含税</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6" w:hRule="exact"/>
                    </w:trPr>
                    <w:tc>
                      <w:tcPr>
                        <w:tcW w:w="31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5"/>
        <w:spacing w:line="240" w:lineRule="auto" w:before="35"/>
        <w:ind w:right="0"/>
        <w:jc w:val="left"/>
        <w:rPr>
          <w:b w:val="0"/>
          <w:bCs w:val="0"/>
        </w:rPr>
      </w:pPr>
      <w:bookmarkStart w:name="2、资产收购、出售发生的关联交易" w:id="73"/>
      <w:bookmarkEnd w:id="73"/>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after="0" w:line="240" w:lineRule="auto"/>
        <w:jc w:val="left"/>
        <w:sectPr>
          <w:pgSz w:w="11910" w:h="16840"/>
          <w:pgMar w:header="747" w:footer="1547" w:top="1060" w:bottom="1740" w:left="980" w:right="0"/>
        </w:sectPr>
      </w:pPr>
    </w:p>
    <w:p>
      <w:pPr>
        <w:spacing w:line="240" w:lineRule="auto" w:before="13"/>
        <w:rPr>
          <w:rFonts w:ascii="宋体" w:hAnsi="宋体" w:cs="宋体" w:eastAsia="宋体" w:hint="default"/>
          <w:b/>
          <w:bCs/>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公司报告期未发生资产收购、出售的关联交易。</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3、共同对外投资的关联交易" w:id="74"/>
      <w:bookmarkEnd w:id="7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bookmarkStart w:name="4、关联债权债务往来" w:id="75"/>
      <w:bookmarkEnd w:id="7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5"/>
        <w:spacing w:line="240" w:lineRule="auto"/>
        <w:ind w:left="153" w:right="0"/>
        <w:jc w:val="left"/>
        <w:rPr>
          <w:b w:val="0"/>
          <w:bCs w:val="0"/>
        </w:rPr>
      </w:pPr>
      <w:bookmarkStart w:name="5、其他关联交易" w:id="76"/>
      <w:bookmarkEnd w:id="76"/>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重大合同及其履行情况" w:id="77"/>
      <w:bookmarkEnd w:id="77"/>
      <w:r>
        <w:rPr>
          <w:b w:val="0"/>
          <w:bCs w:val="0"/>
        </w:rPr>
      </w: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托管、承包、租赁事项情况" w:id="78"/>
      <w:bookmarkEnd w:id="7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托管情况" w:id="79"/>
      <w:bookmarkEnd w:id="7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5"/>
        <w:spacing w:line="240" w:lineRule="auto"/>
        <w:ind w:left="153" w:right="0"/>
        <w:jc w:val="left"/>
        <w:rPr>
          <w:b w:val="0"/>
          <w:bCs w:val="0"/>
        </w:rPr>
      </w:pPr>
      <w:bookmarkStart w:name="（2）承包情况" w:id="80"/>
      <w:bookmarkEnd w:id="8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3）租赁情况" w:id="81"/>
      <w:bookmarkEnd w:id="8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240" w:lineRule="auto" w:before="38"/>
        <w:ind w:left="573" w:right="0"/>
        <w:jc w:val="left"/>
      </w:pPr>
      <w:r>
        <w:rPr/>
        <w:t>公司分别于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月和</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月与南通友谊实业有限公司签定土地使用权及房屋租赁协议。</w:t>
      </w:r>
      <w:r>
        <w:rPr>
          <w:rFonts w:ascii="Times New Roman" w:hAnsi="Times New Roman" w:cs="Times New Roman" w:eastAsia="Times New Roman" w:hint="default"/>
        </w:rPr>
        <w:t>2014</w:t>
      </w:r>
      <w:r>
        <w:rPr/>
        <w:t>年</w:t>
      </w:r>
    </w:p>
    <w:p>
      <w:pPr>
        <w:pStyle w:val="BodyText"/>
        <w:spacing w:line="295" w:lineRule="auto" w:before="68"/>
        <w:ind w:left="573" w:right="1145" w:hanging="420"/>
        <w:jc w:val="left"/>
      </w:pPr>
      <w:r>
        <w:rPr>
          <w:rFonts w:ascii="Times New Roman" w:hAnsi="Times New Roman" w:cs="Times New Roman" w:eastAsia="Times New Roman" w:hint="default"/>
        </w:rPr>
        <w:t>1-12</w:t>
      </w:r>
      <w:r>
        <w:rPr/>
        <w:t>月份公司支付租赁费</w:t>
      </w:r>
      <w:r>
        <w:rPr>
          <w:rFonts w:ascii="Times New Roman" w:hAnsi="Times New Roman" w:cs="Times New Roman" w:eastAsia="Times New Roman" w:hint="default"/>
        </w:rPr>
        <w:t>172.18</w:t>
      </w:r>
      <w:r>
        <w:rPr/>
        <w:t>万元，按协议价结算。 公司与南通友谊实业有限公司于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日签定房屋建筑物租赁协议。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1-12</w:t>
      </w:r>
      <w:r>
        <w:rPr/>
        <w:t>月份公司收取租</w:t>
      </w:r>
    </w:p>
    <w:p>
      <w:pPr>
        <w:pStyle w:val="BodyText"/>
        <w:spacing w:line="240" w:lineRule="auto" w:before="14"/>
        <w:ind w:right="0"/>
        <w:jc w:val="left"/>
      </w:pPr>
      <w:r>
        <w:rPr/>
        <w:t>赁费</w:t>
      </w:r>
      <w:r>
        <w:rPr>
          <w:rFonts w:ascii="Times New Roman" w:hAnsi="Times New Roman" w:cs="Times New Roman" w:eastAsia="Times New Roman" w:hint="default"/>
        </w:rPr>
        <w:t>34.6</w:t>
      </w:r>
      <w:r>
        <w:rPr/>
        <w:t>万元，按协议价结算。</w:t>
      </w:r>
    </w:p>
    <w:p>
      <w:pPr>
        <w:pStyle w:val="BodyText"/>
        <w:spacing w:line="314" w:lineRule="auto" w:before="68"/>
        <w:ind w:left="574" w:right="0"/>
        <w:jc w:val="left"/>
      </w:pPr>
      <w:r>
        <w:rPr/>
        <w:t>（详见财务报表附注关联方租赁情况部分） </w:t>
      </w:r>
      <w:r>
        <w:rPr>
          <w:spacing w:val="-1"/>
        </w:rPr>
        <w:t>本公司之子公司南通市港闸区资丰农村小额贷款有限公司作为承租人，向关联方南通新城集团有限公</w:t>
      </w:r>
    </w:p>
    <w:p>
      <w:pPr>
        <w:pStyle w:val="BodyText"/>
        <w:spacing w:line="295" w:lineRule="auto"/>
        <w:ind w:left="574" w:right="4452" w:hanging="420"/>
        <w:jc w:val="left"/>
      </w:pPr>
      <w:r>
        <w:rPr/>
        <w:t>司租赁办公经营场所，至</w:t>
      </w:r>
      <w:r>
        <w:rPr>
          <w:rFonts w:ascii="Times New Roman" w:hAnsi="Times New Roman" w:cs="Times New Roman" w:eastAsia="Times New Roman" w:hint="default"/>
        </w:rPr>
        <w:t>2014</w:t>
      </w:r>
      <w:r>
        <w:rPr/>
        <w:t>年末，免收取相关房租。 报告期内，合同各方当事人均按合同的约定履行，未出现纠纷。</w:t>
      </w:r>
    </w:p>
    <w:p>
      <w:pPr>
        <w:spacing w:after="0" w:line="295" w:lineRule="auto"/>
        <w:jc w:val="left"/>
        <w:sectPr>
          <w:footerReference w:type="default" r:id="rId16"/>
          <w:pgSz w:w="11910" w:h="16840"/>
          <w:pgMar w:footer="979" w:header="747" w:top="1060" w:bottom="1160" w:left="980" w:right="0"/>
          <w:pgNumType w:start="37"/>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担保情况" w:id="82"/>
      <w:bookmarkEnd w:id="82"/>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559"/>
        <w:gridCol w:w="124"/>
        <w:gridCol w:w="728"/>
        <w:gridCol w:w="696"/>
        <w:gridCol w:w="1008"/>
        <w:gridCol w:w="704"/>
        <w:gridCol w:w="1281"/>
        <w:gridCol w:w="1025"/>
        <w:gridCol w:w="806"/>
        <w:gridCol w:w="786"/>
      </w:tblGrid>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4"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7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5" w:right="38" w:hanging="451"/>
              <w:jc w:val="left"/>
              <w:rPr>
                <w:rFonts w:ascii="宋体" w:hAnsi="宋体" w:cs="宋体" w:eastAsia="宋体" w:hint="default"/>
                <w:sz w:val="18"/>
                <w:szCs w:val="18"/>
              </w:rPr>
            </w:pPr>
            <w:r>
              <w:rPr>
                <w:rFonts w:ascii="宋体" w:hAnsi="宋体" w:cs="宋体" w:eastAsia="宋体" w:hint="default"/>
                <w:sz w:val="18"/>
                <w:szCs w:val="18"/>
              </w:rPr>
              <w:t>实际发生日期（协议 签署日）</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4" w:right="78"/>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10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三名客户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20,000</w:t>
            </w:r>
          </w:p>
        </w:tc>
        <w:tc>
          <w:tcPr>
            <w:tcW w:w="1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多名客户</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705" w:type="dxa"/>
            <w:gridSpan w:val="2"/>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97.48</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最晚至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557" w:type="dxa"/>
            <w:gridSpan w:val="4"/>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 w:right="154"/>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w:t>
            </w:r>
          </w:p>
        </w:tc>
      </w:tr>
      <w:tr>
        <w:trPr>
          <w:trHeight w:val="719"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557" w:type="dxa"/>
            <w:gridSpan w:val="4"/>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 w:right="154"/>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1,497.48</w:t>
            </w:r>
          </w:p>
        </w:tc>
      </w:tr>
      <w:tr>
        <w:trPr>
          <w:trHeight w:val="39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40" w:right="59"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14"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85" w:right="38" w:hanging="451"/>
              <w:jc w:val="left"/>
              <w:rPr>
                <w:rFonts w:ascii="宋体" w:hAnsi="宋体" w:cs="宋体" w:eastAsia="宋体" w:hint="default"/>
                <w:sz w:val="18"/>
                <w:szCs w:val="18"/>
              </w:rPr>
            </w:pPr>
            <w:r>
              <w:rPr>
                <w:rFonts w:ascii="宋体" w:hAnsi="宋体" w:cs="宋体" w:eastAsia="宋体" w:hint="default"/>
                <w:sz w:val="18"/>
                <w:szCs w:val="18"/>
              </w:rPr>
              <w:t>实际发生日期（协议 签署日）</w:t>
            </w:r>
          </w:p>
        </w:tc>
        <w:tc>
          <w:tcPr>
            <w:tcW w:w="70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74" w:right="78"/>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2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851"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85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705" w:type="dxa"/>
            <w:gridSpan w:val="2"/>
            <w:vMerge/>
            <w:tcBorders>
              <w:left w:val="single" w:sz="4" w:space="0" w:color="000000"/>
              <w:right w:val="single" w:sz="4" w:space="0" w:color="000000"/>
            </w:tcBorders>
            <w:shd w:val="clear" w:color="auto" w:fill="D2D2D2"/>
          </w:tcPr>
          <w:p>
            <w:pPr/>
          </w:p>
        </w:tc>
        <w:tc>
          <w:tcPr>
            <w:tcW w:w="704" w:type="dxa"/>
            <w:vMerge/>
            <w:tcBorders>
              <w:left w:val="single" w:sz="4" w:space="0" w:color="000000"/>
              <w:right w:val="single" w:sz="4" w:space="0" w:color="000000"/>
            </w:tcBorders>
            <w:shd w:val="clear" w:color="auto" w:fill="D2D2D2"/>
          </w:tcPr>
          <w:p>
            <w:pPr/>
          </w:p>
        </w:tc>
        <w:tc>
          <w:tcPr>
            <w:tcW w:w="12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r>
      <w:tr>
        <w:trPr>
          <w:trHeight w:val="161"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8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05" w:type="dxa"/>
            <w:gridSpan w:val="2"/>
            <w:vMerge/>
            <w:tcBorders>
              <w:left w:val="single" w:sz="4" w:space="0" w:color="000000"/>
              <w:bottom w:val="single" w:sz="4" w:space="0" w:color="000000"/>
              <w:right w:val="single" w:sz="4" w:space="0" w:color="000000"/>
            </w:tcBorders>
            <w:shd w:val="clear" w:color="auto" w:fill="D2D2D2"/>
          </w:tcPr>
          <w:p>
            <w:pPr/>
          </w:p>
        </w:tc>
        <w:tc>
          <w:tcPr>
            <w:tcW w:w="704" w:type="dxa"/>
            <w:vMerge/>
            <w:tcBorders>
              <w:left w:val="single" w:sz="4" w:space="0" w:color="000000"/>
              <w:bottom w:val="single" w:sz="4" w:space="0" w:color="000000"/>
              <w:right w:val="single" w:sz="4" w:space="0" w:color="000000"/>
            </w:tcBorders>
            <w:shd w:val="clear" w:color="auto" w:fill="D2D2D2"/>
          </w:tcPr>
          <w:p>
            <w:pPr/>
          </w:p>
        </w:tc>
        <w:tc>
          <w:tcPr>
            <w:tcW w:w="12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北斗公司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2,000</w:t>
            </w:r>
          </w:p>
        </w:tc>
        <w:tc>
          <w:tcPr>
            <w:tcW w:w="1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能源公司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25,800</w:t>
            </w:r>
          </w:p>
        </w:tc>
        <w:tc>
          <w:tcPr>
            <w:tcW w:w="1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557" w:type="dxa"/>
            <w:gridSpan w:val="4"/>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 w:right="124"/>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2,815</w:t>
            </w:r>
          </w:p>
        </w:tc>
      </w:tr>
      <w:tr>
        <w:trPr>
          <w:trHeight w:val="720"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557" w:type="dxa"/>
            <w:gridSpan w:val="4"/>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71,000</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 w:right="154"/>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w:t>
            </w:r>
          </w:p>
        </w:tc>
      </w:tr>
      <w:tr>
        <w:trPr>
          <w:trHeight w:val="396"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433" w:type="dxa"/>
            <w:gridSpan w:val="3"/>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22,000</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 w:right="154"/>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4,715</w:t>
            </w:r>
          </w:p>
        </w:tc>
      </w:tr>
      <w:tr>
        <w:trPr>
          <w:trHeight w:val="715" w:hRule="exact"/>
        </w:trPr>
        <w:tc>
          <w:tcPr>
            <w:tcW w:w="25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433" w:type="dxa"/>
            <w:gridSpan w:val="3"/>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91,000</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 w:right="154"/>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3,897.48</w:t>
            </w:r>
          </w:p>
        </w:tc>
      </w:tr>
      <w:tr>
        <w:trPr>
          <w:trHeight w:val="408" w:hRule="exact"/>
        </w:trPr>
        <w:tc>
          <w:tcPr>
            <w:tcW w:w="49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602"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10.06%</w:t>
            </w:r>
          </w:p>
        </w:tc>
      </w:tr>
      <w:tr>
        <w:trPr>
          <w:trHeight w:val="396"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3" w:hRule="exact"/>
        </w:trPr>
        <w:tc>
          <w:tcPr>
            <w:tcW w:w="395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5610"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70"/>
        <w:gridCol w:w="5599"/>
      </w:tblGrid>
      <w:tr>
        <w:trPr>
          <w:trHeight w:val="36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559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 提供的债务担保金额（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w:t>
            </w:r>
          </w:p>
        </w:tc>
      </w:tr>
      <w:tr>
        <w:trPr>
          <w:trHeight w:val="1650"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报告期内，公司为能源公司提供的担保承担连带清偿责任，代其偿还银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行债务本金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万元；为北斗公司提供的担保承担连带清偿责任代其</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偿还银行债务本金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850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万元。报告期末至本报告披露日，公司再次因履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行担保责任为北斗公司代偿银行债务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万元。公司为能源公司提供的</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担保余额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万元或将再次承担连带清偿责任。</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5"/>
          <w:szCs w:val="5"/>
        </w:rPr>
      </w:pPr>
    </w:p>
    <w:p>
      <w:pPr>
        <w:pStyle w:val="BodyText"/>
        <w:spacing w:line="240" w:lineRule="auto" w:before="35"/>
        <w:ind w:left="574" w:right="0"/>
        <w:jc w:val="left"/>
      </w:pPr>
      <w:r>
        <w:rPr/>
        <w:t>截止</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日，公司对外担保经审批总额度余额为人民币</w:t>
      </w:r>
      <w:r>
        <w:rPr>
          <w:spacing w:val="-53"/>
        </w:rPr>
        <w:t> </w:t>
      </w:r>
      <w:r>
        <w:rPr>
          <w:rFonts w:ascii="Times New Roman" w:hAnsi="Times New Roman" w:cs="Times New Roman" w:eastAsia="Times New Roman" w:hint="default"/>
        </w:rPr>
        <w:t>85,200 </w:t>
      </w:r>
      <w:r>
        <w:rPr/>
        <w:t>万元，占公司最近一期经</w:t>
      </w:r>
    </w:p>
    <w:p>
      <w:pPr>
        <w:pStyle w:val="BodyText"/>
        <w:spacing w:line="240" w:lineRule="auto" w:before="176"/>
        <w:ind w:right="0"/>
        <w:jc w:val="left"/>
        <w:rPr>
          <w:rFonts w:ascii="Times New Roman" w:hAnsi="Times New Roman" w:cs="Times New Roman" w:eastAsia="Times New Roman" w:hint="default"/>
        </w:rPr>
      </w:pPr>
      <w:r>
        <w:rPr/>
        <w:t>审计净资产的比例为</w:t>
      </w:r>
      <w:r>
        <w:rPr>
          <w:spacing w:val="-49"/>
        </w:rPr>
        <w:t> </w:t>
      </w:r>
      <w:r>
        <w:rPr>
          <w:rFonts w:ascii="Times New Roman" w:hAnsi="Times New Roman" w:cs="Times New Roman" w:eastAsia="Times New Roman" w:hint="default"/>
          <w:spacing w:val="-3"/>
        </w:rPr>
        <w:t>219.98%</w:t>
      </w:r>
      <w:r>
        <w:rPr>
          <w:spacing w:val="-3"/>
        </w:rPr>
        <w:t>，实际发生的对外担保余额为</w:t>
      </w:r>
      <w:r>
        <w:rPr>
          <w:spacing w:val="-49"/>
        </w:rPr>
        <w:t> </w:t>
      </w:r>
      <w:r>
        <w:rPr>
          <w:rFonts w:ascii="Times New Roman" w:hAnsi="Times New Roman" w:cs="Times New Roman" w:eastAsia="Times New Roman" w:hint="default"/>
        </w:rPr>
        <w:t>3,897.48</w:t>
      </w:r>
      <w:r>
        <w:rPr>
          <w:rFonts w:ascii="Times New Roman" w:hAnsi="Times New Roman" w:cs="Times New Roman" w:eastAsia="Times New Roman" w:hint="default"/>
          <w:spacing w:val="3"/>
        </w:rPr>
        <w:t> </w:t>
      </w:r>
      <w:r>
        <w:rPr>
          <w:spacing w:val="-7"/>
        </w:rPr>
        <w:t>万元（其中，公司为北斗公司担保</w:t>
      </w:r>
      <w:r>
        <w:rPr>
          <w:spacing w:val="-49"/>
        </w:rPr>
        <w:t> </w:t>
      </w:r>
      <w:r>
        <w:rPr>
          <w:rFonts w:ascii="Times New Roman" w:hAnsi="Times New Roman" w:cs="Times New Roman" w:eastAsia="Times New Roman" w:hint="default"/>
        </w:rPr>
        <w:t>200</w:t>
      </w:r>
    </w:p>
    <w:p>
      <w:pPr>
        <w:pStyle w:val="BodyText"/>
        <w:spacing w:line="386" w:lineRule="auto" w:before="177"/>
        <w:ind w:right="1153"/>
        <w:jc w:val="left"/>
      </w:pPr>
      <w:r>
        <w:rPr/>
        <w:t>万元，为能源公司担保</w:t>
      </w:r>
      <w:r>
        <w:rPr>
          <w:spacing w:val="-50"/>
        </w:rPr>
        <w:t> </w:t>
      </w:r>
      <w:r>
        <w:rPr>
          <w:rFonts w:ascii="Times New Roman" w:hAnsi="Times New Roman" w:cs="Times New Roman" w:eastAsia="Times New Roman" w:hint="default"/>
        </w:rPr>
        <w:t>2,200</w:t>
      </w:r>
      <w:r>
        <w:rPr>
          <w:rFonts w:ascii="Times New Roman" w:hAnsi="Times New Roman" w:cs="Times New Roman" w:eastAsia="Times New Roman" w:hint="default"/>
          <w:spacing w:val="4"/>
        </w:rPr>
        <w:t> </w:t>
      </w:r>
      <w:r>
        <w:rPr>
          <w:spacing w:val="-1"/>
        </w:rPr>
        <w:t>万元；控股子公司资丰小贷公司对外担保</w:t>
      </w:r>
      <w:r>
        <w:rPr>
          <w:spacing w:val="-48"/>
        </w:rPr>
        <w:t> </w:t>
      </w:r>
      <w:r>
        <w:rPr>
          <w:rFonts w:ascii="Times New Roman" w:hAnsi="Times New Roman" w:cs="Times New Roman" w:eastAsia="Times New Roman" w:hint="default"/>
        </w:rPr>
        <w:t>1,497.48</w:t>
      </w:r>
      <w:r>
        <w:rPr>
          <w:rFonts w:ascii="Times New Roman" w:hAnsi="Times New Roman" w:cs="Times New Roman" w:eastAsia="Times New Roman" w:hint="default"/>
          <w:spacing w:val="5"/>
        </w:rPr>
        <w:t> </w:t>
      </w:r>
      <w:r>
        <w:rPr>
          <w:spacing w:val="-18"/>
        </w:rPr>
        <w:t>万元。），占公司最近一期</w:t>
      </w:r>
      <w:r>
        <w:rPr/>
        <w:t> 经审计净资产的比例为</w:t>
      </w:r>
      <w:r>
        <w:rPr>
          <w:spacing w:val="-54"/>
        </w:rPr>
        <w:t> </w:t>
      </w:r>
      <w:r>
        <w:rPr>
          <w:rFonts w:ascii="Times New Roman" w:hAnsi="Times New Roman" w:cs="Times New Roman" w:eastAsia="Times New Roman" w:hint="default"/>
        </w:rPr>
        <w:t>10.06%</w:t>
      </w:r>
      <w:r>
        <w:rPr/>
        <w:t>。公司无逾期担保。</w:t>
      </w:r>
    </w:p>
    <w:p>
      <w:pPr>
        <w:pStyle w:val="BodyText"/>
        <w:spacing w:line="240" w:lineRule="auto" w:before="76"/>
        <w:ind w:left="573" w:right="0"/>
        <w:jc w:val="left"/>
      </w:pPr>
      <w:r>
        <w:rPr>
          <w:rFonts w:ascii="Times New Roman" w:hAnsi="Times New Roman" w:cs="Times New Roman" w:eastAsia="Times New Roman" w:hint="default"/>
        </w:rPr>
        <w:t>1</w:t>
      </w:r>
      <w:r>
        <w:rPr/>
        <w:t>、报告期内公司（不含子公司）对外担保情况</w:t>
      </w:r>
    </w:p>
    <w:p>
      <w:pPr>
        <w:spacing w:line="240" w:lineRule="auto" w:before="6"/>
        <w:rPr>
          <w:rFonts w:ascii="宋体" w:hAnsi="宋体" w:cs="宋体" w:eastAsia="宋体" w:hint="default"/>
          <w:sz w:val="16"/>
          <w:szCs w:val="16"/>
        </w:rPr>
      </w:pPr>
    </w:p>
    <w:p>
      <w:pPr>
        <w:pStyle w:val="BodyText"/>
        <w:spacing w:line="240" w:lineRule="auto" w:before="0"/>
        <w:ind w:left="573" w:right="0"/>
        <w:jc w:val="left"/>
      </w:pPr>
      <w:r>
        <w:rPr/>
        <w:t>报告期内，公司分</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笔（其中有</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笔共</w:t>
      </w:r>
      <w:r>
        <w:rPr>
          <w:spacing w:val="-53"/>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万元为</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月份新增）共计解除为北斗公司银行</w:t>
      </w:r>
    </w:p>
    <w:p>
      <w:pPr>
        <w:pStyle w:val="BodyText"/>
        <w:spacing w:line="240" w:lineRule="auto" w:before="177"/>
        <w:ind w:right="0"/>
        <w:jc w:val="left"/>
        <w:rPr>
          <w:rFonts w:ascii="Times New Roman" w:hAnsi="Times New Roman" w:cs="Times New Roman" w:eastAsia="Times New Roman" w:hint="default"/>
        </w:rPr>
      </w:pPr>
      <w:r>
        <w:rPr/>
        <w:t>承兑汇票担保</w:t>
      </w:r>
      <w:r>
        <w:rPr>
          <w:spacing w:val="-55"/>
        </w:rPr>
        <w:t> </w:t>
      </w:r>
      <w:r>
        <w:rPr>
          <w:rFonts w:ascii="Times New Roman" w:hAnsi="Times New Roman" w:cs="Times New Roman" w:eastAsia="Times New Roman" w:hint="default"/>
        </w:rPr>
        <w:t>1,800</w:t>
      </w:r>
      <w:r>
        <w:rPr>
          <w:rFonts w:ascii="Times New Roman" w:hAnsi="Times New Roman" w:cs="Times New Roman" w:eastAsia="Times New Roman" w:hint="default"/>
          <w:spacing w:val="-3"/>
        </w:rPr>
        <w:t> </w:t>
      </w:r>
      <w:r>
        <w:rPr>
          <w:spacing w:val="-3"/>
        </w:rPr>
        <w:t>万元，分</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次共计解除为北斗公司银行流动资金借款担保</w:t>
      </w:r>
      <w:r>
        <w:rPr>
          <w:spacing w:val="-55"/>
        </w:rPr>
        <w:t> </w:t>
      </w:r>
      <w:r>
        <w:rPr>
          <w:rFonts w:ascii="Times New Roman" w:hAnsi="Times New Roman" w:cs="Times New Roman" w:eastAsia="Times New Roman" w:hint="default"/>
        </w:rPr>
        <w:t>600</w:t>
      </w:r>
      <w:r>
        <w:rPr>
          <w:rFonts w:ascii="Times New Roman" w:hAnsi="Times New Roman" w:cs="Times New Roman" w:eastAsia="Times New Roman" w:hint="default"/>
          <w:spacing w:val="-4"/>
        </w:rPr>
        <w:t> </w:t>
      </w:r>
      <w:r>
        <w:rPr/>
        <w:t>万元。至此，公司</w:t>
      </w:r>
      <w:r>
        <w:rPr>
          <w:spacing w:val="-56"/>
        </w:rPr>
        <w:t> </w:t>
      </w:r>
      <w:r>
        <w:rPr>
          <w:rFonts w:ascii="Times New Roman" w:hAnsi="Times New Roman" w:cs="Times New Roman" w:eastAsia="Times New Roman" w:hint="default"/>
        </w:rPr>
        <w:t>2012</w:t>
      </w:r>
    </w:p>
    <w:p>
      <w:pPr>
        <w:pStyle w:val="BodyText"/>
        <w:spacing w:line="240" w:lineRule="auto" w:before="178"/>
        <w:ind w:right="0"/>
        <w:jc w:val="left"/>
      </w:pPr>
      <w:r>
        <w:rPr/>
        <w:t>年第二次临时股东大会以及</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年年度股东大会审批的为北斗公司银行综合授信提供的担保履行完毕。</w:t>
      </w:r>
    </w:p>
    <w:p>
      <w:pPr>
        <w:spacing w:line="240" w:lineRule="auto" w:before="6"/>
        <w:rPr>
          <w:rFonts w:ascii="宋体" w:hAnsi="宋体" w:cs="宋体" w:eastAsia="宋体" w:hint="default"/>
          <w:sz w:val="16"/>
          <w:szCs w:val="16"/>
        </w:rPr>
      </w:pPr>
    </w:p>
    <w:p>
      <w:pPr>
        <w:pStyle w:val="BodyText"/>
        <w:spacing w:line="240" w:lineRule="auto" w:before="0"/>
        <w:ind w:left="15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日，经公司第四届董事会第二十一次会议以及</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年第一次临时股东大会批准公司为北斗</w:t>
      </w:r>
    </w:p>
    <w:p>
      <w:pPr>
        <w:pStyle w:val="BodyText"/>
        <w:spacing w:line="240" w:lineRule="auto" w:before="177"/>
        <w:ind w:left="154" w:right="0"/>
        <w:jc w:val="left"/>
      </w:pPr>
      <w:r>
        <w:rPr/>
        <w:t>公司向银行申请总额度为</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万元综合授信提供保证担保。</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28 </w:t>
      </w:r>
      <w:r>
        <w:rPr/>
        <w:t>日，公司与江苏银行南通分</w:t>
      </w:r>
    </w:p>
    <w:p>
      <w:pPr>
        <w:pStyle w:val="BodyText"/>
        <w:spacing w:line="240" w:lineRule="auto" w:before="178"/>
        <w:ind w:left="154" w:right="0"/>
        <w:jc w:val="left"/>
      </w:pPr>
      <w:r>
        <w:rPr/>
        <w:t>行签订了《最高额保证合同</w:t>
      </w:r>
      <w:r>
        <w:rPr>
          <w:spacing w:val="-105"/>
        </w:rPr>
        <w:t>》</w:t>
      </w:r>
      <w:r>
        <w:rPr/>
        <w:t>，为</w:t>
      </w:r>
      <w:r>
        <w:rPr>
          <w:spacing w:val="-2"/>
        </w:rPr>
        <w:t>北</w:t>
      </w:r>
      <w:r>
        <w:rPr/>
        <w:t>斗公司向其申请的</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万元综合授信提供保证担保。</w:t>
      </w:r>
    </w:p>
    <w:p>
      <w:pPr>
        <w:spacing w:line="240" w:lineRule="auto" w:before="8"/>
        <w:rPr>
          <w:rFonts w:ascii="宋体" w:hAnsi="宋体" w:cs="宋体" w:eastAsia="宋体" w:hint="default"/>
          <w:sz w:val="16"/>
          <w:szCs w:val="16"/>
        </w:rPr>
      </w:pPr>
    </w:p>
    <w:p>
      <w:pPr>
        <w:pStyle w:val="BodyText"/>
        <w:spacing w:line="240" w:lineRule="auto" w:before="0"/>
        <w:ind w:left="574" w:right="0"/>
        <w:jc w:val="left"/>
      </w:pPr>
      <w:r>
        <w:rPr/>
        <w:t>报告期内，上述《最高额保证合同》下共计发生承兑汇票担保</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笔共计</w:t>
      </w:r>
      <w:r>
        <w:rPr>
          <w:spacing w:val="-54"/>
        </w:rPr>
        <w:t> </w:t>
      </w:r>
      <w:r>
        <w:rPr>
          <w:rFonts w:ascii="Times New Roman" w:hAnsi="Times New Roman" w:cs="Times New Roman" w:eastAsia="Times New Roman" w:hint="default"/>
        </w:rPr>
        <w:t>865</w:t>
      </w:r>
      <w:r>
        <w:rPr>
          <w:rFonts w:ascii="Times New Roman" w:hAnsi="Times New Roman" w:cs="Times New Roman" w:eastAsia="Times New Roman" w:hint="default"/>
          <w:spacing w:val="-2"/>
        </w:rPr>
        <w:t> </w:t>
      </w:r>
      <w:r>
        <w:rPr/>
        <w:t>万元，流动资金借款担</w:t>
      </w:r>
    </w:p>
    <w:p>
      <w:pPr>
        <w:pStyle w:val="BodyText"/>
        <w:spacing w:line="240" w:lineRule="auto" w:before="177"/>
        <w:ind w:left="154" w:right="0"/>
        <w:jc w:val="left"/>
      </w:pPr>
      <w:r>
        <w:rPr/>
        <w:t>保</w:t>
      </w:r>
      <w:r>
        <w:rPr>
          <w:spacing w:val="-58"/>
        </w:rPr>
        <w:t> </w:t>
      </w:r>
      <w:r>
        <w:rPr>
          <w:rFonts w:ascii="Times New Roman" w:hAnsi="Times New Roman" w:cs="Times New Roman" w:eastAsia="Times New Roman" w:hint="default"/>
        </w:rPr>
        <w:t>600</w:t>
      </w:r>
      <w:r>
        <w:rPr>
          <w:rFonts w:ascii="Times New Roman" w:hAnsi="Times New Roman" w:cs="Times New Roman" w:eastAsia="Times New Roman" w:hint="default"/>
          <w:spacing w:val="-5"/>
        </w:rPr>
        <w:t> </w:t>
      </w:r>
      <w:r>
        <w:rPr/>
        <w:t>万元。上述承兑汇票担保</w:t>
      </w:r>
      <w:r>
        <w:rPr>
          <w:spacing w:val="-58"/>
        </w:rPr>
        <w:t> </w:t>
      </w:r>
      <w:r>
        <w:rPr>
          <w:rFonts w:ascii="Times New Roman" w:hAnsi="Times New Roman" w:cs="Times New Roman" w:eastAsia="Times New Roman" w:hint="default"/>
        </w:rPr>
        <w:t>865</w:t>
      </w:r>
      <w:r>
        <w:rPr>
          <w:rFonts w:ascii="Times New Roman" w:hAnsi="Times New Roman" w:cs="Times New Roman" w:eastAsia="Times New Roman" w:hint="default"/>
          <w:spacing w:val="-5"/>
        </w:rPr>
        <w:t> </w:t>
      </w:r>
      <w:r>
        <w:rPr/>
        <w:t>万元中，北斗公司自行还款解除担保</w:t>
      </w:r>
      <w:r>
        <w:rPr>
          <w:spacing w:val="-57"/>
        </w:rPr>
        <w:t> </w:t>
      </w:r>
      <w:r>
        <w:rPr>
          <w:rFonts w:ascii="Times New Roman" w:hAnsi="Times New Roman" w:cs="Times New Roman" w:eastAsia="Times New Roman" w:hint="default"/>
        </w:rPr>
        <w:t>415</w:t>
      </w:r>
      <w:r>
        <w:rPr>
          <w:rFonts w:ascii="Times New Roman" w:hAnsi="Times New Roman" w:cs="Times New Roman" w:eastAsia="Times New Roman" w:hint="default"/>
          <w:spacing w:val="-5"/>
        </w:rPr>
        <w:t> </w:t>
      </w:r>
      <w:r>
        <w:rPr/>
        <w:t>万元，公司履行担保责任代</w:t>
      </w:r>
    </w:p>
    <w:p>
      <w:pPr>
        <w:pStyle w:val="BodyText"/>
        <w:spacing w:line="240" w:lineRule="auto" w:before="177"/>
        <w:ind w:left="154" w:right="0"/>
        <w:jc w:val="left"/>
      </w:pPr>
      <w:r>
        <w:rPr/>
        <w:t>偿解除担保</w:t>
      </w:r>
      <w:r>
        <w:rPr>
          <w:spacing w:val="-55"/>
        </w:rPr>
        <w:t> </w:t>
      </w:r>
      <w:r>
        <w:rPr>
          <w:rFonts w:ascii="Times New Roman" w:hAnsi="Times New Roman" w:cs="Times New Roman" w:eastAsia="Times New Roman" w:hint="default"/>
        </w:rPr>
        <w:t>250</w:t>
      </w:r>
      <w:r>
        <w:rPr>
          <w:rFonts w:ascii="Times New Roman" w:hAnsi="Times New Roman" w:cs="Times New Roman" w:eastAsia="Times New Roman" w:hint="default"/>
          <w:spacing w:val="-3"/>
        </w:rPr>
        <w:t> </w:t>
      </w:r>
      <w:r>
        <w:rPr>
          <w:spacing w:val="-4"/>
        </w:rPr>
        <w:t>万元；</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日，公司履行担保责任代偿北斗公司流动资金借款</w:t>
      </w:r>
      <w:r>
        <w:rPr>
          <w:spacing w:val="-55"/>
        </w:rPr>
        <w:t> </w:t>
      </w:r>
      <w:r>
        <w:rPr>
          <w:rFonts w:ascii="Times New Roman" w:hAnsi="Times New Roman" w:cs="Times New Roman" w:eastAsia="Times New Roman" w:hint="default"/>
        </w:rPr>
        <w:t>600</w:t>
      </w:r>
      <w:r>
        <w:rPr>
          <w:rFonts w:ascii="Times New Roman" w:hAnsi="Times New Roman" w:cs="Times New Roman" w:eastAsia="Times New Roman" w:hint="default"/>
          <w:spacing w:val="-3"/>
        </w:rPr>
        <w:t> </w:t>
      </w:r>
      <w:r>
        <w:rPr>
          <w:spacing w:val="-6"/>
        </w:rPr>
        <w:t>万元。截止</w:t>
      </w:r>
    </w:p>
    <w:p>
      <w:pPr>
        <w:pStyle w:val="BodyText"/>
        <w:spacing w:line="240" w:lineRule="auto" w:before="178"/>
        <w:ind w:left="154" w:right="0"/>
        <w:jc w:val="left"/>
      </w:pPr>
      <w:r>
        <w:rPr/>
        <w:t>报告期末，公司为北斗公司担保余额为</w:t>
      </w:r>
      <w:r>
        <w:rPr>
          <w:spacing w:val="-53"/>
        </w:rPr>
        <w:t> </w:t>
      </w:r>
      <w:r>
        <w:rPr>
          <w:rFonts w:ascii="Times New Roman" w:hAnsi="Times New Roman" w:cs="Times New Roman" w:eastAsia="Times New Roman" w:hint="default"/>
        </w:rPr>
        <w:t>200 </w:t>
      </w:r>
      <w:r>
        <w:rPr/>
        <w:t>万元。</w:t>
      </w:r>
    </w:p>
    <w:p>
      <w:pPr>
        <w:spacing w:line="240" w:lineRule="auto" w:before="8"/>
        <w:rPr>
          <w:rFonts w:ascii="宋体" w:hAnsi="宋体" w:cs="宋体" w:eastAsia="宋体" w:hint="default"/>
          <w:sz w:val="16"/>
          <w:szCs w:val="16"/>
        </w:rPr>
      </w:pPr>
    </w:p>
    <w:p>
      <w:pPr>
        <w:pStyle w:val="BodyText"/>
        <w:spacing w:line="240" w:lineRule="auto" w:before="0"/>
        <w:ind w:left="57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日，能源公司向南京银行股份有限公司南通分行借款</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万元，由公司提供担保。</w:t>
      </w:r>
    </w:p>
    <w:p>
      <w:pPr>
        <w:spacing w:line="240" w:lineRule="auto" w:before="6"/>
        <w:rPr>
          <w:rFonts w:ascii="宋体" w:hAnsi="宋体" w:cs="宋体" w:eastAsia="宋体" w:hint="default"/>
          <w:sz w:val="16"/>
          <w:szCs w:val="16"/>
        </w:rPr>
      </w:pPr>
    </w:p>
    <w:p>
      <w:pPr>
        <w:pStyle w:val="BodyText"/>
        <w:spacing w:line="240" w:lineRule="auto" w:before="0"/>
        <w:ind w:left="57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日，公司因履行担保责任向中国农业银行股份有限公司南通崇川支行代偿能源公司的</w:t>
      </w:r>
    </w:p>
    <w:p>
      <w:pPr>
        <w:pStyle w:val="BodyText"/>
        <w:spacing w:line="240" w:lineRule="auto" w:before="178"/>
        <w:ind w:left="154" w:right="0"/>
        <w:jc w:val="left"/>
      </w:pPr>
      <w:r>
        <w:rPr/>
        <w:t>债务本金</w:t>
      </w:r>
      <w:r>
        <w:rPr>
          <w:spacing w:val="-53"/>
        </w:rPr>
        <w:t> </w:t>
      </w:r>
      <w:r>
        <w:rPr>
          <w:rFonts w:ascii="Times New Roman" w:hAnsi="Times New Roman" w:cs="Times New Roman" w:eastAsia="Times New Roman" w:hint="default"/>
        </w:rPr>
        <w:t>2,000 </w:t>
      </w:r>
      <w:r>
        <w:rPr/>
        <w:t>万元。</w:t>
      </w:r>
    </w:p>
    <w:p>
      <w:pPr>
        <w:spacing w:line="240" w:lineRule="auto" w:before="8"/>
        <w:rPr>
          <w:rFonts w:ascii="宋体" w:hAnsi="宋体" w:cs="宋体" w:eastAsia="宋体" w:hint="default"/>
          <w:sz w:val="16"/>
          <w:szCs w:val="16"/>
        </w:rPr>
      </w:pPr>
    </w:p>
    <w:p>
      <w:pPr>
        <w:pStyle w:val="BodyText"/>
        <w:spacing w:line="240" w:lineRule="auto" w:before="0"/>
        <w:ind w:left="57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日，公司因履行担保责任向南京银行股份有限公司南通分行代偿能源公司的债务本金</w:t>
      </w:r>
    </w:p>
    <w:p>
      <w:pPr>
        <w:pStyle w:val="BodyText"/>
        <w:spacing w:line="240" w:lineRule="auto" w:before="178"/>
        <w:ind w:left="154" w:right="0"/>
        <w:jc w:val="left"/>
      </w:pPr>
      <w:r>
        <w:rPr>
          <w:rFonts w:ascii="Times New Roman" w:hAnsi="Times New Roman" w:cs="Times New Roman" w:eastAsia="Times New Roman" w:hint="default"/>
        </w:rPr>
        <w:t>600 </w:t>
      </w:r>
      <w:r>
        <w:rPr/>
        <w:t>万元。</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spacing w:val="-3"/>
        </w:rPr>
        <w:t>日，公司因履行担保责任向南京银行股份有限公司南通分行代偿能源公司的债务本金</w:t>
      </w:r>
    </w:p>
    <w:p>
      <w:pPr>
        <w:pStyle w:val="BodyText"/>
        <w:spacing w:line="240" w:lineRule="auto" w:before="178"/>
        <w:ind w:right="0"/>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w:t>
      </w:r>
    </w:p>
    <w:p>
      <w:pPr>
        <w:spacing w:line="240" w:lineRule="auto" w:before="6"/>
        <w:rPr>
          <w:rFonts w:ascii="宋体" w:hAnsi="宋体" w:cs="宋体" w:eastAsia="宋体" w:hint="default"/>
          <w:sz w:val="16"/>
          <w:szCs w:val="16"/>
        </w:rPr>
      </w:pPr>
    </w:p>
    <w:p>
      <w:pPr>
        <w:pStyle w:val="BodyText"/>
        <w:spacing w:line="386" w:lineRule="auto" w:before="0"/>
        <w:ind w:right="1162" w:firstLine="420"/>
        <w:jc w:val="both"/>
      </w:pPr>
      <w:r>
        <w:rPr/>
        <w:t>截止</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日，公司（不含子公司）对外担保经审批总额度余额为人民币</w:t>
      </w:r>
      <w:r>
        <w:rPr>
          <w:spacing w:val="-53"/>
        </w:rPr>
        <w:t> </w:t>
      </w:r>
      <w:r>
        <w:rPr>
          <w:rFonts w:ascii="Times New Roman" w:hAnsi="Times New Roman" w:cs="Times New Roman" w:eastAsia="Times New Roman" w:hint="default"/>
        </w:rPr>
        <w:t>66,200</w:t>
      </w:r>
      <w:r>
        <w:rPr>
          <w:rFonts w:ascii="Times New Roman" w:hAnsi="Times New Roman" w:cs="Times New Roman" w:eastAsia="Times New Roman" w:hint="default"/>
          <w:spacing w:val="-1"/>
        </w:rPr>
        <w:t> </w:t>
      </w:r>
      <w:r>
        <w:rPr/>
        <w:t>万元，占 公司最近一期经审计净资产的比例为</w:t>
      </w:r>
      <w:r>
        <w:rPr>
          <w:spacing w:val="-54"/>
        </w:rPr>
        <w:t> </w:t>
      </w:r>
      <w:r>
        <w:rPr>
          <w:rFonts w:ascii="Times New Roman" w:hAnsi="Times New Roman" w:cs="Times New Roman" w:eastAsia="Times New Roman" w:hint="default"/>
        </w:rPr>
        <w:t>170.93%</w:t>
      </w:r>
      <w:r>
        <w:rPr/>
        <w:t>，实际发生的对外担保余额为</w:t>
      </w:r>
      <w:r>
        <w:rPr>
          <w:spacing w:val="-54"/>
        </w:rPr>
        <w:t> </w:t>
      </w:r>
      <w:r>
        <w:rPr>
          <w:rFonts w:ascii="Times New Roman" w:hAnsi="Times New Roman" w:cs="Times New Roman" w:eastAsia="Times New Roman" w:hint="default"/>
        </w:rPr>
        <w:t>2,400</w:t>
      </w:r>
      <w:r>
        <w:rPr>
          <w:rFonts w:ascii="Times New Roman" w:hAnsi="Times New Roman" w:cs="Times New Roman" w:eastAsia="Times New Roman" w:hint="default"/>
          <w:spacing w:val="-1"/>
        </w:rPr>
        <w:t> </w:t>
      </w:r>
      <w:r>
        <w:rPr/>
        <w:t>万元（其中，为江苏北 斗科技有限公司担保</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6"/>
        </w:rPr>
        <w:t> </w:t>
      </w:r>
      <w:r>
        <w:rPr>
          <w:spacing w:val="-1"/>
        </w:rPr>
        <w:t>万元，为江苏三友环保能源科技有限公司担保</w:t>
      </w:r>
      <w:r>
        <w:rPr>
          <w:spacing w:val="-46"/>
        </w:rPr>
        <w:t> </w:t>
      </w:r>
      <w:r>
        <w:rPr>
          <w:rFonts w:ascii="Times New Roman" w:hAnsi="Times New Roman" w:cs="Times New Roman" w:eastAsia="Times New Roman" w:hint="default"/>
        </w:rPr>
        <w:t>2,200</w:t>
      </w:r>
      <w:r>
        <w:rPr>
          <w:rFonts w:ascii="Times New Roman" w:hAnsi="Times New Roman" w:cs="Times New Roman" w:eastAsia="Times New Roman" w:hint="default"/>
          <w:spacing w:val="7"/>
        </w:rPr>
        <w:t> </w:t>
      </w:r>
      <w:r>
        <w:rPr>
          <w:spacing w:val="-17"/>
        </w:rPr>
        <w:t>万元。），占公司最近一期经</w:t>
      </w:r>
      <w:r>
        <w:rPr/>
        <w:t> 审计净资产的比例为</w:t>
      </w:r>
      <w:r>
        <w:rPr>
          <w:spacing w:val="-55"/>
        </w:rPr>
        <w:t> </w:t>
      </w:r>
      <w:r>
        <w:rPr>
          <w:rFonts w:ascii="Times New Roman" w:hAnsi="Times New Roman" w:cs="Times New Roman" w:eastAsia="Times New Roman" w:hint="default"/>
        </w:rPr>
        <w:t>6.20%</w:t>
      </w:r>
      <w:r>
        <w:rPr/>
        <w:t>。全部为对控股子公司提供的担保，公司无逾期担保。</w:t>
      </w:r>
    </w:p>
    <w:p>
      <w:pPr>
        <w:pStyle w:val="BodyText"/>
        <w:spacing w:line="240" w:lineRule="auto" w:before="76"/>
        <w:ind w:left="573" w:right="0"/>
        <w:jc w:val="left"/>
      </w:pPr>
      <w:r>
        <w:rPr>
          <w:rFonts w:ascii="Times New Roman" w:hAnsi="Times New Roman" w:cs="Times New Roman" w:eastAsia="Times New Roman" w:hint="default"/>
        </w:rPr>
        <w:t>2</w:t>
      </w:r>
      <w:r>
        <w:rPr/>
        <w:t>、报告期内子公司（资丰小贷公司）对外担保情况</w:t>
      </w:r>
    </w:p>
    <w:p>
      <w:pPr>
        <w:spacing w:line="240" w:lineRule="auto" w:before="6"/>
        <w:rPr>
          <w:rFonts w:ascii="宋体" w:hAnsi="宋体" w:cs="宋体" w:eastAsia="宋体" w:hint="default"/>
          <w:sz w:val="16"/>
          <w:szCs w:val="16"/>
        </w:rPr>
      </w:pPr>
    </w:p>
    <w:p>
      <w:pPr>
        <w:pStyle w:val="BodyText"/>
        <w:spacing w:line="398" w:lineRule="auto" w:before="0"/>
        <w:ind w:right="1131" w:firstLine="42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日，公司与新城集团签订了《股权转让协议》受让受让其持有的资丰小贷公司</w:t>
      </w:r>
      <w:r>
        <w:rPr>
          <w:spacing w:val="-54"/>
        </w:rPr>
        <w:t> </w:t>
      </w:r>
      <w:r>
        <w:rPr>
          <w:rFonts w:ascii="Times New Roman" w:hAnsi="Times New Roman" w:cs="Times New Roman" w:eastAsia="Times New Roman" w:hint="default"/>
        </w:rPr>
        <w:t>60% </w:t>
      </w:r>
      <w:r>
        <w:rPr>
          <w:spacing w:val="-3"/>
        </w:rPr>
        <w:t>的股权，因资丰小贷公司主营业务包含对外提供融资性担保，《协议》约定对于资丰小贷公司已发生的对</w:t>
      </w:r>
      <w:r>
        <w:rPr>
          <w:spacing w:val="-74"/>
        </w:rPr>
        <w:t> </w:t>
      </w:r>
      <w:r>
        <w:rPr>
          <w:spacing w:val="-74"/>
        </w:rPr>
      </w:r>
      <w:r>
        <w:rPr/>
        <w:t>外担保</w:t>
      </w:r>
      <w:r>
        <w:rPr>
          <w:spacing w:val="-66"/>
        </w:rPr>
        <w:t> </w:t>
      </w:r>
      <w:r>
        <w:rPr>
          <w:rFonts w:ascii="Times New Roman" w:hAnsi="Times New Roman" w:cs="Times New Roman" w:eastAsia="Times New Roman" w:hint="default"/>
        </w:rPr>
        <w:t>2,695.94</w:t>
      </w:r>
      <w:r>
        <w:rPr>
          <w:rFonts w:ascii="Times New Roman" w:hAnsi="Times New Roman" w:cs="Times New Roman" w:eastAsia="Times New Roman" w:hint="default"/>
          <w:spacing w:val="-13"/>
        </w:rPr>
        <w:t> </w:t>
      </w:r>
      <w:r>
        <w:rPr/>
        <w:t>万元，若日后实际承担担保责任的，新城集团按照原持股比例承担相应的责任，且根据公</w:t>
      </w:r>
    </w:p>
    <w:p>
      <w:pPr>
        <w:pStyle w:val="BodyText"/>
        <w:spacing w:line="240" w:lineRule="auto" w:before="25"/>
        <w:ind w:right="0"/>
        <w:jc w:val="left"/>
      </w:pPr>
      <w:r>
        <w:rPr/>
        <w:t>司的要求无条件向公司或资丰小贷公司予以补偿</w:t>
      </w:r>
      <w:r>
        <w:rPr>
          <w:spacing w:val="-91"/>
        </w:rPr>
        <w:t>。</w:t>
      </w:r>
      <w:r>
        <w:rPr/>
        <w:t>截止</w:t>
      </w:r>
      <w:r>
        <w:rPr>
          <w:spacing w:val="-52"/>
        </w:rPr>
        <w:t> </w:t>
      </w:r>
      <w:r>
        <w:rPr>
          <w:rFonts w:ascii="Times New Roman" w:hAnsi="Times New Roman" w:cs="Times New Roman" w:eastAsia="Times New Roman" w:hint="default"/>
        </w:rPr>
        <w:t>2014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91"/>
        </w:rPr>
        <w:t>，</w:t>
      </w:r>
      <w:r>
        <w:rPr/>
        <w:t>上述担保的余额为</w:t>
      </w:r>
      <w:r>
        <w:rPr>
          <w:spacing w:val="-52"/>
        </w:rPr>
        <w:t> </w:t>
      </w:r>
      <w:r>
        <w:rPr>
          <w:rFonts w:ascii="Times New Roman" w:hAnsi="Times New Roman" w:cs="Times New Roman" w:eastAsia="Times New Roman" w:hint="default"/>
        </w:rPr>
        <w:t>97</w:t>
      </w:r>
      <w:r>
        <w:rPr>
          <w:rFonts w:ascii="Times New Roman" w:hAnsi="Times New Roman" w:cs="Times New Roman" w:eastAsia="Times New Roman" w:hint="default"/>
          <w:spacing w:val="-1"/>
        </w:rPr>
        <w:t>.</w:t>
      </w:r>
      <w:r>
        <w:rPr>
          <w:rFonts w:ascii="Times New Roman" w:hAnsi="Times New Roman" w:cs="Times New Roman" w:eastAsia="Times New Roman" w:hint="default"/>
        </w:rPr>
        <w:t>48</w:t>
      </w:r>
      <w:r>
        <w:rPr>
          <w:rFonts w:ascii="Times New Roman" w:hAnsi="Times New Roman" w:cs="Times New Roman" w:eastAsia="Times New Roman" w:hint="default"/>
          <w:spacing w:val="1"/>
        </w:rPr>
        <w:t> </w:t>
      </w:r>
      <w:r>
        <w:rPr/>
        <w:t>万元。</w:t>
      </w:r>
    </w:p>
    <w:p>
      <w:pPr>
        <w:spacing w:line="240" w:lineRule="auto" w:before="6"/>
        <w:rPr>
          <w:rFonts w:ascii="宋体" w:hAnsi="宋体" w:cs="宋体" w:eastAsia="宋体" w:hint="default"/>
          <w:sz w:val="16"/>
          <w:szCs w:val="16"/>
        </w:rPr>
      </w:pPr>
    </w:p>
    <w:p>
      <w:pPr>
        <w:pStyle w:val="BodyText"/>
        <w:spacing w:line="240" w:lineRule="auto" w:before="0"/>
        <w:ind w:left="57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spacing w:val="-7"/>
        </w:rPr>
        <w:t>日，公司召开</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年第二次临时股东大会，审批同意资丰小贷公司因业务需要对外提</w:t>
      </w:r>
    </w:p>
    <w:p>
      <w:pPr>
        <w:pStyle w:val="BodyText"/>
        <w:spacing w:line="240" w:lineRule="auto" w:before="178"/>
        <w:ind w:right="0"/>
        <w:jc w:val="left"/>
      </w:pPr>
      <w:r>
        <w:rPr/>
        <w:t>供总额度不超过人民币</w:t>
      </w:r>
      <w:r>
        <w:rPr>
          <w:spacing w:val="-54"/>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2"/>
        </w:rPr>
        <w:t> </w:t>
      </w:r>
      <w:r>
        <w:rPr/>
        <w:t>万元的担保，担保期限为自公司股东大会批准之日起不超过</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w:t>
      </w:r>
    </w:p>
    <w:p>
      <w:pPr>
        <w:spacing w:line="240" w:lineRule="auto" w:before="9"/>
        <w:rPr>
          <w:rFonts w:ascii="宋体" w:hAnsi="宋体" w:cs="宋体" w:eastAsia="宋体" w:hint="default"/>
          <w:sz w:val="16"/>
          <w:szCs w:val="16"/>
        </w:rPr>
      </w:pPr>
    </w:p>
    <w:p>
      <w:pPr>
        <w:pStyle w:val="BodyText"/>
        <w:spacing w:line="240" w:lineRule="auto" w:before="0"/>
        <w:ind w:left="57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日，资丰小贷公司为一名客户提供担保</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万元，担保到期日为</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p>
    <w:p>
      <w:pPr>
        <w:spacing w:line="240" w:lineRule="auto" w:before="7"/>
        <w:rPr>
          <w:rFonts w:ascii="宋体" w:hAnsi="宋体" w:cs="宋体" w:eastAsia="宋体" w:hint="default"/>
          <w:sz w:val="16"/>
          <w:szCs w:val="16"/>
        </w:rPr>
      </w:pPr>
    </w:p>
    <w:p>
      <w:pPr>
        <w:pStyle w:val="BodyText"/>
        <w:spacing w:line="240" w:lineRule="auto" w:before="0"/>
        <w:ind w:left="57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日，资丰小贷公司为两名客户共计提供担保</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万元，担保到期日均为</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p>
    <w:p>
      <w:pPr>
        <w:pStyle w:val="BodyText"/>
        <w:spacing w:line="240" w:lineRule="auto" w:before="178"/>
        <w:ind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日，上述</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万元担保于担保到期日解除担保。</w:t>
      </w:r>
    </w:p>
    <w:p>
      <w:pPr>
        <w:spacing w:line="240" w:lineRule="auto" w:before="8"/>
        <w:rPr>
          <w:rFonts w:ascii="宋体" w:hAnsi="宋体" w:cs="宋体" w:eastAsia="宋体" w:hint="default"/>
          <w:sz w:val="16"/>
          <w:szCs w:val="16"/>
        </w:rPr>
      </w:pPr>
    </w:p>
    <w:p>
      <w:pPr>
        <w:pStyle w:val="BodyText"/>
        <w:spacing w:line="240" w:lineRule="auto" w:before="0"/>
        <w:ind w:left="57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日，资丰小贷公司为一名客户提供担保</w:t>
      </w:r>
      <w:r>
        <w:rPr>
          <w:spacing w:val="-53"/>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t>万元，担保到期日为</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w:t>
      </w:r>
    </w:p>
    <w:p>
      <w:pPr>
        <w:spacing w:line="240" w:lineRule="auto" w:before="8"/>
        <w:rPr>
          <w:rFonts w:ascii="宋体" w:hAnsi="宋体" w:cs="宋体" w:eastAsia="宋体" w:hint="default"/>
          <w:sz w:val="16"/>
          <w:szCs w:val="16"/>
        </w:rPr>
      </w:pPr>
    </w:p>
    <w:p>
      <w:pPr>
        <w:pStyle w:val="BodyText"/>
        <w:spacing w:line="240" w:lineRule="auto" w:before="0"/>
        <w:ind w:left="57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日，资丰小贷公司为两名客户共计提供担保</w:t>
      </w:r>
      <w:r>
        <w:rPr>
          <w:spacing w:val="-53"/>
        </w:rPr>
        <w:t> </w:t>
      </w:r>
      <w:r>
        <w:rPr>
          <w:rFonts w:ascii="Times New Roman" w:hAnsi="Times New Roman" w:cs="Times New Roman" w:eastAsia="Times New Roman" w:hint="default"/>
        </w:rPr>
        <w:t>600</w:t>
      </w:r>
      <w:r>
        <w:rPr>
          <w:rFonts w:ascii="Times New Roman" w:hAnsi="Times New Roman" w:cs="Times New Roman" w:eastAsia="Times New Roman" w:hint="default"/>
          <w:spacing w:val="-1"/>
        </w:rPr>
        <w:t> </w:t>
      </w:r>
      <w:r>
        <w:rPr/>
        <w:t>万元，担保到期日均为</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p>
    <w:p>
      <w:pPr>
        <w:pStyle w:val="BodyText"/>
        <w:spacing w:line="240" w:lineRule="auto" w:before="178"/>
        <w:ind w:right="0"/>
        <w:jc w:val="left"/>
      </w:pPr>
      <w:r>
        <w:rPr>
          <w:rFonts w:ascii="Times New Roman" w:hAnsi="Times New Roman" w:cs="Times New Roman" w:eastAsia="Times New Roman" w:hint="default"/>
        </w:rPr>
        <w:t>18 </w:t>
      </w:r>
      <w:r>
        <w:rPr/>
        <w:t>日。</w:t>
      </w:r>
    </w:p>
    <w:p>
      <w:pPr>
        <w:spacing w:line="240" w:lineRule="auto" w:before="6"/>
        <w:rPr>
          <w:rFonts w:ascii="宋体" w:hAnsi="宋体" w:cs="宋体" w:eastAsia="宋体" w:hint="default"/>
          <w:sz w:val="16"/>
          <w:szCs w:val="16"/>
        </w:rPr>
      </w:pPr>
    </w:p>
    <w:p>
      <w:pPr>
        <w:pStyle w:val="BodyText"/>
        <w:spacing w:line="240" w:lineRule="auto" w:before="0"/>
        <w:ind w:left="574" w:right="0"/>
        <w:jc w:val="left"/>
      </w:pPr>
      <w:r>
        <w:rPr/>
        <w:t>截止</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日，资丰小贷公司经审批的对外担保额度余额为</w:t>
      </w:r>
      <w:r>
        <w:rPr>
          <w:spacing w:val="-53"/>
        </w:rPr>
        <w:t> </w:t>
      </w:r>
      <w:r>
        <w:rPr>
          <w:rFonts w:ascii="Times New Roman" w:hAnsi="Times New Roman" w:cs="Times New Roman" w:eastAsia="Times New Roman" w:hint="default"/>
        </w:rPr>
        <w:t>19,000 </w:t>
      </w:r>
      <w:r>
        <w:rPr/>
        <w:t>万元，该额度下实际发</w:t>
      </w:r>
    </w:p>
    <w:p>
      <w:pPr>
        <w:pStyle w:val="BodyText"/>
        <w:spacing w:line="420" w:lineRule="auto" w:before="178"/>
        <w:ind w:left="573" w:right="6606" w:hanging="420"/>
        <w:jc w:val="left"/>
      </w:pPr>
      <w:r>
        <w:rPr/>
        <w:t>生的对外担保业务的担保余额为</w:t>
      </w:r>
      <w:r>
        <w:rPr>
          <w:spacing w:val="-53"/>
        </w:rPr>
        <w:t> </w:t>
      </w:r>
      <w:r>
        <w:rPr>
          <w:rFonts w:ascii="Times New Roman" w:hAnsi="Times New Roman" w:cs="Times New Roman" w:eastAsia="Times New Roman" w:hint="default"/>
        </w:rPr>
        <w:t>1,400 </w:t>
      </w:r>
      <w:r>
        <w:rPr/>
        <w:t>万元。 公司其他子公司无对外担保事项。</w:t>
      </w:r>
    </w:p>
    <w:p>
      <w:pPr>
        <w:spacing w:line="357" w:lineRule="auto" w:before="24"/>
        <w:ind w:left="153" w:right="805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不适用。</w:t>
      </w:r>
    </w:p>
    <w:p>
      <w:pPr>
        <w:spacing w:line="240" w:lineRule="auto" w:before="2"/>
        <w:rPr>
          <w:rFonts w:ascii="宋体" w:hAnsi="宋体" w:cs="宋体" w:eastAsia="宋体" w:hint="default"/>
          <w:sz w:val="20"/>
          <w:szCs w:val="20"/>
        </w:rPr>
      </w:pPr>
    </w:p>
    <w:p>
      <w:pPr>
        <w:pStyle w:val="Heading5"/>
        <w:spacing w:line="240" w:lineRule="auto"/>
        <w:ind w:left="153" w:right="0"/>
        <w:jc w:val="left"/>
        <w:rPr>
          <w:b w:val="0"/>
          <w:bCs w:val="0"/>
        </w:rPr>
      </w:pPr>
      <w:bookmarkStart w:name="（1）违规对外担保情况" w:id="83"/>
      <w:bookmarkEnd w:id="83"/>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left"/>
        <w:rPr>
          <w:b w:val="0"/>
          <w:bCs w:val="0"/>
        </w:rPr>
      </w:pPr>
      <w:bookmarkStart w:name="3、其他重大合同" w:id="84"/>
      <w:bookmarkEnd w:id="84"/>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878"/>
        <w:gridCol w:w="714"/>
        <w:gridCol w:w="797"/>
        <w:gridCol w:w="797"/>
        <w:gridCol w:w="798"/>
        <w:gridCol w:w="797"/>
      </w:tblGrid>
      <w:tr>
        <w:trPr>
          <w:trHeight w:val="1650"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4" w:right="34"/>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3" w:right="32"/>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72" w:firstLine="51"/>
              <w:jc w:val="left"/>
              <w:rPr>
                <w:rFonts w:ascii="宋体" w:hAnsi="宋体" w:cs="宋体" w:eastAsia="宋体" w:hint="default"/>
                <w:sz w:val="18"/>
                <w:szCs w:val="18"/>
              </w:rPr>
            </w:pPr>
            <w:r>
              <w:rPr>
                <w:rFonts w:ascii="宋体" w:hAnsi="宋体" w:cs="宋体" w:eastAsia="宋体" w:hint="default"/>
                <w:sz w:val="18"/>
                <w:szCs w:val="18"/>
              </w:rPr>
              <w:t>评估基准 日（如有</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定价原</w:t>
            </w:r>
          </w:p>
          <w:p>
            <w:pPr>
              <w:pStyle w:val="TableParagraph"/>
              <w:tabs>
                <w:tab w:pos="261" w:val="left" w:leader="none"/>
              </w:tabs>
              <w:spacing w:line="240" w:lineRule="auto" w:before="76"/>
              <w:ind w:left="-136" w:right="0"/>
              <w:jc w:val="left"/>
              <w:rPr>
                <w:rFonts w:ascii="宋体" w:hAnsi="宋体" w:cs="宋体" w:eastAsia="宋体" w:hint="default"/>
                <w:sz w:val="18"/>
                <w:szCs w:val="18"/>
              </w:rPr>
            </w:pPr>
            <w:r>
              <w:rPr>
                <w:rFonts w:ascii="宋体" w:hAnsi="宋体" w:cs="宋体" w:eastAsia="宋体" w:hint="default"/>
                <w:sz w:val="18"/>
                <w:szCs w:val="18"/>
              </w:rPr>
              <w:t>）</w:t>
              <w:tab/>
              <w:t>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339"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江苏三友 集团南通 色织有限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44"/>
              <w:jc w:val="left"/>
              <w:rPr>
                <w:rFonts w:ascii="宋体" w:hAnsi="宋体" w:cs="宋体" w:eastAsia="宋体" w:hint="default"/>
                <w:sz w:val="18"/>
                <w:szCs w:val="18"/>
              </w:rPr>
            </w:pPr>
            <w:r>
              <w:rPr>
                <w:rFonts w:ascii="宋体" w:hAnsi="宋体" w:cs="宋体" w:eastAsia="宋体" w:hint="default"/>
                <w:sz w:val="18"/>
                <w:szCs w:val="18"/>
              </w:rPr>
              <w:t>南京银行 南通分行</w:t>
            </w:r>
          </w:p>
        </w:tc>
        <w:tc>
          <w:tcPr>
            <w:tcW w:w="79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1,524.4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3,211.19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both"/>
              <w:rPr>
                <w:rFonts w:ascii="宋体" w:hAnsi="宋体" w:cs="宋体" w:eastAsia="宋体" w:hint="default"/>
                <w:sz w:val="18"/>
                <w:szCs w:val="18"/>
              </w:rPr>
            </w:pPr>
            <w:r>
              <w:rPr>
                <w:rFonts w:ascii="宋体" w:hAnsi="宋体" w:cs="宋体" w:eastAsia="宋体" w:hint="default"/>
                <w:sz w:val="18"/>
                <w:szCs w:val="18"/>
              </w:rPr>
              <w:t>江苏苏信 房地产评 估咨询有 限公司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1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2,200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其他重大交易" w:id="85"/>
      <w:bookmarkEnd w:id="85"/>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九、承诺事项履行情况" w:id="86"/>
      <w:bookmarkEnd w:id="86"/>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公司或持股5%以上股东在报告期内发生或以前期间发生但持续到报告期内的承诺事项" w:id="87"/>
      <w:bookmarkEnd w:id="87"/>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709"/>
        <w:gridCol w:w="4395"/>
        <w:gridCol w:w="850"/>
        <w:gridCol w:w="851"/>
        <w:gridCol w:w="779"/>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
              <w:jc w:val="right"/>
              <w:rPr>
                <w:rFonts w:ascii="宋体" w:hAnsi="宋体" w:cs="宋体" w:eastAsia="宋体" w:hint="default"/>
                <w:sz w:val="18"/>
                <w:szCs w:val="18"/>
              </w:rPr>
            </w:pPr>
            <w:r>
              <w:rPr>
                <w:rFonts w:ascii="宋体" w:hAnsi="宋体" w:cs="宋体" w:eastAsia="宋体" w:hint="default"/>
                <w:sz w:val="18"/>
                <w:szCs w:val="18"/>
              </w:rPr>
              <w:t>承诺方</w:t>
            </w:r>
          </w:p>
        </w:tc>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709" w:type="dxa"/>
            <w:tcBorders>
              <w:top w:val="single" w:sz="4" w:space="0" w:color="000000"/>
              <w:left w:val="single" w:sz="9" w:space="0" w:color="D2D2D2"/>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370"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4395"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本人及本人控制的公司： </w:t>
            </w:r>
            <w:r>
              <w:rPr>
                <w:rFonts w:ascii="Times New Roman" w:hAnsi="Times New Roman" w:cs="Times New Roman" w:eastAsia="Times New Roman" w:hint="default"/>
                <w:sz w:val="18"/>
                <w:szCs w:val="18"/>
              </w:rPr>
              <w:t>1</w:t>
            </w:r>
            <w:r>
              <w:rPr>
                <w:rFonts w:ascii="宋体" w:hAnsi="宋体" w:cs="宋体" w:eastAsia="宋体" w:hint="default"/>
                <w:sz w:val="18"/>
                <w:szCs w:val="18"/>
              </w:rPr>
              <w:t>、不直接或间接从事与上市 </w:t>
            </w:r>
            <w:r>
              <w:rPr>
                <w:rFonts w:ascii="宋体" w:hAnsi="宋体" w:cs="宋体" w:eastAsia="宋体" w:hint="default"/>
                <w:spacing w:val="-3"/>
                <w:sz w:val="18"/>
                <w:szCs w:val="18"/>
              </w:rPr>
              <w:t>公司主营业务相同或相似的业务；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、不从事与上市公司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存在竞争或可能构成竞争的业务或活动，也不以独资经 营、合资经营或其他拥有股票或权益的方式在其他公司 或企业从事与上市公司存在竞争或可能构成竞争的业务 </w:t>
            </w:r>
            <w:r>
              <w:rPr>
                <w:rFonts w:ascii="宋体" w:hAnsi="宋体" w:cs="宋体" w:eastAsia="宋体" w:hint="default"/>
                <w:spacing w:val="-3"/>
                <w:sz w:val="18"/>
                <w:szCs w:val="18"/>
              </w:rPr>
              <w:t>或活动；</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、在未来的投资方向上，避免投资与上市公司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相同或相似的业务及企业；对上市公司已经或拟投资兴 </w:t>
            </w:r>
            <w:r>
              <w:rPr>
                <w:rFonts w:ascii="宋体" w:hAnsi="宋体" w:cs="宋体" w:eastAsia="宋体" w:hint="default"/>
                <w:spacing w:val="-3"/>
                <w:sz w:val="18"/>
                <w:szCs w:val="18"/>
              </w:rPr>
              <w:t>建的项目，将不会进行建设或投资；</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、如未来经营的业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务与上市公司形成实质性竞争，上市公司有权优先收购 该等竞争业务有关的资产，或本人通过解散、对外转让 等方法，处理所持从事竞争业务公司的全部股权，以消 </w:t>
            </w:r>
            <w:r>
              <w:rPr>
                <w:rFonts w:ascii="宋体" w:hAnsi="宋体" w:cs="宋体" w:eastAsia="宋体" w:hint="default"/>
                <w:spacing w:val="-3"/>
                <w:sz w:val="18"/>
                <w:szCs w:val="18"/>
              </w:rPr>
              <w:t>除同业竞争；</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、若本人违反上述承诺，则应对上市公司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因此而遭受的损失做出及时和足额的赔偿。</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24"/>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703"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709" w:type="dxa"/>
            <w:vMerge/>
            <w:tcBorders>
              <w:left w:val="single" w:sz="9" w:space="0" w:color="D2D2D2"/>
              <w:right w:val="single" w:sz="4" w:space="0" w:color="000000"/>
            </w:tcBorders>
          </w:tcPr>
          <w:p>
            <w:pPr/>
          </w:p>
        </w:tc>
        <w:tc>
          <w:tcPr>
            <w:tcW w:w="439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1073"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9" w:space="0" w:color="D2D2D2"/>
              <w:bottom w:val="single" w:sz="4" w:space="0" w:color="000000"/>
              <w:right w:val="single" w:sz="4" w:space="0" w:color="000000"/>
            </w:tcBorders>
          </w:tcPr>
          <w:p>
            <w:pPr/>
          </w:p>
        </w:tc>
        <w:tc>
          <w:tcPr>
            <w:tcW w:w="439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1299"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陆尔穗</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both"/>
              <w:rPr>
                <w:rFonts w:ascii="宋体" w:hAnsi="宋体" w:cs="宋体" w:eastAsia="宋体" w:hint="default"/>
                <w:sz w:val="18"/>
                <w:szCs w:val="18"/>
              </w:rPr>
            </w:pPr>
            <w:r>
              <w:rPr>
                <w:rFonts w:ascii="宋体" w:hAnsi="宋体" w:cs="宋体" w:eastAsia="宋体" w:hint="default"/>
                <w:spacing w:val="-8"/>
                <w:sz w:val="18"/>
                <w:szCs w:val="18"/>
              </w:rPr>
              <w:t>对于不可避免的关联交易，本人将按照《公司法》、《证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8"/>
                <w:sz w:val="18"/>
                <w:szCs w:val="18"/>
              </w:rPr>
              <w:t>券法》、《深圳证券交易所股票上市规则》等法律、法规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及《江苏三友集团股份有限公司章程》等有关规定履行 信息披露义务和办理有关报批事宜，保证关联交易决策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严格履行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5"/>
        <w:gridCol w:w="709"/>
        <w:gridCol w:w="4395"/>
        <w:gridCol w:w="850"/>
        <w:gridCol w:w="851"/>
        <w:gridCol w:w="779"/>
      </w:tblGrid>
      <w:tr>
        <w:trPr>
          <w:trHeight w:val="986"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0"/>
              <w:jc w:val="both"/>
              <w:rPr>
                <w:rFonts w:ascii="宋体" w:hAnsi="宋体" w:cs="宋体" w:eastAsia="宋体" w:hint="default"/>
                <w:sz w:val="18"/>
                <w:szCs w:val="18"/>
              </w:rPr>
            </w:pPr>
            <w:r>
              <w:rPr>
                <w:rFonts w:ascii="宋体" w:hAnsi="宋体" w:cs="宋体" w:eastAsia="宋体" w:hint="default"/>
                <w:sz w:val="18"/>
                <w:szCs w:val="18"/>
              </w:rPr>
              <w:t>程序合法，交易价格、交易条件及其他协议条款公平合 理，保证不通过关联交易损害上市公司本身及其他股东 的合法权益。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0"/>
              <w:jc w:val="both"/>
              <w:rPr>
                <w:rFonts w:ascii="宋体" w:hAnsi="宋体" w:cs="宋体" w:eastAsia="宋体" w:hint="default"/>
                <w:sz w:val="18"/>
                <w:szCs w:val="18"/>
              </w:rPr>
            </w:pPr>
            <w:r>
              <w:rPr>
                <w:rFonts w:ascii="宋体" w:hAnsi="宋体" w:cs="宋体" w:eastAsia="宋体" w:hint="default"/>
                <w:sz w:val="18"/>
                <w:szCs w:val="18"/>
              </w:rPr>
              <w:t>为了保证上市公司的独立运作，维护广大投资者特别是 中小投资者的合法权益，本人承诺：作为上市公司的实 际控制人，将保证与上市公司在人员、资产、财务、机 构、业务等方面相互独立。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4"/>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50"/>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4"/>
              <w:jc w:val="both"/>
              <w:rPr>
                <w:rFonts w:ascii="宋体" w:hAnsi="宋体" w:cs="宋体" w:eastAsia="宋体" w:hint="default"/>
                <w:sz w:val="18"/>
                <w:szCs w:val="18"/>
              </w:rPr>
            </w:pPr>
            <w:r>
              <w:rPr>
                <w:rFonts w:ascii="宋体" w:hAnsi="宋体" w:cs="宋体" w:eastAsia="宋体" w:hint="default"/>
                <w:sz w:val="18"/>
                <w:szCs w:val="18"/>
              </w:rPr>
              <w:t>友谊实 业及其 他发起 人股东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both"/>
              <w:rPr>
                <w:rFonts w:ascii="宋体" w:hAnsi="宋体" w:cs="宋体" w:eastAsia="宋体" w:hint="default"/>
                <w:sz w:val="18"/>
                <w:szCs w:val="18"/>
              </w:rPr>
            </w:pPr>
            <w:r>
              <w:rPr>
                <w:rFonts w:ascii="宋体" w:hAnsi="宋体" w:cs="宋体" w:eastAsia="宋体" w:hint="default"/>
                <w:sz w:val="18"/>
                <w:szCs w:val="18"/>
              </w:rPr>
              <w:t>作为公司股东期间，本公司不会在中国境内或境外，以 任何方式（包括但不限于单独经营、通过合资或拥有另 一家公司或企业的股份及其他权益）直接或间接控制任 何与股份公司构成竞争的任何业务或活动。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6"/>
              <w:jc w:val="left"/>
              <w:rPr>
                <w:rFonts w:ascii="宋体" w:hAnsi="宋体" w:cs="宋体" w:eastAsia="宋体" w:hint="default"/>
                <w:sz w:val="18"/>
                <w:szCs w:val="18"/>
              </w:rPr>
            </w:pPr>
            <w:r>
              <w:rPr>
                <w:rFonts w:ascii="宋体" w:hAnsi="宋体" w:cs="宋体" w:eastAsia="宋体" w:hint="default"/>
                <w:sz w:val="18"/>
                <w:szCs w:val="18"/>
              </w:rPr>
              <w:t>作为公司 股东期间</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4"/>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50"/>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both"/>
              <w:rPr>
                <w:rFonts w:ascii="宋体" w:hAnsi="宋体" w:cs="宋体" w:eastAsia="宋体" w:hint="default"/>
                <w:sz w:val="18"/>
                <w:szCs w:val="18"/>
              </w:rPr>
            </w:pPr>
            <w:r>
              <w:rPr>
                <w:rFonts w:ascii="宋体" w:hAnsi="宋体" w:cs="宋体" w:eastAsia="宋体" w:hint="default"/>
                <w:sz w:val="18"/>
                <w:szCs w:val="18"/>
              </w:rPr>
              <w:t>在增持公司股票期间及法定期限内不减持所持有的公司 股份，并严格遵守有关规定，不进行内幕交易、敏感期 买卖股份、短线交易等行为，增持期间及法定期限内不 超计划增持。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增持期间 及法定期 限内</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4"/>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5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未完成履行的具体原因 及下一步计划（如有）</w:t>
            </w:r>
          </w:p>
        </w:tc>
        <w:tc>
          <w:tcPr>
            <w:tcW w:w="75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259" w:lineRule="auto" w:before="35"/>
        <w:ind w:right="0"/>
        <w:jc w:val="left"/>
        <w:rPr>
          <w:b w:val="0"/>
          <w:bCs w:val="0"/>
        </w:rPr>
      </w:pPr>
      <w:bookmarkStart w:name="2、公司资产或项目存在盈利预测，且报告期仍处在盈利预测期间，公司就资产或项目达到" w:id="88"/>
      <w:bookmarkEnd w:id="8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聘任、解聘会计师事务所情况" w:id="89"/>
      <w:bookmarkEnd w:id="89"/>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陈荣芳、宗泽</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0" w:firstLine="420"/>
        <w:jc w:val="left"/>
      </w:pPr>
      <w:r>
        <w:rPr>
          <w:spacing w:val="-1"/>
        </w:rPr>
        <w:t>报告期内，公司因重大资产重组事项，聘请齐鲁证券有限公司担任本次重大资产重组的财务顾问。报</w:t>
      </w:r>
      <w:r>
        <w:rPr/>
        <w:t> 告期末预提财务顾问首付款</w:t>
      </w:r>
      <w:r>
        <w:rPr>
          <w:rFonts w:ascii="Times New Roman" w:hAnsi="Times New Roman" w:cs="Times New Roman" w:eastAsia="Times New Roman" w:hint="default"/>
        </w:rPr>
        <w:t>100</w:t>
      </w:r>
      <w:r>
        <w:rPr/>
        <w:t>万元，暂未支付。</w:t>
      </w:r>
    </w:p>
    <w:p>
      <w:pPr>
        <w:spacing w:after="0" w:line="408"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一、监事会、独立董事（如适用）对会计师事务所本报告期“非标准审计报告”的说明" w:id="90"/>
      <w:bookmarkEnd w:id="90"/>
      <w:r>
        <w:rPr>
          <w:b w:val="0"/>
          <w:bCs w:val="0"/>
        </w:rPr>
      </w:r>
      <w:r>
        <w:rPr/>
        <w:t>十一、监事会、独立董事（如适用）对会计师事务所本报告期“非标准审计报告”的说明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二、处罚及整改情况" w:id="91"/>
      <w:bookmarkEnd w:id="91"/>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年度报告披露后面临暂停上市和终止上市情况" w:id="92"/>
      <w:bookmarkEnd w:id="92"/>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93"/>
      <w:bookmarkEnd w:id="93"/>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132" w:firstLine="420"/>
        <w:jc w:val="both"/>
      </w:pPr>
      <w:r>
        <w:rPr>
          <w:rFonts w:ascii="Times New Roman" w:hAnsi="Times New Roman" w:cs="Times New Roman" w:eastAsia="Times New Roman" w:hint="default"/>
        </w:rPr>
        <w:t>1</w:t>
      </w:r>
      <w:r>
        <w:rPr/>
        <w:t>、报告期内，公司控股股东南通友谊实业有限公司将其持有的本公司无限售条件流通股</w:t>
      </w:r>
      <w:r>
        <w:rPr>
          <w:rFonts w:ascii="Times New Roman" w:hAnsi="Times New Roman" w:cs="Times New Roman" w:eastAsia="Times New Roman" w:hint="default"/>
        </w:rPr>
        <w:t>1,600</w:t>
      </w:r>
      <w:r>
        <w:rPr/>
        <w:t>万股质 押给江苏银行股份有限公司南通静海支行。友谊实业共持有本公司无限售条件的流通股</w:t>
      </w:r>
      <w:r>
        <w:rPr>
          <w:rFonts w:ascii="Times New Roman" w:hAnsi="Times New Roman" w:cs="Times New Roman" w:eastAsia="Times New Roman" w:hint="default"/>
        </w:rPr>
        <w:t>6,144.45</w:t>
      </w:r>
      <w:r>
        <w:rPr/>
        <w:t>万股，占 </w:t>
      </w:r>
      <w:r>
        <w:rPr>
          <w:spacing w:val="-2"/>
        </w:rPr>
        <w:t>公司总股本的</w:t>
      </w:r>
      <w:r>
        <w:rPr>
          <w:rFonts w:ascii="Times New Roman" w:hAnsi="Times New Roman" w:cs="Times New Roman" w:eastAsia="Times New Roman" w:hint="default"/>
          <w:spacing w:val="-2"/>
        </w:rPr>
        <w:t>27.40%</w:t>
      </w: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日，友谊实业所持有的本公司股份已累计质押</w:t>
      </w:r>
      <w:r>
        <w:rPr>
          <w:rFonts w:ascii="Times New Roman" w:hAnsi="Times New Roman" w:cs="Times New Roman" w:eastAsia="Times New Roman" w:hint="default"/>
          <w:spacing w:val="-2"/>
        </w:rPr>
        <w:t>6,100</w:t>
      </w:r>
      <w:r>
        <w:rPr>
          <w:spacing w:val="-2"/>
        </w:rPr>
        <w:t>万股，占公司</w:t>
      </w:r>
      <w:r>
        <w:rPr>
          <w:spacing w:val="-93"/>
        </w:rPr>
        <w:t> </w:t>
      </w:r>
      <w:r>
        <w:rPr>
          <w:spacing w:val="-93"/>
        </w:rPr>
      </w:r>
      <w:r>
        <w:rPr>
          <w:spacing w:val="-1"/>
        </w:rPr>
        <w:t>总股本的</w:t>
      </w:r>
      <w:r>
        <w:rPr>
          <w:rFonts w:ascii="Times New Roman" w:hAnsi="Times New Roman" w:cs="Times New Roman" w:eastAsia="Times New Roman" w:hint="default"/>
          <w:spacing w:val="-1"/>
        </w:rPr>
        <w:t>27.20%</w:t>
      </w:r>
      <w:r>
        <w:rPr>
          <w:spacing w:val="-1"/>
        </w:rPr>
        <w:t>。详见公司于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13</w:t>
      </w:r>
      <w:r>
        <w:rPr>
          <w:spacing w:val="-1"/>
        </w:rPr>
        <w:t>日在《上海证券报》和巨潮资讯网上发布的《公司关于控股股</w:t>
      </w:r>
      <w:r>
        <w:rPr>
          <w:spacing w:val="-99"/>
        </w:rPr>
        <w:t> </w:t>
      </w:r>
      <w:r>
        <w:rPr>
          <w:spacing w:val="-99"/>
        </w:rPr>
      </w:r>
      <w:r>
        <w:rPr/>
        <w:t>东股权质押的公告》（公告编号：</w:t>
      </w:r>
      <w:r>
        <w:rPr>
          <w:rFonts w:ascii="Times New Roman" w:hAnsi="Times New Roman" w:cs="Times New Roman" w:eastAsia="Times New Roman" w:hint="default"/>
        </w:rPr>
        <w:t>2014-099</w:t>
      </w:r>
      <w:r>
        <w:rPr/>
        <w:t>）。</w:t>
      </w:r>
    </w:p>
    <w:p>
      <w:pPr>
        <w:pStyle w:val="BodyText"/>
        <w:spacing w:line="386" w:lineRule="auto" w:before="35"/>
        <w:ind w:right="0" w:firstLine="420"/>
        <w:jc w:val="left"/>
      </w:pPr>
      <w:r>
        <w:rPr>
          <w:rFonts w:ascii="Times New Roman" w:hAnsi="Times New Roman" w:cs="Times New Roman" w:eastAsia="Times New Roman" w:hint="default"/>
        </w:rPr>
        <w:t>2</w:t>
      </w:r>
      <w:r>
        <w:rPr/>
        <w:t>、报告期内，公司实际控制人、董事长陆尔穗先生基于对公司未来持续稳定发展的信心，根据中国 </w:t>
      </w:r>
      <w:r>
        <w:rPr>
          <w:spacing w:val="-1"/>
        </w:rPr>
        <w:t>证监会和深圳证券交易所的有关规定、市场情况以及相关计划，在</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30</w:t>
      </w:r>
      <w:r>
        <w:rPr>
          <w:spacing w:val="-1"/>
        </w:rPr>
        <w:t>日至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日期间，</w:t>
      </w:r>
      <w:r>
        <w:rPr>
          <w:spacing w:val="-80"/>
        </w:rPr>
        <w:t> </w:t>
      </w:r>
      <w:r>
        <w:rPr>
          <w:spacing w:val="-80"/>
        </w:rPr>
      </w:r>
      <w:r>
        <w:rPr/>
        <w:t>以不高于</w:t>
      </w:r>
      <w:r>
        <w:rPr>
          <w:rFonts w:ascii="Times New Roman" w:hAnsi="Times New Roman" w:cs="Times New Roman" w:eastAsia="Times New Roman" w:hint="default"/>
        </w:rPr>
        <w:t>6.7</w:t>
      </w:r>
      <w:r>
        <w:rPr/>
        <w:t>元每股的价格，累计增持不超过本公司总股本</w:t>
      </w:r>
      <w:r>
        <w:rPr>
          <w:rFonts w:ascii="Times New Roman" w:hAnsi="Times New Roman" w:cs="Times New Roman" w:eastAsia="Times New Roman" w:hint="default"/>
        </w:rPr>
        <w:t>1%</w:t>
      </w:r>
      <w:r>
        <w:rPr/>
        <w:t>的股份。</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日，陆尔穗先生通过深 圳证券交易所交易系统增持公司股份</w:t>
      </w:r>
      <w:r>
        <w:rPr>
          <w:rFonts w:ascii="Times New Roman" w:hAnsi="Times New Roman" w:cs="Times New Roman" w:eastAsia="Times New Roman" w:hint="default"/>
        </w:rPr>
        <w:t>200,000</w:t>
      </w:r>
      <w:r>
        <w:rPr/>
        <w:t>股，占公司总股本的</w:t>
      </w:r>
      <w:r>
        <w:rPr>
          <w:rFonts w:ascii="Times New Roman" w:hAnsi="Times New Roman" w:cs="Times New Roman" w:eastAsia="Times New Roman" w:hint="default"/>
        </w:rPr>
        <w:t>0.089%</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日，陆尔穗先生通 过深圳证券交易所交易系统增持公司股份</w:t>
      </w:r>
      <w:r>
        <w:rPr>
          <w:rFonts w:ascii="Times New Roman" w:hAnsi="Times New Roman" w:cs="Times New Roman" w:eastAsia="Times New Roman" w:hint="default"/>
        </w:rPr>
        <w:t>31,800</w:t>
      </w:r>
      <w:r>
        <w:rPr/>
        <w:t>股，占公司总股本的</w:t>
      </w:r>
      <w:r>
        <w:rPr>
          <w:rFonts w:ascii="Times New Roman" w:hAnsi="Times New Roman" w:cs="Times New Roman" w:eastAsia="Times New Roman" w:hint="default"/>
        </w:rPr>
        <w:t>0.014%</w:t>
      </w:r>
      <w:r>
        <w:rPr/>
        <w:t>。截止本报告披露日，陆尔穗 先生直接持有公司股份</w:t>
      </w:r>
      <w:r>
        <w:rPr>
          <w:rFonts w:ascii="Times New Roman" w:hAnsi="Times New Roman" w:cs="Times New Roman" w:eastAsia="Times New Roman" w:hint="default"/>
        </w:rPr>
        <w:t>231,800</w:t>
      </w:r>
      <w:r>
        <w:rPr/>
        <w:t>股，并通过友谊实业控制公司股份</w:t>
      </w:r>
      <w:r>
        <w:rPr>
          <w:rFonts w:ascii="Times New Roman" w:hAnsi="Times New Roman" w:cs="Times New Roman" w:eastAsia="Times New Roman" w:hint="default"/>
        </w:rPr>
        <w:t>61,444,500</w:t>
      </w:r>
      <w:r>
        <w:rPr/>
        <w:t>股，以直接和间接方式控制公 司股份</w:t>
      </w:r>
      <w:r>
        <w:rPr>
          <w:rFonts w:ascii="Times New Roman" w:hAnsi="Times New Roman" w:cs="Times New Roman" w:eastAsia="Times New Roman" w:hint="default"/>
        </w:rPr>
        <w:t>61,767,300</w:t>
      </w:r>
      <w:r>
        <w:rPr/>
        <w:t>股，占公司总股本的</w:t>
      </w:r>
      <w:r>
        <w:rPr>
          <w:rFonts w:ascii="Times New Roman" w:hAnsi="Times New Roman" w:cs="Times New Roman" w:eastAsia="Times New Roman" w:hint="default"/>
        </w:rPr>
        <w:t>27.503%</w:t>
      </w:r>
      <w:r>
        <w:rPr/>
        <w:t>。详见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日刊登于《上海证券报》和巨潮资讯网的</w:t>
      </w:r>
    </w:p>
    <w:p>
      <w:pPr>
        <w:pStyle w:val="BodyText"/>
        <w:spacing w:line="240" w:lineRule="auto" w:before="35"/>
        <w:ind w:right="0"/>
        <w:jc w:val="left"/>
      </w:pPr>
      <w:r>
        <w:rPr/>
        <w:t>《关于实际控制人完成增持公司股份的公告》（公告编号：</w:t>
      </w:r>
      <w:r>
        <w:rPr>
          <w:rFonts w:ascii="Times New Roman" w:hAnsi="Times New Roman" w:cs="Times New Roman" w:eastAsia="Times New Roman" w:hint="default"/>
        </w:rPr>
        <w:t>2015-001</w:t>
      </w:r>
      <w:r>
        <w:rPr/>
        <w:t>）。</w:t>
      </w:r>
    </w:p>
    <w:p>
      <w:pPr>
        <w:pStyle w:val="BodyText"/>
        <w:spacing w:line="386" w:lineRule="auto" w:before="177"/>
        <w:ind w:right="1057" w:firstLine="420"/>
        <w:jc w:val="left"/>
      </w:pPr>
      <w:r>
        <w:rPr>
          <w:rFonts w:ascii="Times New Roman" w:hAnsi="Times New Roman" w:cs="Times New Roman" w:eastAsia="Times New Roman" w:hint="default"/>
        </w:rPr>
        <w:t>3</w:t>
      </w:r>
      <w:r>
        <w:rPr/>
        <w:t>、报告期内，公司因履行担保责任代偿能源公司银行债务本金共计</w:t>
      </w:r>
      <w:r>
        <w:rPr>
          <w:rFonts w:ascii="Times New Roman" w:hAnsi="Times New Roman" w:cs="Times New Roman" w:eastAsia="Times New Roman" w:hint="default"/>
        </w:rPr>
        <w:t>4,600</w:t>
      </w:r>
      <w:r>
        <w:rPr/>
        <w:t>万元。其中向中国农业银行 </w:t>
      </w:r>
      <w:r>
        <w:rPr>
          <w:spacing w:val="-2"/>
        </w:rPr>
        <w:t>股份有限公司南通崇川支行代偿能源公司的债务本金</w:t>
      </w:r>
      <w:r>
        <w:rPr>
          <w:rFonts w:ascii="Times New Roman" w:hAnsi="Times New Roman" w:cs="Times New Roman" w:eastAsia="Times New Roman" w:hint="default"/>
          <w:spacing w:val="-2"/>
        </w:rPr>
        <w:t>2,000</w:t>
      </w:r>
      <w:r>
        <w:rPr>
          <w:spacing w:val="-2"/>
        </w:rPr>
        <w:t>万元，分两次向南京银行股份有限公司南通分行</w:t>
      </w:r>
      <w:r>
        <w:rPr>
          <w:spacing w:val="-83"/>
        </w:rPr>
        <w:t> </w:t>
      </w:r>
      <w:r>
        <w:rPr>
          <w:spacing w:val="-83"/>
        </w:rPr>
      </w:r>
      <w:r>
        <w:rPr/>
        <w:t>代偿能源公司的债务本金</w:t>
      </w:r>
      <w:r>
        <w:rPr>
          <w:rFonts w:ascii="Times New Roman" w:hAnsi="Times New Roman" w:cs="Times New Roman" w:eastAsia="Times New Roman" w:hint="default"/>
        </w:rPr>
        <w:t>2,600</w:t>
      </w:r>
      <w:r>
        <w:rPr/>
        <w:t>万元。详见公司刊登于巨潮资讯网的《关于履行担保责任的提示性公告》， 公告编号分别为：</w:t>
      </w:r>
      <w:r>
        <w:rPr>
          <w:rFonts w:ascii="Times New Roman" w:hAnsi="Times New Roman" w:cs="Times New Roman" w:eastAsia="Times New Roman" w:hint="default"/>
        </w:rPr>
        <w:t>2014-054</w:t>
      </w:r>
      <w:r>
        <w:rPr/>
        <w:t>、</w:t>
      </w:r>
      <w:r>
        <w:rPr>
          <w:rFonts w:ascii="Times New Roman" w:hAnsi="Times New Roman" w:cs="Times New Roman" w:eastAsia="Times New Roman" w:hint="default"/>
        </w:rPr>
        <w:t>2014-077</w:t>
      </w:r>
      <w:r>
        <w:rPr/>
        <w:t>、</w:t>
      </w:r>
      <w:r>
        <w:rPr>
          <w:rFonts w:ascii="Times New Roman" w:hAnsi="Times New Roman" w:cs="Times New Roman" w:eastAsia="Times New Roman" w:hint="default"/>
        </w:rPr>
        <w:t>2014-087</w:t>
      </w:r>
      <w:r>
        <w:rPr/>
        <w:t>。</w:t>
      </w:r>
    </w:p>
    <w:p>
      <w:pPr>
        <w:pStyle w:val="BodyText"/>
        <w:spacing w:line="240" w:lineRule="auto" w:before="35"/>
        <w:ind w:left="574" w:right="0"/>
        <w:jc w:val="left"/>
      </w:pPr>
      <w:r>
        <w:rPr/>
        <w:t>报告期内，公司因履行担保责任代偿北斗公司银行债务本金共计</w:t>
      </w:r>
      <w:r>
        <w:rPr>
          <w:rFonts w:ascii="Times New Roman" w:hAnsi="Times New Roman" w:cs="Times New Roman" w:eastAsia="Times New Roman" w:hint="default"/>
        </w:rPr>
        <w:t>850</w:t>
      </w:r>
      <w:r>
        <w:rPr/>
        <w:t>万元。</w:t>
      </w:r>
    </w:p>
    <w:p>
      <w:pPr>
        <w:pStyle w:val="BodyText"/>
        <w:spacing w:line="240" w:lineRule="auto" w:before="177"/>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、报告期内，经公司</w:t>
      </w:r>
      <w:r>
        <w:rPr>
          <w:rFonts w:ascii="Times New Roman" w:hAnsi="Times New Roman" w:cs="Times New Roman" w:eastAsia="Times New Roman" w:hint="default"/>
        </w:rPr>
        <w:t>2014</w:t>
      </w:r>
      <w:r>
        <w:rPr/>
        <w:t>年第四次临时股东大会批准，公司终止实施募投项目并将截止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398" w:lineRule="auto" w:before="0"/>
        <w:ind w:right="1133"/>
        <w:jc w:val="left"/>
      </w:pPr>
      <w:r>
        <w:rPr/>
        <w:t>日的节余募集资金</w:t>
      </w:r>
      <w:r>
        <w:rPr>
          <w:rFonts w:ascii="Times New Roman" w:hAnsi="Times New Roman" w:cs="Times New Roman" w:eastAsia="Times New Roman" w:hint="default"/>
        </w:rPr>
        <w:t>2,060.70</w:t>
      </w:r>
      <w:r>
        <w:rPr/>
        <w:t>万元（包含利息收入，转出金额以资金转出日当日银行结息余额为准）变更为 </w:t>
      </w:r>
      <w:r>
        <w:rPr>
          <w:spacing w:val="-1"/>
        </w:rPr>
        <w:t>永久性补充流动资金。详见公司刊登于巨潮资讯网的《关于终止实施募投项目的公告》、《关于使用节余</w:t>
      </w:r>
      <w:r>
        <w:rPr>
          <w:spacing w:val="-83"/>
        </w:rPr>
        <w:t> </w:t>
      </w:r>
      <w:r>
        <w:rPr>
          <w:spacing w:val="-83"/>
        </w:rPr>
      </w:r>
      <w:r>
        <w:rPr/>
        <w:t>募集资金永久补充流动资金的公告》，公告编号分别为：</w:t>
      </w:r>
      <w:r>
        <w:rPr>
          <w:rFonts w:ascii="Times New Roman" w:hAnsi="Times New Roman" w:cs="Times New Roman" w:eastAsia="Times New Roman" w:hint="default"/>
        </w:rPr>
        <w:t>2014-044</w:t>
      </w:r>
      <w:r>
        <w:rPr/>
        <w:t>、</w:t>
      </w:r>
      <w:r>
        <w:rPr>
          <w:rFonts w:ascii="Times New Roman" w:hAnsi="Times New Roman" w:cs="Times New Roman" w:eastAsia="Times New Roman" w:hint="default"/>
        </w:rPr>
        <w:t>2014-045</w:t>
      </w:r>
      <w:r>
        <w:rPr/>
        <w:t>。</w:t>
      </w:r>
    </w:p>
    <w:p>
      <w:pPr>
        <w:pStyle w:val="BodyText"/>
        <w:spacing w:line="240" w:lineRule="auto" w:before="24"/>
        <w:ind w:left="573"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日，公司募集资金余额为</w:t>
      </w:r>
      <w:r>
        <w:rPr>
          <w:rFonts w:ascii="Times New Roman" w:hAnsi="Times New Roman" w:cs="Times New Roman" w:eastAsia="Times New Roman" w:hint="default"/>
        </w:rPr>
        <w:t>0</w:t>
      </w:r>
      <w:r>
        <w:rPr/>
        <w:t>。</w:t>
      </w:r>
    </w:p>
    <w:p>
      <w:pPr>
        <w:pStyle w:val="BodyText"/>
        <w:spacing w:line="386" w:lineRule="auto" w:before="177"/>
        <w:ind w:right="1130" w:firstLine="420"/>
        <w:jc w:val="left"/>
      </w:pPr>
      <w:r>
        <w:rPr>
          <w:rFonts w:ascii="Times New Roman" w:hAnsi="Times New Roman" w:cs="Times New Roman" w:eastAsia="Times New Roman" w:hint="default"/>
          <w:spacing w:val="-5"/>
        </w:rPr>
        <w:t>5</w:t>
      </w:r>
      <w:r>
        <w:rPr>
          <w:spacing w:val="-5"/>
        </w:rPr>
        <w:t>、报告期内，因筹划对公司有影响的重大事项，公司股票于</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8</w:t>
      </w:r>
      <w:r>
        <w:rPr>
          <w:spacing w:val="-5"/>
        </w:rPr>
        <w:t>日开市时起停牌。公司于</w:t>
      </w:r>
      <w:r>
        <w:rPr>
          <w:rFonts w:ascii="Times New Roman" w:hAnsi="Times New Roman" w:cs="Times New Roman" w:eastAsia="Times New Roman" w:hint="default"/>
          <w:spacing w:val="-5"/>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日发布了《关于筹划重大资产重组的停牌公告》（公告编号：</w:t>
      </w:r>
      <w:r>
        <w:rPr>
          <w:rFonts w:ascii="Times New Roman" w:hAnsi="Times New Roman" w:cs="Times New Roman" w:eastAsia="Times New Roman" w:hint="default"/>
        </w:rPr>
        <w:t>2014-088</w:t>
      </w:r>
      <w:r>
        <w:rPr/>
        <w:t>），公司股票自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5</w:t>
      </w:r>
      <w:r>
        <w:rPr/>
        <w:t>日开市时起继续停牌。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日，公司召开第五届董事会第十五次会议审议通过了《关于筹划 重大资产重组事项的议案》，同意公司筹划本次重大资产重组事项。</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日，公司发布了《关于 </w:t>
      </w:r>
      <w:r>
        <w:rPr>
          <w:spacing w:val="-2"/>
        </w:rPr>
        <w:t>重大资产重组停牌期满延期复牌的公告》（公告编号：</w:t>
      </w:r>
      <w:r>
        <w:rPr>
          <w:rFonts w:ascii="Times New Roman" w:hAnsi="Times New Roman" w:cs="Times New Roman" w:eastAsia="Times New Roman" w:hint="default"/>
          <w:spacing w:val="-2"/>
        </w:rPr>
        <w:t>2014-096</w:t>
      </w:r>
      <w:r>
        <w:rPr>
          <w:spacing w:val="-2"/>
        </w:rPr>
        <w:t>），公司股票自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日开市时起继</w:t>
      </w:r>
      <w:r>
        <w:rPr>
          <w:spacing w:val="-98"/>
        </w:rPr>
        <w:t> </w:t>
      </w:r>
      <w:r>
        <w:rPr>
          <w:spacing w:val="-98"/>
        </w:rPr>
      </w:r>
      <w:r>
        <w:rPr/>
        <w:t>续停牌。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日，公司再次发布了《关于重大资产重组继续延期复牌及进展公告》（公告编号： </w:t>
      </w:r>
      <w:r>
        <w:rPr>
          <w:rFonts w:ascii="Times New Roman" w:hAnsi="Times New Roman" w:cs="Times New Roman" w:eastAsia="Times New Roman" w:hint="default"/>
        </w:rPr>
        <w:t>2015-008</w:t>
      </w:r>
      <w:r>
        <w:rPr/>
        <w:t>），公司股票自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日开市时起继续停牌。</w:t>
      </w:r>
    </w:p>
    <w:p>
      <w:pPr>
        <w:pStyle w:val="BodyText"/>
        <w:spacing w:line="240" w:lineRule="auto" w:before="35"/>
        <w:ind w:left="573" w:right="0"/>
        <w:jc w:val="left"/>
      </w:pPr>
      <w:r>
        <w:rPr/>
        <w:t>截至本报告出具日，公司及各有关方正积极推进本次重大资产重组工作。</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十五、公司子公司重要事项" w:id="94"/>
      <w:bookmarkEnd w:id="94"/>
      <w:r>
        <w:rPr>
          <w:b w:val="0"/>
          <w:bCs w:val="0"/>
        </w:rPr>
      </w:r>
      <w:r>
        <w:rPr/>
        <w:t>十五、公司子公司重要事项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4"/>
        <w:ind w:right="1015" w:firstLine="420"/>
        <w:jc w:val="left"/>
      </w:pPr>
      <w:r>
        <w:rPr>
          <w:rFonts w:ascii="Times New Roman" w:hAnsi="Times New Roman" w:cs="Times New Roman" w:eastAsia="Times New Roman" w:hint="default"/>
        </w:rPr>
        <w:t>1</w:t>
      </w:r>
      <w:r>
        <w:rPr/>
        <w:t>、报告期内，公司召开第五届董事会第十二次会议，审议通过了《关于控股子公司江苏北斗科技有 </w:t>
      </w:r>
      <w:r>
        <w:rPr>
          <w:spacing w:val="-3"/>
        </w:rPr>
        <w:t>限公司拟进行破产清算的议案》，北斗公司拟进行破产清算，北斗公司已转让北斗导航公司</w:t>
      </w:r>
      <w:r>
        <w:rPr>
          <w:rFonts w:ascii="Times New Roman" w:hAnsi="Times New Roman" w:cs="Times New Roman" w:eastAsia="Times New Roman" w:hint="default"/>
          <w:spacing w:val="-3"/>
        </w:rPr>
        <w:t>66.67%</w:t>
      </w:r>
      <w:r>
        <w:rPr>
          <w:spacing w:val="-3"/>
        </w:rPr>
        <w:t>的股权。</w:t>
      </w:r>
      <w:r>
        <w:rPr>
          <w:spacing w:val="-101"/>
        </w:rPr>
        <w:t> </w:t>
      </w:r>
      <w:r>
        <w:rPr/>
        <w:t>鉴于公司正在推进重大资产重组工作，截止本报告出具日，北斗公司已停产，尚未进入破产清算程序。</w:t>
      </w:r>
    </w:p>
    <w:p>
      <w:pPr>
        <w:pStyle w:val="BodyText"/>
        <w:spacing w:line="386" w:lineRule="auto" w:before="65"/>
        <w:ind w:left="154" w:right="1120" w:firstLine="420"/>
        <w:jc w:val="left"/>
      </w:pPr>
      <w:r>
        <w:rPr>
          <w:rFonts w:ascii="Times New Roman" w:hAnsi="Times New Roman" w:cs="Times New Roman" w:eastAsia="Times New Roman" w:hint="default"/>
        </w:rPr>
        <w:t>2</w:t>
      </w:r>
      <w:r>
        <w:rPr/>
        <w:t>、因生产线设备无法正常运转，子公司能源公司自</w:t>
      </w:r>
      <w:r>
        <w:rPr>
          <w:rFonts w:ascii="Times New Roman" w:hAnsi="Times New Roman" w:cs="Times New Roman" w:eastAsia="Times New Roman" w:hint="default"/>
        </w:rPr>
        <w:t>2014</w:t>
      </w:r>
      <w:r>
        <w:rPr/>
        <w:t>年下半年以来处于停产状态，经对截止</w:t>
      </w:r>
      <w:r>
        <w:rPr>
          <w:rFonts w:ascii="Times New Roman" w:hAnsi="Times New Roman" w:cs="Times New Roman" w:eastAsia="Times New Roman" w:hint="default"/>
        </w:rPr>
        <w:t>2014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日资产进行减值测试，能源公司对四条生产线设备计提资产减值准备至</w:t>
      </w:r>
      <w:r>
        <w:rPr>
          <w:rFonts w:ascii="Times New Roman" w:hAnsi="Times New Roman" w:cs="Times New Roman" w:eastAsia="Times New Roman" w:hint="default"/>
          <w:spacing w:val="-2"/>
        </w:rPr>
        <w:t>5%</w:t>
      </w:r>
      <w:r>
        <w:rPr>
          <w:spacing w:val="-2"/>
        </w:rPr>
        <w:t>的残值，共计计提资产</w:t>
      </w:r>
      <w:r>
        <w:rPr>
          <w:spacing w:val="-103"/>
        </w:rPr>
        <w:t> </w:t>
      </w:r>
      <w:r>
        <w:rPr>
          <w:spacing w:val="-103"/>
        </w:rPr>
      </w:r>
      <w:r>
        <w:rPr/>
        <w:t>减值准备</w:t>
      </w:r>
      <w:r>
        <w:rPr>
          <w:rFonts w:ascii="Times New Roman" w:hAnsi="Times New Roman" w:cs="Times New Roman" w:eastAsia="Times New Roman" w:hint="default"/>
        </w:rPr>
        <w:t>12,866,891.14</w:t>
      </w:r>
      <w:r>
        <w:rPr/>
        <w:t>元。上述计提资产减值准备事项业经能源公司及本公司董事会批准。</w:t>
      </w:r>
    </w:p>
    <w:p>
      <w:pPr>
        <w:pStyle w:val="BodyText"/>
        <w:spacing w:line="240" w:lineRule="auto" w:before="35"/>
        <w:ind w:left="574" w:right="0"/>
        <w:jc w:val="left"/>
      </w:pPr>
      <w:r>
        <w:rPr>
          <w:rFonts w:ascii="Times New Roman" w:hAnsi="Times New Roman" w:cs="Times New Roman" w:eastAsia="Times New Roman" w:hint="default"/>
        </w:rPr>
        <w:t>3</w:t>
      </w:r>
      <w:r>
        <w:rPr/>
        <w:t>、报告期内，公司因受让增持控股子公司三明公司股权，公司持有三明公司股权比例由</w:t>
      </w:r>
      <w:r>
        <w:rPr>
          <w:rFonts w:ascii="Times New Roman" w:hAnsi="Times New Roman" w:cs="Times New Roman" w:eastAsia="Times New Roman" w:hint="default"/>
        </w:rPr>
        <w:t>51%</w:t>
      </w:r>
      <w:r>
        <w:rPr/>
        <w:t>增至</w:t>
      </w:r>
    </w:p>
    <w:p>
      <w:pPr>
        <w:pStyle w:val="BodyText"/>
        <w:spacing w:line="240" w:lineRule="auto" w:before="177"/>
        <w:ind w:right="0"/>
        <w:jc w:val="left"/>
      </w:pPr>
      <w:r>
        <w:rPr>
          <w:rFonts w:ascii="Times New Roman" w:hAnsi="Times New Roman" w:cs="Times New Roman" w:eastAsia="Times New Roman" w:hint="default"/>
        </w:rPr>
        <w:t>99.956%</w:t>
      </w:r>
      <w:r>
        <w:rPr/>
        <w:t>。本次受让有利于公司对相关资源进行更合理配置、整合。</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bookmarkStart w:name="十六、公司发行公司债券的情况" w:id="95"/>
      <w:bookmarkEnd w:id="95"/>
      <w:r>
        <w:rPr>
          <w:b w:val="0"/>
          <w:bCs w:val="0"/>
        </w:rPr>
      </w:r>
      <w:r>
        <w:rPr/>
        <w:t>十六、公司发行公司债券的情况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6" w:id="96"/>
      <w:bookmarkStart w:name="第六节 股份变动及股东情况" w:id="97"/>
      <w:r>
        <w:rPr>
          <w:b w:val="0"/>
          <w:bCs w:val="0"/>
        </w:rPr>
      </w:r>
      <w:r>
        <w:rPr/>
        <w:t>第六节</w:t>
      </w:r>
      <w:r>
        <w:rPr>
          <w:spacing w:val="-10"/>
        </w:rPr>
        <w:t> </w:t>
      </w:r>
      <w:r>
        <w:rPr/>
        <w:t>股份变动及股东情况</w:t>
      </w:r>
      <w:bookmarkEnd w:id="9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8"/>
      <w:bookmarkEnd w:id="98"/>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0"/>
        <w:gridCol w:w="1044"/>
        <w:gridCol w:w="842"/>
        <w:gridCol w:w="842"/>
        <w:gridCol w:w="545"/>
        <w:gridCol w:w="992"/>
        <w:gridCol w:w="850"/>
        <w:gridCol w:w="852"/>
        <w:gridCol w:w="991"/>
        <w:gridCol w:w="776"/>
      </w:tblGrid>
      <w:tr>
        <w:trPr>
          <w:trHeight w:val="205"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8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4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886" w:type="dxa"/>
            <w:gridSpan w:val="2"/>
            <w:vMerge/>
            <w:tcBorders>
              <w:left w:val="single" w:sz="4" w:space="0" w:color="000000"/>
              <w:bottom w:val="single" w:sz="4" w:space="0" w:color="000000"/>
              <w:right w:val="single" w:sz="4" w:space="0" w:color="000000"/>
            </w:tcBorders>
            <w:shd w:val="clear" w:color="auto" w:fill="D2D2D2"/>
          </w:tcPr>
          <w:p>
            <w:pPr/>
          </w:p>
        </w:tc>
        <w:tc>
          <w:tcPr>
            <w:tcW w:w="4081" w:type="dxa"/>
            <w:gridSpan w:val="5"/>
            <w:vMerge/>
            <w:tcBorders>
              <w:left w:val="single" w:sz="4" w:space="0" w:color="000000"/>
              <w:bottom w:val="single" w:sz="4" w:space="0" w:color="000000"/>
              <w:right w:val="single" w:sz="4" w:space="0" w:color="000000"/>
            </w:tcBorders>
            <w:shd w:val="clear" w:color="auto" w:fill="D2D2D2"/>
          </w:tcPr>
          <w:p>
            <w:pPr/>
          </w:p>
        </w:tc>
        <w:tc>
          <w:tcPr>
            <w:tcW w:w="176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545"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224,250,000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224,100,000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99.93%</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224,250,000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224,100,000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99.93%</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224,250,000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224,250,000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198" w:firstLine="420"/>
        <w:jc w:val="left"/>
      </w:pPr>
      <w:r>
        <w:rPr/>
        <w:t>报告期内，公司实际控制人、董事长陆尔穗先生增持公司股份</w:t>
      </w:r>
      <w:r>
        <w:rPr>
          <w:rFonts w:ascii="Times New Roman" w:hAnsi="Times New Roman" w:cs="Times New Roman" w:eastAsia="Times New Roman" w:hint="default"/>
        </w:rPr>
        <w:t>231,800</w:t>
      </w:r>
      <w:r>
        <w:rPr/>
        <w:t>股，其中</w:t>
      </w:r>
      <w:r>
        <w:rPr>
          <w:rFonts w:ascii="Times New Roman" w:hAnsi="Times New Roman" w:cs="Times New Roman" w:eastAsia="Times New Roman" w:hint="default"/>
        </w:rPr>
        <w:t>150,000</w:t>
      </w:r>
      <w:r>
        <w:rPr/>
        <w:t>股自动转为限 售流通股（高管锁定股）。</w:t>
      </w:r>
    </w:p>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99"/>
      <w:bookmarkEnd w:id="99"/>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报告期末近三年历次证券发行情况" w:id="100"/>
      <w:bookmarkEnd w:id="100"/>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公司股份总数及股东结构的变动、公司资产和负债结构的变动情况说明" w:id="101"/>
      <w:bookmarkEnd w:id="10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left"/>
        <w:rPr>
          <w:b w:val="0"/>
          <w:bCs w:val="0"/>
        </w:rPr>
      </w:pPr>
      <w:bookmarkStart w:name="3、现存的内部职工股情况" w:id="102"/>
      <w:bookmarkEnd w:id="10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3"/>
      <w:bookmarkEnd w:id="10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公司股东数量及持股情况" w:id="104"/>
      <w:bookmarkEnd w:id="10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143"/>
        <w:gridCol w:w="714"/>
        <w:gridCol w:w="561"/>
        <w:gridCol w:w="710"/>
        <w:gridCol w:w="986"/>
        <w:gridCol w:w="998"/>
        <w:gridCol w:w="153"/>
        <w:gridCol w:w="130"/>
        <w:gridCol w:w="566"/>
        <w:gridCol w:w="993"/>
        <w:gridCol w:w="264"/>
        <w:gridCol w:w="445"/>
        <w:gridCol w:w="413"/>
        <w:gridCol w:w="508"/>
      </w:tblGrid>
      <w:tr>
        <w:trPr>
          <w:trHeight w:val="161" w:hRule="exact"/>
        </w:trPr>
        <w:tc>
          <w:tcPr>
            <w:tcW w:w="212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vMerge w:val="restart"/>
            <w:tcBorders>
              <w:top w:val="single" w:sz="4" w:space="0" w:color="000000"/>
              <w:left w:val="single" w:sz="9" w:space="0" w:color="D2D2D2"/>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14,482</w:t>
            </w:r>
          </w:p>
        </w:tc>
        <w:tc>
          <w:tcPr>
            <w:tcW w:w="22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7" w:right="68"/>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易日末普通股股东总数</w:t>
            </w:r>
          </w:p>
        </w:tc>
        <w:tc>
          <w:tcPr>
            <w:tcW w:w="1151" w:type="dxa"/>
            <w:gridSpan w:val="2"/>
            <w:vMerge w:val="restart"/>
            <w:tcBorders>
              <w:top w:val="single" w:sz="4" w:space="0" w:color="000000"/>
              <w:left w:val="single" w:sz="13" w:space="0" w:color="D2D2D2"/>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14,435</w:t>
            </w:r>
          </w:p>
        </w:tc>
        <w:tc>
          <w:tcPr>
            <w:tcW w:w="2812"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90"/>
              <w:jc w:val="left"/>
              <w:rPr>
                <w:rFonts w:ascii="宋体" w:hAnsi="宋体" w:cs="宋体" w:eastAsia="宋体" w:hint="default"/>
                <w:sz w:val="18"/>
                <w:szCs w:val="18"/>
              </w:rPr>
            </w:pPr>
            <w:r>
              <w:rPr>
                <w:rFonts w:ascii="宋体" w:hAnsi="宋体" w:cs="宋体" w:eastAsia="宋体" w:hint="default"/>
                <w:sz w:val="18"/>
                <w:szCs w:val="18"/>
              </w:rPr>
              <w:t>报告期末表决权恢复的优先股股东 </w:t>
            </w:r>
            <w:r>
              <w:rPr>
                <w:rFonts w:ascii="宋体" w:hAnsi="宋体" w:cs="宋体" w:eastAsia="宋体" w:hint="default"/>
                <w:spacing w:val="-9"/>
                <w:sz w:val="18"/>
                <w:szCs w:val="18"/>
              </w:rPr>
              <w:t>总数（如有）（参见注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508" w:type="dxa"/>
            <w:vMerge w:val="restart"/>
            <w:tcBorders>
              <w:top w:val="single" w:sz="4" w:space="0" w:color="000000"/>
              <w:left w:val="single" w:sz="13"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212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714" w:type="dxa"/>
            <w:vMerge/>
            <w:tcBorders>
              <w:left w:val="single" w:sz="9" w:space="0" w:color="D2D2D2"/>
              <w:right w:val="single" w:sz="13" w:space="0" w:color="D2D2D2"/>
            </w:tcBorders>
          </w:tcPr>
          <w:p>
            <w:pPr/>
          </w:p>
        </w:tc>
        <w:tc>
          <w:tcPr>
            <w:tcW w:w="2257" w:type="dxa"/>
            <w:gridSpan w:val="3"/>
            <w:vMerge/>
            <w:tcBorders>
              <w:left w:val="single" w:sz="4" w:space="0" w:color="000000"/>
              <w:right w:val="single" w:sz="4" w:space="0" w:color="000000"/>
            </w:tcBorders>
            <w:shd w:val="clear" w:color="auto" w:fill="D2D2D2"/>
          </w:tcPr>
          <w:p>
            <w:pPr/>
          </w:p>
        </w:tc>
        <w:tc>
          <w:tcPr>
            <w:tcW w:w="1151" w:type="dxa"/>
            <w:gridSpan w:val="2"/>
            <w:vMerge/>
            <w:tcBorders>
              <w:left w:val="single" w:sz="13" w:space="0" w:color="D2D2D2"/>
              <w:right w:val="single" w:sz="13" w:space="0" w:color="D2D2D2"/>
            </w:tcBorders>
          </w:tcPr>
          <w:p>
            <w:pPr/>
          </w:p>
        </w:tc>
        <w:tc>
          <w:tcPr>
            <w:tcW w:w="2812" w:type="dxa"/>
            <w:gridSpan w:val="6"/>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single" w:sz="4" w:space="0" w:color="000000"/>
            </w:tcBorders>
          </w:tcPr>
          <w:p>
            <w:pPr/>
          </w:p>
        </w:tc>
      </w:tr>
      <w:tr>
        <w:trPr>
          <w:trHeight w:val="166" w:hRule="exact"/>
        </w:trPr>
        <w:tc>
          <w:tcPr>
            <w:tcW w:w="212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vMerge/>
            <w:tcBorders>
              <w:left w:val="single" w:sz="9" w:space="0" w:color="D2D2D2"/>
              <w:bottom w:val="single" w:sz="4" w:space="0" w:color="000000"/>
              <w:right w:val="single" w:sz="13" w:space="0" w:color="D2D2D2"/>
            </w:tcBorders>
          </w:tcPr>
          <w:p>
            <w:pPr/>
          </w:p>
        </w:tc>
        <w:tc>
          <w:tcPr>
            <w:tcW w:w="2257" w:type="dxa"/>
            <w:gridSpan w:val="3"/>
            <w:vMerge/>
            <w:tcBorders>
              <w:left w:val="single" w:sz="4" w:space="0" w:color="000000"/>
              <w:bottom w:val="single" w:sz="4" w:space="0" w:color="000000"/>
              <w:right w:val="single" w:sz="4" w:space="0" w:color="000000"/>
            </w:tcBorders>
            <w:shd w:val="clear" w:color="auto" w:fill="D2D2D2"/>
          </w:tcPr>
          <w:p>
            <w:pPr/>
          </w:p>
        </w:tc>
        <w:tc>
          <w:tcPr>
            <w:tcW w:w="1151" w:type="dxa"/>
            <w:gridSpan w:val="2"/>
            <w:vMerge/>
            <w:tcBorders>
              <w:left w:val="single" w:sz="13" w:space="0" w:color="D2D2D2"/>
              <w:bottom w:val="single" w:sz="4" w:space="0" w:color="000000"/>
              <w:right w:val="single" w:sz="13" w:space="0" w:color="D2D2D2"/>
            </w:tcBorders>
          </w:tcPr>
          <w:p>
            <w:pPr/>
          </w:p>
        </w:tc>
        <w:tc>
          <w:tcPr>
            <w:tcW w:w="2812" w:type="dxa"/>
            <w:gridSpan w:val="6"/>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13" w:space="0" w:color="D2D2D2"/>
              <w:bottom w:val="single" w:sz="4" w:space="0" w:color="000000"/>
              <w:right w:val="single" w:sz="4" w:space="0" w:color="000000"/>
            </w:tcBorders>
          </w:tcPr>
          <w:p>
            <w:pPr/>
          </w:p>
        </w:tc>
      </w:tr>
      <w:tr>
        <w:trPr>
          <w:trHeight w:val="392" w:hRule="exact"/>
        </w:trPr>
        <w:tc>
          <w:tcPr>
            <w:tcW w:w="957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0"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3"/>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8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59"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42"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3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4"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417" w:type="dxa"/>
            <w:gridSpan w:val="3"/>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0" w:right="3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6"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0" w:type="dxa"/>
            <w:gridSpan w:val="3"/>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1631" w:type="dxa"/>
            <w:gridSpan w:val="4"/>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6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0" w:type="dxa"/>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998" w:type="dxa"/>
            <w:vMerge/>
            <w:tcBorders>
              <w:left w:val="single" w:sz="4" w:space="0" w:color="000000"/>
              <w:right w:val="single" w:sz="4" w:space="0" w:color="000000"/>
            </w:tcBorders>
            <w:shd w:val="clear" w:color="auto" w:fill="D2D2D2"/>
          </w:tcPr>
          <w:p>
            <w:pPr/>
          </w:p>
        </w:tc>
        <w:tc>
          <w:tcPr>
            <w:tcW w:w="850" w:type="dxa"/>
            <w:gridSpan w:val="3"/>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7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259" w:right="78"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92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417" w:type="dxa"/>
            <w:gridSpan w:val="3"/>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998" w:type="dxa"/>
            <w:vMerge/>
            <w:tcBorders>
              <w:left w:val="single" w:sz="4" w:space="0" w:color="000000"/>
              <w:right w:val="single" w:sz="4" w:space="0" w:color="000000"/>
            </w:tcBorders>
            <w:shd w:val="clear" w:color="auto" w:fill="D2D2D2"/>
          </w:tcPr>
          <w:p>
            <w:pPr/>
          </w:p>
        </w:tc>
        <w:tc>
          <w:tcPr>
            <w:tcW w:w="850" w:type="dxa"/>
            <w:gridSpan w:val="3"/>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709" w:type="dxa"/>
            <w:gridSpan w:val="2"/>
            <w:vMerge/>
            <w:tcBorders>
              <w:left w:val="single" w:sz="4" w:space="0" w:color="000000"/>
              <w:right w:val="single" w:sz="4" w:space="0" w:color="000000"/>
            </w:tcBorders>
            <w:shd w:val="clear" w:color="auto" w:fill="D2D2D2"/>
          </w:tcPr>
          <w:p>
            <w:pPr/>
          </w:p>
        </w:tc>
        <w:tc>
          <w:tcPr>
            <w:tcW w:w="92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1417" w:type="dxa"/>
            <w:gridSpan w:val="3"/>
            <w:vMerge w:val="restart"/>
            <w:tcBorders>
              <w:top w:val="nil" w:sz="6" w:space="0" w:color="auto"/>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986" w:type="dxa"/>
            <w:vMerge/>
            <w:tcBorders>
              <w:left w:val="single" w:sz="4" w:space="0" w:color="000000"/>
              <w:bottom w:val="nil" w:sz="6" w:space="0" w:color="auto"/>
              <w:right w:val="single" w:sz="4" w:space="0" w:color="000000"/>
            </w:tcBorders>
            <w:shd w:val="clear" w:color="auto" w:fill="D2D2D2"/>
          </w:tcPr>
          <w:p>
            <w:pPr/>
          </w:p>
        </w:tc>
        <w:tc>
          <w:tcPr>
            <w:tcW w:w="998" w:type="dxa"/>
            <w:vMerge/>
            <w:tcBorders>
              <w:left w:val="single" w:sz="4" w:space="0" w:color="000000"/>
              <w:bottom w:val="nil" w:sz="6" w:space="0" w:color="auto"/>
              <w:right w:val="single" w:sz="4" w:space="0" w:color="000000"/>
            </w:tcBorders>
            <w:shd w:val="clear" w:color="auto" w:fill="D2D2D2"/>
          </w:tcPr>
          <w:p>
            <w:pPr/>
          </w:p>
        </w:tc>
        <w:tc>
          <w:tcPr>
            <w:tcW w:w="850" w:type="dxa"/>
            <w:gridSpan w:val="3"/>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709" w:type="dxa"/>
            <w:gridSpan w:val="2"/>
            <w:vMerge/>
            <w:tcBorders>
              <w:left w:val="single" w:sz="4" w:space="0" w:color="000000"/>
              <w:right w:val="single" w:sz="4" w:space="0" w:color="000000"/>
            </w:tcBorders>
            <w:shd w:val="clear" w:color="auto" w:fill="D2D2D2"/>
          </w:tcPr>
          <w:p>
            <w:pPr/>
          </w:p>
        </w:tc>
        <w:tc>
          <w:tcPr>
            <w:tcW w:w="922" w:type="dxa"/>
            <w:gridSpan w:val="2"/>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417" w:type="dxa"/>
            <w:gridSpan w:val="3"/>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8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gridSpan w:val="3"/>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gridSpan w:val="2"/>
            <w:vMerge/>
            <w:tcBorders>
              <w:left w:val="single" w:sz="4" w:space="0" w:color="000000"/>
              <w:bottom w:val="single" w:sz="4" w:space="0" w:color="000000"/>
              <w:right w:val="single" w:sz="4" w:space="0" w:color="000000"/>
            </w:tcBorders>
            <w:shd w:val="clear" w:color="auto" w:fill="D2D2D2"/>
          </w:tcPr>
          <w:p>
            <w:pPr/>
          </w:p>
        </w:tc>
        <w:tc>
          <w:tcPr>
            <w:tcW w:w="92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27.40%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61,444,500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gridSpan w:val="3"/>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z w:val="18"/>
              </w:rPr>
              <w:t>61,444,500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61,000,000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日本三轮株式会社</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11.56%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25,930,200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25,930,200</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周爽</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3.45%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7,730,900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7,730,900</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7,730,900</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袁琴美</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2.58%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5,792,557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5,792,557</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5,792,557</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株式会社飞马日本</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2.46%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5,522,168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5,522,168</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王梅香</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0.99%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2,210,578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2,210,578</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2,210,578</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陈传兴</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0.92%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2,052,789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2,052,789</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2,052,789</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张洪彦</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0.80%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1,795,063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1,795,063</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1,795,063</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张红</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0.80%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1,783,600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1,783,600</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1,783,600</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周宇光</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0.65%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1,466,400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1,350,30</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1,466,400</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92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16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9" w:hRule="exact"/>
        </w:trPr>
        <w:tc>
          <w:tcPr>
            <w:tcW w:w="340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168" w:type="dxa"/>
            <w:gridSpan w:val="11"/>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both"/>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名股东中，</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名无限售条件的流通股股东南通友谊实业有限公司与其 余</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名流通股股东之间不存在关联关系，也不属于《上市公司股东持股变动信</w:t>
            </w:r>
          </w:p>
          <w:p>
            <w:pPr>
              <w:pStyle w:val="TableParagraph"/>
              <w:spacing w:line="309" w:lineRule="auto" w:before="13"/>
              <w:ind w:left="16" w:right="13"/>
              <w:jc w:val="both"/>
              <w:rPr>
                <w:rFonts w:ascii="宋体" w:hAnsi="宋体" w:cs="宋体" w:eastAsia="宋体" w:hint="default"/>
                <w:sz w:val="18"/>
                <w:szCs w:val="18"/>
              </w:rPr>
            </w:pPr>
            <w:r>
              <w:rPr>
                <w:rFonts w:ascii="宋体" w:hAnsi="宋体" w:cs="宋体" w:eastAsia="宋体" w:hint="default"/>
                <w:sz w:val="18"/>
                <w:szCs w:val="18"/>
              </w:rPr>
              <w:t>息披露管理办法》中规定的一致行动人；未知其余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名流通股股东之间是否存 在关联关系，也未知其是否属于《上市公司股东持股变动信息披露管理办法》 中规定的一致行动人。</w:t>
            </w:r>
          </w:p>
        </w:tc>
      </w:tr>
      <w:tr>
        <w:trPr>
          <w:trHeight w:val="392" w:hRule="exact"/>
        </w:trPr>
        <w:tc>
          <w:tcPr>
            <w:tcW w:w="340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168" w:type="dxa"/>
            <w:gridSpan w:val="11"/>
            <w:vMerge/>
            <w:tcBorders>
              <w:left w:val="single" w:sz="9" w:space="0" w:color="D2D2D2"/>
              <w:right w:val="single" w:sz="4" w:space="0" w:color="000000"/>
            </w:tcBorders>
          </w:tcPr>
          <w:p>
            <w:pPr/>
          </w:p>
        </w:tc>
      </w:tr>
      <w:tr>
        <w:trPr>
          <w:trHeight w:val="629" w:hRule="exact"/>
        </w:trPr>
        <w:tc>
          <w:tcPr>
            <w:tcW w:w="340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168" w:type="dxa"/>
            <w:gridSpan w:val="11"/>
            <w:vMerge/>
            <w:tcBorders>
              <w:left w:val="single" w:sz="9" w:space="0" w:color="D2D2D2"/>
              <w:bottom w:val="single" w:sz="4" w:space="0" w:color="000000"/>
              <w:right w:val="single" w:sz="4" w:space="0" w:color="000000"/>
            </w:tcBorders>
          </w:tcPr>
          <w:p>
            <w:pPr/>
          </w:p>
        </w:tc>
      </w:tr>
      <w:tr>
        <w:trPr>
          <w:trHeight w:val="402" w:hRule="exact"/>
        </w:trPr>
        <w:tc>
          <w:tcPr>
            <w:tcW w:w="957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4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538"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4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38"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190" w:type="dxa"/>
            <w:gridSpan w:val="6"/>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42" w:type="dxa"/>
            <w:gridSpan w:val="3"/>
            <w:vMerge/>
            <w:tcBorders>
              <w:left w:val="single" w:sz="4" w:space="0" w:color="000000"/>
              <w:bottom w:val="nil" w:sz="6" w:space="0" w:color="auto"/>
              <w:right w:val="single" w:sz="4" w:space="0" w:color="000000"/>
            </w:tcBorders>
            <w:shd w:val="clear" w:color="auto" w:fill="D2D2D2"/>
          </w:tcPr>
          <w:p>
            <w:pPr/>
          </w:p>
        </w:tc>
        <w:tc>
          <w:tcPr>
            <w:tcW w:w="3538" w:type="dxa"/>
            <w:gridSpan w:val="6"/>
            <w:vMerge/>
            <w:tcBorders>
              <w:left w:val="single" w:sz="4" w:space="0" w:color="000000"/>
              <w:bottom w:val="nil" w:sz="6" w:space="0" w:color="auto"/>
              <w:right w:val="single" w:sz="4" w:space="0" w:color="000000"/>
            </w:tcBorders>
            <w:shd w:val="clear" w:color="auto" w:fill="D2D2D2"/>
          </w:tcPr>
          <w:p>
            <w:pPr/>
          </w:p>
        </w:tc>
        <w:tc>
          <w:tcPr>
            <w:tcW w:w="182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4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84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538"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823" w:type="dxa"/>
            <w:gridSpan w:val="3"/>
            <w:vMerge/>
            <w:tcBorders>
              <w:left w:val="single" w:sz="4" w:space="0" w:color="000000"/>
              <w:bottom w:val="single" w:sz="4" w:space="0" w:color="000000"/>
              <w:right w:val="single" w:sz="4" w:space="0" w:color="000000"/>
            </w:tcBorders>
            <w:shd w:val="clear" w:color="auto" w:fill="D2D2D2"/>
          </w:tcPr>
          <w:p>
            <w:pPr/>
          </w:p>
        </w:tc>
        <w:tc>
          <w:tcPr>
            <w:tcW w:w="1367" w:type="dxa"/>
            <w:gridSpan w:val="3"/>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35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61,444,500</w:t>
            </w:r>
          </w:p>
        </w:tc>
        <w:tc>
          <w:tcPr>
            <w:tcW w:w="18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61,444,500</w:t>
            </w:r>
          </w:p>
        </w:tc>
      </w:tr>
      <w:tr>
        <w:trPr>
          <w:trHeight w:val="401" w:hRule="exact"/>
        </w:trPr>
        <w:tc>
          <w:tcPr>
            <w:tcW w:w="2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日本三轮株式会社</w:t>
            </w:r>
          </w:p>
        </w:tc>
        <w:tc>
          <w:tcPr>
            <w:tcW w:w="35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25,930,200</w:t>
            </w:r>
          </w:p>
        </w:tc>
        <w:tc>
          <w:tcPr>
            <w:tcW w:w="18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25,930,200</w:t>
            </w:r>
          </w:p>
        </w:tc>
      </w:tr>
      <w:tr>
        <w:trPr>
          <w:trHeight w:val="403" w:hRule="exact"/>
        </w:trPr>
        <w:tc>
          <w:tcPr>
            <w:tcW w:w="2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周爽</w:t>
            </w:r>
          </w:p>
        </w:tc>
        <w:tc>
          <w:tcPr>
            <w:tcW w:w="35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7,730,900</w:t>
            </w:r>
          </w:p>
        </w:tc>
        <w:tc>
          <w:tcPr>
            <w:tcW w:w="18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4" w:right="0"/>
              <w:jc w:val="left"/>
              <w:rPr>
                <w:rFonts w:ascii="Times New Roman" w:hAnsi="Times New Roman" w:cs="Times New Roman" w:eastAsia="Times New Roman" w:hint="default"/>
                <w:sz w:val="18"/>
                <w:szCs w:val="18"/>
              </w:rPr>
            </w:pPr>
            <w:r>
              <w:rPr>
                <w:rFonts w:ascii="Times New Roman"/>
                <w:sz w:val="18"/>
              </w:rPr>
              <w:t>7,730,900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3544"/>
        <w:gridCol w:w="1823"/>
        <w:gridCol w:w="136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袁琴美</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5,792,557</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5,792,557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株式会社飞马日本</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5,522,168</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5,522,168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王梅香</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2,210,578</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2,210,578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陈传兴</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2,052,789</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2,052,789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张洪彦</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1,795,063</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1,795,063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张红</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1,783,600</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1,783,600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周宇光</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1,466,400</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1,466,400</w:t>
            </w:r>
          </w:p>
        </w:tc>
      </w:tr>
      <w:tr>
        <w:trPr>
          <w:trHeight w:val="133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734"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名股东中，</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名无限售条件的流通股股东南通友谊实业有限公司与其余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流通股股东之间不存在关联关系，也不属于《上市公司股东持股变动信息披露管理办 法》中规定的一致行动人；未知其余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名流通股股东之间是否存在关联关系，也未知 其是否属于《上市公司股东持股变动信息披露管理办法》中规定的一致行动人。</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名普通股股东参与融资融券业</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务股东情况说</w:t>
            </w:r>
            <w:r>
              <w:rPr>
                <w:rFonts w:ascii="宋体" w:hAnsi="宋体" w:cs="宋体" w:eastAsia="宋体" w:hint="default"/>
                <w:spacing w:val="-28"/>
                <w:sz w:val="18"/>
                <w:szCs w:val="18"/>
              </w:rPr>
              <w:t>明</w:t>
            </w:r>
            <w:r>
              <w:rPr>
                <w:rFonts w:ascii="宋体" w:hAnsi="宋体" w:cs="宋体" w:eastAsia="宋体" w:hint="default"/>
                <w:sz w:val="18"/>
                <w:szCs w:val="18"/>
              </w:rPr>
              <w:t>（如有</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参</w:t>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67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19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before="51"/>
        <w:ind w:left="154" w:right="0" w:firstLine="0"/>
        <w:jc w:val="left"/>
        <w:rPr>
          <w:rFonts w:ascii="宋体" w:hAnsi="宋体" w:cs="宋体" w:eastAsia="宋体" w:hint="default"/>
          <w:sz w:val="18"/>
          <w:szCs w:val="18"/>
        </w:rPr>
      </w:pPr>
      <w:r>
        <w:rPr/>
        <w:pict>
          <v:group style="position:absolute;margin-left:198.740005pt;margin-top:-28.488304pt;width:336.25pt;height:28pt;mso-position-horizontal-relative:page;mso-position-vertical-relative:paragraph;z-index:-844240" coordorigin="3975,-570" coordsize="6725,560">
            <v:group style="position:absolute;left:3986;top:-558;width:2;height:393" coordorigin="3986,-558" coordsize="2,393">
              <v:shape style="position:absolute;left:3986;top:-558;width:2;height:393" coordorigin="3986,-558" coordsize="0,393" path="m3986,-558l3986,-166e" filled="false" stroked="true" strokeweight="1.140pt" strokecolor="#ffffff">
                <v:path arrowok="t"/>
              </v:shape>
            </v:group>
            <v:group style="position:absolute;left:3975;top:-166;width:6725;height:156" coordorigin="3975,-166" coordsize="6725,156">
              <v:shape style="position:absolute;left:3975;top:-166;width:6725;height:156" coordorigin="3975,-166" coordsize="6725,156" path="m3975,-10l10699,-10,10699,-166,3975,-166,3975,-10xe" filled="true" fillcolor="#ffffff" stroked="false">
                <v:path arrowok="t"/>
                <v:fill type="solid"/>
              </v:shape>
            </v:group>
            <v:group style="position:absolute;left:3998;top:-558;width:6679;height:393" coordorigin="3998,-558" coordsize="6679,393">
              <v:shape style="position:absolute;left:3998;top:-558;width:6679;height:393" coordorigin="3998,-558" coordsize="6679,393" path="m3998,-166l10676,-166,10676,-558,3998,-558,3998,-166xe" filled="true" fillcolor="#ffffff" stroked="false">
                <v:path arrowok="t"/>
                <v:fill type="solid"/>
              </v:shape>
            </v:group>
            <w10:wrap type="none"/>
          </v:group>
        </w:pic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2、公司控股股东情况" w:id="105"/>
      <w:bookmarkEnd w:id="10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44"/>
        <w:ind w:left="0" w:right="1139" w:firstLine="0"/>
        <w:jc w:val="right"/>
        <w:rPr>
          <w:rFonts w:ascii="宋体" w:hAnsi="宋体" w:cs="宋体" w:eastAsia="宋体" w:hint="default"/>
          <w:sz w:val="18"/>
          <w:szCs w:val="18"/>
        </w:rPr>
      </w:pPr>
      <w:r>
        <w:rPr/>
        <w:pict>
          <v:shape style="position:absolute;margin-left:56.459999pt;margin-top:-109.928299pt;width:479.2pt;height:181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1134"/>
                    <w:gridCol w:w="992"/>
                    <w:gridCol w:w="991"/>
                    <w:gridCol w:w="1560"/>
                    <w:gridCol w:w="2196"/>
                  </w:tblGrid>
                  <w:tr>
                    <w:trPr>
                      <w:trHeight w:val="75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1"/>
                          <w:ind w:left="111" w:right="86"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310" w:right="128"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13829952-7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12,800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国内贸易，自营和代理各类 商品及技术的进出口业务。</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687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友谊实业目前的主要收入为长期股权投资收益以及利息、房租收入，未来将在此基础上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加强发展实业经营。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经营成果、财务状况、现金流等</w:t>
                        </w:r>
                      </w:p>
                    </w:tc>
                    <w:tc>
                      <w:tcPr>
                        <w:tcW w:w="68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日，友谊实业总资产为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24,629.39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万元，净资产为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20,919.65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实现营业收入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w:t>
                        </w:r>
                        <w:r>
                          <w:rPr>
                            <w:rFonts w:ascii="宋体" w:hAnsi="宋体" w:cs="宋体" w:eastAsia="宋体" w:hint="default"/>
                            <w:sz w:val="18"/>
                            <w:szCs w:val="18"/>
                          </w:rPr>
                          <w:t>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830.45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（以上数据未经审计</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 其他境内外上市公司的股权情况</w:t>
                        </w:r>
                      </w:p>
                    </w:tc>
                    <w:tc>
                      <w:tcPr>
                        <w:tcW w:w="68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before="77"/>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bookmarkStart w:name="3、公司实际控制人情况" w:id="106"/>
      <w:bookmarkEnd w:id="10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6151"/>
      </w:tblGrid>
      <w:tr>
        <w:trPr>
          <w:trHeight w:val="102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陆尔穗先生最近 </w:t>
            </w:r>
            <w:r>
              <w:rPr>
                <w:rFonts w:ascii="Times New Roman" w:hAnsi="Times New Roman" w:cs="Times New Roman" w:eastAsia="Times New Roman" w:hint="default"/>
                <w:sz w:val="18"/>
                <w:szCs w:val="18"/>
              </w:rPr>
              <w:t>5 </w:t>
            </w:r>
            <w:r>
              <w:rPr>
                <w:rFonts w:ascii="宋体" w:hAnsi="宋体" w:cs="宋体" w:eastAsia="宋体" w:hint="default"/>
                <w:sz w:val="18"/>
                <w:szCs w:val="18"/>
              </w:rPr>
              <w:t>年内的职业及职务详见本年度报告“第八节</w:t>
            </w:r>
            <w:r>
              <w:rPr>
                <w:rFonts w:ascii="宋体" w:hAnsi="宋体" w:cs="宋体" w:eastAsia="宋体" w:hint="default"/>
                <w:spacing w:val="-47"/>
                <w:sz w:val="18"/>
                <w:szCs w:val="18"/>
              </w:rPr>
              <w:t> </w:t>
            </w:r>
            <w:r>
              <w:rPr>
                <w:rFonts w:ascii="宋体" w:hAnsi="宋体" w:cs="宋体" w:eastAsia="宋体" w:hint="default"/>
                <w:sz w:val="18"/>
                <w:szCs w:val="18"/>
              </w:rPr>
              <w:t>董事、监事、</w:t>
            </w:r>
            <w:r>
              <w:rPr>
                <w:rFonts w:ascii="宋体" w:hAnsi="宋体" w:cs="宋体" w:eastAsia="宋体" w:hint="default"/>
                <w:sz w:val="18"/>
                <w:szCs w:val="18"/>
              </w:rPr>
              <w:t> </w:t>
            </w:r>
            <w:r>
              <w:rPr>
                <w:rFonts w:ascii="宋体" w:hAnsi="宋体" w:cs="宋体" w:eastAsia="宋体" w:hint="default"/>
                <w:spacing w:val="-1"/>
                <w:sz w:val="18"/>
                <w:szCs w:val="18"/>
              </w:rPr>
              <w:t>高级管理人员和员工情况”中“二、任职情况”的“公司现任董事、监事、高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年的主要工作经历”部分。</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4"/>
        <w:rPr>
          <w:rFonts w:ascii="宋体" w:hAnsi="宋体" w:cs="宋体" w:eastAsia="宋体" w:hint="default"/>
          <w:sz w:val="21"/>
          <w:szCs w:val="21"/>
        </w:rPr>
      </w:pPr>
    </w:p>
    <w:p>
      <w:pPr>
        <w:spacing w:line="5421" w:lineRule="exact"/>
        <w:ind w:left="3056" w:right="0" w:firstLine="0"/>
        <w:rPr>
          <w:rFonts w:ascii="宋体" w:hAnsi="宋体" w:cs="宋体" w:eastAsia="宋体" w:hint="default"/>
          <w:sz w:val="20"/>
          <w:szCs w:val="20"/>
        </w:rPr>
      </w:pPr>
      <w:r>
        <w:rPr>
          <w:rFonts w:ascii="宋体" w:hAnsi="宋体" w:cs="宋体" w:eastAsia="宋体" w:hint="default"/>
          <w:position w:val="-107"/>
          <w:sz w:val="20"/>
          <w:szCs w:val="20"/>
        </w:rPr>
        <w:drawing>
          <wp:inline distT="0" distB="0" distL="0" distR="0">
            <wp:extent cx="2433647" cy="344290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7" cstate="print"/>
                    <a:stretch>
                      <a:fillRect/>
                    </a:stretch>
                  </pic:blipFill>
                  <pic:spPr>
                    <a:xfrm>
                      <a:off x="0" y="0"/>
                      <a:ext cx="2433647" cy="3442906"/>
                    </a:xfrm>
                    <a:prstGeom prst="rect">
                      <a:avLst/>
                    </a:prstGeom>
                  </pic:spPr>
                </pic:pic>
              </a:graphicData>
            </a:graphic>
          </wp:inline>
        </w:drawing>
      </w:r>
      <w:r>
        <w:rPr>
          <w:rFonts w:ascii="宋体" w:hAnsi="宋体" w:cs="宋体" w:eastAsia="宋体" w:hint="default"/>
          <w:position w:val="-107"/>
          <w:sz w:val="20"/>
          <w:szCs w:val="20"/>
        </w:rPr>
      </w:r>
    </w:p>
    <w:p>
      <w:pPr>
        <w:spacing w:line="240" w:lineRule="auto" w:before="9"/>
        <w:rPr>
          <w:rFonts w:ascii="宋体" w:hAnsi="宋体" w:cs="宋体" w:eastAsia="宋体" w:hint="default"/>
          <w:sz w:val="23"/>
          <w:szCs w:val="2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4、其他持股在10%以上的法人股东" w:id="107"/>
      <w:bookmarkEnd w:id="10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134"/>
        <w:gridCol w:w="1559"/>
        <w:gridCol w:w="1417"/>
        <w:gridCol w:w="1134"/>
        <w:gridCol w:w="2764"/>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1"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3"/>
              <w:jc w:val="center"/>
              <w:rPr>
                <w:rFonts w:ascii="宋体" w:hAnsi="宋体" w:cs="宋体" w:eastAsia="宋体" w:hint="default"/>
                <w:sz w:val="18"/>
                <w:szCs w:val="18"/>
              </w:rPr>
            </w:pPr>
            <w:r>
              <w:rPr>
                <w:rFonts w:ascii="宋体" w:hAnsi="宋体" w:cs="宋体" w:eastAsia="宋体" w:hint="default"/>
                <w:sz w:val="18"/>
                <w:szCs w:val="18"/>
              </w:rPr>
              <w:t>日本三轮株式会社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三轮明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1985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2017-01-000839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万日元</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男装、女装、其它各种衣料品的制 造、加工、进出口和销售等业务。</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公司股东及其一致行动人在报告期提出或实施股份增持计划的情况" w:id="108"/>
      <w:bookmarkEnd w:id="108"/>
      <w:r>
        <w:rPr>
          <w:b w:val="0"/>
          <w:bCs w:val="0"/>
        </w:rPr>
      </w: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8"/>
        <w:gridCol w:w="991"/>
        <w:gridCol w:w="851"/>
        <w:gridCol w:w="851"/>
        <w:gridCol w:w="850"/>
        <w:gridCol w:w="1844"/>
        <w:gridCol w:w="2057"/>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一致行动人姓名</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 w:right="38" w:hanging="180"/>
              <w:jc w:val="left"/>
              <w:rPr>
                <w:rFonts w:ascii="宋体" w:hAnsi="宋体" w:cs="宋体" w:eastAsia="宋体" w:hint="default"/>
                <w:sz w:val="18"/>
                <w:szCs w:val="18"/>
              </w:rPr>
            </w:pPr>
            <w:r>
              <w:rPr>
                <w:rFonts w:ascii="宋体" w:hAnsi="宋体" w:cs="宋体" w:eastAsia="宋体" w:hint="default"/>
                <w:sz w:val="18"/>
                <w:szCs w:val="18"/>
              </w:rPr>
              <w:t>计划增持股 份数量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计划增持 股份比例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实际增持 股份数量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实际增持 股份比例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5" w:right="376"/>
              <w:jc w:val="left"/>
              <w:rPr>
                <w:rFonts w:ascii="宋体" w:hAnsi="宋体" w:cs="宋体" w:eastAsia="宋体" w:hint="default"/>
                <w:sz w:val="18"/>
                <w:szCs w:val="18"/>
              </w:rPr>
            </w:pPr>
            <w:r>
              <w:rPr>
                <w:rFonts w:ascii="宋体" w:hAnsi="宋体" w:cs="宋体" w:eastAsia="宋体" w:hint="default"/>
                <w:sz w:val="18"/>
                <w:szCs w:val="18"/>
              </w:rPr>
              <w:t>股份增持计划 初次披露日期</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01" w:firstLine="180"/>
              <w:jc w:val="left"/>
              <w:rPr>
                <w:rFonts w:ascii="宋体" w:hAnsi="宋体" w:cs="宋体" w:eastAsia="宋体" w:hint="default"/>
                <w:sz w:val="18"/>
                <w:szCs w:val="18"/>
              </w:rPr>
            </w:pPr>
            <w:r>
              <w:rPr>
                <w:rFonts w:ascii="宋体" w:hAnsi="宋体" w:cs="宋体" w:eastAsia="宋体" w:hint="default"/>
                <w:sz w:val="18"/>
                <w:szCs w:val="18"/>
              </w:rPr>
              <w:t>股份增持计划 实施结束披露日期</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不超过</w:t>
            </w:r>
          </w:p>
          <w:p>
            <w:pPr>
              <w:pStyle w:val="TableParagraph"/>
              <w:spacing w:line="240" w:lineRule="auto" w:before="7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2,242,500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不超过</w:t>
            </w:r>
          </w:p>
          <w:p>
            <w:pPr>
              <w:pStyle w:val="TableParagraph"/>
              <w:spacing w:line="240" w:lineRule="auto" w:before="117"/>
              <w:ind w:left="187" w:right="0"/>
              <w:jc w:val="left"/>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231,800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其他情况说明</w:t>
      </w:r>
    </w:p>
    <w:p>
      <w:pPr>
        <w:spacing w:line="240" w:lineRule="auto" w:before="12"/>
        <w:rPr>
          <w:rFonts w:ascii="宋体" w:hAnsi="宋体" w:cs="宋体" w:eastAsia="宋体" w:hint="default"/>
          <w:sz w:val="12"/>
          <w:szCs w:val="12"/>
        </w:rPr>
      </w:pPr>
    </w:p>
    <w:p>
      <w:pPr>
        <w:pStyle w:val="BodyText"/>
        <w:spacing w:line="391" w:lineRule="auto" w:before="0"/>
        <w:ind w:right="1131" w:firstLine="420"/>
        <w:jc w:val="both"/>
      </w:pPr>
      <w:r>
        <w:rPr>
          <w:spacing w:val="-1"/>
        </w:rPr>
        <w:t>公司实际控制人、董事长陆尔穗先生基于对公司未来持续稳定发展的信心，根据中国证监会和深圳证</w:t>
      </w:r>
      <w:r>
        <w:rPr/>
        <w:t> 券交易所的有关规定以及市场情况，计划在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日期间，以不高于</w:t>
      </w:r>
      <w:r>
        <w:rPr>
          <w:rFonts w:ascii="Times New Roman" w:hAnsi="Times New Roman" w:cs="Times New Roman" w:eastAsia="Times New Roman" w:hint="default"/>
        </w:rPr>
        <w:t>6.7</w:t>
      </w:r>
      <w:r>
        <w:rPr/>
        <w:t>元每股的 价格，累计增持不超过本公司总股本</w:t>
      </w:r>
      <w:r>
        <w:rPr>
          <w:rFonts w:ascii="Times New Roman" w:hAnsi="Times New Roman" w:cs="Times New Roman" w:eastAsia="Times New Roman" w:hint="default"/>
        </w:rPr>
        <w:t>1%</w:t>
      </w:r>
      <w:r>
        <w:rPr/>
        <w:t>的股份。</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日，陆尔穗先生通过深圳证券交易所交易系 统增持公司股份</w:t>
      </w:r>
      <w:r>
        <w:rPr>
          <w:rFonts w:ascii="Times New Roman" w:hAnsi="Times New Roman" w:cs="Times New Roman" w:eastAsia="Times New Roman" w:hint="default"/>
        </w:rPr>
        <w:t>200,000</w:t>
      </w:r>
      <w:r>
        <w:rPr/>
        <w:t>股，占公司总股本的</w:t>
      </w:r>
      <w:r>
        <w:rPr>
          <w:rFonts w:ascii="Times New Roman" w:hAnsi="Times New Roman" w:cs="Times New Roman" w:eastAsia="Times New Roman" w:hint="default"/>
        </w:rPr>
        <w:t>0.089%</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日，陆尔穗先生通过深圳证券交易所交 </w:t>
      </w:r>
      <w:r>
        <w:rPr>
          <w:spacing w:val="-2"/>
        </w:rPr>
        <w:t>易系统增持公司股份</w:t>
      </w:r>
      <w:r>
        <w:rPr>
          <w:rFonts w:ascii="Times New Roman" w:hAnsi="Times New Roman" w:cs="Times New Roman" w:eastAsia="Times New Roman" w:hint="default"/>
          <w:spacing w:val="-2"/>
        </w:rPr>
        <w:t>31,800</w:t>
      </w:r>
      <w:r>
        <w:rPr>
          <w:spacing w:val="-2"/>
        </w:rPr>
        <w:t>股，占公司总股本</w:t>
      </w:r>
      <w:r>
        <w:rPr>
          <w:rFonts w:ascii="Times New Roman" w:hAnsi="Times New Roman" w:cs="Times New Roman" w:eastAsia="Times New Roman" w:hint="default"/>
          <w:spacing w:val="-2"/>
        </w:rPr>
        <w:t>0.014%</w:t>
      </w:r>
      <w:r>
        <w:rPr>
          <w:spacing w:val="-2"/>
        </w:rPr>
        <w:t>。陆尔穗先生在</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日期间</w:t>
      </w:r>
      <w:r>
        <w:rPr>
          <w:spacing w:val="-89"/>
        </w:rPr>
        <w:t> </w:t>
      </w:r>
      <w:r>
        <w:rPr>
          <w:spacing w:val="-89"/>
        </w:rPr>
      </w:r>
      <w:r>
        <w:rPr/>
        <w:t>累计增持公司股份</w:t>
      </w:r>
      <w:r>
        <w:rPr>
          <w:rFonts w:ascii="Times New Roman" w:hAnsi="Times New Roman" w:cs="Times New Roman" w:eastAsia="Times New Roman" w:hint="default"/>
        </w:rPr>
        <w:t>231,800</w:t>
      </w:r>
      <w:r>
        <w:rPr/>
        <w:t>股，占公司总股本的</w:t>
      </w:r>
      <w:r>
        <w:rPr>
          <w:rFonts w:ascii="Times New Roman" w:hAnsi="Times New Roman" w:cs="Times New Roman" w:eastAsia="Times New Roman" w:hint="default"/>
        </w:rPr>
        <w:t>0.103%</w:t>
      </w:r>
      <w:r>
        <w:rPr/>
        <w:t>。</w:t>
      </w:r>
    </w:p>
    <w:p>
      <w:pPr>
        <w:pStyle w:val="BodyText"/>
        <w:spacing w:line="386" w:lineRule="auto" w:before="30"/>
        <w:ind w:right="1026" w:firstLine="420"/>
        <w:jc w:val="left"/>
      </w:pPr>
      <w:r>
        <w:rPr/>
        <w:t>陆尔穗先生已完成了本次增持计划，其直接持有公司股份</w:t>
      </w:r>
      <w:r>
        <w:rPr>
          <w:rFonts w:ascii="Times New Roman" w:hAnsi="Times New Roman" w:cs="Times New Roman" w:eastAsia="Times New Roman" w:hint="default"/>
        </w:rPr>
        <w:t>231,800</w:t>
      </w:r>
      <w:r>
        <w:rPr/>
        <w:t>股，并通过友谊实业控制公司股份 </w:t>
      </w:r>
      <w:r>
        <w:rPr>
          <w:rFonts w:ascii="Times New Roman" w:hAnsi="Times New Roman" w:cs="Times New Roman" w:eastAsia="Times New Roman" w:hint="default"/>
        </w:rPr>
        <w:t>61,444,500</w:t>
      </w:r>
      <w:r>
        <w:rPr/>
        <w:t>股，以直接和间接方式控制公司股份</w:t>
      </w:r>
      <w:r>
        <w:rPr>
          <w:rFonts w:ascii="Times New Roman" w:hAnsi="Times New Roman" w:cs="Times New Roman" w:eastAsia="Times New Roman" w:hint="default"/>
        </w:rPr>
        <w:t>61,676,300</w:t>
      </w:r>
      <w:r>
        <w:rPr/>
        <w:t>股，占公司总股本的</w:t>
      </w:r>
      <w:r>
        <w:rPr>
          <w:rFonts w:ascii="Times New Roman" w:hAnsi="Times New Roman" w:cs="Times New Roman" w:eastAsia="Times New Roman" w:hint="default"/>
        </w:rPr>
        <w:t>27.503%</w:t>
      </w:r>
      <w:r>
        <w:rPr/>
        <w:t>。详见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 </w:t>
      </w:r>
      <w:r>
        <w:rPr>
          <w:spacing w:val="-2"/>
        </w:rPr>
        <w:t>日刊登于《上海证券报》和巨潮资讯网的《关于实际控制人增持公司股份的公告》（公告编号：</w:t>
      </w:r>
      <w:r>
        <w:rPr>
          <w:rFonts w:ascii="Times New Roman" w:hAnsi="Times New Roman" w:cs="Times New Roman" w:eastAsia="Times New Roman" w:hint="default"/>
          <w:spacing w:val="-2"/>
        </w:rPr>
        <w:t>2014-017</w:t>
      </w:r>
      <w:r>
        <w:rPr>
          <w:spacing w:val="-2"/>
        </w:rPr>
        <w:t>）</w:t>
      </w:r>
      <w:r>
        <w:rPr>
          <w:spacing w:val="-98"/>
        </w:rPr>
        <w:t> </w:t>
      </w:r>
      <w:r>
        <w:rPr/>
        <w:t>以及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日刊登的《关于实际控制人完成增持公司股份的公告》（公告编号：</w:t>
      </w:r>
      <w:r>
        <w:rPr>
          <w:rFonts w:ascii="Times New Roman" w:hAnsi="Times New Roman" w:cs="Times New Roman" w:eastAsia="Times New Roman" w:hint="default"/>
        </w:rPr>
        <w:t>2015-001</w:t>
      </w:r>
      <w:r>
        <w:rPr/>
        <w:t>）。</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TOC_250005" w:id="109"/>
      <w:bookmarkStart w:name="第七节 优先股相关情况" w:id="110"/>
      <w:r>
        <w:rPr>
          <w:b w:val="0"/>
          <w:bCs w:val="0"/>
        </w:rPr>
      </w:r>
      <w:r>
        <w:rPr/>
        <w:t>第七节</w:t>
      </w:r>
      <w:r>
        <w:rPr>
          <w:spacing w:val="-8"/>
        </w:rPr>
        <w:t> </w:t>
      </w:r>
      <w:r>
        <w:rPr/>
        <w:t>优先股相关情况</w:t>
      </w:r>
      <w:bookmarkEnd w:id="109"/>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40"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11"/>
      <w:bookmarkStart w:name="第八节 董事、监事、高级管理人员和员工情况" w:id="112"/>
      <w:r>
        <w:rPr>
          <w:b w:val="0"/>
          <w:bCs w:val="0"/>
        </w:rPr>
      </w:r>
      <w:r>
        <w:rPr/>
        <w:t>第八节</w:t>
      </w:r>
      <w:r>
        <w:rPr>
          <w:spacing w:val="-16"/>
        </w:rPr>
        <w:t> </w:t>
      </w:r>
      <w:r>
        <w:rPr/>
        <w:t>董事、监事、高级管理人员和员工情况</w:t>
      </w:r>
      <w:bookmarkEnd w:id="11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3"/>
      <w:bookmarkEnd w:id="11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1546"/>
        <w:gridCol w:w="568"/>
        <w:gridCol w:w="566"/>
        <w:gridCol w:w="568"/>
        <w:gridCol w:w="992"/>
        <w:gridCol w:w="979"/>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10" w:right="1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231,800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01"/>
              <w:jc w:val="left"/>
              <w:rPr>
                <w:rFonts w:ascii="Times New Roman" w:hAnsi="Times New Roman" w:cs="Times New Roman" w:eastAsia="Times New Roman" w:hint="default"/>
                <w:sz w:val="18"/>
                <w:szCs w:val="18"/>
              </w:rPr>
            </w:pPr>
            <w:r>
              <w:rPr>
                <w:rFonts w:ascii="Times New Roman"/>
                <w:spacing w:val="-4"/>
                <w:sz w:val="18"/>
              </w:rPr>
              <w:t>WANGXI</w:t>
            </w:r>
            <w:r>
              <w:rPr>
                <w:rFonts w:ascii="Times New Roman"/>
                <w:w w:val="99"/>
                <w:sz w:val="18"/>
              </w:rPr>
              <w:t> </w:t>
            </w:r>
            <w:r>
              <w:rPr>
                <w:rFonts w:ascii="Times New Roman"/>
                <w:sz w:val="18"/>
              </w:rPr>
              <w:t>NGWEI</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陶泉波</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盛昭瀚</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罗会远</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王普超</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蔡国新</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张炘炘</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张蓓</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葛秋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沈永炎</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徐向东</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副总经理、董事会 秘书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1546"/>
        <w:gridCol w:w="568"/>
        <w:gridCol w:w="566"/>
        <w:gridCol w:w="568"/>
        <w:gridCol w:w="992"/>
        <w:gridCol w:w="979"/>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张松</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田进</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任免</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朱萍</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孔平</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周静雯</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原职工监事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原董事、董秘、副 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任免</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帅建</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原财务负责人</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任免</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231,800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任职情况" w:id="114"/>
      <w:bookmarkEnd w:id="114"/>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400" w:lineRule="auto" w:before="155"/>
        <w:ind w:left="154" w:right="0" w:firstLine="420"/>
        <w:jc w:val="left"/>
      </w:pPr>
      <w:r>
        <w:rPr/>
        <w:t>陆尔穗</w:t>
      </w:r>
      <w:r>
        <w:rPr>
          <w:spacing w:val="-22"/>
        </w:rPr>
        <w:t> </w:t>
      </w:r>
      <w:r>
        <w:rPr/>
        <w:t>先生：中国国籍（取得美国永久居留权），</w:t>
      </w:r>
      <w:r>
        <w:rPr>
          <w:rFonts w:ascii="Times New Roman" w:hAnsi="Times New Roman" w:cs="Times New Roman" w:eastAsia="Times New Roman" w:hint="default"/>
        </w:rPr>
        <w:t>1969</w:t>
      </w:r>
      <w:r>
        <w:rPr/>
        <w:t>年出生，大专学历，高级工程师。现任江苏 </w:t>
      </w:r>
      <w:r>
        <w:rPr>
          <w:spacing w:val="-1"/>
        </w:rPr>
        <w:t>三友集团股份有限公司董事长，公司控股股东南通友谊实业有限公司董事；控股子公司南通市港闸区资丰</w:t>
      </w:r>
      <w:r>
        <w:rPr>
          <w:spacing w:val="-81"/>
        </w:rPr>
        <w:t> </w:t>
      </w:r>
      <w:r>
        <w:rPr>
          <w:spacing w:val="-81"/>
        </w:rPr>
      </w:r>
      <w:r>
        <w:rPr>
          <w:spacing w:val="-1"/>
        </w:rPr>
        <w:t>农村小额贷款有限公司董事长、南通三友环保科技有限公司董事；海花集团有限公司、南通新城集团有限</w:t>
      </w:r>
      <w:r>
        <w:rPr>
          <w:spacing w:val="-83"/>
        </w:rPr>
        <w:t> </w:t>
      </w:r>
      <w:r>
        <w:rPr>
          <w:spacing w:val="-83"/>
        </w:rPr>
      </w:r>
      <w:r>
        <w:rPr>
          <w:spacing w:val="-1"/>
        </w:rPr>
        <w:t>公司、南通新城控股集团有限公司、上海海花汽车销售有限公司、上海业勤融资租赁有限公司、业勤投资</w:t>
      </w:r>
    </w:p>
    <w:p>
      <w:pPr>
        <w:pStyle w:val="BodyText"/>
        <w:spacing w:line="408" w:lineRule="auto" w:before="52"/>
        <w:ind w:left="154" w:right="0"/>
        <w:jc w:val="left"/>
      </w:pPr>
      <w:r>
        <w:rPr>
          <w:spacing w:val="-1"/>
        </w:rPr>
        <w:t>（香港）有限公司、南通华容电子集团有限公司董事长。江苏海门农村商业银行股份有限公司董事。历任</w:t>
      </w:r>
      <w:r>
        <w:rPr>
          <w:spacing w:val="-86"/>
        </w:rPr>
        <w:t> </w:t>
      </w:r>
      <w:r>
        <w:rPr>
          <w:spacing w:val="-86"/>
        </w:rPr>
      </w:r>
      <w:r>
        <w:rPr/>
        <w:t>江苏新海花实业有限公司等公司董事长，江苏新城市政建设发展有限公司总经理。</w:t>
      </w:r>
    </w:p>
    <w:p>
      <w:pPr>
        <w:pStyle w:val="BodyText"/>
        <w:spacing w:line="400" w:lineRule="auto" w:before="46"/>
        <w:ind w:right="1024" w:firstLine="420"/>
        <w:jc w:val="left"/>
      </w:pPr>
      <w:r>
        <w:rPr/>
        <w:t>盛东林</w:t>
      </w:r>
      <w:r>
        <w:rPr>
          <w:spacing w:val="-22"/>
        </w:rPr>
        <w:t> </w:t>
      </w:r>
      <w:r>
        <w:rPr/>
        <w:t>先生：中国国籍，</w:t>
      </w:r>
      <w:r>
        <w:rPr>
          <w:rFonts w:ascii="Times New Roman" w:hAnsi="Times New Roman" w:cs="Times New Roman" w:eastAsia="Times New Roman" w:hint="default"/>
        </w:rPr>
        <w:t>1966</w:t>
      </w:r>
      <w:r>
        <w:rPr/>
        <w:t>年出生，经济学硕士，高级经济师。现任江苏三友集团股份有限公司 副董事长、总经理；全资子公司江苏三友集团南通色织有限公司董事长；江苏北斗科技有限公司董事。历 </w:t>
      </w:r>
      <w:r>
        <w:rPr>
          <w:spacing w:val="-3"/>
        </w:rPr>
        <w:t>任江苏大生集团企划人员、营销主管，南通纺织工业局局长办公室秘书，南通纺织控股公司办公室副主任，</w:t>
      </w:r>
      <w:r>
        <w:rPr>
          <w:spacing w:val="-90"/>
        </w:rPr>
        <w:t> </w:t>
      </w:r>
      <w:r>
        <w:rPr>
          <w:spacing w:val="-90"/>
        </w:rPr>
      </w:r>
      <w:r>
        <w:rPr/>
        <w:t>江苏三友集团股份有限公司总经理助理、董事会秘书、副总经理。</w:t>
      </w:r>
    </w:p>
    <w:p>
      <w:pPr>
        <w:pStyle w:val="BodyText"/>
        <w:spacing w:line="393" w:lineRule="auto" w:before="52"/>
        <w:ind w:right="1129" w:firstLine="420"/>
        <w:jc w:val="both"/>
      </w:pPr>
      <w:r>
        <w:rPr>
          <w:rFonts w:ascii="Times New Roman" w:hAnsi="Times New Roman" w:cs="Times New Roman" w:eastAsia="Times New Roman" w:hint="default"/>
        </w:rPr>
        <w:t>WANGXINGWEI</w:t>
      </w:r>
      <w:r>
        <w:rPr>
          <w:rFonts w:ascii="Times New Roman" w:hAnsi="Times New Roman" w:cs="Times New Roman" w:eastAsia="Times New Roman" w:hint="default"/>
          <w:spacing w:val="30"/>
        </w:rPr>
        <w:t> </w:t>
      </w:r>
      <w:r>
        <w:rPr/>
        <w:t>先生：美国国籍，</w:t>
      </w:r>
      <w:r>
        <w:rPr>
          <w:rFonts w:ascii="Times New Roman" w:hAnsi="Times New Roman" w:cs="Times New Roman" w:eastAsia="Times New Roman" w:hint="default"/>
        </w:rPr>
        <w:t>1964</w:t>
      </w:r>
      <w:r>
        <w:rPr/>
        <w:t>年出生，本科学历。现任江苏三友集团股份有限公司董事，</w:t>
      </w:r>
      <w:r>
        <w:rPr>
          <w:w w:val="99"/>
        </w:rPr>
        <w:t> </w:t>
      </w:r>
      <w:r>
        <w:rPr>
          <w:spacing w:val="-1"/>
        </w:rPr>
        <w:t>全资子公司南通三友信息科技发展有限公司总经理；业勤投资（香港）有限公司执行董事、南通新城集团</w:t>
      </w:r>
      <w:r>
        <w:rPr>
          <w:spacing w:val="-87"/>
        </w:rPr>
        <w:t> </w:t>
      </w:r>
      <w:r>
        <w:rPr>
          <w:spacing w:val="-87"/>
        </w:rPr>
      </w:r>
      <w:r>
        <w:rPr>
          <w:spacing w:val="-2"/>
        </w:rPr>
        <w:t>有限公司副总经理。历任美国环球铝合金公司（美国芝加哥）市场经理，美国纽约市</w:t>
      </w:r>
      <w:r>
        <w:rPr>
          <w:rFonts w:ascii="Times New Roman" w:hAnsi="Times New Roman" w:cs="Times New Roman" w:eastAsia="Times New Roman" w:hint="default"/>
          <w:spacing w:val="-2"/>
        </w:rPr>
        <w:t>YUNNI</w:t>
      </w:r>
      <w:r>
        <w:rPr>
          <w:spacing w:val="-2"/>
        </w:rPr>
        <w:t>广告公司市场</w:t>
      </w:r>
      <w:r>
        <w:rPr>
          <w:spacing w:val="-77"/>
        </w:rPr>
        <w:t> </w:t>
      </w:r>
      <w:r>
        <w:rPr/>
        <w:t>开发部副总。</w:t>
      </w:r>
    </w:p>
    <w:p>
      <w:pPr>
        <w:pStyle w:val="BodyText"/>
        <w:spacing w:line="240" w:lineRule="auto" w:before="58"/>
        <w:ind w:left="573" w:right="0"/>
        <w:jc w:val="left"/>
      </w:pPr>
      <w:r>
        <w:rPr/>
        <w:t>陶泉波</w:t>
      </w:r>
      <w:r>
        <w:rPr>
          <w:spacing w:val="-22"/>
        </w:rPr>
        <w:t> </w:t>
      </w:r>
      <w:r>
        <w:rPr/>
        <w:t>先生：中国国籍，</w:t>
      </w:r>
      <w:r>
        <w:rPr>
          <w:rFonts w:ascii="Times New Roman" w:hAnsi="Times New Roman" w:cs="Times New Roman" w:eastAsia="Times New Roman" w:hint="default"/>
        </w:rPr>
        <w:t>1969</w:t>
      </w:r>
      <w:r>
        <w:rPr/>
        <w:t>年出生，中共党员，大专学历，助理工程师。现任江苏三友集团股份</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4"/>
        <w:ind w:right="1129"/>
        <w:jc w:val="both"/>
      </w:pPr>
      <w:r>
        <w:rPr>
          <w:spacing w:val="-1"/>
        </w:rPr>
        <w:t>有限公司董事，公司控股股东南通友谊实业有限公司董事，海花集团有限公司副总经理。历任南通环宇汽</w:t>
      </w:r>
      <w:r>
        <w:rPr>
          <w:spacing w:val="-83"/>
        </w:rPr>
        <w:t> </w:t>
      </w:r>
      <w:r>
        <w:rPr>
          <w:spacing w:val="-83"/>
        </w:rPr>
      </w:r>
      <w:r>
        <w:rPr>
          <w:spacing w:val="-1"/>
        </w:rPr>
        <w:t>修厂业务主管，海门金天集团一汽大众服务站售后经理，海门新城别克</w:t>
      </w:r>
      <w:r>
        <w:rPr>
          <w:rFonts w:ascii="Times New Roman" w:hAnsi="Times New Roman" w:cs="Times New Roman" w:eastAsia="Times New Roman" w:hint="default"/>
          <w:spacing w:val="-1"/>
        </w:rPr>
        <w:t>4S</w:t>
      </w:r>
      <w:r>
        <w:rPr>
          <w:spacing w:val="-1"/>
        </w:rPr>
        <w:t>店总经理，南通新城集团有限公</w:t>
      </w:r>
      <w:r>
        <w:rPr>
          <w:spacing w:val="-92"/>
        </w:rPr>
        <w:t> </w:t>
      </w:r>
      <w:r>
        <w:rPr>
          <w:spacing w:val="-92"/>
        </w:rPr>
      </w:r>
      <w:r>
        <w:rPr/>
        <w:t>司副总经理。</w:t>
      </w:r>
    </w:p>
    <w:p>
      <w:pPr>
        <w:pStyle w:val="BodyText"/>
        <w:spacing w:line="391" w:lineRule="auto" w:before="95"/>
        <w:ind w:right="1024" w:firstLine="403"/>
        <w:jc w:val="left"/>
      </w:pPr>
      <w:r>
        <w:rPr/>
        <w:t>盛昭瀚</w:t>
      </w:r>
      <w:r>
        <w:rPr>
          <w:spacing w:val="-5"/>
        </w:rPr>
        <w:t> </w:t>
      </w:r>
      <w:r>
        <w:rPr/>
        <w:t>先生：中国国籍，</w:t>
      </w:r>
      <w:r>
        <w:rPr>
          <w:rFonts w:ascii="Times New Roman" w:hAnsi="Times New Roman" w:cs="Times New Roman" w:eastAsia="Times New Roman" w:hint="default"/>
        </w:rPr>
        <w:t>1944</w:t>
      </w:r>
      <w:r>
        <w:rPr/>
        <w:t>年</w:t>
      </w:r>
      <w:r>
        <w:rPr>
          <w:rFonts w:ascii="Times New Roman" w:hAnsi="Times New Roman" w:cs="Times New Roman" w:eastAsia="Times New Roman" w:hint="default"/>
        </w:rPr>
        <w:t>7</w:t>
      </w:r>
      <w:r>
        <w:rPr/>
        <w:t>月出生，中共党员，博士生导师，国家有突出贡献专家。现任江苏</w:t>
      </w:r>
      <w:r>
        <w:rPr>
          <w:spacing w:val="1"/>
        </w:rPr>
        <w:t> </w:t>
      </w:r>
      <w:r>
        <w:rPr>
          <w:spacing w:val="-3"/>
        </w:rPr>
        <w:t>三友集团股份有限公司独立董事、江阴中南重工股份有限公司独立董事，南京大学工程管理学院名誉院长。</w:t>
      </w:r>
      <w:r>
        <w:rPr>
          <w:spacing w:val="-91"/>
        </w:rPr>
        <w:t> </w:t>
      </w:r>
      <w:r>
        <w:rPr>
          <w:spacing w:val="-91"/>
        </w:rPr>
      </w:r>
      <w:r>
        <w:rPr/>
        <w:t>曾任本公司第一届、第二届董事会独立董事。盛昭瀚先生</w:t>
      </w:r>
      <w:r>
        <w:rPr>
          <w:rFonts w:ascii="Times New Roman" w:hAnsi="Times New Roman" w:cs="Times New Roman" w:eastAsia="Times New Roman" w:hint="default"/>
        </w:rPr>
        <w:t>2001</w:t>
      </w:r>
      <w:r>
        <w:rPr/>
        <w:t>年起任南京大学管理学与工程研究院院长， 近年来主持多项国家</w:t>
      </w:r>
      <w:r>
        <w:rPr>
          <w:rFonts w:ascii="Times New Roman" w:hAnsi="Times New Roman" w:cs="Times New Roman" w:eastAsia="Times New Roman" w:hint="default"/>
        </w:rPr>
        <w:t>863</w:t>
      </w:r>
      <w:r>
        <w:rPr/>
        <w:t>高新技术项目、国家自然科学基金项目，多次获国家机械部科技进步奖、中国高</w:t>
      </w:r>
      <w:r>
        <w:rPr>
          <w:spacing w:val="-35"/>
        </w:rPr>
        <w:t> </w:t>
      </w:r>
      <w:r>
        <w:rPr>
          <w:spacing w:val="-35"/>
        </w:rPr>
      </w:r>
      <w:r>
        <w:rPr/>
        <w:t>等教育科技进步一等奖等奖项。已取得中国证监会认可的独立董事资格证书。</w:t>
      </w:r>
    </w:p>
    <w:p>
      <w:pPr>
        <w:pStyle w:val="BodyText"/>
        <w:spacing w:line="398" w:lineRule="auto" w:before="100"/>
        <w:ind w:right="1093" w:firstLine="420"/>
        <w:jc w:val="left"/>
      </w:pPr>
      <w:r>
        <w:rPr/>
        <w:t>罗会远</w:t>
      </w:r>
      <w:r>
        <w:rPr>
          <w:spacing w:val="-22"/>
        </w:rPr>
        <w:t> </w:t>
      </w:r>
      <w:r>
        <w:rPr/>
        <w:t>先生：中国国籍，</w:t>
      </w:r>
      <w:r>
        <w:rPr>
          <w:rFonts w:ascii="Times New Roman" w:hAnsi="Times New Roman" w:cs="Times New Roman" w:eastAsia="Times New Roman" w:hint="default"/>
        </w:rPr>
        <w:t>1966</w:t>
      </w:r>
      <w:r>
        <w:rPr/>
        <w:t>年出生，中共党员，硕士研究生学历。现任江苏三友集团股份有限公 </w:t>
      </w:r>
      <w:r>
        <w:rPr>
          <w:spacing w:val="-1"/>
        </w:rPr>
        <w:t>司独立董事，北京市天银律师事务所合伙人、党支部书记，北京天银（上海）律师事务所主任；兼任中国</w:t>
      </w:r>
      <w:r>
        <w:rPr>
          <w:spacing w:val="-83"/>
        </w:rPr>
        <w:t> </w:t>
      </w:r>
      <w:r>
        <w:rPr>
          <w:spacing w:val="-83"/>
        </w:rPr>
      </w:r>
      <w:r>
        <w:rPr/>
        <w:t>交通企业管理协会法律工作委员会常务理事。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月份取得深圳证券交易所独立董事任职资格证书。 </w:t>
      </w:r>
      <w:r>
        <w:rPr>
          <w:spacing w:val="-1"/>
        </w:rPr>
        <w:t>历任海军士官学校政治教研室助理讲师、讲师，海军政治部办公室司法秘书、海军法律顾问处律师，北京</w:t>
      </w:r>
      <w:r>
        <w:rPr>
          <w:spacing w:val="-86"/>
        </w:rPr>
        <w:t> </w:t>
      </w:r>
      <w:r>
        <w:rPr>
          <w:spacing w:val="-86"/>
        </w:rPr>
      </w:r>
      <w:r>
        <w:rPr/>
        <w:t>市天银律师事务所律师、合伙人、党支部书记。</w:t>
      </w:r>
    </w:p>
    <w:p>
      <w:pPr>
        <w:pStyle w:val="BodyText"/>
        <w:spacing w:line="398" w:lineRule="auto" w:before="54"/>
        <w:ind w:right="0" w:firstLine="420"/>
        <w:jc w:val="left"/>
      </w:pPr>
      <w:r>
        <w:rPr/>
        <w:t>王普超</w:t>
      </w:r>
      <w:r>
        <w:rPr>
          <w:spacing w:val="-22"/>
        </w:rPr>
        <w:t> </w:t>
      </w:r>
      <w:r>
        <w:rPr/>
        <w:t>先生：中国国籍，</w:t>
      </w:r>
      <w:r>
        <w:rPr>
          <w:rFonts w:ascii="Times New Roman" w:hAnsi="Times New Roman" w:cs="Times New Roman" w:eastAsia="Times New Roman" w:hint="default"/>
        </w:rPr>
        <w:t>1981</w:t>
      </w:r>
      <w:r>
        <w:rPr/>
        <w:t>年出生，中共党员，本科学历，注册会计师。现任江苏三友集团股份 </w:t>
      </w:r>
      <w:r>
        <w:rPr>
          <w:spacing w:val="-1"/>
        </w:rPr>
        <w:t>有限公司独立董事，中国电信南通分公司市场经营分析经理；兼任南通市开发区富华市政工程有限公司财</w:t>
      </w:r>
      <w:r>
        <w:rPr>
          <w:spacing w:val="-81"/>
        </w:rPr>
        <w:t> </w:t>
      </w:r>
      <w:r>
        <w:rPr>
          <w:spacing w:val="-81"/>
        </w:rPr>
      </w:r>
      <w:r>
        <w:rPr/>
        <w:t>务经理。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月份取得深圳证券交易所独立董事任职资格证书。</w:t>
      </w:r>
    </w:p>
    <w:p>
      <w:pPr>
        <w:pStyle w:val="BodyText"/>
        <w:spacing w:line="400" w:lineRule="auto" w:before="24"/>
        <w:ind w:right="0" w:firstLine="420"/>
        <w:jc w:val="left"/>
      </w:pPr>
      <w:r>
        <w:rPr/>
        <w:t>蔡国新</w:t>
      </w:r>
      <w:r>
        <w:rPr>
          <w:spacing w:val="-22"/>
        </w:rPr>
        <w:t> </w:t>
      </w:r>
      <w:r>
        <w:rPr/>
        <w:t>先生：中国国籍，</w:t>
      </w:r>
      <w:r>
        <w:rPr>
          <w:rFonts w:ascii="Times New Roman" w:hAnsi="Times New Roman" w:cs="Times New Roman" w:eastAsia="Times New Roman" w:hint="default"/>
        </w:rPr>
        <w:t>1967</w:t>
      </w:r>
      <w:r>
        <w:rPr/>
        <w:t>年出生，中共党员，本科学历，高级经济师。现任江苏三友集团股份 </w:t>
      </w:r>
      <w:r>
        <w:rPr>
          <w:spacing w:val="-1"/>
        </w:rPr>
        <w:t>有限公司党委副书记、纪委书记、工会主席、监事会主席，控股子公司南通三明时装有限公司监事；兼任</w:t>
      </w:r>
      <w:r>
        <w:rPr>
          <w:spacing w:val="-82"/>
        </w:rPr>
        <w:t> </w:t>
      </w:r>
      <w:r>
        <w:rPr>
          <w:spacing w:val="-82"/>
        </w:rPr>
      </w:r>
      <w:r>
        <w:rPr>
          <w:spacing w:val="-1"/>
        </w:rPr>
        <w:t>中华全国总工会第十六届执行委员会委员，政协南通市第十一届委员会委员。历任江苏三友集团股份有限</w:t>
      </w:r>
      <w:r>
        <w:rPr>
          <w:spacing w:val="-81"/>
        </w:rPr>
        <w:t> </w:t>
      </w:r>
      <w:r>
        <w:rPr>
          <w:spacing w:val="-81"/>
        </w:rPr>
      </w:r>
      <w:r>
        <w:rPr/>
        <w:t>公司生产贸易部副经理，控股子公司南通三明时装有限公司副总经理、党支部书记、工会主席。</w:t>
      </w:r>
    </w:p>
    <w:p>
      <w:pPr>
        <w:pStyle w:val="BodyText"/>
        <w:spacing w:line="403" w:lineRule="auto" w:before="52"/>
        <w:ind w:right="1093" w:firstLine="420"/>
        <w:jc w:val="left"/>
      </w:pPr>
      <w:r>
        <w:rPr/>
        <w:t>张炘炘</w:t>
      </w:r>
      <w:r>
        <w:rPr>
          <w:spacing w:val="-22"/>
        </w:rPr>
        <w:t> </w:t>
      </w:r>
      <w:r>
        <w:rPr/>
        <w:t>先生：中国国籍，</w:t>
      </w:r>
      <w:r>
        <w:rPr>
          <w:rFonts w:ascii="Times New Roman" w:hAnsi="Times New Roman" w:cs="Times New Roman" w:eastAsia="Times New Roman" w:hint="default"/>
        </w:rPr>
        <w:t>1952</w:t>
      </w:r>
      <w:r>
        <w:rPr/>
        <w:t>年出生，中共党员，大专学历，高级经济师。现任江苏三友集团股份 有限公司监事；南通市融升科技小额贷款有限公司董事、总经理，恩力能源科技（南通）有限公司董事。 </w:t>
      </w:r>
      <w:r>
        <w:rPr>
          <w:spacing w:val="-1"/>
        </w:rPr>
        <w:t>历任中国建设银行股份有限公司南通分行拨款员、信贷员，信贷科副科长、科长、国际业务部总经理、副</w:t>
      </w:r>
      <w:r>
        <w:rPr>
          <w:spacing w:val="-83"/>
        </w:rPr>
        <w:t> </w:t>
      </w:r>
      <w:r>
        <w:rPr>
          <w:spacing w:val="-83"/>
        </w:rPr>
      </w:r>
      <w:r>
        <w:rPr>
          <w:spacing w:val="-1"/>
        </w:rPr>
        <w:t>行长；中国建设银行股份有限公司江苏分行资产保全部总经理；中国建设银行股份有限公司南通分行调研</w:t>
      </w:r>
      <w:r>
        <w:rPr>
          <w:spacing w:val="-81"/>
        </w:rPr>
        <w:t> </w:t>
      </w:r>
      <w:r>
        <w:rPr>
          <w:spacing w:val="-81"/>
        </w:rPr>
      </w:r>
      <w:r>
        <w:rPr/>
        <w:t>员。</w:t>
      </w:r>
    </w:p>
    <w:p>
      <w:pPr>
        <w:pStyle w:val="BodyText"/>
        <w:spacing w:line="398" w:lineRule="auto" w:before="50"/>
        <w:ind w:left="154" w:right="1133" w:firstLine="420"/>
        <w:jc w:val="both"/>
      </w:pPr>
      <w:r>
        <w:rPr/>
        <w:t>张 蓓</w:t>
      </w:r>
      <w:r>
        <w:rPr>
          <w:spacing w:val="-44"/>
        </w:rPr>
        <w:t> </w:t>
      </w:r>
      <w:r>
        <w:rPr/>
        <w:t>女士：中国国籍，</w:t>
      </w:r>
      <w:r>
        <w:rPr>
          <w:rFonts w:ascii="Times New Roman" w:hAnsi="Times New Roman" w:cs="Times New Roman" w:eastAsia="Times New Roman" w:hint="default"/>
        </w:rPr>
        <w:t>1966</w:t>
      </w:r>
      <w:r>
        <w:rPr/>
        <w:t>年出生，中共党员，高中学历。现任江苏三友集团股份有限公司职工代 </w:t>
      </w:r>
      <w:r>
        <w:rPr>
          <w:spacing w:val="-1"/>
        </w:rPr>
        <w:t>表监事、纪委委员、南厂区党支部书记、工会干事。历任江苏三友集团股份有限公司缝纫车间工人、生产</w:t>
      </w:r>
      <w:r>
        <w:rPr>
          <w:spacing w:val="-83"/>
        </w:rPr>
        <w:t> </w:t>
      </w:r>
      <w:r>
        <w:rPr>
          <w:spacing w:val="-83"/>
        </w:rPr>
      </w:r>
      <w:r>
        <w:rPr/>
        <w:t>贸易部科员、办公室文员。</w:t>
      </w:r>
    </w:p>
    <w:p>
      <w:pPr>
        <w:pStyle w:val="BodyText"/>
        <w:spacing w:line="240" w:lineRule="auto" w:before="54"/>
        <w:ind w:left="574" w:right="0"/>
        <w:jc w:val="left"/>
      </w:pPr>
      <w:r>
        <w:rPr/>
        <w:t>葛 秋</w:t>
      </w:r>
      <w:r>
        <w:rPr>
          <w:spacing w:val="-44"/>
        </w:rPr>
        <w:t> </w:t>
      </w:r>
      <w:r>
        <w:rPr/>
        <w:t>先生：中国国籍，</w:t>
      </w:r>
      <w:r>
        <w:rPr>
          <w:rFonts w:ascii="Times New Roman" w:hAnsi="Times New Roman" w:cs="Times New Roman" w:eastAsia="Times New Roman" w:hint="default"/>
        </w:rPr>
        <w:t>1954</w:t>
      </w:r>
      <w:r>
        <w:rPr/>
        <w:t>年出生，中共党员，大专学历，助理工程师。现任江苏三友集团股份有</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限公司副总经理，控股子公司江苏北斗科技有限公司董事长、南通三友环保科技有限公司董事，全资子公</w:t>
      </w:r>
      <w:r>
        <w:rPr>
          <w:spacing w:val="-83"/>
        </w:rPr>
        <w:t> </w:t>
      </w:r>
      <w:r>
        <w:rPr>
          <w:spacing w:val="-83"/>
        </w:rPr>
      </w:r>
      <w:r>
        <w:rPr>
          <w:spacing w:val="-1"/>
        </w:rPr>
        <w:t>司江苏三友集团南通色织有限公司董事。历任南通市友谊服装厂厂长助理，南通三友时装有限公司驻日本</w:t>
      </w:r>
      <w:r>
        <w:rPr>
          <w:spacing w:val="-81"/>
        </w:rPr>
        <w:t> </w:t>
      </w:r>
      <w:r>
        <w:rPr>
          <w:spacing w:val="-81"/>
        </w:rPr>
      </w:r>
      <w:r>
        <w:rPr>
          <w:spacing w:val="-1"/>
        </w:rPr>
        <w:t>事务所所长，南通三和时装有限公司副总经理，江苏三友集团有限公司副总经理，江苏三友集团股份有限</w:t>
      </w:r>
      <w:r>
        <w:rPr>
          <w:spacing w:val="-83"/>
        </w:rPr>
        <w:t> </w:t>
      </w:r>
      <w:r>
        <w:rPr>
          <w:spacing w:val="-83"/>
        </w:rPr>
      </w:r>
      <w:r>
        <w:rPr/>
        <w:t>公司董事长。</w:t>
      </w:r>
    </w:p>
    <w:p>
      <w:pPr>
        <w:pStyle w:val="BodyText"/>
        <w:spacing w:line="400" w:lineRule="auto" w:before="46"/>
        <w:ind w:right="0" w:firstLine="420"/>
        <w:jc w:val="left"/>
      </w:pPr>
      <w:r>
        <w:rPr/>
        <w:t>成建良</w:t>
      </w:r>
      <w:r>
        <w:rPr>
          <w:spacing w:val="-22"/>
        </w:rPr>
        <w:t> </w:t>
      </w:r>
      <w:r>
        <w:rPr/>
        <w:t>先生：中国国籍，</w:t>
      </w:r>
      <w:r>
        <w:rPr>
          <w:rFonts w:ascii="Times New Roman" w:hAnsi="Times New Roman" w:cs="Times New Roman" w:eastAsia="Times New Roman" w:hint="default"/>
        </w:rPr>
        <w:t>1960</w:t>
      </w:r>
      <w:r>
        <w:rPr/>
        <w:t>年出生，中共党员，高中学历。现任江苏三友集团股份有限公司副总 </w:t>
      </w:r>
      <w:r>
        <w:rPr>
          <w:spacing w:val="-1"/>
        </w:rPr>
        <w:t>经理；控股子公司江苏三友环保能源科技有限公司董事长、总经理，南通三明时装有限公司执行董事、总</w:t>
      </w:r>
      <w:r>
        <w:rPr>
          <w:spacing w:val="-85"/>
        </w:rPr>
        <w:t> </w:t>
      </w:r>
      <w:r>
        <w:rPr>
          <w:spacing w:val="-85"/>
        </w:rPr>
      </w:r>
      <w:r>
        <w:rPr>
          <w:spacing w:val="-1"/>
        </w:rPr>
        <w:t>经理，江苏北斗科技有限公司监事。历任江苏三友集团有限公司生产贸易部经理、副总经理；控股子公司</w:t>
      </w:r>
      <w:r>
        <w:rPr>
          <w:spacing w:val="-86"/>
        </w:rPr>
        <w:t> </w:t>
      </w:r>
      <w:r>
        <w:rPr>
          <w:spacing w:val="-86"/>
        </w:rPr>
      </w:r>
      <w:r>
        <w:rPr/>
        <w:t>南通三明时装有限公司总经理。</w:t>
      </w:r>
    </w:p>
    <w:p>
      <w:pPr>
        <w:pStyle w:val="BodyText"/>
        <w:spacing w:line="398" w:lineRule="auto" w:before="52"/>
        <w:ind w:right="0" w:firstLine="420"/>
        <w:jc w:val="left"/>
      </w:pPr>
      <w:r>
        <w:rPr/>
        <w:t>沈永炎</w:t>
      </w:r>
      <w:r>
        <w:rPr>
          <w:spacing w:val="-22"/>
        </w:rPr>
        <w:t> </w:t>
      </w:r>
      <w:r>
        <w:rPr/>
        <w:t>先生：中国国籍，</w:t>
      </w:r>
      <w:r>
        <w:rPr>
          <w:rFonts w:ascii="Times New Roman" w:hAnsi="Times New Roman" w:cs="Times New Roman" w:eastAsia="Times New Roman" w:hint="default"/>
        </w:rPr>
        <w:t>1955</w:t>
      </w:r>
      <w:r>
        <w:rPr/>
        <w:t>年出生，中共党员，中专学历，助理工程师。现任江苏三友集团股份 </w:t>
      </w:r>
      <w:r>
        <w:rPr>
          <w:spacing w:val="-1"/>
        </w:rPr>
        <w:t>有限公司副总经理；控股子公司南通三友环保科技有限公司董事长、总经理。历任南通市友谊服装厂总经</w:t>
      </w:r>
      <w:r>
        <w:rPr>
          <w:spacing w:val="-83"/>
        </w:rPr>
        <w:t> </w:t>
      </w:r>
      <w:r>
        <w:rPr>
          <w:spacing w:val="-83"/>
        </w:rPr>
      </w:r>
      <w:r>
        <w:rPr/>
        <w:t>理助理，江苏三友集团有限公司副总经理。</w:t>
      </w:r>
    </w:p>
    <w:p>
      <w:pPr>
        <w:pStyle w:val="BodyText"/>
        <w:spacing w:line="398" w:lineRule="auto" w:before="54"/>
        <w:ind w:left="154" w:right="1131" w:firstLine="420"/>
        <w:jc w:val="both"/>
      </w:pPr>
      <w:r>
        <w:rPr/>
        <w:t>李 强</w:t>
      </w:r>
      <w:r>
        <w:rPr>
          <w:spacing w:val="-44"/>
        </w:rPr>
        <w:t> </w:t>
      </w:r>
      <w:r>
        <w:rPr/>
        <w:t>先生：中国国籍，</w:t>
      </w:r>
      <w:r>
        <w:rPr>
          <w:rFonts w:ascii="Times New Roman" w:hAnsi="Times New Roman" w:cs="Times New Roman" w:eastAsia="Times New Roman" w:hint="default"/>
        </w:rPr>
        <w:t>1975</w:t>
      </w:r>
      <w:r>
        <w:rPr/>
        <w:t>年出生，中共党员，大专学历。现任江苏三友集团股份有限公司副总经 </w:t>
      </w:r>
      <w:r>
        <w:rPr>
          <w:spacing w:val="-1"/>
        </w:rPr>
        <w:t>理，全资子公司江苏三友集团南通色织有限公司董事、总经理。历任江苏三友集团股份有限公司生产部经</w:t>
      </w:r>
      <w:r>
        <w:rPr>
          <w:spacing w:val="-83"/>
        </w:rPr>
        <w:t> </w:t>
      </w:r>
      <w:r>
        <w:rPr>
          <w:spacing w:val="-83"/>
        </w:rPr>
      </w:r>
      <w:r>
        <w:rPr/>
        <w:t>理、总经理助理，南通纽恩时装有限公司总经理。</w:t>
      </w:r>
    </w:p>
    <w:p>
      <w:pPr>
        <w:pStyle w:val="BodyText"/>
        <w:spacing w:line="400" w:lineRule="auto" w:before="54"/>
        <w:ind w:right="1130" w:firstLine="420"/>
        <w:jc w:val="both"/>
      </w:pPr>
      <w:r>
        <w:rPr/>
        <w:t>张 松</w:t>
      </w:r>
      <w:r>
        <w:rPr>
          <w:spacing w:val="-22"/>
        </w:rPr>
        <w:t> </w:t>
      </w:r>
      <w:r>
        <w:rPr/>
        <w:t>先生：中国国籍，</w:t>
      </w:r>
      <w:r>
        <w:rPr>
          <w:rFonts w:ascii="Times New Roman" w:hAnsi="Times New Roman" w:cs="Times New Roman" w:eastAsia="Times New Roman" w:hint="default"/>
        </w:rPr>
        <w:t>1966</w:t>
      </w:r>
      <w:r>
        <w:rPr/>
        <w:t>年出生，中共党员，本科学历，会计师，经济师。现任江苏三友集团股 </w:t>
      </w:r>
      <w:r>
        <w:rPr>
          <w:spacing w:val="-1"/>
        </w:rPr>
        <w:t>份有限公司财务负责人，财务部经理。历任江苏三友集团股份有限公司财务部副经理，南通三明时装有限</w:t>
      </w:r>
      <w:r>
        <w:rPr>
          <w:spacing w:val="-83"/>
        </w:rPr>
        <w:t> </w:t>
      </w:r>
      <w:r>
        <w:rPr>
          <w:spacing w:val="-83"/>
        </w:rPr>
      </w:r>
      <w:r>
        <w:rPr>
          <w:spacing w:val="-1"/>
        </w:rPr>
        <w:t>公司财务部经理，江苏三友集团南通色织有限公司事务部经理（主管财务），南通三和时装有限公司总账</w:t>
      </w:r>
      <w:r>
        <w:rPr>
          <w:spacing w:val="-86"/>
        </w:rPr>
        <w:t> </w:t>
      </w:r>
      <w:r>
        <w:rPr>
          <w:spacing w:val="-86"/>
        </w:rPr>
      </w:r>
      <w:r>
        <w:rPr/>
        <w:t>会计。</w:t>
      </w:r>
    </w:p>
    <w:p>
      <w:pPr>
        <w:pStyle w:val="BodyText"/>
        <w:spacing w:line="386" w:lineRule="auto" w:before="52"/>
        <w:ind w:right="0" w:firstLine="420"/>
        <w:jc w:val="left"/>
      </w:pPr>
      <w:r>
        <w:rPr/>
        <w:t>徐向东</w:t>
      </w:r>
      <w:r>
        <w:rPr>
          <w:spacing w:val="-1"/>
        </w:rPr>
        <w:t> </w:t>
      </w:r>
      <w:r>
        <w:rPr/>
        <w:t>先生：中国国籍，</w:t>
      </w:r>
      <w:r>
        <w:rPr>
          <w:rFonts w:ascii="Times New Roman" w:hAnsi="Times New Roman" w:cs="Times New Roman" w:eastAsia="Times New Roman" w:hint="default"/>
        </w:rPr>
        <w:t>1978</w:t>
      </w:r>
      <w:r>
        <w:rPr/>
        <w:t>年出生，中共党员，本科学历。现任江苏三友集团股份有限公司副总 </w:t>
      </w:r>
      <w:r>
        <w:rPr>
          <w:spacing w:val="-1"/>
        </w:rPr>
        <w:t>经理、董事会秘书、证券投资部经理。</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月份取得深圳证券交易所董事会秘书资格证书。历任江苏</w:t>
      </w:r>
      <w:r>
        <w:rPr>
          <w:spacing w:val="-84"/>
        </w:rPr>
        <w:t> </w:t>
      </w:r>
      <w:r>
        <w:rPr>
          <w:spacing w:val="-84"/>
        </w:rPr>
      </w:r>
      <w:r>
        <w:rPr/>
        <w:t>三友集团股份有限公司办公室职员、办公室副主任、证券投资部副经理、证券事务代表。</w:t>
      </w:r>
    </w:p>
    <w:p>
      <w:pPr>
        <w:spacing w:line="240" w:lineRule="auto" w:before="12"/>
        <w:rPr>
          <w:rFonts w:ascii="宋体" w:hAnsi="宋体" w:cs="宋体" w:eastAsia="宋体" w:hint="default"/>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060"/>
        <w:gridCol w:w="1984"/>
        <w:gridCol w:w="1559"/>
        <w:gridCol w:w="1276"/>
        <w:gridCol w:w="14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9"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陶泉波</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根据南通友谊实业有限公司股东会决议，盛东林、葛秋、成建良自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日起不再担任南通友谊 实业有限公司董事。</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3402"/>
        <w:gridCol w:w="1842"/>
        <w:gridCol w:w="710"/>
        <w:gridCol w:w="709"/>
        <w:gridCol w:w="1345"/>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5" w:right="194"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海花集团有限公司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南通新城集团有限公司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南通新城控股集团有限公司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上海海花汽车销售有限公司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上海业勤融资租赁有限公司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业勤投资（香港）有限公司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南通市港闸区资丰农村小额贷款有限公司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南通华容电子集团有限公司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江苏海门农村商业银行股份有限公司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江苏三友集团南通色织有限公司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江苏北斗科技有限公司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WANGXINGWEI</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业勤投资（香港）有限公司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WANGXINGWEI</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南通新城集团有限公司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WANGXINGWEI</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南通三友信息科技发展有限公司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陶泉波</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陶泉波</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海花集团有限公司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盛昭瀚</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南京大学工程管理学院</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名誉院长</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盛昭瀚</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江阴中南重工股份有限公司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罗会远</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北京市天银律师事务所</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合伙人、党支部书记</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罗会远</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北京天银（上海）律师事务所</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罗会远</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中国交通企业管理协会法律工作委员会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王普超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中国电信南通分公司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市场经营分析经理</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王普超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南通市开发区富华市政工程有限公司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蔡国新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蔡国新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中华全国总工会第十六届执行委员会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张炘炘</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南通市融升科技小额贷款有限公司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张炘炘</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恩力能源科技（南通）有限公司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  秋</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江苏北斗科技有限公司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  秋</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  秋</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江苏三友集团南通色织有限公司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3402"/>
        <w:gridCol w:w="1842"/>
        <w:gridCol w:w="710"/>
        <w:gridCol w:w="709"/>
        <w:gridCol w:w="1345"/>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江苏北斗科技有限公司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沈永炎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江苏三友集团南通色织有限公司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在其他单位任职情 况的说明</w:t>
            </w:r>
          </w:p>
        </w:tc>
        <w:tc>
          <w:tcPr>
            <w:tcW w:w="80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董事、监事、高级管理人员报酬情况" w:id="115"/>
      <w:bookmarkEnd w:id="115"/>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2"/>
        <w:rPr>
          <w:rFonts w:ascii="宋体" w:hAnsi="宋体" w:cs="宋体" w:eastAsia="宋体" w:hint="default"/>
          <w:sz w:val="12"/>
          <w:szCs w:val="12"/>
        </w:rPr>
      </w:pPr>
    </w:p>
    <w:p>
      <w:pPr>
        <w:pStyle w:val="BodyText"/>
        <w:spacing w:line="400" w:lineRule="auto" w:before="0"/>
        <w:ind w:right="0" w:firstLine="420"/>
        <w:jc w:val="left"/>
      </w:pPr>
      <w:r>
        <w:rPr>
          <w:spacing w:val="-1"/>
        </w:rPr>
        <w:t>公司内部董事、监事和高级管理人员的薪酬根据年度股东大会审议通过的《公司关于董事、监事、高</w:t>
      </w:r>
      <w:r>
        <w:rPr/>
        <w:t> </w:t>
      </w:r>
      <w:r>
        <w:rPr>
          <w:spacing w:val="-1"/>
        </w:rPr>
        <w:t>级管理人员薪酬分配方案的议案》，结合其履职情况及公司年度经营业绩的完成情况等进发放；公司第四</w:t>
      </w:r>
      <w:r>
        <w:rPr>
          <w:spacing w:val="-83"/>
        </w:rPr>
        <w:t> </w:t>
      </w:r>
      <w:r>
        <w:rPr>
          <w:spacing w:val="-83"/>
        </w:rPr>
      </w:r>
      <w:r>
        <w:rPr/>
        <w:t>届董事会独立董事津贴按照</w:t>
      </w:r>
      <w:r>
        <w:rPr>
          <w:rFonts w:ascii="Times New Roman" w:hAnsi="Times New Roman" w:cs="Times New Roman" w:eastAsia="Times New Roman" w:hint="default"/>
        </w:rPr>
        <w:t>2010</w:t>
      </w:r>
      <w:r>
        <w:rPr/>
        <w:t>年第二次临时股东大会审议通过独立董事年度津贴每人每年</w:t>
      </w:r>
      <w:r>
        <w:rPr>
          <w:rFonts w:ascii="Times New Roman" w:hAnsi="Times New Roman" w:cs="Times New Roman" w:eastAsia="Times New Roman" w:hint="default"/>
        </w:rPr>
        <w:t>3</w:t>
      </w:r>
      <w:r>
        <w:rPr/>
        <w:t>万元进行发 </w:t>
      </w:r>
      <w:r>
        <w:rPr>
          <w:spacing w:val="-1"/>
        </w:rPr>
        <w:t>放，公司负责独立董事为参加会议发生的差旅费、办公费等履职费用；公司第五届董事会独立董事以及第</w:t>
      </w:r>
      <w:r>
        <w:rPr>
          <w:spacing w:val="-83"/>
        </w:rPr>
        <w:t> </w:t>
      </w:r>
      <w:r>
        <w:rPr>
          <w:spacing w:val="-83"/>
        </w:rPr>
      </w:r>
      <w:r>
        <w:rPr/>
        <w:t>五届监事会外部监事津贴按照公司</w:t>
      </w:r>
      <w:r>
        <w:rPr>
          <w:rFonts w:ascii="Times New Roman" w:hAnsi="Times New Roman" w:cs="Times New Roman" w:eastAsia="Times New Roman" w:hint="default"/>
        </w:rPr>
        <w:t>2014</w:t>
      </w:r>
      <w:r>
        <w:rPr/>
        <w:t>年第一次临时股东大会审议通过的每人每年</w:t>
      </w:r>
      <w:r>
        <w:rPr>
          <w:rFonts w:ascii="Times New Roman" w:hAnsi="Times New Roman" w:cs="Times New Roman" w:eastAsia="Times New Roman" w:hint="default"/>
        </w:rPr>
        <w:t>3</w:t>
      </w:r>
      <w:r>
        <w:rPr/>
        <w:t>万元进行发放，公司 </w:t>
      </w:r>
      <w:r>
        <w:rPr>
          <w:spacing w:val="-1"/>
        </w:rPr>
        <w:t>负责独立董事以及外部监事为参加会议发生的差旅费、办公费等履职费用。报告期内，公司严格按照股东</w:t>
      </w:r>
      <w:r>
        <w:rPr>
          <w:spacing w:val="-82"/>
        </w:rPr>
        <w:t> </w:t>
      </w:r>
      <w:r>
        <w:rPr>
          <w:spacing w:val="-82"/>
        </w:rPr>
      </w:r>
      <w:r>
        <w:rPr/>
        <w:t>大会确定的薪酬发放标准支付董事、监事以及高级管理人员的报酬。</w:t>
      </w:r>
    </w:p>
    <w:p>
      <w:pPr>
        <w:spacing w:before="4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842"/>
        <w:gridCol w:w="851"/>
        <w:gridCol w:w="709"/>
        <w:gridCol w:w="1134"/>
        <w:gridCol w:w="1080"/>
        <w:gridCol w:w="1196"/>
        <w:gridCol w:w="1195"/>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从公司获得 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WANGXINGWEI</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陶泉波</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盛昭瀚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罗会远</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王普超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蔡国新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张炘炘</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张蓓</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842"/>
        <w:gridCol w:w="851"/>
        <w:gridCol w:w="709"/>
        <w:gridCol w:w="1134"/>
        <w:gridCol w:w="1080"/>
        <w:gridCol w:w="1196"/>
        <w:gridCol w:w="1195"/>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沈永炎</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徐向东</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田进</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朱萍</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孔平</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周静雯</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原职工监事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原董事、董秘、副总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帅建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原财务负责人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董事、监事、高级管理人员变动情况" w:id="116"/>
      <w:bookmarkEnd w:id="116"/>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1951"/>
        <w:gridCol w:w="1168"/>
        <w:gridCol w:w="1492"/>
        <w:gridCol w:w="4248"/>
      </w:tblGrid>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  萍</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连续担任公司独立董事达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年，董事会换届离任</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孔  平</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连续担任公司独立董事达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年，董事会换届离任</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罗会远</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年第一次临时股东大会选举当选公司第五 届董事会独立董事</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王普超</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年第一次临时股东大会选举当选公司第五 届董事会独立董事</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周静雯</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  蓓</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经职工代表民主选举担任公司职工代表监事</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  坚</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原董事、董秘、副总经理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  强</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帅  建</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原财务负责人</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  松</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陶泉波</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年第三次临时股东大会选举增补为公司第 五届董事会董事</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田  进</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根据相关要求，结合其所在单位的有关规定辞职</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盛昭瀚</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年第五次临时股东大会选举当选公司第五 届董事会独立董事</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徐向东</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徐向东</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五、报告期核心技术团队或关键技术人员变动情况（非董事、监事、高级管理人员）" w:id="117"/>
      <w:bookmarkEnd w:id="117"/>
      <w:r>
        <w:rPr>
          <w:b w:val="0"/>
          <w:bCs w:val="0"/>
        </w:rPr>
      </w: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报告期内，公司核心技术团队或关键技术人员未发生重大变动。</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六、公司员工情况" w:id="118"/>
      <w:bookmarkEnd w:id="118"/>
      <w:r>
        <w:rPr>
          <w:b w:val="0"/>
          <w:bCs w:val="0"/>
        </w:rPr>
      </w:r>
      <w:r>
        <w:rPr/>
        <w:t>六、公司员工情况</w:t>
      </w:r>
      <w:r>
        <w:rPr>
          <w:b w:val="0"/>
          <w:bCs w:val="0"/>
        </w:rPr>
      </w:r>
    </w:p>
    <w:p>
      <w:pPr>
        <w:spacing w:line="240" w:lineRule="auto" w:before="5"/>
        <w:rPr>
          <w:rFonts w:ascii="宋体" w:hAnsi="宋体" w:cs="宋体" w:eastAsia="宋体" w:hint="default"/>
          <w:b/>
          <w:bCs/>
          <w:sz w:val="26"/>
          <w:szCs w:val="26"/>
        </w:rPr>
      </w:pPr>
    </w:p>
    <w:p>
      <w:pPr>
        <w:pStyle w:val="BodyText"/>
        <w:spacing w:line="295" w:lineRule="auto" w:before="0"/>
        <w:ind w:right="0" w:firstLine="420"/>
        <w:jc w:val="left"/>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日，公司员工人数为</w:t>
      </w:r>
      <w:r>
        <w:rPr>
          <w:rFonts w:ascii="Times New Roman" w:hAnsi="Times New Roman" w:cs="Times New Roman" w:eastAsia="Times New Roman" w:hint="default"/>
        </w:rPr>
        <w:t>1562</w:t>
      </w:r>
      <w:r>
        <w:rPr/>
        <w:t>人，其中：生产管理人员</w:t>
      </w:r>
      <w:r>
        <w:rPr>
          <w:rFonts w:ascii="Times New Roman" w:hAnsi="Times New Roman" w:cs="Times New Roman" w:eastAsia="Times New Roman" w:hint="default"/>
        </w:rPr>
        <w:t>36</w:t>
      </w:r>
      <w:r>
        <w:rPr/>
        <w:t>人，销售管理人员</w:t>
      </w:r>
      <w:r>
        <w:rPr>
          <w:rFonts w:ascii="Times New Roman" w:hAnsi="Times New Roman" w:cs="Times New Roman" w:eastAsia="Times New Roman" w:hint="default"/>
        </w:rPr>
        <w:t>33</w:t>
      </w:r>
      <w:r>
        <w:rPr/>
        <w:t>人，</w:t>
      </w:r>
      <w:r>
        <w:rPr>
          <w:spacing w:val="3"/>
        </w:rPr>
        <w:t> </w:t>
      </w:r>
      <w:r>
        <w:rPr/>
        <w:t>技术管理人员</w:t>
      </w:r>
      <w:r>
        <w:rPr>
          <w:rFonts w:ascii="Times New Roman" w:hAnsi="Times New Roman" w:cs="Times New Roman" w:eastAsia="Times New Roman" w:hint="default"/>
        </w:rPr>
        <w:t>132</w:t>
      </w:r>
      <w:r>
        <w:rPr/>
        <w:t>人，财务管理人员</w:t>
      </w:r>
      <w:r>
        <w:rPr>
          <w:rFonts w:ascii="Times New Roman" w:hAnsi="Times New Roman" w:cs="Times New Roman" w:eastAsia="Times New Roman" w:hint="default"/>
        </w:rPr>
        <w:t>22</w:t>
      </w:r>
      <w:r>
        <w:rPr/>
        <w:t>人，行政管理人员</w:t>
      </w:r>
      <w:r>
        <w:rPr>
          <w:rFonts w:ascii="Times New Roman" w:hAnsi="Times New Roman" w:cs="Times New Roman" w:eastAsia="Times New Roman" w:hint="default"/>
        </w:rPr>
        <w:t>28</w:t>
      </w:r>
      <w:r>
        <w:rPr/>
        <w:t>人，生产工人</w:t>
      </w:r>
      <w:r>
        <w:rPr>
          <w:rFonts w:ascii="Times New Roman" w:hAnsi="Times New Roman" w:cs="Times New Roman" w:eastAsia="Times New Roman" w:hint="default"/>
        </w:rPr>
        <w:t>1311</w:t>
      </w:r>
      <w:r>
        <w:rPr/>
        <w:t>人。</w:t>
      </w:r>
    </w:p>
    <w:p>
      <w:pPr>
        <w:spacing w:line="240" w:lineRule="auto" w:before="1"/>
        <w:rPr>
          <w:rFonts w:ascii="宋体" w:hAnsi="宋体" w:cs="宋体" w:eastAsia="宋体" w:hint="default"/>
          <w:sz w:val="4"/>
          <w:szCs w:val="4"/>
        </w:rPr>
      </w:pPr>
    </w:p>
    <w:p>
      <w:pPr>
        <w:spacing w:line="5208" w:lineRule="exact"/>
        <w:ind w:left="2561"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3063240" cy="3307079"/>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8" cstate="print"/>
                    <a:stretch>
                      <a:fillRect/>
                    </a:stretch>
                  </pic:blipFill>
                  <pic:spPr>
                    <a:xfrm>
                      <a:off x="0" y="0"/>
                      <a:ext cx="3063240" cy="3307079"/>
                    </a:xfrm>
                    <a:prstGeom prst="rect">
                      <a:avLst/>
                    </a:prstGeom>
                  </pic:spPr>
                </pic:pic>
              </a:graphicData>
            </a:graphic>
          </wp:inline>
        </w:drawing>
      </w:r>
      <w:r>
        <w:rPr>
          <w:rFonts w:ascii="宋体" w:hAnsi="宋体" w:cs="宋体" w:eastAsia="宋体" w:hint="default"/>
          <w:position w:val="-103"/>
          <w:sz w:val="20"/>
          <w:szCs w:val="20"/>
        </w:rPr>
      </w:r>
    </w:p>
    <w:p>
      <w:pPr>
        <w:pStyle w:val="BodyText"/>
        <w:spacing w:line="240" w:lineRule="auto" w:before="34"/>
        <w:ind w:left="0" w:right="977"/>
        <w:jc w:val="center"/>
      </w:pPr>
      <w:r>
        <w:rPr/>
        <w:t>图表</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员工构成情况图</w:t>
      </w:r>
    </w:p>
    <w:p>
      <w:pPr>
        <w:pStyle w:val="BodyText"/>
        <w:spacing w:line="240" w:lineRule="auto" w:before="21"/>
        <w:ind w:left="574" w:right="0"/>
        <w:jc w:val="left"/>
      </w:pPr>
      <w:r>
        <w:rPr>
          <w:rFonts w:ascii="Times New Roman" w:hAnsi="Times New Roman" w:cs="Times New Roman" w:eastAsia="Times New Roman" w:hint="default"/>
        </w:rPr>
        <w:t>2</w:t>
      </w:r>
      <w:r>
        <w:rPr/>
        <w:t>、员工受教育程度构成如下：本科及大专</w:t>
      </w:r>
      <w:r>
        <w:rPr>
          <w:rFonts w:ascii="Times New Roman" w:hAnsi="Times New Roman" w:cs="Times New Roman" w:eastAsia="Times New Roman" w:hint="default"/>
        </w:rPr>
        <w:t>132</w:t>
      </w:r>
      <w:r>
        <w:rPr/>
        <w:t>人，中专</w:t>
      </w:r>
      <w:r>
        <w:rPr>
          <w:rFonts w:ascii="Times New Roman" w:hAnsi="Times New Roman" w:cs="Times New Roman" w:eastAsia="Times New Roman" w:hint="default"/>
        </w:rPr>
        <w:t>275</w:t>
      </w:r>
      <w:r>
        <w:rPr/>
        <w:t>人，中专以下</w:t>
      </w:r>
      <w:r>
        <w:rPr>
          <w:rFonts w:ascii="Times New Roman" w:hAnsi="Times New Roman" w:cs="Times New Roman" w:eastAsia="Times New Roman" w:hint="default"/>
        </w:rPr>
        <w:t>1155</w:t>
      </w:r>
      <w:r>
        <w:rPr/>
        <w:t>人。</w:t>
      </w:r>
    </w:p>
    <w:p>
      <w:pPr>
        <w:spacing w:line="240" w:lineRule="auto" w:before="3"/>
        <w:rPr>
          <w:rFonts w:ascii="宋体" w:hAnsi="宋体" w:cs="宋体" w:eastAsia="宋体" w:hint="default"/>
          <w:sz w:val="14"/>
          <w:szCs w:val="14"/>
        </w:rPr>
      </w:pPr>
    </w:p>
    <w:p>
      <w:pPr>
        <w:spacing w:line="4689" w:lineRule="exact"/>
        <w:ind w:left="2531"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3101273" cy="2978086"/>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9" cstate="print"/>
                    <a:stretch>
                      <a:fillRect/>
                    </a:stretch>
                  </pic:blipFill>
                  <pic:spPr>
                    <a:xfrm>
                      <a:off x="0" y="0"/>
                      <a:ext cx="3101273" cy="2978086"/>
                    </a:xfrm>
                    <a:prstGeom prst="rect">
                      <a:avLst/>
                    </a:prstGeom>
                  </pic:spPr>
                </pic:pic>
              </a:graphicData>
            </a:graphic>
          </wp:inline>
        </w:drawing>
      </w:r>
      <w:r>
        <w:rPr>
          <w:rFonts w:ascii="宋体" w:hAnsi="宋体" w:cs="宋体" w:eastAsia="宋体" w:hint="default"/>
          <w:position w:val="-93"/>
          <w:sz w:val="20"/>
          <w:szCs w:val="20"/>
        </w:rPr>
      </w:r>
    </w:p>
    <w:p>
      <w:pPr>
        <w:pStyle w:val="BodyText"/>
        <w:spacing w:line="240" w:lineRule="auto" w:before="138"/>
        <w:ind w:left="0" w:right="976"/>
        <w:jc w:val="center"/>
      </w:pPr>
      <w:r>
        <w:rPr/>
        <w:t>图表</w:t>
      </w:r>
      <w:r>
        <w:rPr>
          <w:rFonts w:ascii="宋体" w:hAnsi="宋体" w:cs="宋体" w:eastAsia="宋体" w:hint="default"/>
        </w:rPr>
        <w:t>2</w:t>
      </w:r>
      <w:r>
        <w:rPr>
          <w:rFonts w:ascii="宋体" w:hAnsi="宋体" w:cs="宋体" w:eastAsia="宋体" w:hint="default"/>
          <w:spacing w:val="-1"/>
        </w:rPr>
        <w:t> </w:t>
      </w:r>
      <w:r>
        <w:rPr/>
        <w:t>员工受教育程度构成情况</w:t>
      </w:r>
    </w:p>
    <w:p>
      <w:pPr>
        <w:spacing w:after="0" w:line="240" w:lineRule="auto"/>
        <w:jc w:val="cente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3" w:right="0"/>
        <w:jc w:val="left"/>
      </w:pPr>
      <w:r>
        <w:rPr>
          <w:rFonts w:ascii="Times New Roman" w:hAnsi="Times New Roman" w:cs="Times New Roman" w:eastAsia="Times New Roman" w:hint="default"/>
        </w:rPr>
        <w:t>3</w:t>
      </w:r>
      <w:r>
        <w:rPr/>
        <w:t>、员工薪酬政策及培训计划。 </w:t>
      </w:r>
      <w:r>
        <w:rPr>
          <w:spacing w:val="-1"/>
        </w:rPr>
        <w:t>公司按照《中华人民共和国劳动合同法》和国家及地方其他有关劳动法律、法规的规定，与职工签订</w:t>
      </w:r>
    </w:p>
    <w:p>
      <w:pPr>
        <w:pStyle w:val="BodyText"/>
        <w:spacing w:line="408" w:lineRule="auto" w:before="65"/>
        <w:ind w:right="0"/>
        <w:jc w:val="left"/>
      </w:pPr>
      <w:r>
        <w:rPr>
          <w:spacing w:val="-1"/>
        </w:rPr>
        <w:t>劳动合同，并按照有关规定为职工办理了基本养老、基本医疗、工伤、失业及生育等五项社会保险和住房</w:t>
      </w:r>
      <w:r>
        <w:rPr>
          <w:spacing w:val="-86"/>
        </w:rPr>
        <w:t> </w:t>
      </w:r>
      <w:r>
        <w:rPr>
          <w:spacing w:val="-86"/>
        </w:rPr>
      </w:r>
      <w:r>
        <w:rPr/>
        <w:t>公积金，每年均能按时足额缴纳。公司制定了《薪酬管理制度》并能得到有效地执行。</w:t>
      </w:r>
    </w:p>
    <w:p>
      <w:pPr>
        <w:pStyle w:val="BodyText"/>
        <w:spacing w:line="408" w:lineRule="auto" w:before="46"/>
        <w:ind w:right="0" w:firstLine="420"/>
        <w:jc w:val="left"/>
      </w:pPr>
      <w:r>
        <w:rPr>
          <w:spacing w:val="-1"/>
        </w:rPr>
        <w:t>公司重视员工培训，每年组织员工进行岗位技能、劳动安全等方面的培训和竞赛，为职工举办健康知</w:t>
      </w:r>
      <w:r>
        <w:rPr/>
        <w:t> 识讲座，提升了员工的综合素质，丰富了员工的健康常识。</w:t>
      </w:r>
    </w:p>
    <w:p>
      <w:pPr>
        <w:pStyle w:val="BodyText"/>
        <w:spacing w:line="240" w:lineRule="auto" w:before="46"/>
        <w:ind w:left="573" w:right="0"/>
        <w:jc w:val="left"/>
      </w:pPr>
      <w:r>
        <w:rPr>
          <w:rFonts w:ascii="Times New Roman" w:hAnsi="Times New Roman" w:cs="Times New Roman" w:eastAsia="Times New Roman" w:hint="default"/>
        </w:rPr>
        <w:t>4</w:t>
      </w:r>
      <w:r>
        <w:rPr/>
        <w:t>、公司没有需承担费用的离退休职工。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8"/>
        <w:jc w:val="center"/>
        <w:rPr>
          <w:b w:val="0"/>
          <w:bCs w:val="0"/>
        </w:rPr>
      </w:pPr>
      <w:bookmarkStart w:name="_TOC_250003" w:id="119"/>
      <w:bookmarkStart w:name="第九节 公司治理" w:id="120"/>
      <w:r>
        <w:rPr>
          <w:b w:val="0"/>
          <w:bCs w:val="0"/>
        </w:rPr>
      </w:r>
      <w:r>
        <w:rPr/>
        <w:t>第九节</w:t>
      </w:r>
      <w:r>
        <w:rPr>
          <w:spacing w:val="-5"/>
        </w:rPr>
        <w:t> </w:t>
      </w:r>
      <w:r>
        <w:rPr/>
        <w:t>公司治理</w:t>
      </w:r>
      <w:bookmarkEnd w:id="11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1"/>
      <w:bookmarkEnd w:id="121"/>
      <w:r>
        <w:rPr>
          <w:b w:val="0"/>
          <w:bCs w:val="0"/>
        </w:rPr>
      </w: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10" w:firstLine="420"/>
        <w:jc w:val="both"/>
      </w:pPr>
      <w:r>
        <w:rPr>
          <w:spacing w:val="-1"/>
        </w:rPr>
        <w:t>报告期内，公司严格按照《公司法》、《证券法》、《上市公司治理准则》等法律法规和规范性文件</w:t>
      </w:r>
      <w:r>
        <w:rPr/>
        <w:t> 的要求，进一步的完善公司法人治理结构，积极开展投资者关系管理工作，建立健全内部控制制度体系， </w:t>
      </w:r>
      <w:r>
        <w:rPr>
          <w:spacing w:val="-1"/>
        </w:rPr>
        <w:t>强化规范运作程序，提高信息披露质量，不断推进公司治理水平的提升。截至报告期末，公司治理的实际</w:t>
      </w:r>
      <w:r>
        <w:rPr>
          <w:spacing w:val="-86"/>
        </w:rPr>
        <w:t> </w:t>
      </w:r>
      <w:r>
        <w:rPr>
          <w:spacing w:val="-86"/>
        </w:rPr>
      </w:r>
      <w:r>
        <w:rPr/>
        <w:t>状况基本符合证监会以及深交所发布的有关上市公司治理的规范性文件的要求。</w:t>
      </w:r>
    </w:p>
    <w:p>
      <w:pPr>
        <w:pStyle w:val="BodyText"/>
        <w:spacing w:line="240" w:lineRule="auto" w:before="46"/>
        <w:ind w:left="573" w:right="0"/>
        <w:jc w:val="left"/>
      </w:pPr>
      <w:r>
        <w:rPr>
          <w:spacing w:val="-8"/>
        </w:rPr>
        <w:t>报告期内，公司根据证监会及深交所的有关规定，不断完善公司的内部控制制度，修订了《公司章程》、</w:t>
      </w:r>
    </w:p>
    <w:p>
      <w:pPr>
        <w:spacing w:line="240" w:lineRule="auto" w:before="10"/>
        <w:rPr>
          <w:rFonts w:ascii="宋体" w:hAnsi="宋体" w:cs="宋体" w:eastAsia="宋体" w:hint="default"/>
          <w:sz w:val="14"/>
          <w:szCs w:val="14"/>
        </w:rPr>
      </w:pPr>
    </w:p>
    <w:p>
      <w:pPr>
        <w:pStyle w:val="BodyText"/>
        <w:spacing w:line="410" w:lineRule="auto" w:before="0"/>
        <w:ind w:right="0"/>
        <w:jc w:val="left"/>
      </w:pPr>
      <w:r>
        <w:rPr>
          <w:spacing w:val="-1"/>
        </w:rPr>
        <w:t>《股东大会议事规则》、《董事会议事规则》、《监事会议事规则》。上市后至本报告披露日，公司经股</w:t>
      </w:r>
      <w:r>
        <w:rPr>
          <w:spacing w:val="-84"/>
        </w:rPr>
        <w:t> </w:t>
      </w:r>
      <w:r>
        <w:rPr>
          <w:spacing w:val="-84"/>
        </w:rPr>
      </w:r>
      <w:r>
        <w:rPr/>
        <w:t>东大会或董事会审议通过正在执行的制度如下：</w:t>
      </w:r>
    </w:p>
    <w:tbl>
      <w:tblPr>
        <w:tblW w:w="0" w:type="auto"/>
        <w:jc w:val="left"/>
        <w:tblInd w:w="148" w:type="dxa"/>
        <w:tblLayout w:type="fixed"/>
        <w:tblCellMar>
          <w:top w:w="0" w:type="dxa"/>
          <w:left w:w="0" w:type="dxa"/>
          <w:bottom w:w="0" w:type="dxa"/>
          <w:right w:w="0" w:type="dxa"/>
        </w:tblCellMar>
        <w:tblLook w:val="01E0"/>
      </w:tblPr>
      <w:tblGrid>
        <w:gridCol w:w="6088"/>
        <w:gridCol w:w="1652"/>
        <w:gridCol w:w="1800"/>
      </w:tblGrid>
      <w:tr>
        <w:trPr>
          <w:trHeight w:val="431" w:hRule="exact"/>
        </w:trPr>
        <w:tc>
          <w:tcPr>
            <w:tcW w:w="60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公司已建立制度</w:t>
            </w:r>
          </w:p>
        </w:tc>
        <w:tc>
          <w:tcPr>
            <w:tcW w:w="16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7"/>
              <w:ind w:right="399"/>
              <w:jc w:val="right"/>
              <w:rPr>
                <w:rFonts w:ascii="宋体" w:hAnsi="宋体" w:cs="宋体" w:eastAsia="宋体" w:hint="default"/>
                <w:sz w:val="21"/>
                <w:szCs w:val="21"/>
              </w:rPr>
            </w:pPr>
            <w:r>
              <w:rPr>
                <w:rFonts w:ascii="宋体" w:hAnsi="宋体" w:cs="宋体" w:eastAsia="宋体" w:hint="default"/>
                <w:sz w:val="21"/>
                <w:szCs w:val="21"/>
              </w:rPr>
              <w:t>披露时间</w:t>
            </w:r>
          </w:p>
        </w:tc>
        <w:tc>
          <w:tcPr>
            <w:tcW w:w="18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2006-7-27</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《董事会审计委员会议事规则》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2006-7-27</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《董事会提名委员会议事规则》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2006-7-27</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《董事会战略委员会议事规则》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2006-7-27</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《董事会薪酬与考核委员会议事规则》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2006-7-27</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《关联交易决策与控制制度》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2007-3-29</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《会计政策、会计估计及合并报表编制方法》</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2007-4-27</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《财务管理制度》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2007-6-29</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《重大信息内部报告制度》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2007-6-29</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2007-6-29</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2007-6-29</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《内部控制制度》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2007-8-10</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《接待和推广工作制度》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2007-8-10</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2008-3-29</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2008-3-29</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《审计委员会年报工作规程》</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2008-3-29</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pacing w:val="-1"/>
                <w:sz w:val="21"/>
              </w:rPr>
              <w:t>2010-3-31</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《独立董事工作细则》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25"/>
              <w:jc w:val="right"/>
              <w:rPr>
                <w:rFonts w:ascii="Times New Roman" w:hAnsi="Times New Roman" w:cs="Times New Roman" w:eastAsia="Times New Roman" w:hint="default"/>
                <w:sz w:val="21"/>
                <w:szCs w:val="21"/>
              </w:rPr>
            </w:pPr>
            <w:r>
              <w:rPr>
                <w:rFonts w:ascii="Times New Roman"/>
                <w:spacing w:val="-1"/>
                <w:sz w:val="21"/>
              </w:rPr>
              <w:t>2011-10-28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088"/>
        <w:gridCol w:w="1652"/>
        <w:gridCol w:w="1800"/>
      </w:tblGrid>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《对外担保管理制度》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2011-10-28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《子公司管理制度》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2011-10-28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《募集资金管理办法》</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2013-04-10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《风险投资管理制度》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2013-04-10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《远期结汇管理制度》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2013-08-29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《信息披露事务管理制度》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2013-10-29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2013-10-29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20"/>
              <w:jc w:val="left"/>
              <w:rPr>
                <w:rFonts w:ascii="宋体" w:hAnsi="宋体" w:cs="宋体" w:eastAsia="宋体" w:hint="default"/>
                <w:sz w:val="21"/>
                <w:szCs w:val="21"/>
              </w:rPr>
            </w:pPr>
            <w:r>
              <w:rPr>
                <w:rFonts w:ascii="宋体" w:hAnsi="宋体" w:cs="宋体" w:eastAsia="宋体" w:hint="default"/>
                <w:sz w:val="21"/>
                <w:szCs w:val="21"/>
              </w:rPr>
              <w:t>《董事、监事和高级管理人员所持本公司股份及其变动管理办法》</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2013-10-29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《对外提供财务资助管理制度》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2014-01-30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《投资理财管理制度》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2014-04-04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《内部控制缺陷认定标准》</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2014-04-25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2014-08-01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2014-08-01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2014-08-01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3"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2014-08-01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66"/>
              <w:jc w:val="right"/>
              <w:rPr>
                <w:rFonts w:ascii="宋体" w:hAnsi="宋体" w:cs="宋体" w:eastAsia="宋体" w:hint="default"/>
                <w:sz w:val="21"/>
                <w:szCs w:val="21"/>
              </w:rPr>
            </w:pPr>
            <w:r>
              <w:rPr>
                <w:rFonts w:ascii="宋体" w:hAnsi="宋体" w:cs="宋体" w:eastAsia="宋体" w:hint="default"/>
                <w:sz w:val="21"/>
                <w:szCs w:val="21"/>
              </w:rPr>
              <w:t>巨潮资讯网</w:t>
            </w:r>
          </w:p>
        </w:tc>
      </w:tr>
    </w:tbl>
    <w:p>
      <w:pPr>
        <w:pStyle w:val="BodyText"/>
        <w:spacing w:line="408" w:lineRule="auto" w:before="63"/>
        <w:ind w:left="573" w:right="4243"/>
        <w:jc w:val="left"/>
      </w:pPr>
      <w:r>
        <w:rPr/>
        <w:t>报告期内，公司未收到被监管部门采取行政监管措施的有关文件。 </w:t>
      </w:r>
      <w:r>
        <w:rPr>
          <w:rFonts w:ascii="宋体" w:hAnsi="宋体" w:cs="宋体" w:eastAsia="宋体" w:hint="default"/>
        </w:rPr>
        <w:t>1</w:t>
      </w:r>
      <w:r>
        <w:rPr/>
        <w:t>、关于股东与股东大会</w:t>
      </w:r>
    </w:p>
    <w:p>
      <w:pPr>
        <w:pStyle w:val="BodyText"/>
        <w:spacing w:line="408" w:lineRule="auto" w:before="46"/>
        <w:ind w:right="1131" w:firstLine="420"/>
        <w:jc w:val="both"/>
      </w:pPr>
      <w:r>
        <w:rPr>
          <w:spacing w:val="-1"/>
        </w:rPr>
        <w:t>公司严格按照《上市公司股东大会规则》、《公司章程》、《股东大会议事规则》等规则的规定和要</w:t>
      </w:r>
      <w:r>
        <w:rPr/>
        <w:t> </w:t>
      </w:r>
      <w:r>
        <w:rPr>
          <w:spacing w:val="-1"/>
        </w:rPr>
        <w:t>求召集、召开股东大会。报告期内公司利用现场、深圳证券交易所交易系统、互联网投票系统投票表决方</w:t>
      </w:r>
      <w:r>
        <w:rPr>
          <w:spacing w:val="-84"/>
        </w:rPr>
        <w:t> </w:t>
      </w:r>
      <w:r>
        <w:rPr>
          <w:spacing w:val="-84"/>
        </w:rPr>
      </w:r>
      <w:r>
        <w:rPr>
          <w:spacing w:val="-1"/>
        </w:rPr>
        <w:t>式有效保障了中小股东参与公司相关决策事项，平等地对待所有股东，保证中小股东享有平等地位，保证</w:t>
      </w:r>
      <w:r>
        <w:rPr>
          <w:spacing w:val="-83"/>
        </w:rPr>
        <w:t> </w:t>
      </w:r>
      <w:r>
        <w:rPr>
          <w:spacing w:val="-83"/>
        </w:rPr>
      </w:r>
      <w:r>
        <w:rPr>
          <w:spacing w:val="-1"/>
        </w:rPr>
        <w:t>其充分行使自己的权利。股东大会审议董事会、监事会换届选举的议案时，对于董事、监事候选人采取累</w:t>
      </w:r>
      <w:r>
        <w:rPr>
          <w:spacing w:val="-86"/>
        </w:rPr>
        <w:t> </w:t>
      </w:r>
      <w:r>
        <w:rPr>
          <w:spacing w:val="-86"/>
        </w:rPr>
      </w:r>
      <w:r>
        <w:rPr/>
        <w:t>计投票制度，充分保障了中小股东的合法权益。</w:t>
      </w:r>
    </w:p>
    <w:p>
      <w:pPr>
        <w:pStyle w:val="BodyText"/>
        <w:spacing w:line="408" w:lineRule="auto" w:before="46"/>
        <w:ind w:left="574" w:right="1092"/>
        <w:jc w:val="left"/>
      </w:pPr>
      <w:r>
        <w:rPr>
          <w:rFonts w:ascii="宋体" w:hAnsi="宋体" w:cs="宋体" w:eastAsia="宋体" w:hint="default"/>
        </w:rPr>
        <w:t>2</w:t>
      </w:r>
      <w:r>
        <w:rPr/>
        <w:t>、关于公司与控股股东 公司拥有独立的业务和自主经营能力，在业务、资产、人员、机构、财务方面完全独立于控股股东，</w:t>
      </w:r>
    </w:p>
    <w:p>
      <w:pPr>
        <w:pStyle w:val="BodyText"/>
        <w:spacing w:line="408" w:lineRule="auto" w:before="46"/>
        <w:ind w:right="1133"/>
        <w:jc w:val="both"/>
      </w:pPr>
      <w:r>
        <w:rPr>
          <w:spacing w:val="-1"/>
        </w:rPr>
        <w:t>公司董事会、监事会和内部机构运作独立。报告期内，公司控股股东行为规范，能依法行使其权利，并承</w:t>
      </w:r>
      <w:r>
        <w:rPr>
          <w:spacing w:val="-83"/>
        </w:rPr>
        <w:t> </w:t>
      </w:r>
      <w:r>
        <w:rPr>
          <w:spacing w:val="-83"/>
        </w:rPr>
      </w:r>
      <w:r>
        <w:rPr/>
        <w:t>担相应义务，未发生超越股东大会及董事会而直接干预公司经营与决策的行为。</w:t>
      </w:r>
    </w:p>
    <w:p>
      <w:pPr>
        <w:pStyle w:val="BodyText"/>
        <w:spacing w:line="408" w:lineRule="auto" w:before="46"/>
        <w:ind w:left="573" w:right="0"/>
        <w:jc w:val="left"/>
      </w:pPr>
      <w:r>
        <w:rPr>
          <w:rFonts w:ascii="宋体" w:hAnsi="宋体" w:cs="宋体" w:eastAsia="宋体" w:hint="default"/>
        </w:rPr>
        <w:t>3</w:t>
      </w:r>
      <w:r>
        <w:rPr/>
        <w:t>、关于董事与董事会 </w:t>
      </w:r>
      <w:r>
        <w:rPr>
          <w:spacing w:val="-1"/>
        </w:rPr>
        <w:t>报告期内公司完成了董事会换届选举工作，公司严格按照《公司法》以及公司《章程》和《董事会议</w:t>
      </w:r>
    </w:p>
    <w:p>
      <w:pPr>
        <w:pStyle w:val="BodyText"/>
        <w:spacing w:line="408" w:lineRule="auto" w:before="46"/>
        <w:ind w:right="1131"/>
        <w:jc w:val="both"/>
      </w:pPr>
      <w:r>
        <w:rPr>
          <w:spacing w:val="-1"/>
        </w:rPr>
        <w:t>事规则》规定的选聘程序选举董事，公司董事会现有董事</w:t>
      </w:r>
      <w:r>
        <w:rPr>
          <w:rFonts w:ascii="宋体" w:hAnsi="宋体" w:cs="宋体" w:eastAsia="宋体" w:hint="default"/>
          <w:spacing w:val="-1"/>
        </w:rPr>
        <w:t>7</w:t>
      </w:r>
      <w:r>
        <w:rPr>
          <w:spacing w:val="-1"/>
        </w:rPr>
        <w:t>名，其中独立董事</w:t>
      </w:r>
      <w:r>
        <w:rPr>
          <w:rFonts w:ascii="宋体" w:hAnsi="宋体" w:cs="宋体" w:eastAsia="宋体" w:hint="default"/>
          <w:spacing w:val="-1"/>
        </w:rPr>
        <w:t>3</w:t>
      </w:r>
      <w:r>
        <w:rPr>
          <w:spacing w:val="-1"/>
        </w:rPr>
        <w:t>名。公司全体董事能够依据</w:t>
      </w:r>
      <w:r>
        <w:rPr>
          <w:spacing w:val="-86"/>
        </w:rPr>
        <w:t> </w:t>
      </w:r>
      <w:r>
        <w:rPr>
          <w:spacing w:val="-86"/>
        </w:rPr>
      </w:r>
      <w:r>
        <w:rPr>
          <w:spacing w:val="-1"/>
        </w:rPr>
        <w:t>深圳证券交易所《中小企业板上市公司董事行为指引》以及公司《董事会议事规则》、《独立董事工作细</w:t>
      </w:r>
      <w:r>
        <w:rPr>
          <w:spacing w:val="-83"/>
        </w:rPr>
        <w:t> </w:t>
      </w:r>
      <w:r>
        <w:rPr>
          <w:spacing w:val="-83"/>
        </w:rPr>
      </w:r>
      <w:r>
        <w:rPr>
          <w:spacing w:val="-1"/>
        </w:rPr>
        <w:t>则》等制度开展工作，出席董事会和股东大会，积极参加相关法律法规知识的培训和学习，勤勉尽责地履</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118" w:hanging="420"/>
        <w:jc w:val="left"/>
      </w:pPr>
      <w:r>
        <w:rPr/>
        <w:t>行权利、义务和责任。董事会下设的各专门委员会良好的运作，确保了董事会科学的决策。 </w:t>
      </w:r>
      <w:r>
        <w:rPr>
          <w:rFonts w:ascii="宋体" w:hAnsi="宋体" w:cs="宋体" w:eastAsia="宋体" w:hint="default"/>
        </w:rPr>
        <w:t>4</w:t>
      </w:r>
      <w:r>
        <w:rPr/>
        <w:t>、关于监事与监事会 </w:t>
      </w:r>
      <w:r>
        <w:rPr>
          <w:spacing w:val="-1"/>
        </w:rPr>
        <w:t>公司监事会由</w:t>
      </w:r>
      <w:r>
        <w:rPr>
          <w:rFonts w:ascii="宋体" w:hAnsi="宋体" w:cs="宋体" w:eastAsia="宋体" w:hint="default"/>
          <w:spacing w:val="-1"/>
        </w:rPr>
        <w:t>3</w:t>
      </w:r>
      <w:r>
        <w:rPr>
          <w:spacing w:val="-1"/>
        </w:rPr>
        <w:t>名监事组成，其中职工代表监事</w:t>
      </w:r>
      <w:r>
        <w:rPr>
          <w:rFonts w:ascii="宋体" w:hAnsi="宋体" w:cs="宋体" w:eastAsia="宋体" w:hint="default"/>
          <w:spacing w:val="-1"/>
        </w:rPr>
        <w:t>1</w:t>
      </w:r>
      <w:r>
        <w:rPr>
          <w:spacing w:val="-1"/>
        </w:rPr>
        <w:t>名，监事会人数及人员结构符合有关法律、法规的要</w:t>
      </w:r>
    </w:p>
    <w:p>
      <w:pPr>
        <w:pStyle w:val="BodyText"/>
        <w:spacing w:line="408" w:lineRule="auto" w:before="46"/>
        <w:ind w:left="154" w:right="1133"/>
        <w:jc w:val="both"/>
      </w:pPr>
      <w:r>
        <w:rPr>
          <w:spacing w:val="-1"/>
        </w:rPr>
        <w:t>求。报告期内，公司监事会严格按照《公司章程》及《监事会议事规则》等相关规定召集召开监事会，各</w:t>
      </w:r>
      <w:r>
        <w:rPr>
          <w:spacing w:val="-85"/>
        </w:rPr>
        <w:t> </w:t>
      </w:r>
      <w:r>
        <w:rPr>
          <w:spacing w:val="-85"/>
        </w:rPr>
      </w:r>
      <w:r>
        <w:rPr>
          <w:spacing w:val="-1"/>
        </w:rPr>
        <w:t>监事认真出席监事会会议，认真履行职责，对公司重大事项、关联交易、财务状况以及董事、高管人员的</w:t>
      </w:r>
      <w:r>
        <w:rPr>
          <w:spacing w:val="-83"/>
        </w:rPr>
        <w:t> </w:t>
      </w:r>
      <w:r>
        <w:rPr>
          <w:spacing w:val="-83"/>
        </w:rPr>
      </w:r>
      <w:r>
        <w:rPr/>
        <w:t>履职情况等进行监督并发表意见，维护了公司及股东的合法权益。</w:t>
      </w:r>
    </w:p>
    <w:p>
      <w:pPr>
        <w:pStyle w:val="BodyText"/>
        <w:spacing w:line="408" w:lineRule="auto" w:before="46"/>
        <w:ind w:left="574" w:right="0" w:firstLine="106"/>
        <w:jc w:val="left"/>
      </w:pPr>
      <w:r>
        <w:rPr>
          <w:rFonts w:ascii="宋体" w:hAnsi="宋体" w:cs="宋体" w:eastAsia="宋体" w:hint="default"/>
        </w:rPr>
        <w:t>5</w:t>
      </w:r>
      <w:r>
        <w:rPr/>
        <w:t>、关于信息披露与投资者关系管理 </w:t>
      </w:r>
      <w:r>
        <w:rPr>
          <w:spacing w:val="-1"/>
        </w:rPr>
        <w:t>公司制定了《信息披露事务管理制度》和《投资者关系管理制度》，指定董事会秘书具体负责信息披</w:t>
      </w:r>
    </w:p>
    <w:p>
      <w:pPr>
        <w:pStyle w:val="BodyText"/>
        <w:spacing w:line="408" w:lineRule="auto" w:before="46"/>
        <w:ind w:left="154" w:right="1131"/>
        <w:jc w:val="both"/>
      </w:pPr>
      <w:r>
        <w:rPr>
          <w:spacing w:val="-1"/>
        </w:rPr>
        <w:t>露工作和投资者关系管理工作，接待股东的来访和咨询，指定“巨潮资讯网”和《上海证券报》为公司信</w:t>
      </w:r>
      <w:r>
        <w:rPr>
          <w:spacing w:val="-83"/>
        </w:rPr>
        <w:t> </w:t>
      </w:r>
      <w:r>
        <w:rPr>
          <w:spacing w:val="-83"/>
        </w:rPr>
      </w:r>
      <w:r>
        <w:rPr>
          <w:spacing w:val="-1"/>
        </w:rPr>
        <w:t>息披露的媒体。同时，公司通过建立投资者专线以及深交所互动易平台以及召开业绩说明会等方式与投资</w:t>
      </w:r>
      <w:r>
        <w:rPr>
          <w:spacing w:val="-81"/>
        </w:rPr>
        <w:t> </w:t>
      </w:r>
      <w:r>
        <w:rPr>
          <w:spacing w:val="-81"/>
        </w:rPr>
      </w:r>
      <w:r>
        <w:rPr/>
        <w:t>者进行沟通交流，确保公司所有股东公平的获得公司相关信息。</w:t>
      </w:r>
    </w:p>
    <w:p>
      <w:pPr>
        <w:pStyle w:val="BodyText"/>
        <w:spacing w:line="408" w:lineRule="auto" w:before="46"/>
        <w:ind w:left="574" w:right="0"/>
        <w:jc w:val="left"/>
      </w:pPr>
      <w:r>
        <w:rPr>
          <w:rFonts w:ascii="宋体" w:hAnsi="宋体" w:cs="宋体" w:eastAsia="宋体" w:hint="default"/>
        </w:rPr>
        <w:t>6</w:t>
      </w:r>
      <w:r>
        <w:rPr/>
        <w:t>、关于相关利益者 </w:t>
      </w:r>
      <w:r>
        <w:rPr>
          <w:spacing w:val="-1"/>
        </w:rPr>
        <w:t>公司充分尊重和维护相关利益者的合法权益，加强与各方的沟通和交流，努力实现股东、员工、社会</w:t>
      </w:r>
    </w:p>
    <w:p>
      <w:pPr>
        <w:pStyle w:val="BodyText"/>
        <w:spacing w:line="240" w:lineRule="auto" w:before="46"/>
        <w:ind w:left="154" w:right="0"/>
        <w:jc w:val="left"/>
      </w:pPr>
      <w:r>
        <w:rPr/>
        <w:t>等各方利益的均衡，以推动公司持续、稳定、健康地发展。</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38" w:lineRule="auto" w:before="117"/>
        <w:ind w:left="153" w:right="5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公司治理与《公司法》和中国证监会相关规定的要求不存在差异。</w:t>
      </w:r>
    </w:p>
    <w:p>
      <w:pPr>
        <w:spacing w:before="42"/>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line="240" w:lineRule="auto" w:before="12"/>
        <w:rPr>
          <w:rFonts w:ascii="宋体" w:hAnsi="宋体" w:cs="宋体" w:eastAsia="宋体" w:hint="default"/>
          <w:sz w:val="12"/>
          <w:szCs w:val="12"/>
        </w:rPr>
      </w:pPr>
    </w:p>
    <w:p>
      <w:pPr>
        <w:pStyle w:val="BodyText"/>
        <w:spacing w:line="408" w:lineRule="auto" w:before="0"/>
        <w:ind w:right="0" w:firstLine="420"/>
        <w:jc w:val="left"/>
      </w:pPr>
      <w:r>
        <w:rPr>
          <w:spacing w:val="-1"/>
        </w:rPr>
        <w:t>为规范公司的内幕信息管理，加强内幕信息保密工作，维护信息披露的公平原则，公司已根据《公司</w:t>
      </w:r>
      <w:r>
        <w:rPr/>
        <w:t> </w:t>
      </w:r>
      <w:r>
        <w:rPr>
          <w:spacing w:val="-10"/>
        </w:rPr>
        <w:t>法》、《证券法》、中国证监会《关于上市公司建立内幕信息知情人登记管理制度的规定》、深圳证券交易所</w:t>
      </w:r>
    </w:p>
    <w:p>
      <w:pPr>
        <w:pStyle w:val="BodyText"/>
        <w:spacing w:line="386" w:lineRule="auto" w:before="46"/>
        <w:ind w:right="1118"/>
        <w:jc w:val="left"/>
      </w:pPr>
      <w:r>
        <w:rPr/>
        <w:t>《股票上市规则</w:t>
      </w:r>
      <w:r>
        <w:rPr>
          <w:spacing w:val="-105"/>
        </w:rPr>
        <w:t>》、</w:t>
      </w:r>
      <w:r>
        <w:rPr/>
        <w:t>《</w:t>
      </w:r>
      <w:r>
        <w:rPr>
          <w:spacing w:val="-2"/>
        </w:rPr>
        <w:t>中</w:t>
      </w:r>
      <w:r>
        <w:rPr/>
        <w:t>小企业板信息披露业务备忘录第</w:t>
      </w:r>
      <w:r>
        <w:rPr>
          <w:spacing w:val="-5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号：内幕信息知情人员登记管理相关事项》等 有关法律</w:t>
      </w:r>
      <w:r>
        <w:rPr>
          <w:spacing w:val="-4"/>
        </w:rPr>
        <w:t>、</w:t>
      </w:r>
      <w:r>
        <w:rPr/>
        <w:t>法规</w:t>
      </w:r>
      <w:r>
        <w:rPr>
          <w:spacing w:val="-4"/>
        </w:rPr>
        <w:t>、</w:t>
      </w:r>
      <w:r>
        <w:rPr/>
        <w:t>规范性文件</w:t>
      </w:r>
      <w:r>
        <w:rPr>
          <w:spacing w:val="-4"/>
        </w:rPr>
        <w:t>及</w:t>
      </w:r>
      <w:r>
        <w:rPr/>
        <w:t>《公司章程</w:t>
      </w:r>
      <w:r>
        <w:rPr>
          <w:spacing w:val="-105"/>
        </w:rPr>
        <w:t>》</w:t>
      </w:r>
      <w:r>
        <w:rPr>
          <w:spacing w:val="-110"/>
        </w:rPr>
        <w:t>、</w:t>
      </w:r>
      <w:r>
        <w:rPr/>
        <w:t>《信息披露事务管理制度</w:t>
      </w:r>
      <w:r>
        <w:rPr>
          <w:spacing w:val="-4"/>
        </w:rPr>
        <w:t>》</w:t>
      </w:r>
      <w:r>
        <w:rPr/>
        <w:t>等的有关规定</w:t>
      </w:r>
      <w:r>
        <w:rPr>
          <w:spacing w:val="-4"/>
        </w:rPr>
        <w:t>，</w:t>
      </w:r>
      <w:r>
        <w:rPr/>
        <w:t>制定了并完善了</w:t>
      </w:r>
    </w:p>
    <w:p>
      <w:pPr>
        <w:pStyle w:val="BodyText"/>
        <w:spacing w:line="441" w:lineRule="auto" w:before="66"/>
        <w:ind w:left="573" w:right="0" w:hanging="420"/>
        <w:jc w:val="left"/>
      </w:pPr>
      <w:r>
        <w:rPr>
          <w:spacing w:val="-7"/>
        </w:rPr>
        <w:t>《内幕信息知情人登记管理制度》。</w:t>
      </w:r>
      <w:r>
        <w:rPr>
          <w:spacing w:val="-98"/>
        </w:rPr>
        <w:t> </w:t>
      </w:r>
      <w:r>
        <w:rPr>
          <w:spacing w:val="-98"/>
        </w:rPr>
      </w:r>
      <w:r>
        <w:rPr>
          <w:spacing w:val="-1"/>
        </w:rPr>
        <w:t>报告期内，公司能够严格按照《内幕信息知情人登记管理制度》的要求对定期报告等重大内幕信息知</w:t>
      </w:r>
    </w:p>
    <w:p>
      <w:pPr>
        <w:pStyle w:val="BodyText"/>
        <w:spacing w:line="408" w:lineRule="auto" w:before="16"/>
        <w:ind w:right="1024"/>
        <w:jc w:val="left"/>
      </w:pPr>
      <w:r>
        <w:rPr>
          <w:spacing w:val="-3"/>
        </w:rPr>
        <w:t>情人进行登记备案，并根据规定提示相关人员在敏感期间禁止买卖公司股票；对尚未公开披露的重大事项，</w:t>
      </w:r>
      <w:r>
        <w:rPr>
          <w:spacing w:val="-91"/>
        </w:rPr>
        <w:t> </w:t>
      </w:r>
      <w:r>
        <w:rPr>
          <w:spacing w:val="-91"/>
        </w:rPr>
      </w:r>
      <w:r>
        <w:rPr/>
        <w:t>公司能够将信息知情人范围控制到最小，并明确内幕信息知情人的保密责任，切实防范内幕信息知情人滥</w:t>
      </w:r>
      <w:r>
        <w:rPr/>
        <w:t> 用知情权，泄露内幕信息或从事内幕交易等违规行为，进一步规范了公司内幕信息的管理，保证了信息披 露的公平原则。经自查，报告期内公司未发生内幕信息知情人利用内幕信息买卖公司股份的情况。</w:t>
      </w:r>
    </w:p>
    <w:p>
      <w:pPr>
        <w:spacing w:after="0" w:line="40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报告期内召开的年度股东大会和临时股东大会的有关情况" w:id="122"/>
      <w:bookmarkEnd w:id="122"/>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本报告期年度股东大会情况" w:id="123"/>
      <w:bookmarkEnd w:id="123"/>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51"/>
        <w:gridCol w:w="851"/>
        <w:gridCol w:w="3980"/>
        <w:gridCol w:w="1407"/>
        <w:gridCol w:w="883"/>
        <w:gridCol w:w="1595"/>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4"/>
              <w:ind w:left="22" w:right="52"/>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度股东大 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年度董事会工作报告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《公司</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年度监事会工作报告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财务决算报告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35"/>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125"/>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年年度报告及其摘要</w:t>
            </w:r>
            <w:r>
              <w:rPr>
                <w:rFonts w:ascii="宋体" w:hAnsi="宋体" w:cs="宋体" w:eastAsia="宋体" w:hint="default"/>
                <w:spacing w:val="-90"/>
                <w:sz w:val="18"/>
                <w:szCs w:val="18"/>
              </w:rPr>
              <w:t>》</w:t>
            </w:r>
            <w:r>
              <w:rPr>
                <w:rFonts w:ascii="宋体" w:hAnsi="宋体" w:cs="宋体" w:eastAsia="宋体" w:hint="default"/>
                <w:spacing w:val="-35"/>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125"/>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董</w:t>
            </w:r>
          </w:p>
          <w:p>
            <w:pPr>
              <w:pStyle w:val="TableParagraph"/>
              <w:spacing w:line="300" w:lineRule="auto" w:before="63"/>
              <w:ind w:left="22" w:right="64"/>
              <w:jc w:val="left"/>
              <w:rPr>
                <w:rFonts w:ascii="Times New Roman" w:hAnsi="Times New Roman" w:cs="Times New Roman" w:eastAsia="Times New Roman" w:hint="default"/>
                <w:sz w:val="18"/>
                <w:szCs w:val="18"/>
              </w:rPr>
            </w:pPr>
            <w:r>
              <w:rPr>
                <w:rFonts w:ascii="宋体" w:hAnsi="宋体" w:cs="宋体" w:eastAsia="宋体" w:hint="default"/>
                <w:sz w:val="18"/>
                <w:szCs w:val="18"/>
              </w:rPr>
              <w:t>事会关于募集资金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年度存放与使用情况的专 </w:t>
            </w:r>
            <w:r>
              <w:rPr>
                <w:rFonts w:ascii="宋体" w:hAnsi="宋体" w:cs="宋体" w:eastAsia="宋体" w:hint="default"/>
                <w:spacing w:val="-14"/>
                <w:sz w:val="18"/>
                <w:szCs w:val="18"/>
              </w:rPr>
              <w:t>项报告》；</w:t>
            </w:r>
            <w:r>
              <w:rPr>
                <w:rFonts w:ascii="Times New Roman" w:hAnsi="Times New Roman" w:cs="Times New Roman" w:eastAsia="Times New Roman" w:hint="default"/>
                <w:spacing w:val="-14"/>
                <w:sz w:val="18"/>
                <w:szCs w:val="18"/>
              </w:rPr>
              <w:t>7</w:t>
            </w:r>
            <w:r>
              <w:rPr>
                <w:rFonts w:ascii="宋体" w:hAnsi="宋体" w:cs="宋体" w:eastAsia="宋体" w:hint="default"/>
                <w:spacing w:val="-14"/>
                <w:sz w:val="18"/>
                <w:szCs w:val="18"/>
              </w:rPr>
              <w:t>、《关于续聘会计师事务所的议案》；</w:t>
            </w:r>
            <w:r>
              <w:rPr>
                <w:rFonts w:ascii="Times New Roman" w:hAnsi="Times New Roman" w:cs="Times New Roman" w:eastAsia="Times New Roman" w:hint="default"/>
                <w:spacing w:val="-14"/>
                <w:sz w:val="18"/>
                <w:szCs w:val="18"/>
              </w:rPr>
              <w:t>8</w:t>
            </w:r>
          </w:p>
          <w:p>
            <w:pPr>
              <w:pStyle w:val="TableParagraph"/>
              <w:spacing w:line="319" w:lineRule="auto" w:before="13"/>
              <w:ind w:left="22" w:right="21"/>
              <w:jc w:val="left"/>
              <w:rPr>
                <w:rFonts w:ascii="宋体" w:hAnsi="宋体" w:cs="宋体" w:eastAsia="宋体" w:hint="default"/>
                <w:sz w:val="18"/>
                <w:szCs w:val="18"/>
              </w:rPr>
            </w:pPr>
            <w:r>
              <w:rPr>
                <w:rFonts w:ascii="宋体" w:hAnsi="宋体" w:cs="宋体" w:eastAsia="宋体" w:hint="default"/>
                <w:spacing w:val="-3"/>
                <w:sz w:val="18"/>
                <w:szCs w:val="18"/>
              </w:rPr>
              <w:t>《公司关于董事、监事、高管人员薪酬分配方案的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3"/>
                <w:sz w:val="18"/>
                <w:szCs w:val="18"/>
              </w:rPr>
              <w:t>议案》。</w:t>
            </w:r>
          </w:p>
        </w:tc>
        <w:tc>
          <w:tcPr>
            <w:tcW w:w="1407" w:type="dxa"/>
            <w:tcBorders>
              <w:top w:val="single" w:sz="4" w:space="0" w:color="000000"/>
              <w:left w:val="single" w:sz="13" w:space="0" w:color="FFFFFF"/>
              <w:bottom w:val="single" w:sz="4" w:space="0" w:color="000000"/>
              <w:right w:val="single" w:sz="4" w:space="0" w:color="000000"/>
            </w:tcBorders>
          </w:tcPr>
          <w:p>
            <w:pPr>
              <w:pStyle w:val="TableParagraph"/>
              <w:spacing w:line="310" w:lineRule="atLeast" w:before="133"/>
              <w:ind w:right="22"/>
              <w:jc w:val="both"/>
              <w:rPr>
                <w:rFonts w:ascii="宋体" w:hAnsi="宋体" w:cs="宋体" w:eastAsia="宋体" w:hint="default"/>
                <w:sz w:val="18"/>
                <w:szCs w:val="18"/>
              </w:rPr>
            </w:pPr>
            <w:r>
              <w:rPr>
                <w:rFonts w:ascii="宋体" w:hAnsi="宋体" w:cs="宋体" w:eastAsia="宋体" w:hint="default"/>
                <w:sz w:val="18"/>
                <w:szCs w:val="18"/>
              </w:rPr>
              <w:t>采取现场记名投 票与网络投票表 决相结合的方式 审议通过了全部 </w:t>
            </w:r>
            <w:r>
              <w:rPr>
                <w:rFonts w:ascii="宋体" w:hAnsi="宋体" w:cs="宋体" w:eastAsia="宋体" w:hint="default"/>
                <w:spacing w:val="-10"/>
                <w:sz w:val="18"/>
                <w:szCs w:val="18"/>
              </w:rPr>
              <w:t>议案，公司独立董</w:t>
            </w:r>
          </w:p>
          <w:p>
            <w:pPr>
              <w:pStyle w:val="TableParagraph"/>
              <w:spacing w:line="116"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both"/>
              <w:rPr>
                <w:rFonts w:ascii="宋体" w:hAnsi="宋体" w:cs="宋体" w:eastAsia="宋体" w:hint="default"/>
                <w:sz w:val="18"/>
                <w:szCs w:val="18"/>
              </w:rPr>
            </w:pPr>
            <w:r>
              <w:rPr>
                <w:rFonts w:ascii="宋体" w:hAnsi="宋体" w:cs="宋体" w:eastAsia="宋体" w:hint="default"/>
                <w:sz w:val="18"/>
                <w:szCs w:val="18"/>
              </w:rPr>
              <w:t>事向股东大会作</w:t>
            </w:r>
          </w:p>
          <w:p>
            <w:pPr>
              <w:pStyle w:val="TableParagraph"/>
              <w:spacing w:line="240" w:lineRule="auto" w:before="77"/>
              <w:ind w:right="0"/>
              <w:jc w:val="both"/>
              <w:rPr>
                <w:rFonts w:ascii="宋体" w:hAnsi="宋体" w:cs="宋体" w:eastAsia="宋体" w:hint="default"/>
                <w:sz w:val="18"/>
                <w:szCs w:val="18"/>
              </w:rPr>
            </w:pPr>
            <w:r>
              <w:rPr>
                <w:rFonts w:ascii="宋体" w:hAnsi="宋体" w:cs="宋体" w:eastAsia="宋体" w:hint="default"/>
                <w:sz w:val="18"/>
                <w:szCs w:val="18"/>
              </w:rPr>
              <w:t>了述职报告。</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9" w:lineRule="auto"/>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w:t>
            </w:r>
            <w:r>
              <w:rPr>
                <w:rFonts w:ascii="宋体" w:hAnsi="宋体" w:cs="宋体" w:eastAsia="宋体" w:hint="default"/>
                <w:spacing w:val="-10"/>
                <w:sz w:val="18"/>
                <w:szCs w:val="18"/>
              </w:rPr>
              <w:t>大会决议公告》（公</w:t>
            </w:r>
            <w:r>
              <w:rPr>
                <w:rFonts w:ascii="宋体" w:hAnsi="宋体" w:cs="宋体" w:eastAsia="宋体" w:hint="default"/>
                <w:sz w:val="18"/>
                <w:szCs w:val="18"/>
              </w:rPr>
              <w:t> </w:t>
            </w:r>
            <w:r>
              <w:rPr>
                <w:rFonts w:ascii="宋体" w:hAnsi="宋体" w:cs="宋体" w:eastAsia="宋体" w:hint="default"/>
                <w:spacing w:val="-17"/>
                <w:sz w:val="18"/>
                <w:szCs w:val="18"/>
              </w:rPr>
              <w:t>告编号：</w:t>
            </w:r>
            <w:r>
              <w:rPr>
                <w:rFonts w:ascii="Times New Roman" w:hAnsi="Times New Roman" w:cs="Times New Roman" w:eastAsia="Times New Roman" w:hint="default"/>
                <w:spacing w:val="-17"/>
                <w:sz w:val="18"/>
                <w:szCs w:val="18"/>
              </w:rPr>
              <w:t>2014-041</w:t>
            </w:r>
            <w:r>
              <w:rPr>
                <w:rFonts w:ascii="宋体" w:hAnsi="宋体" w:cs="宋体" w:eastAsia="宋体" w:hint="default"/>
                <w:spacing w:val="-17"/>
                <w:sz w:val="18"/>
                <w:szCs w:val="18"/>
              </w:rPr>
              <w:t>）；</w:t>
            </w:r>
            <w:r>
              <w:rPr>
                <w:rFonts w:ascii="宋体" w:hAnsi="宋体" w:cs="宋体" w:eastAsia="宋体" w:hint="default"/>
                <w:sz w:val="18"/>
                <w:szCs w:val="18"/>
              </w:rPr>
            </w:r>
          </w:p>
          <w:p>
            <w:pPr>
              <w:pStyle w:val="TableParagraph"/>
              <w:spacing w:line="319" w:lineRule="auto" w:before="5"/>
              <w:ind w:left="23" w:right="29"/>
              <w:jc w:val="both"/>
              <w:rPr>
                <w:rFonts w:ascii="宋体" w:hAnsi="宋体" w:cs="宋体" w:eastAsia="宋体" w:hint="default"/>
                <w:sz w:val="18"/>
                <w:szCs w:val="18"/>
              </w:rPr>
            </w:pPr>
            <w:r>
              <w:rPr>
                <w:rFonts w:ascii="宋体" w:hAnsi="宋体" w:cs="宋体" w:eastAsia="宋体" w:hint="default"/>
                <w:spacing w:val="-10"/>
                <w:sz w:val="18"/>
                <w:szCs w:val="18"/>
              </w:rPr>
              <w:t>《上海证券报》、巨</w:t>
            </w:r>
            <w:r>
              <w:rPr>
                <w:rFonts w:ascii="宋体" w:hAnsi="宋体" w:cs="宋体" w:eastAsia="宋体" w:hint="default"/>
                <w:sz w:val="18"/>
                <w:szCs w:val="18"/>
              </w:rPr>
              <w:t> 潮资讯网。</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r>
        <w:rPr/>
        <w:pict>
          <v:group style="position:absolute;margin-left:341.619995pt;margin-top:-69.626335pt;width:68.150pt;height:31.2pt;mso-position-horizontal-relative:page;mso-position-vertical-relative:paragraph;z-index:-844192" coordorigin="6832,-1393" coordsize="1363,624">
            <v:group style="position:absolute;left:6832;top:-1393;width:1363;height:312" coordorigin="6832,-1393" coordsize="1363,312">
              <v:shape style="position:absolute;left:6832;top:-1393;width:1363;height:312" coordorigin="6832,-1393" coordsize="1363,312" path="m6832,-1081l8195,-1081,8195,-1393,6832,-1393,6832,-1081xe" filled="true" fillcolor="#ffffff" stroked="false">
                <v:path arrowok="t"/>
                <v:fill type="solid"/>
              </v:shape>
            </v:group>
            <v:group style="position:absolute;left:6832;top:-1081;width:1363;height:312" coordorigin="6832,-1081" coordsize="1363,312">
              <v:shape style="position:absolute;left:6832;top:-1081;width:1363;height:312" coordorigin="6832,-1081" coordsize="1363,312" path="m6832,-769l8195,-769,8195,-1081,6832,-1081,6832,-769xe" filled="true" fillcolor="#ffffff" stroked="false">
                <v:path arrowok="t"/>
                <v:fill type="solid"/>
              </v:shape>
            </v:group>
            <w10:wrap type="none"/>
          </v:group>
        </w:pict>
      </w:r>
      <w:bookmarkStart w:name="2、本报告期临时股东大会情况" w:id="124"/>
      <w:bookmarkEnd w:id="124"/>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
        <w:rPr>
          <w:rFonts w:ascii="宋体" w:hAnsi="宋体" w:cs="宋体" w:eastAsia="宋体" w:hint="default"/>
          <w:b/>
          <w:bCs/>
          <w:sz w:val="27"/>
          <w:szCs w:val="27"/>
        </w:rPr>
      </w:pPr>
    </w:p>
    <w:p>
      <w:pPr>
        <w:tabs>
          <w:tab w:pos="3299" w:val="left" w:leader="none"/>
          <w:tab w:pos="6172" w:val="left" w:leader="none"/>
          <w:tab w:pos="7308" w:val="left" w:leader="none"/>
          <w:tab w:pos="8546" w:val="left" w:leader="none"/>
        </w:tabs>
        <w:spacing w:before="44"/>
        <w:ind w:left="218" w:right="0" w:firstLine="0"/>
        <w:jc w:val="left"/>
        <w:rPr>
          <w:rFonts w:ascii="宋体" w:hAnsi="宋体" w:cs="宋体" w:eastAsia="宋体" w:hint="default"/>
          <w:sz w:val="18"/>
          <w:szCs w:val="18"/>
        </w:rPr>
      </w:pPr>
      <w:r>
        <w:rPr/>
        <w:pict>
          <v:group style="position:absolute;margin-left:56.459999pt;margin-top:-1.088268pt;width:478.9pt;height:433.6pt;mso-position-horizontal-relative:page;mso-position-vertical-relative:paragraph;z-index:-844168" coordorigin="1129,-22" coordsize="9578,8672">
            <v:group style="position:absolute;left:1150;top:-7;width:2;height:393" coordorigin="1150,-7" coordsize="2,393">
              <v:shape style="position:absolute;left:1150;top:-7;width:2;height:393" coordorigin="1150,-7" coordsize="0,393" path="m1150,-7l1150,385e" filled="false" stroked="true" strokeweight="1.140pt" strokecolor="#d2d2d2">
                <v:path arrowok="t"/>
              </v:shape>
            </v:group>
            <v:group style="position:absolute;left:1969;top:-7;width:2;height:393" coordorigin="1969,-7" coordsize="2,393">
              <v:shape style="position:absolute;left:1969;top:-7;width:2;height:393" coordorigin="1969,-7" coordsize="0,393" path="m1969,-7l1969,385e" filled="false" stroked="true" strokeweight="1.140pt" strokecolor="#d2d2d2">
                <v:path arrowok="t"/>
              </v:shape>
            </v:group>
            <v:group style="position:absolute;left:1162;top:-7;width:796;height:393" coordorigin="1162,-7" coordsize="796,393">
              <v:shape style="position:absolute;left:1162;top:-7;width:796;height:393" coordorigin="1162,-7" coordsize="796,393" path="m1162,385l1958,385,1958,-7,1162,-7,1162,385xe" filled="true" fillcolor="#d2d2d2" stroked="false">
                <v:path arrowok="t"/>
                <v:fill type="solid"/>
              </v:shape>
            </v:group>
            <v:group style="position:absolute;left:2001;top:-7;width:2;height:393" coordorigin="2001,-7" coordsize="2,393">
              <v:shape style="position:absolute;left:2001;top:-7;width:2;height:393" coordorigin="2001,-7" coordsize="0,393" path="m2001,-7l2001,385e" filled="false" stroked="true" strokeweight="1.140pt" strokecolor="#d2d2d2">
                <v:path arrowok="t"/>
              </v:shape>
            </v:group>
            <v:group style="position:absolute;left:2819;top:-7;width:2;height:393" coordorigin="2819,-7" coordsize="2,393">
              <v:shape style="position:absolute;left:2819;top:-7;width:2;height:393" coordorigin="2819,-7" coordsize="0,393" path="m2819,-7l2819,385e" filled="false" stroked="true" strokeweight="1.140pt" strokecolor="#d2d2d2">
                <v:path arrowok="t"/>
              </v:shape>
            </v:group>
            <v:group style="position:absolute;left:2013;top:-7;width:795;height:393" coordorigin="2013,-7" coordsize="795,393">
              <v:shape style="position:absolute;left:2013;top:-7;width:795;height:393" coordorigin="2013,-7" coordsize="795,393" path="m2013,385l2807,385,2807,-7,2013,-7,2013,385xe" filled="true" fillcolor="#d2d2d2" stroked="false">
                <v:path arrowok="t"/>
                <v:fill type="solid"/>
              </v:shape>
            </v:group>
            <v:group style="position:absolute;left:2852;top:-7;width:2;height:393" coordorigin="2852,-7" coordsize="2,393">
              <v:shape style="position:absolute;left:2852;top:-7;width:2;height:393" coordorigin="2852,-7" coordsize="0,393" path="m2852,-7l2852,385e" filled="false" stroked="true" strokeweight="1.140pt" strokecolor="#d2d2d2">
                <v:path arrowok="t"/>
              </v:shape>
            </v:group>
            <v:group style="position:absolute;left:6789;top:-7;width:2;height:393" coordorigin="6789,-7" coordsize="2,393">
              <v:shape style="position:absolute;left:6789;top:-7;width:2;height:393" coordorigin="6789,-7" coordsize="0,393" path="m6789,-7l6789,385e" filled="false" stroked="true" strokeweight="1.140pt" strokecolor="#d2d2d2">
                <v:path arrowok="t"/>
              </v:shape>
            </v:group>
            <v:group style="position:absolute;left:2864;top:-7;width:3914;height:393" coordorigin="2864,-7" coordsize="3914,393">
              <v:shape style="position:absolute;left:2864;top:-7;width:3914;height:393" coordorigin="2864,-7" coordsize="3914,393" path="m2864,385l6777,385,6777,-7,2864,-7,2864,385xe" filled="true" fillcolor="#d2d2d2" stroked="false">
                <v:path arrowok="t"/>
                <v:fill type="solid"/>
              </v:shape>
            </v:group>
            <v:group style="position:absolute;left:6821;top:-7;width:2;height:393" coordorigin="6821,-7" coordsize="2,393">
              <v:shape style="position:absolute;left:6821;top:-7;width:2;height:393" coordorigin="6821,-7" coordsize="0,393" path="m6821,-7l6821,385e" filled="false" stroked="true" strokeweight="1.140pt" strokecolor="#d2d2d2">
                <v:path arrowok="t"/>
              </v:shape>
            </v:group>
            <v:group style="position:absolute;left:8206;top:-7;width:2;height:393" coordorigin="8206,-7" coordsize="2,393">
              <v:shape style="position:absolute;left:8206;top:-7;width:2;height:393" coordorigin="8206,-7" coordsize="0,393" path="m8206,-7l8206,385e" filled="false" stroked="true" strokeweight="1.140pt" strokecolor="#d2d2d2">
                <v:path arrowok="t"/>
              </v:shape>
            </v:group>
            <v:group style="position:absolute;left:6832;top:-7;width:1363;height:393" coordorigin="6832,-7" coordsize="1363,393">
              <v:shape style="position:absolute;left:6832;top:-7;width:1363;height:393" coordorigin="6832,-7" coordsize="1363,393" path="m6832,385l8195,385,8195,-7,6832,-7,6832,385xe" filled="true" fillcolor="#d2d2d2" stroked="false">
                <v:path arrowok="t"/>
                <v:fill type="solid"/>
              </v:shape>
            </v:group>
            <v:group style="position:absolute;left:8240;top:-7;width:2;height:393" coordorigin="8240,-7" coordsize="2,393">
              <v:shape style="position:absolute;left:8240;top:-7;width:2;height:393" coordorigin="8240,-7" coordsize="0,393" path="m8240,-7l8240,385e" filled="false" stroked="true" strokeweight="1.140pt" strokecolor="#d2d2d2">
                <v:path arrowok="t"/>
              </v:shape>
            </v:group>
            <v:group style="position:absolute;left:9057;top:-7;width:2;height:393" coordorigin="9057,-7" coordsize="2,393">
              <v:shape style="position:absolute;left:9057;top:-7;width:2;height:393" coordorigin="9057,-7" coordsize="0,393" path="m9057,-7l9057,385e" filled="false" stroked="true" strokeweight="1.140pt" strokecolor="#d2d2d2">
                <v:path arrowok="t"/>
              </v:shape>
            </v:group>
            <v:group style="position:absolute;left:8251;top:-7;width:795;height:393" coordorigin="8251,-7" coordsize="795,393">
              <v:shape style="position:absolute;left:8251;top:-7;width:795;height:393" coordorigin="8251,-7" coordsize="795,393" path="m8251,385l9046,385,9046,-7,8251,-7,8251,385xe" filled="true" fillcolor="#d2d2d2" stroked="false">
                <v:path arrowok="t"/>
                <v:fill type="solid"/>
              </v:shape>
            </v:group>
            <v:group style="position:absolute;left:9089;top:-7;width:2;height:393" coordorigin="9089,-7" coordsize="2,393">
              <v:shape style="position:absolute;left:9089;top:-7;width:2;height:393" coordorigin="9089,-7" coordsize="0,393" path="m9089,-7l9089,385e" filled="false" stroked="true" strokeweight="1.140pt" strokecolor="#d2d2d2">
                <v:path arrowok="t"/>
              </v:shape>
            </v:group>
            <v:group style="position:absolute;left:10684;top:-7;width:2;height:393" coordorigin="10684,-7" coordsize="2,393">
              <v:shape style="position:absolute;left:10684;top:-7;width:2;height:393" coordorigin="10684,-7" coordsize="0,393" path="m10684,-7l10684,385e" filled="false" stroked="true" strokeweight="1.140pt" strokecolor="#d2d2d2">
                <v:path arrowok="t"/>
              </v:shape>
            </v:group>
            <v:group style="position:absolute;left:9101;top:-7;width:1572;height:393" coordorigin="9101,-7" coordsize="1572,393">
              <v:shape style="position:absolute;left:9101;top:-7;width:1572;height:393" coordorigin="9101,-7" coordsize="1572,393" path="m9101,385l10673,385,10673,-7,9101,-7,9101,385xe" filled="true" fillcolor="#d2d2d2" stroked="false">
                <v:path arrowok="t"/>
                <v:fill type="solid"/>
              </v:shape>
            </v:group>
            <v:group style="position:absolute;left:1139;top:-12;width:842;height:2" coordorigin="1139,-12" coordsize="842,2">
              <v:shape style="position:absolute;left:1139;top:-12;width:842;height:2" coordorigin="1139,-12" coordsize="842,0" path="m1139,-12l1980,-12e" filled="false" stroked="true" strokeweight=".48pt" strokecolor="#000000">
                <v:path arrowok="t"/>
              </v:shape>
            </v:group>
            <v:group style="position:absolute;left:1990;top:-12;width:842;height:2" coordorigin="1990,-12" coordsize="842,2">
              <v:shape style="position:absolute;left:1990;top:-12;width:842;height:2" coordorigin="1990,-12" coordsize="842,0" path="m1990,-12l2831,-12e" filled="false" stroked="true" strokeweight=".48pt" strokecolor="#000000">
                <v:path arrowok="t"/>
              </v:shape>
            </v:group>
            <v:group style="position:absolute;left:2841;top:-12;width:3960;height:2" coordorigin="2841,-12" coordsize="3960,2">
              <v:shape style="position:absolute;left:2841;top:-12;width:3960;height:2" coordorigin="2841,-12" coordsize="3960,0" path="m2841,-12l6800,-12e" filled="false" stroked="true" strokeweight=".48pt" strokecolor="#000000">
                <v:path arrowok="t"/>
              </v:shape>
            </v:group>
            <v:group style="position:absolute;left:6810;top:-12;width:1410;height:2" coordorigin="6810,-12" coordsize="1410,2">
              <v:shape style="position:absolute;left:6810;top:-12;width:1410;height:2" coordorigin="6810,-12" coordsize="1410,0" path="m6810,-12l8219,-12e" filled="false" stroked="true" strokeweight=".48pt" strokecolor="#000000">
                <v:path arrowok="t"/>
              </v:shape>
            </v:group>
            <v:group style="position:absolute;left:8228;top:-12;width:840;height:2" coordorigin="8228,-12" coordsize="840,2">
              <v:shape style="position:absolute;left:8228;top:-12;width:840;height:2" coordorigin="8228,-12" coordsize="840,0" path="m8228,-12l9068,-12e" filled="false" stroked="true" strokeweight=".48pt" strokecolor="#000000">
                <v:path arrowok="t"/>
              </v:shape>
            </v:group>
            <v:group style="position:absolute;left:9078;top:-12;width:1619;height:2" coordorigin="9078,-12" coordsize="1619,2">
              <v:shape style="position:absolute;left:9078;top:-12;width:1619;height:2" coordorigin="9078,-12" coordsize="1619,0" path="m9078,-12l10697,-12e" filled="false" stroked="true" strokeweight=".48pt" strokecolor="#000000">
                <v:path arrowok="t"/>
              </v:shape>
            </v:group>
            <v:group style="position:absolute;left:1139;top:390;width:842;height:2" coordorigin="1139,390" coordsize="842,2">
              <v:shape style="position:absolute;left:1139;top:390;width:842;height:2" coordorigin="1139,390" coordsize="842,0" path="m1139,390l1980,390e" filled="false" stroked="true" strokeweight=".48pt" strokecolor="#000000">
                <v:path arrowok="t"/>
              </v:shape>
            </v:group>
            <v:group style="position:absolute;left:1990;top:390;width:842;height:2" coordorigin="1990,390" coordsize="842,2">
              <v:shape style="position:absolute;left:1990;top:390;width:842;height:2" coordorigin="1990,390" coordsize="842,0" path="m1990,390l2831,390e" filled="false" stroked="true" strokeweight=".48pt" strokecolor="#000000">
                <v:path arrowok="t"/>
              </v:shape>
            </v:group>
            <v:group style="position:absolute;left:2841;top:390;width:3960;height:2" coordorigin="2841,390" coordsize="3960,2">
              <v:shape style="position:absolute;left:2841;top:390;width:3960;height:2" coordorigin="2841,390" coordsize="3960,0" path="m2841,390l6800,390e" filled="false" stroked="true" strokeweight=".48pt" strokecolor="#000000">
                <v:path arrowok="t"/>
              </v:shape>
            </v:group>
            <v:group style="position:absolute;left:6810;top:390;width:1410;height:2" coordorigin="6810,390" coordsize="1410,2">
              <v:shape style="position:absolute;left:6810;top:390;width:1410;height:2" coordorigin="6810,390" coordsize="1410,0" path="m6810,390l8219,390e" filled="false" stroked="true" strokeweight=".48pt" strokecolor="#000000">
                <v:path arrowok="t"/>
              </v:shape>
            </v:group>
            <v:group style="position:absolute;left:8228;top:390;width:840;height:2" coordorigin="8228,390" coordsize="840,2">
              <v:shape style="position:absolute;left:8228;top:390;width:840;height:2" coordorigin="8228,390" coordsize="840,0" path="m8228,390l9068,390e" filled="false" stroked="true" strokeweight=".48pt" strokecolor="#000000">
                <v:path arrowok="t"/>
              </v:shape>
            </v:group>
            <v:group style="position:absolute;left:9078;top:390;width:1619;height:2" coordorigin="9078,390" coordsize="1619,2">
              <v:shape style="position:absolute;left:9078;top:390;width:1619;height:2" coordorigin="9078,390" coordsize="1619,0" path="m9078,390l10697,390e" filled="false" stroked="true" strokeweight=".48pt" strokecolor="#000000">
                <v:path arrowok="t"/>
              </v:shape>
            </v:group>
            <v:group style="position:absolute;left:8240;top:1331;width:2;height:705" coordorigin="8240,1331" coordsize="2,705">
              <v:shape style="position:absolute;left:8240;top:1331;width:2;height:705" coordorigin="8240,1331" coordsize="0,705" path="m8240,1331l8240,2035e" filled="false" stroked="true" strokeweight="1.140pt" strokecolor="#ffffff">
                <v:path arrowok="t"/>
              </v:shape>
            </v:group>
            <v:group style="position:absolute;left:8228;top:2035;width:840;height:936" coordorigin="8228,2035" coordsize="840,936">
              <v:shape style="position:absolute;left:8228;top:2035;width:840;height:936" coordorigin="8228,2035" coordsize="840,936" path="m8228,2971l9068,2971,9068,2035,8228,2035,8228,2971xe" filled="true" fillcolor="#ffffff" stroked="false">
                <v:path arrowok="t"/>
                <v:fill type="solid"/>
              </v:shape>
            </v:group>
            <v:group style="position:absolute;left:8251;top:1682;width:795;height:354" coordorigin="8251,1682" coordsize="795,354">
              <v:shape style="position:absolute;left:8251;top:1682;width:795;height:354" coordorigin="8251,1682" coordsize="795,354" path="m8251,2035l9046,2035,9046,1682,8251,1682,8251,2035xe" filled="true" fillcolor="#ffffff" stroked="false">
                <v:path arrowok="t"/>
                <v:fill type="solid"/>
              </v:shape>
            </v:group>
            <v:group style="position:absolute;left:1139;top:2976;width:842;height:2" coordorigin="1139,2976" coordsize="842,2">
              <v:shape style="position:absolute;left:1139;top:2976;width:842;height:2" coordorigin="1139,2976" coordsize="842,0" path="m1139,2976l1980,2976e" filled="false" stroked="true" strokeweight=".48pt" strokecolor="#000000">
                <v:path arrowok="t"/>
              </v:shape>
            </v:group>
            <v:group style="position:absolute;left:1990;top:2976;width:842;height:2" coordorigin="1990,2976" coordsize="842,2">
              <v:shape style="position:absolute;left:1990;top:2976;width:842;height:2" coordorigin="1990,2976" coordsize="842,0" path="m1990,2976l2831,2976e" filled="false" stroked="true" strokeweight=".48pt" strokecolor="#000000">
                <v:path arrowok="t"/>
              </v:shape>
            </v:group>
            <v:group style="position:absolute;left:2841;top:2976;width:3960;height:2" coordorigin="2841,2976" coordsize="3960,2">
              <v:shape style="position:absolute;left:2841;top:2976;width:3960;height:2" coordorigin="2841,2976" coordsize="3960,0" path="m2841,2976l6800,2976e" filled="false" stroked="true" strokeweight=".48pt" strokecolor="#000000">
                <v:path arrowok="t"/>
              </v:shape>
            </v:group>
            <v:group style="position:absolute;left:6810;top:2976;width:1410;height:2" coordorigin="6810,2976" coordsize="1410,2">
              <v:shape style="position:absolute;left:6810;top:2976;width:1410;height:2" coordorigin="6810,2976" coordsize="1410,0" path="m6810,2976l8219,2976e" filled="false" stroked="true" strokeweight=".48pt" strokecolor="#000000">
                <v:path arrowok="t"/>
              </v:shape>
            </v:group>
            <v:group style="position:absolute;left:8228;top:2976;width:840;height:2" coordorigin="8228,2976" coordsize="840,2">
              <v:shape style="position:absolute;left:8228;top:2976;width:840;height:2" coordorigin="8228,2976" coordsize="840,0" path="m8228,2976l9068,2976e" filled="false" stroked="true" strokeweight=".48pt" strokecolor="#000000">
                <v:path arrowok="t"/>
              </v:shape>
            </v:group>
            <v:group style="position:absolute;left:9078;top:2976;width:1619;height:2" coordorigin="9078,2976" coordsize="1619,2">
              <v:shape style="position:absolute;left:9078;top:2976;width:1619;height:2" coordorigin="9078,2976" coordsize="1619,0" path="m9078,2976l10697,2976e" filled="false" stroked="true" strokeweight=".48pt" strokecolor="#000000">
                <v:path arrowok="t"/>
              </v:shape>
            </v:group>
            <v:group style="position:absolute;left:8228;top:4153;width:840;height:468" coordorigin="8228,4153" coordsize="840,468">
              <v:shape style="position:absolute;left:8228;top:4153;width:840;height:468" coordorigin="8228,4153" coordsize="840,468" path="m8228,4621l9068,4621,9068,4153,8228,4153,8228,4621xe" filled="true" fillcolor="#ffffff" stroked="false">
                <v:path arrowok="t"/>
                <v:fill type="solid"/>
              </v:shape>
            </v:group>
            <v:group style="position:absolute;left:1139;top:4626;width:842;height:2" coordorigin="1139,4626" coordsize="842,2">
              <v:shape style="position:absolute;left:1139;top:4626;width:842;height:2" coordorigin="1139,4626" coordsize="842,0" path="m1139,4626l1980,4626e" filled="false" stroked="true" strokeweight=".48pt" strokecolor="#000000">
                <v:path arrowok="t"/>
              </v:shape>
            </v:group>
            <v:group style="position:absolute;left:1990;top:4626;width:842;height:2" coordorigin="1990,4626" coordsize="842,2">
              <v:shape style="position:absolute;left:1990;top:4626;width:842;height:2" coordorigin="1990,4626" coordsize="842,0" path="m1990,4626l2831,4626e" filled="false" stroked="true" strokeweight=".48pt" strokecolor="#000000">
                <v:path arrowok="t"/>
              </v:shape>
            </v:group>
            <v:group style="position:absolute;left:2841;top:4626;width:3960;height:2" coordorigin="2841,4626" coordsize="3960,2">
              <v:shape style="position:absolute;left:2841;top:4626;width:3960;height:2" coordorigin="2841,4626" coordsize="3960,0" path="m2841,4626l6800,4626e" filled="false" stroked="true" strokeweight=".48pt" strokecolor="#000000">
                <v:path arrowok="t"/>
              </v:shape>
            </v:group>
            <v:group style="position:absolute;left:6810;top:4626;width:1410;height:2" coordorigin="6810,4626" coordsize="1410,2">
              <v:shape style="position:absolute;left:6810;top:4626;width:1410;height:2" coordorigin="6810,4626" coordsize="1410,0" path="m6810,4626l8219,4626e" filled="false" stroked="true" strokeweight=".48pt" strokecolor="#000000">
                <v:path arrowok="t"/>
              </v:shape>
            </v:group>
            <v:group style="position:absolute;left:8228;top:4626;width:840;height:2" coordorigin="8228,4626" coordsize="840,2">
              <v:shape style="position:absolute;left:8228;top:4626;width:840;height:2" coordorigin="8228,4626" coordsize="840,0" path="m8228,4626l9068,4626e" filled="false" stroked="true" strokeweight=".48pt" strokecolor="#000000">
                <v:path arrowok="t"/>
              </v:shape>
            </v:group>
            <v:group style="position:absolute;left:9078;top:4626;width:1619;height:2" coordorigin="9078,4626" coordsize="1619,2">
              <v:shape style="position:absolute;left:9078;top:4626;width:1619;height:2" coordorigin="9078,4626" coordsize="1619,0" path="m9078,4626l10697,4626e" filled="false" stroked="true" strokeweight=".48pt" strokecolor="#000000">
                <v:path arrowok="t"/>
              </v:shape>
            </v:group>
            <v:group style="position:absolute;left:8228;top:7453;width:840;height:468" coordorigin="8228,7453" coordsize="840,468">
              <v:shape style="position:absolute;left:8228;top:7453;width:840;height:468" coordorigin="8228,7453" coordsize="840,468" path="m8228,7921l9068,7921,9068,7453,8228,7453,8228,7921xe" filled="true" fillcolor="#ffffff" stroked="false">
                <v:path arrowok="t"/>
                <v:fill type="solid"/>
              </v:shape>
            </v:group>
            <v:group style="position:absolute;left:6821;top:7951;width:2;height:665" coordorigin="6821,7951" coordsize="2,665">
              <v:shape style="position:absolute;left:6821;top:7951;width:2;height:665" coordorigin="6821,7951" coordsize="0,665" path="m6821,7951l6821,8615e" filled="false" stroked="true" strokeweight="1.140pt" strokecolor="#ffffff">
                <v:path arrowok="t"/>
              </v:shape>
            </v:group>
            <v:group style="position:absolute;left:6832;top:7951;width:1363;height:353" coordorigin="6832,7951" coordsize="1363,353">
              <v:shape style="position:absolute;left:6832;top:7951;width:1363;height:353" coordorigin="6832,7951" coordsize="1363,353" path="m6832,8303l8195,8303,8195,7951,6832,7951,6832,8303xe" filled="true" fillcolor="#ffffff" stroked="false">
                <v:path arrowok="t"/>
                <v:fill type="solid"/>
              </v:shape>
            </v:group>
            <v:group style="position:absolute;left:1139;top:7925;width:842;height:2" coordorigin="1139,7925" coordsize="842,2">
              <v:shape style="position:absolute;left:1139;top:7925;width:842;height:2" coordorigin="1139,7925" coordsize="842,0" path="m1139,7925l1980,7925e" filled="false" stroked="true" strokeweight=".48pt" strokecolor="#000000">
                <v:path arrowok="t"/>
              </v:shape>
            </v:group>
            <v:group style="position:absolute;left:1990;top:7925;width:842;height:2" coordorigin="1990,7925" coordsize="842,2">
              <v:shape style="position:absolute;left:1990;top:7925;width:842;height:2" coordorigin="1990,7925" coordsize="842,0" path="m1990,7925l2831,7925e" filled="false" stroked="true" strokeweight=".48pt" strokecolor="#000000">
                <v:path arrowok="t"/>
              </v:shape>
            </v:group>
            <v:group style="position:absolute;left:2841;top:7925;width:3960;height:2" coordorigin="2841,7925" coordsize="3960,2">
              <v:shape style="position:absolute;left:2841;top:7925;width:3960;height:2" coordorigin="2841,7925" coordsize="3960,0" path="m2841,7925l6800,7925e" filled="false" stroked="true" strokeweight=".48pt" strokecolor="#000000">
                <v:path arrowok="t"/>
              </v:shape>
            </v:group>
            <v:group style="position:absolute;left:6810;top:7925;width:1410;height:2" coordorigin="6810,7925" coordsize="1410,2">
              <v:shape style="position:absolute;left:6810;top:7925;width:1410;height:2" coordorigin="6810,7925" coordsize="1410,0" path="m6810,7925l8219,7925e" filled="false" stroked="true" strokeweight=".48pt" strokecolor="#000000">
                <v:path arrowok="t"/>
              </v:shape>
            </v:group>
            <v:group style="position:absolute;left:8228;top:7925;width:840;height:2" coordorigin="8228,7925" coordsize="840,2">
              <v:shape style="position:absolute;left:8228;top:7925;width:840;height:2" coordorigin="8228,7925" coordsize="840,0" path="m8228,7925l9068,7925e" filled="false" stroked="true" strokeweight=".48pt" strokecolor="#000000">
                <v:path arrowok="t"/>
              </v:shape>
            </v:group>
            <v:group style="position:absolute;left:9078;top:7925;width:1619;height:2" coordorigin="9078,7925" coordsize="1619,2">
              <v:shape style="position:absolute;left:9078;top:7925;width:1619;height:2" coordorigin="9078,7925" coordsize="1619,0" path="m9078,7925l10697,7925e" filled="false" stroked="true" strokeweight=".48pt" strokecolor="#000000">
                <v:path arrowok="t"/>
              </v:shape>
            </v:group>
            <v:group style="position:absolute;left:1139;top:6276;width:842;height:2" coordorigin="1139,6276" coordsize="842,2">
              <v:shape style="position:absolute;left:1139;top:6276;width:842;height:2" coordorigin="1139,6276" coordsize="842,0" path="m1139,6276l1980,6276e" filled="false" stroked="true" strokeweight=".48pt" strokecolor="#000000">
                <v:path arrowok="t"/>
              </v:shape>
            </v:group>
            <v:group style="position:absolute;left:1990;top:6276;width:842;height:2" coordorigin="1990,6276" coordsize="842,2">
              <v:shape style="position:absolute;left:1990;top:6276;width:842;height:2" coordorigin="1990,6276" coordsize="842,0" path="m1990,6276l2831,6276e" filled="false" stroked="true" strokeweight=".48pt" strokecolor="#000000">
                <v:path arrowok="t"/>
              </v:shape>
            </v:group>
            <v:group style="position:absolute;left:2841;top:6276;width:3960;height:2" coordorigin="2841,6276" coordsize="3960,2">
              <v:shape style="position:absolute;left:2841;top:6276;width:3960;height:2" coordorigin="2841,6276" coordsize="3960,0" path="m2841,6276l6800,6276e" filled="false" stroked="true" strokeweight=".48pt" strokecolor="#000000">
                <v:path arrowok="t"/>
              </v:shape>
            </v:group>
            <v:group style="position:absolute;left:6810;top:6276;width:1410;height:2" coordorigin="6810,6276" coordsize="1410,2">
              <v:shape style="position:absolute;left:6810;top:6276;width:1410;height:2" coordorigin="6810,6276" coordsize="1410,0" path="m6810,6276l8219,6276e" filled="false" stroked="true" strokeweight=".48pt" strokecolor="#000000">
                <v:path arrowok="t"/>
              </v:shape>
            </v:group>
            <v:group style="position:absolute;left:8228;top:6276;width:840;height:2" coordorigin="8228,6276" coordsize="840,2">
              <v:shape style="position:absolute;left:8228;top:6276;width:840;height:2" coordorigin="8228,6276" coordsize="840,0" path="m8228,6276l9068,6276e" filled="false" stroked="true" strokeweight=".48pt" strokecolor="#000000">
                <v:path arrowok="t"/>
              </v:shape>
            </v:group>
            <v:group style="position:absolute;left:9078;top:6276;width:1619;height:2" coordorigin="9078,6276" coordsize="1619,2">
              <v:shape style="position:absolute;left:9078;top:6276;width:1619;height:2" coordorigin="9078,6276" coordsize="1619,0" path="m9078,6276l10697,6276e" filled="false" stroked="true" strokeweight=".48pt" strokecolor="#000000">
                <v:path arrowok="t"/>
              </v:shape>
            </v:group>
            <v:group style="position:absolute;left:1134;top:-17;width:2;height:8663" coordorigin="1134,-17" coordsize="2,8663">
              <v:shape style="position:absolute;left:1134;top:-17;width:2;height:8663" coordorigin="1134,-17" coordsize="0,8663" path="m1134,-17l1134,8645e" filled="false" stroked="true" strokeweight=".48pt" strokecolor="#000000">
                <v:path arrowok="t"/>
              </v:shape>
            </v:group>
            <v:group style="position:absolute;left:1139;top:8641;width:842;height:2" coordorigin="1139,8641" coordsize="842,2">
              <v:shape style="position:absolute;left:1139;top:8641;width:842;height:2" coordorigin="1139,8641" coordsize="842,0" path="m1139,8641l1980,8641e" filled="false" stroked="true" strokeweight=".48pt" strokecolor="#000000">
                <v:path arrowok="t"/>
              </v:shape>
            </v:group>
            <v:group style="position:absolute;left:1985;top:-17;width:2;height:8663" coordorigin="1985,-17" coordsize="2,8663">
              <v:shape style="position:absolute;left:1985;top:-17;width:2;height:8663" coordorigin="1985,-17" coordsize="0,8663" path="m1985,-17l1985,8645e" filled="false" stroked="true" strokeweight=".48pt" strokecolor="#000000">
                <v:path arrowok="t"/>
              </v:shape>
            </v:group>
            <v:group style="position:absolute;left:1990;top:8641;width:842;height:2" coordorigin="1990,8641" coordsize="842,2">
              <v:shape style="position:absolute;left:1990;top:8641;width:842;height:2" coordorigin="1990,8641" coordsize="842,0" path="m1990,8641l2831,8641e" filled="false" stroked="true" strokeweight=".48pt" strokecolor="#000000">
                <v:path arrowok="t"/>
              </v:shape>
            </v:group>
            <v:group style="position:absolute;left:2836;top:-17;width:2;height:8663" coordorigin="2836,-17" coordsize="2,8663">
              <v:shape style="position:absolute;left:2836;top:-17;width:2;height:8663" coordorigin="2836,-17" coordsize="0,8663" path="m2836,-17l2836,8645e" filled="false" stroked="true" strokeweight=".48pt" strokecolor="#000000">
                <v:path arrowok="t"/>
              </v:shape>
            </v:group>
            <v:group style="position:absolute;left:2841;top:8641;width:3960;height:2" coordorigin="2841,8641" coordsize="3960,2">
              <v:shape style="position:absolute;left:2841;top:8641;width:3960;height:2" coordorigin="2841,8641" coordsize="3960,0" path="m2841,8641l6800,8641e" filled="false" stroked="true" strokeweight=".48pt" strokecolor="#000000">
                <v:path arrowok="t"/>
              </v:shape>
            </v:group>
            <v:group style="position:absolute;left:6821;top:4787;width:2;height:1329" coordorigin="6821,4787" coordsize="2,1329">
              <v:shape style="position:absolute;left:6821;top:4787;width:2;height:1329" coordorigin="6821,4787" coordsize="0,1329" path="m6821,4787l6821,6115e" filled="false" stroked="true" strokeweight="1.140pt" strokecolor="#ffffff">
                <v:path arrowok="t"/>
              </v:shape>
            </v:group>
            <v:group style="position:absolute;left:6805;top:-17;width:2;height:8663" coordorigin="6805,-17" coordsize="2,8663">
              <v:shape style="position:absolute;left:6805;top:-17;width:2;height:8663" coordorigin="6805,-17" coordsize="0,8663" path="m6805,-17l6805,8645e" filled="false" stroked="true" strokeweight=".48pt" strokecolor="#000000">
                <v:path arrowok="t"/>
              </v:shape>
            </v:group>
            <v:group style="position:absolute;left:6810;top:8641;width:1410;height:2" coordorigin="6810,8641" coordsize="1410,2">
              <v:shape style="position:absolute;left:6810;top:8641;width:1410;height:2" coordorigin="6810,8641" coordsize="1410,0" path="m6810,8641l8219,8641e" filled="false" stroked="true" strokeweight=".48pt" strokecolor="#000000">
                <v:path arrowok="t"/>
              </v:shape>
            </v:group>
            <v:group style="position:absolute;left:8224;top:-17;width:2;height:8663" coordorigin="8224,-17" coordsize="2,8663">
              <v:shape style="position:absolute;left:8224;top:-17;width:2;height:8663" coordorigin="8224,-17" coordsize="0,8663" path="m8224,-17l8224,8645e" filled="false" stroked="true" strokeweight=".48pt" strokecolor="#000000">
                <v:path arrowok="t"/>
              </v:shape>
            </v:group>
            <v:group style="position:absolute;left:8228;top:8641;width:840;height:2" coordorigin="8228,8641" coordsize="840,2">
              <v:shape style="position:absolute;left:8228;top:8641;width:840;height:2" coordorigin="8228,8641" coordsize="840,0" path="m8228,8641l9068,8641e" filled="false" stroked="true" strokeweight=".48pt" strokecolor="#000000">
                <v:path arrowok="t"/>
              </v:shape>
            </v:group>
            <v:group style="position:absolute;left:9073;top:-17;width:2;height:8663" coordorigin="9073,-17" coordsize="2,8663">
              <v:shape style="position:absolute;left:9073;top:-17;width:2;height:8663" coordorigin="9073,-17" coordsize="0,8663" path="m9073,-17l9073,8645e" filled="false" stroked="true" strokeweight=".48pt" strokecolor="#000000">
                <v:path arrowok="t"/>
              </v:shape>
            </v:group>
            <v:group style="position:absolute;left:9078;top:8641;width:1619;height:2" coordorigin="9078,8641" coordsize="1619,2">
              <v:shape style="position:absolute;left:9078;top:8641;width:1619;height:2" coordorigin="9078,8641" coordsize="1619,0" path="m9078,8641l10697,8641e" filled="false" stroked="true" strokeweight=".48pt" strokecolor="#000000">
                <v:path arrowok="t"/>
              </v:shape>
            </v:group>
            <v:group style="position:absolute;left:10702;top:-17;width:2;height:8663" coordorigin="10702,-17" coordsize="2,8663">
              <v:shape style="position:absolute;left:10702;top:-17;width:2;height:8663" coordorigin="10702,-17" coordsize="0,8663" path="m10702,-17l10702,8645e" filled="false" stroked="true" strokeweight=".48pt" strokecolor="#000000">
                <v:path arrowok="t"/>
              </v:shape>
            </v:group>
            <w10:wrap type="none"/>
          </v:group>
        </w:pict>
      </w:r>
      <w:r>
        <w:rPr>
          <w:rFonts w:ascii="宋体" w:hAnsi="宋体" w:cs="宋体" w:eastAsia="宋体" w:hint="default"/>
          <w:sz w:val="18"/>
          <w:szCs w:val="18"/>
        </w:rPr>
        <w:t>会议届次</w:t>
      </w:r>
      <w:r>
        <w:rPr>
          <w:rFonts w:ascii="宋体" w:hAnsi="宋体" w:cs="宋体" w:eastAsia="宋体" w:hint="default"/>
          <w:spacing w:val="41"/>
          <w:sz w:val="18"/>
          <w:szCs w:val="18"/>
        </w:rPr>
        <w:t> </w:t>
      </w:r>
      <w:r>
        <w:rPr>
          <w:rFonts w:ascii="宋体" w:hAnsi="宋体" w:cs="宋体" w:eastAsia="宋体" w:hint="default"/>
          <w:sz w:val="18"/>
          <w:szCs w:val="18"/>
        </w:rPr>
        <w:t>召开日期</w:t>
        <w:tab/>
        <w:t>会议议案名称</w:t>
        <w:tab/>
        <w:t>决议情况</w:t>
        <w:tab/>
        <w:t>披露日期</w:t>
        <w:tab/>
        <w:t>披露索引</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79"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spacing w:line="290" w:lineRule="atLeast" w:before="0"/>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w:t>
      </w:r>
    </w:p>
    <w:p>
      <w:pPr>
        <w:spacing w:line="300" w:lineRule="auto" w:before="44"/>
        <w:ind w:left="897" w:right="0" w:firstLine="0"/>
        <w:jc w:val="both"/>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pacing w:val="-137"/>
          <w:sz w:val="18"/>
          <w:szCs w:val="18"/>
        </w:rPr>
        <w:t>、</w:t>
      </w:r>
      <w:r>
        <w:rPr>
          <w:rFonts w:ascii="宋体" w:hAnsi="宋体" w:cs="宋体" w:eastAsia="宋体" w:hint="default"/>
          <w:sz w:val="18"/>
          <w:szCs w:val="18"/>
        </w:rPr>
        <w:t>《关于提名公司第五届董事会非独立董事候选人</w:t>
      </w:r>
      <w:r>
        <w:rPr>
          <w:rFonts w:ascii="宋体" w:hAnsi="宋体" w:cs="宋体" w:eastAsia="宋体" w:hint="default"/>
          <w:sz w:val="18"/>
          <w:szCs w:val="18"/>
        </w:rPr>
        <w:t> 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《关于提名公司第五届董事会独立董</w:t>
      </w:r>
      <w:r>
        <w:rPr>
          <w:rFonts w:ascii="宋体" w:hAnsi="宋体" w:cs="宋体" w:eastAsia="宋体" w:hint="default"/>
          <w:sz w:val="18"/>
          <w:szCs w:val="18"/>
        </w:rPr>
        <w:t> 事候选人的议案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《关于提名公司第五届监事</w:t>
      </w:r>
    </w:p>
    <w:p>
      <w:pPr>
        <w:spacing w:before="14"/>
        <w:ind w:left="4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会非职工代表监事候选人的议案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《关于制定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line="310" w:lineRule="atLeast" w:before="0"/>
        <w:ind w:left="15" w:right="-20" w:firstLine="0"/>
        <w:jc w:val="left"/>
        <w:rPr>
          <w:rFonts w:ascii="宋体" w:hAnsi="宋体" w:cs="宋体" w:eastAsia="宋体" w:hint="default"/>
          <w:sz w:val="18"/>
          <w:szCs w:val="18"/>
        </w:rPr>
      </w:pPr>
      <w:r>
        <w:rPr>
          <w:rFonts w:ascii="宋体" w:hAnsi="宋体" w:cs="宋体" w:eastAsia="宋体" w:hint="default"/>
          <w:sz w:val="18"/>
          <w:szCs w:val="18"/>
        </w:rPr>
        <w:t>采取现场记名投 票表决方式审议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118"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6"/>
        <w:rPr>
          <w:rFonts w:ascii="Times New Roman" w:hAnsi="Times New Roman" w:cs="Times New Roman" w:eastAsia="Times New Roman" w:hint="default"/>
          <w:sz w:val="26"/>
          <w:szCs w:val="26"/>
        </w:rPr>
      </w:pPr>
    </w:p>
    <w:p>
      <w:pPr>
        <w:spacing w:line="300" w:lineRule="auto" w:before="0"/>
        <w:ind w:left="15" w:right="13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w:t>
      </w:r>
    </w:p>
    <w:p>
      <w:pPr>
        <w:spacing w:line="212" w:lineRule="exact" w:before="31"/>
        <w:ind w:left="15" w:right="1301" w:firstLine="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spacing w:after="0" w:line="212" w:lineRule="exact"/>
        <w:jc w:val="left"/>
        <w:rPr>
          <w:rFonts w:ascii="宋体" w:hAnsi="宋体" w:cs="宋体" w:eastAsia="宋体" w:hint="default"/>
          <w:sz w:val="18"/>
          <w:szCs w:val="18"/>
        </w:rPr>
        <w:sectPr>
          <w:type w:val="continuous"/>
          <w:pgSz w:w="11910" w:h="16840"/>
          <w:pgMar w:top="1060" w:bottom="1160" w:left="980" w:right="0"/>
          <w:cols w:num="5" w:equalWidth="0">
            <w:col w:w="947" w:space="40"/>
            <w:col w:w="4811" w:space="40"/>
            <w:col w:w="1276" w:space="40"/>
            <w:col w:w="914" w:space="40"/>
            <w:col w:w="2822"/>
          </w:cols>
        </w:sectPr>
      </w:pPr>
    </w:p>
    <w:p>
      <w:pPr>
        <w:spacing w:before="78"/>
        <w:ind w:left="181" w:right="-20" w:firstLine="0"/>
        <w:jc w:val="left"/>
        <w:rPr>
          <w:rFonts w:ascii="宋体" w:hAnsi="宋体" w:cs="宋体" w:eastAsia="宋体" w:hint="default"/>
          <w:sz w:val="18"/>
          <w:szCs w:val="18"/>
        </w:rPr>
      </w:pPr>
      <w:r>
        <w:rPr>
          <w:rFonts w:ascii="宋体" w:hAnsi="宋体" w:cs="宋体" w:eastAsia="宋体" w:hint="default"/>
          <w:sz w:val="18"/>
          <w:szCs w:val="18"/>
        </w:rPr>
        <w:t>股东大会</w:t>
      </w:r>
    </w:p>
    <w:p>
      <w:pPr>
        <w:spacing w:line="171" w:lineRule="exact" w:before="0"/>
        <w:ind w:left="9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70" w:lineRule="exact" w:before="0"/>
        <w:ind w:left="18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公司独立董事以及外部监事津贴的议案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《关</w:t>
      </w:r>
    </w:p>
    <w:p>
      <w:pPr>
        <w:spacing w:line="300" w:lineRule="auto" w:before="63"/>
        <w:ind w:left="181" w:right="0" w:firstLine="0"/>
        <w:jc w:val="both"/>
        <w:rPr>
          <w:rFonts w:ascii="宋体" w:hAnsi="宋体" w:cs="宋体" w:eastAsia="宋体" w:hint="default"/>
          <w:sz w:val="18"/>
          <w:szCs w:val="18"/>
        </w:rPr>
      </w:pPr>
      <w:r>
        <w:rPr>
          <w:rFonts w:ascii="宋体" w:hAnsi="宋体" w:cs="宋体" w:eastAsia="宋体" w:hint="default"/>
          <w:sz w:val="18"/>
          <w:szCs w:val="18"/>
        </w:rPr>
        <w:t>于修订公司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41"/>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131"/>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股东大 会议事规则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11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关</w:t>
      </w:r>
      <w:r>
        <w:rPr>
          <w:rFonts w:ascii="宋体" w:hAnsi="宋体" w:cs="宋体" w:eastAsia="宋体" w:hint="default"/>
          <w:sz w:val="18"/>
          <w:szCs w:val="18"/>
        </w:rPr>
        <w:t>于为控股子公司江苏</w:t>
      </w:r>
      <w:r>
        <w:rPr>
          <w:rFonts w:ascii="宋体" w:hAnsi="宋体" w:cs="宋体" w:eastAsia="宋体" w:hint="default"/>
          <w:sz w:val="18"/>
          <w:szCs w:val="18"/>
        </w:rPr>
        <w:t> 北斗科技有限公司提供担保的议案</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151" w:lineRule="auto" w:before="0"/>
        <w:ind w:left="13" w:right="-18" w:firstLine="1418"/>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通过了全部议案。</w:t>
      </w:r>
    </w:p>
    <w:p>
      <w:pPr>
        <w:spacing w:line="302" w:lineRule="auto" w:before="77"/>
        <w:ind w:left="180" w:right="1125"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2014-006</w:t>
      </w:r>
      <w:r>
        <w:rPr>
          <w:rFonts w:ascii="宋体" w:hAnsi="宋体" w:cs="宋体" w:eastAsia="宋体" w:hint="default"/>
          <w:spacing w:val="-90"/>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《上海证</w:t>
      </w:r>
      <w:r>
        <w:rPr>
          <w:rFonts w:ascii="宋体" w:hAnsi="宋体" w:cs="宋体" w:eastAsia="宋体" w:hint="default"/>
          <w:sz w:val="18"/>
          <w:szCs w:val="18"/>
        </w:rPr>
        <w:t> 券报</w:t>
      </w:r>
      <w:r>
        <w:rPr>
          <w:rFonts w:ascii="宋体" w:hAnsi="宋体" w:cs="宋体" w:eastAsia="宋体" w:hint="default"/>
          <w:spacing w:val="-90"/>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巨潮资讯网。</w:t>
      </w:r>
    </w:p>
    <w:p>
      <w:pPr>
        <w:spacing w:after="0" w:line="302" w:lineRule="auto"/>
        <w:jc w:val="left"/>
        <w:rPr>
          <w:rFonts w:ascii="宋体" w:hAnsi="宋体" w:cs="宋体" w:eastAsia="宋体" w:hint="default"/>
          <w:sz w:val="18"/>
          <w:szCs w:val="18"/>
        </w:rPr>
        <w:sectPr>
          <w:type w:val="continuous"/>
          <w:pgSz w:w="11910" w:h="16840"/>
          <w:pgMar w:top="1060" w:bottom="1160" w:left="980" w:right="0"/>
          <w:cols w:num="5" w:equalWidth="0">
            <w:col w:w="902" w:space="40"/>
            <w:col w:w="720" w:space="40"/>
            <w:col w:w="4097" w:space="40"/>
            <w:col w:w="2062" w:space="40"/>
            <w:col w:w="2989"/>
          </w:cols>
        </w:sectPr>
      </w:pPr>
    </w:p>
    <w:p>
      <w:pPr>
        <w:spacing w:line="240" w:lineRule="auto" w:before="0"/>
        <w:rPr>
          <w:rFonts w:ascii="宋体" w:hAnsi="宋体" w:cs="宋体" w:eastAsia="宋体" w:hint="default"/>
          <w:sz w:val="18"/>
          <w:szCs w:val="18"/>
        </w:rPr>
      </w:pPr>
    </w:p>
    <w:p>
      <w:pPr>
        <w:spacing w:line="290" w:lineRule="atLeast" w:before="157"/>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二次临时</w:t>
      </w:r>
    </w:p>
    <w:p>
      <w:pPr>
        <w:spacing w:line="240" w:lineRule="auto" w:before="3"/>
        <w:rPr>
          <w:rFonts w:ascii="宋体" w:hAnsi="宋体" w:cs="宋体" w:eastAsia="宋体" w:hint="default"/>
          <w:sz w:val="21"/>
          <w:szCs w:val="21"/>
        </w:rPr>
      </w:pPr>
      <w:r>
        <w:rPr/>
        <w:br w:type="column"/>
      </w:r>
      <w:r>
        <w:rPr>
          <w:rFonts w:ascii="宋体"/>
          <w:sz w:val="21"/>
        </w:rPr>
      </w: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采取现场记名投</w:t>
      </w:r>
    </w:p>
    <w:p>
      <w:pPr>
        <w:spacing w:before="76"/>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136"/>
          <w:sz w:val="18"/>
          <w:szCs w:val="18"/>
        </w:rPr>
        <w:t>、</w:t>
      </w:r>
      <w:r>
        <w:rPr>
          <w:rFonts w:ascii="宋体" w:hAnsi="宋体" w:cs="宋体" w:eastAsia="宋体" w:hint="default"/>
          <w:sz w:val="18"/>
          <w:szCs w:val="18"/>
        </w:rPr>
        <w:t>《关于控股子公司对外提供担保的议案</w:t>
      </w:r>
      <w:r>
        <w:rPr>
          <w:rFonts w:ascii="宋体" w:hAnsi="宋体" w:cs="宋体" w:eastAsia="宋体" w:hint="default"/>
          <w:spacing w:val="-90"/>
          <w:sz w:val="18"/>
          <w:szCs w:val="18"/>
        </w:rPr>
        <w:t>》</w:t>
      </w:r>
      <w:r>
        <w:rPr>
          <w:rFonts w:ascii="宋体" w:hAnsi="宋体" w:cs="宋体" w:eastAsia="宋体" w:hint="default"/>
          <w:spacing w:val="-46"/>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36"/>
          <w:sz w:val="18"/>
          <w:szCs w:val="18"/>
        </w:rPr>
        <w:t>、</w:t>
      </w:r>
      <w:r>
        <w:rPr>
          <w:rFonts w:ascii="宋体" w:hAnsi="宋体" w:cs="宋体" w:eastAsia="宋体" w:hint="default"/>
          <w:sz w:val="18"/>
          <w:szCs w:val="18"/>
        </w:rPr>
        <w:t>《关</w:t>
      </w:r>
      <w:r>
        <w:rPr>
          <w:rFonts w:ascii="宋体" w:hAnsi="宋体" w:cs="宋体" w:eastAsia="宋体" w:hint="default"/>
          <w:spacing w:val="-35"/>
          <w:sz w:val="18"/>
          <w:szCs w:val="18"/>
        </w:rPr>
        <w:t> </w:t>
      </w:r>
      <w:r>
        <w:rPr>
          <w:rFonts w:ascii="宋体" w:hAnsi="宋体" w:cs="宋体" w:eastAsia="宋体" w:hint="default"/>
          <w:sz w:val="18"/>
          <w:szCs w:val="18"/>
        </w:rPr>
        <w:t>票与网络投票相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18"/>
        <w:ind w:left="118"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spacing w:line="300" w:lineRule="auto" w:before="121"/>
        <w:ind w:left="15" w:right="1301" w:firstLine="0"/>
        <w:jc w:val="left"/>
        <w:rPr>
          <w:rFonts w:ascii="宋体" w:hAnsi="宋体" w:cs="宋体" w:eastAsia="宋体" w:hint="default"/>
          <w:sz w:val="18"/>
          <w:szCs w:val="18"/>
        </w:rPr>
      </w:pPr>
      <w:r>
        <w:rPr/>
        <w:br w:type="column"/>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w:t>
      </w:r>
    </w:p>
    <w:p>
      <w:pPr>
        <w:spacing w:line="212" w:lineRule="exact" w:before="31"/>
        <w:ind w:left="15" w:right="1301" w:firstLine="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spacing w:after="0" w:line="212" w:lineRule="exact"/>
        <w:jc w:val="left"/>
        <w:rPr>
          <w:rFonts w:ascii="宋体" w:hAnsi="宋体" w:cs="宋体" w:eastAsia="宋体" w:hint="default"/>
          <w:sz w:val="18"/>
          <w:szCs w:val="18"/>
        </w:rPr>
        <w:sectPr>
          <w:type w:val="continuous"/>
          <w:pgSz w:w="11910" w:h="16840"/>
          <w:pgMar w:top="1060" w:bottom="1160" w:left="980" w:right="0"/>
          <w:cols w:num="4" w:equalWidth="0">
            <w:col w:w="947" w:space="40"/>
            <w:col w:w="6127" w:space="40"/>
            <w:col w:w="914" w:space="40"/>
            <w:col w:w="2822"/>
          </w:cols>
        </w:sectPr>
      </w:pPr>
    </w:p>
    <w:p>
      <w:pPr>
        <w:spacing w:line="212" w:lineRule="exact" w:before="77"/>
        <w:ind w:left="181" w:right="-20" w:firstLine="0"/>
        <w:jc w:val="left"/>
        <w:rPr>
          <w:rFonts w:ascii="宋体" w:hAnsi="宋体" w:cs="宋体" w:eastAsia="宋体" w:hint="default"/>
          <w:sz w:val="18"/>
          <w:szCs w:val="18"/>
        </w:rPr>
      </w:pPr>
      <w:r>
        <w:rPr>
          <w:rFonts w:ascii="宋体" w:hAnsi="宋体" w:cs="宋体" w:eastAsia="宋体" w:hint="default"/>
          <w:sz w:val="18"/>
          <w:szCs w:val="18"/>
        </w:rPr>
        <w:t>股东大会</w:t>
      </w:r>
    </w:p>
    <w:p>
      <w:pPr>
        <w:spacing w:line="171" w:lineRule="exact" w:before="0"/>
        <w:ind w:left="9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57"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于向控股子公司提供财务资助的议案</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156"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结合的方式审议</w:t>
      </w:r>
    </w:p>
    <w:p>
      <w:pPr>
        <w:spacing w:line="171" w:lineRule="exact" w:before="0"/>
        <w:ind w:left="118"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13" w:lineRule="exact" w:before="76"/>
        <w:ind w:left="180" w:right="1125"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2014-020</w:t>
      </w:r>
      <w:r>
        <w:rPr>
          <w:rFonts w:ascii="宋体" w:hAnsi="宋体" w:cs="宋体" w:eastAsia="宋体" w:hint="default"/>
          <w:spacing w:val="-90"/>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《上海证</w:t>
      </w:r>
    </w:p>
    <w:p>
      <w:pPr>
        <w:spacing w:after="0" w:line="213" w:lineRule="exact"/>
        <w:jc w:val="left"/>
        <w:rPr>
          <w:rFonts w:ascii="宋体" w:hAnsi="宋体" w:cs="宋体" w:eastAsia="宋体" w:hint="default"/>
          <w:sz w:val="18"/>
          <w:szCs w:val="18"/>
        </w:rPr>
        <w:sectPr>
          <w:type w:val="continuous"/>
          <w:pgSz w:w="11910" w:h="16840"/>
          <w:pgMar w:top="1060" w:bottom="1160" w:left="980" w:right="0"/>
          <w:cols w:num="6" w:equalWidth="0">
            <w:col w:w="902" w:space="40"/>
            <w:col w:w="720" w:space="40"/>
            <w:col w:w="3332" w:space="637"/>
            <w:col w:w="1442" w:space="40"/>
            <w:col w:w="748" w:space="40"/>
            <w:col w:w="2989"/>
          </w:cols>
        </w:sectPr>
      </w:pPr>
    </w:p>
    <w:p>
      <w:pPr>
        <w:spacing w:line="18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通过了全部议案。</w:t>
      </w:r>
    </w:p>
    <w:p>
      <w:pPr>
        <w:spacing w:before="100"/>
        <w:ind w:left="78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券报</w:t>
      </w:r>
      <w:r>
        <w:rPr>
          <w:rFonts w:ascii="宋体" w:hAnsi="宋体" w:cs="宋体" w:eastAsia="宋体" w:hint="default"/>
          <w:spacing w:val="-90"/>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巨潮资讯网。</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293" w:space="40"/>
            <w:col w:w="3597"/>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2"/>
        <w:rPr>
          <w:rFonts w:ascii="宋体" w:hAnsi="宋体" w:cs="宋体" w:eastAsia="宋体" w:hint="default"/>
          <w:sz w:val="24"/>
          <w:szCs w:val="24"/>
        </w:rPr>
      </w:pPr>
    </w:p>
    <w:p>
      <w:pPr>
        <w:spacing w:line="290" w:lineRule="atLeast" w:before="0"/>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三次临时</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采取现场记名投</w:t>
      </w:r>
    </w:p>
    <w:p>
      <w:pPr>
        <w:spacing w:before="76"/>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《关于增补公司第五届董事会董事的议案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
          <w:sz w:val="18"/>
          <w:szCs w:val="18"/>
        </w:rPr>
        <w:t>、</w:t>
      </w:r>
      <w:r>
        <w:rPr>
          <w:rFonts w:ascii="宋体" w:hAnsi="宋体" w:cs="宋体" w:eastAsia="宋体" w:hint="default"/>
          <w:sz w:val="18"/>
          <w:szCs w:val="18"/>
        </w:rPr>
        <w:t>票表决的方式审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before="0"/>
        <w:ind w:left="118"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spacing w:line="300" w:lineRule="auto" w:before="44"/>
        <w:ind w:left="15" w:right="1301" w:firstLine="0"/>
        <w:jc w:val="left"/>
        <w:rPr>
          <w:rFonts w:ascii="宋体" w:hAnsi="宋体" w:cs="宋体" w:eastAsia="宋体" w:hint="default"/>
          <w:sz w:val="18"/>
          <w:szCs w:val="18"/>
        </w:rPr>
      </w:pPr>
      <w:r>
        <w:rPr/>
        <w:br w:type="column"/>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w:t>
      </w:r>
    </w:p>
    <w:p>
      <w:pPr>
        <w:spacing w:line="212" w:lineRule="exact" w:before="31"/>
        <w:ind w:left="15" w:right="1301" w:firstLine="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spacing w:after="0" w:line="212" w:lineRule="exact"/>
        <w:jc w:val="left"/>
        <w:rPr>
          <w:rFonts w:ascii="宋体" w:hAnsi="宋体" w:cs="宋体" w:eastAsia="宋体" w:hint="default"/>
          <w:sz w:val="18"/>
          <w:szCs w:val="18"/>
        </w:rPr>
        <w:sectPr>
          <w:type w:val="continuous"/>
          <w:pgSz w:w="11910" w:h="16840"/>
          <w:pgMar w:top="1060" w:bottom="1160" w:left="980" w:right="0"/>
          <w:cols w:num="4" w:equalWidth="0">
            <w:col w:w="947" w:space="40"/>
            <w:col w:w="6127" w:space="40"/>
            <w:col w:w="914" w:space="40"/>
            <w:col w:w="2822"/>
          </w:cols>
        </w:sectPr>
      </w:pPr>
    </w:p>
    <w:p>
      <w:pPr>
        <w:spacing w:before="77"/>
        <w:ind w:left="181" w:right="-20" w:firstLine="0"/>
        <w:jc w:val="left"/>
        <w:rPr>
          <w:rFonts w:ascii="宋体" w:hAnsi="宋体" w:cs="宋体" w:eastAsia="宋体" w:hint="default"/>
          <w:sz w:val="18"/>
          <w:szCs w:val="18"/>
        </w:rPr>
      </w:pPr>
      <w:r>
        <w:rPr>
          <w:rFonts w:ascii="宋体" w:hAnsi="宋体" w:cs="宋体" w:eastAsia="宋体" w:hint="default"/>
          <w:sz w:val="18"/>
          <w:szCs w:val="18"/>
        </w:rPr>
        <w:t>股东大会</w:t>
      </w:r>
    </w:p>
    <w:p>
      <w:pPr>
        <w:spacing w:line="171" w:lineRule="exact" w:before="0"/>
        <w:ind w:left="9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57"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《关于补提资产减值准备的议案</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156"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议通过了全部议</w:t>
      </w:r>
    </w:p>
    <w:p>
      <w:pPr>
        <w:spacing w:before="77"/>
        <w:ind w:left="181" w:right="-20" w:firstLine="0"/>
        <w:jc w:val="left"/>
        <w:rPr>
          <w:rFonts w:ascii="宋体" w:hAnsi="宋体" w:cs="宋体" w:eastAsia="宋体" w:hint="default"/>
          <w:sz w:val="18"/>
          <w:szCs w:val="18"/>
        </w:rPr>
      </w:pPr>
      <w:r>
        <w:rPr>
          <w:rFonts w:ascii="宋体" w:hAnsi="宋体" w:cs="宋体" w:eastAsia="宋体" w:hint="default"/>
          <w:sz w:val="18"/>
          <w:szCs w:val="18"/>
        </w:rPr>
        <w:t>案。</w:t>
      </w:r>
    </w:p>
    <w:p>
      <w:pPr>
        <w:spacing w:line="171" w:lineRule="exact" w:before="0"/>
        <w:ind w:left="118"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02" w:lineRule="auto" w:before="76"/>
        <w:ind w:left="180" w:right="1125"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2014-031</w:t>
      </w:r>
      <w:r>
        <w:rPr>
          <w:rFonts w:ascii="宋体" w:hAnsi="宋体" w:cs="宋体" w:eastAsia="宋体" w:hint="default"/>
          <w:spacing w:val="-90"/>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《上海证</w:t>
      </w:r>
      <w:r>
        <w:rPr>
          <w:rFonts w:ascii="宋体" w:hAnsi="宋体" w:cs="宋体" w:eastAsia="宋体" w:hint="default"/>
          <w:sz w:val="18"/>
          <w:szCs w:val="18"/>
        </w:rPr>
        <w:t> 券报</w:t>
      </w:r>
      <w:r>
        <w:rPr>
          <w:rFonts w:ascii="宋体" w:hAnsi="宋体" w:cs="宋体" w:eastAsia="宋体" w:hint="default"/>
          <w:spacing w:val="-90"/>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巨潮资讯网。</w:t>
      </w:r>
    </w:p>
    <w:p>
      <w:pPr>
        <w:spacing w:after="0" w:line="302" w:lineRule="auto"/>
        <w:jc w:val="left"/>
        <w:rPr>
          <w:rFonts w:ascii="宋体" w:hAnsi="宋体" w:cs="宋体" w:eastAsia="宋体" w:hint="default"/>
          <w:sz w:val="18"/>
          <w:szCs w:val="18"/>
        </w:rPr>
        <w:sectPr>
          <w:type w:val="continuous"/>
          <w:pgSz w:w="11910" w:h="16840"/>
          <w:pgMar w:top="1060" w:bottom="1160" w:left="980" w:right="0"/>
          <w:cols w:num="6" w:equalWidth="0">
            <w:col w:w="902" w:space="40"/>
            <w:col w:w="720" w:space="40"/>
            <w:col w:w="2972" w:space="997"/>
            <w:col w:w="1442" w:space="40"/>
            <w:col w:w="748" w:space="40"/>
            <w:col w:w="2989"/>
          </w:cols>
        </w:sectPr>
      </w:pPr>
    </w:p>
    <w:p>
      <w:pPr>
        <w:spacing w:line="240" w:lineRule="auto" w:before="0"/>
        <w:rPr>
          <w:rFonts w:ascii="宋体" w:hAnsi="宋体" w:cs="宋体" w:eastAsia="宋体" w:hint="default"/>
          <w:sz w:val="18"/>
          <w:szCs w:val="18"/>
        </w:rPr>
      </w:pPr>
    </w:p>
    <w:p>
      <w:pPr>
        <w:spacing w:line="290" w:lineRule="atLeast" w:before="155"/>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四次临时</w:t>
      </w:r>
    </w:p>
    <w:p>
      <w:pPr>
        <w:spacing w:line="240" w:lineRule="auto" w:before="1"/>
        <w:rPr>
          <w:rFonts w:ascii="宋体" w:hAnsi="宋体" w:cs="宋体" w:eastAsia="宋体" w:hint="default"/>
          <w:sz w:val="21"/>
          <w:szCs w:val="21"/>
        </w:rPr>
      </w:pPr>
      <w:r>
        <w:rPr/>
        <w:br w:type="column"/>
      </w:r>
      <w:r>
        <w:rPr>
          <w:rFonts w:ascii="宋体"/>
          <w:sz w:val="21"/>
        </w:rPr>
      </w:r>
    </w:p>
    <w:p>
      <w:pPr>
        <w:spacing w:before="0"/>
        <w:ind w:left="897"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《关于终止实施募投项目的议案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《关于使</w:t>
      </w:r>
      <w:r>
        <w:rPr>
          <w:rFonts w:ascii="宋体" w:hAnsi="宋体" w:cs="宋体" w:eastAsia="宋体" w:hint="default"/>
          <w:spacing w:val="8"/>
          <w:sz w:val="18"/>
          <w:szCs w:val="18"/>
        </w:rPr>
        <w:t> </w:t>
      </w:r>
      <w:r>
        <w:rPr>
          <w:rFonts w:ascii="宋体" w:hAnsi="宋体" w:cs="宋体" w:eastAsia="宋体" w:hint="default"/>
          <w:sz w:val="18"/>
          <w:szCs w:val="18"/>
        </w:rPr>
        <w:t>采取现场记名投</w:t>
      </w:r>
    </w:p>
    <w:p>
      <w:pPr>
        <w:spacing w:before="63"/>
        <w:ind w:left="46"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用节余募集资金永久补充流动资金的议案</w:t>
      </w:r>
      <w:r>
        <w:rPr>
          <w:rFonts w:ascii="宋体" w:hAnsi="宋体" w:cs="宋体" w:eastAsia="宋体" w:hint="default"/>
          <w:spacing w:val="-90"/>
          <w:sz w:val="18"/>
          <w:szCs w:val="18"/>
        </w:rPr>
        <w:t>》</w:t>
      </w:r>
      <w:r>
        <w:rPr>
          <w:rFonts w:ascii="宋体" w:hAnsi="宋体" w:cs="宋体" w:eastAsia="宋体" w:hint="default"/>
          <w:spacing w:val="-68"/>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59"/>
          <w:sz w:val="18"/>
          <w:szCs w:val="18"/>
        </w:rPr>
        <w:t>、</w:t>
      </w:r>
      <w:r>
        <w:rPr>
          <w:rFonts w:ascii="宋体" w:hAnsi="宋体" w:cs="宋体" w:eastAsia="宋体" w:hint="default"/>
          <w:sz w:val="18"/>
          <w:szCs w:val="18"/>
        </w:rPr>
        <w:t>《关</w:t>
      </w:r>
      <w:r>
        <w:rPr>
          <w:rFonts w:ascii="宋体" w:hAnsi="宋体" w:cs="宋体" w:eastAsia="宋体" w:hint="default"/>
          <w:spacing w:val="-35"/>
          <w:sz w:val="18"/>
          <w:szCs w:val="18"/>
        </w:rPr>
        <w:t> </w:t>
      </w:r>
      <w:r>
        <w:rPr>
          <w:rFonts w:ascii="宋体" w:hAnsi="宋体" w:cs="宋体" w:eastAsia="宋体" w:hint="default"/>
          <w:sz w:val="18"/>
          <w:szCs w:val="18"/>
        </w:rPr>
        <w:t>票与网络投票相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26"/>
          <w:szCs w:val="26"/>
        </w:rPr>
      </w:pPr>
    </w:p>
    <w:p>
      <w:pPr>
        <w:spacing w:before="0"/>
        <w:ind w:left="118"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spacing w:line="300" w:lineRule="auto" w:before="119"/>
        <w:ind w:left="15" w:right="1301" w:firstLine="0"/>
        <w:jc w:val="left"/>
        <w:rPr>
          <w:rFonts w:ascii="宋体" w:hAnsi="宋体" w:cs="宋体" w:eastAsia="宋体" w:hint="default"/>
          <w:sz w:val="18"/>
          <w:szCs w:val="18"/>
        </w:rPr>
      </w:pPr>
      <w:r>
        <w:rPr/>
        <w:br w:type="column"/>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时股东大会决议公</w:t>
      </w:r>
    </w:p>
    <w:p>
      <w:pPr>
        <w:spacing w:line="212" w:lineRule="exact" w:before="31"/>
        <w:ind w:left="15" w:right="1301" w:firstLine="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spacing w:after="0" w:line="212" w:lineRule="exact"/>
        <w:jc w:val="left"/>
        <w:rPr>
          <w:rFonts w:ascii="宋体" w:hAnsi="宋体" w:cs="宋体" w:eastAsia="宋体" w:hint="default"/>
          <w:sz w:val="18"/>
          <w:szCs w:val="18"/>
        </w:rPr>
        <w:sectPr>
          <w:type w:val="continuous"/>
          <w:pgSz w:w="11910" w:h="16840"/>
          <w:pgMar w:top="1060" w:bottom="1160" w:left="980" w:right="0"/>
          <w:cols w:num="4" w:equalWidth="0">
            <w:col w:w="947" w:space="40"/>
            <w:col w:w="6127" w:space="40"/>
            <w:col w:w="914" w:space="40"/>
            <w:col w:w="2822"/>
          </w:cols>
        </w:sectPr>
      </w:pPr>
    </w:p>
    <w:p>
      <w:pPr>
        <w:spacing w:line="212" w:lineRule="exact" w:before="78"/>
        <w:ind w:left="181" w:right="-20" w:firstLine="0"/>
        <w:jc w:val="left"/>
        <w:rPr>
          <w:rFonts w:ascii="宋体" w:hAnsi="宋体" w:cs="宋体" w:eastAsia="宋体" w:hint="default"/>
          <w:sz w:val="18"/>
          <w:szCs w:val="18"/>
        </w:rPr>
      </w:pPr>
      <w:r>
        <w:rPr>
          <w:rFonts w:ascii="宋体" w:hAnsi="宋体" w:cs="宋体" w:eastAsia="宋体" w:hint="default"/>
          <w:sz w:val="18"/>
          <w:szCs w:val="18"/>
        </w:rPr>
        <w:t>股东大会</w:t>
      </w:r>
    </w:p>
    <w:p>
      <w:pPr>
        <w:spacing w:line="171" w:lineRule="exact" w:before="0"/>
        <w:ind w:left="9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56"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于对外担保事项或将承担担保责任并授权董事长</w:t>
      </w:r>
    </w:p>
    <w:p>
      <w:pPr>
        <w:spacing w:line="156" w:lineRule="exact" w:before="0"/>
        <w:ind w:left="14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结合的方式审议</w:t>
      </w:r>
    </w:p>
    <w:p>
      <w:pPr>
        <w:spacing w:line="171" w:lineRule="exact" w:before="0"/>
        <w:ind w:left="118"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13" w:lineRule="exact" w:before="77"/>
        <w:ind w:left="180" w:right="1125"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2014-050</w:t>
      </w:r>
      <w:r>
        <w:rPr>
          <w:rFonts w:ascii="宋体" w:hAnsi="宋体" w:cs="宋体" w:eastAsia="宋体" w:hint="default"/>
          <w:spacing w:val="-90"/>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《上海证</w:t>
      </w:r>
    </w:p>
    <w:p>
      <w:pPr>
        <w:spacing w:after="0" w:line="213" w:lineRule="exact"/>
        <w:jc w:val="left"/>
        <w:rPr>
          <w:rFonts w:ascii="宋体" w:hAnsi="宋体" w:cs="宋体" w:eastAsia="宋体" w:hint="default"/>
          <w:sz w:val="18"/>
          <w:szCs w:val="18"/>
        </w:rPr>
        <w:sectPr>
          <w:type w:val="continuous"/>
          <w:pgSz w:w="11910" w:h="16840"/>
          <w:pgMar w:top="1060" w:bottom="1160" w:left="980" w:right="0"/>
          <w:cols w:num="6" w:equalWidth="0">
            <w:col w:w="902" w:space="40"/>
            <w:col w:w="720" w:space="40"/>
            <w:col w:w="3962" w:space="40"/>
            <w:col w:w="1409" w:space="40"/>
            <w:col w:w="748" w:space="40"/>
            <w:col w:w="2989"/>
          </w:cols>
        </w:sectPr>
      </w:pPr>
    </w:p>
    <w:p>
      <w:pPr>
        <w:spacing w:line="180" w:lineRule="exact" w:before="0"/>
        <w:ind w:left="1883" w:right="-20" w:firstLine="0"/>
        <w:jc w:val="left"/>
        <w:rPr>
          <w:rFonts w:ascii="宋体" w:hAnsi="宋体" w:cs="宋体" w:eastAsia="宋体" w:hint="default"/>
          <w:sz w:val="18"/>
          <w:szCs w:val="18"/>
        </w:rPr>
      </w:pPr>
      <w:r>
        <w:rPr>
          <w:rFonts w:ascii="宋体" w:hAnsi="宋体" w:cs="宋体" w:eastAsia="宋体" w:hint="default"/>
          <w:sz w:val="18"/>
          <w:szCs w:val="18"/>
        </w:rPr>
        <w:t>签署相关文件的议案</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180" w:lineRule="exact" w:before="0"/>
        <w:ind w:left="188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通过了全部议案。</w:t>
      </w:r>
    </w:p>
    <w:p>
      <w:pPr>
        <w:spacing w:before="100"/>
        <w:ind w:left="78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券报</w:t>
      </w:r>
      <w:r>
        <w:rPr>
          <w:rFonts w:ascii="宋体" w:hAnsi="宋体" w:cs="宋体" w:eastAsia="宋体" w:hint="default"/>
          <w:spacing w:val="-90"/>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巨潮资讯网。</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774" w:space="195"/>
            <w:col w:w="3324" w:space="40"/>
            <w:col w:w="3597"/>
          </w:cols>
        </w:sectPr>
      </w:pPr>
    </w:p>
    <w:p>
      <w:pPr>
        <w:spacing w:line="240" w:lineRule="auto" w:before="4"/>
        <w:rPr>
          <w:rFonts w:ascii="宋体" w:hAnsi="宋体" w:cs="宋体" w:eastAsia="宋体" w:hint="default"/>
          <w:sz w:val="9"/>
          <w:szCs w:val="9"/>
        </w:rPr>
      </w:pPr>
    </w:p>
    <w:p>
      <w:pPr>
        <w:spacing w:before="4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
          <w:sz w:val="18"/>
          <w:szCs w:val="18"/>
        </w:rPr>
        <w:t> </w:t>
      </w:r>
      <w:r>
        <w:rPr>
          <w:rFonts w:ascii="Times New Roman" w:hAnsi="Times New Roman" w:cs="Times New Roman" w:eastAsia="Times New Roman" w:hint="default"/>
          <w:position w:val="2"/>
          <w:sz w:val="18"/>
          <w:szCs w:val="18"/>
        </w:rPr>
        <w:t>2014</w:t>
      </w:r>
      <w:r>
        <w:rPr>
          <w:rFonts w:ascii="Times New Roman" w:hAnsi="Times New Roman" w:cs="Times New Roman" w:eastAsia="Times New Roman" w:hint="default"/>
          <w:spacing w:val="-8"/>
          <w:position w:val="2"/>
          <w:sz w:val="18"/>
          <w:szCs w:val="18"/>
        </w:rPr>
        <w:t> </w:t>
      </w:r>
      <w:r>
        <w:rPr>
          <w:rFonts w:ascii="宋体" w:hAnsi="宋体" w:cs="宋体" w:eastAsia="宋体" w:hint="default"/>
          <w:position w:val="2"/>
          <w:sz w:val="18"/>
          <w:szCs w:val="18"/>
        </w:rPr>
        <w:t>年</w:t>
      </w:r>
      <w:r>
        <w:rPr>
          <w:rFonts w:ascii="宋体" w:hAnsi="宋体" w:cs="宋体" w:eastAsia="宋体" w:hint="default"/>
          <w:spacing w:val="-53"/>
          <w:position w:val="2"/>
          <w:sz w:val="18"/>
          <w:szCs w:val="18"/>
        </w:rPr>
        <w:t> </w:t>
      </w:r>
      <w:r>
        <w:rPr>
          <w:rFonts w:ascii="Times New Roman" w:hAnsi="Times New Roman" w:cs="Times New Roman" w:eastAsia="Times New Roman" w:hint="default"/>
          <w:position w:val="2"/>
          <w:sz w:val="18"/>
          <w:szCs w:val="18"/>
        </w:rPr>
        <w:t>08</w:t>
      </w:r>
      <w:r>
        <w:rPr>
          <w:rFonts w:ascii="Times New Roman" w:hAnsi="Times New Roman" w:cs="Times New Roman" w:eastAsia="Times New Roman" w:hint="default"/>
          <w:spacing w:val="11"/>
          <w:position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137"/>
          <w:sz w:val="18"/>
          <w:szCs w:val="18"/>
        </w:rPr>
        <w:t>、</w:t>
      </w:r>
      <w:r>
        <w:rPr>
          <w:rFonts w:ascii="宋体" w:hAnsi="宋体" w:cs="宋体" w:eastAsia="宋体" w:hint="default"/>
          <w:sz w:val="18"/>
          <w:szCs w:val="18"/>
        </w:rPr>
        <w:t>《关于增补公司第五届董事会独立董事的议案</w:t>
      </w:r>
      <w:r>
        <w:rPr>
          <w:rFonts w:ascii="宋体" w:hAnsi="宋体" w:cs="宋体" w:eastAsia="宋体" w:hint="default"/>
          <w:spacing w:val="-90"/>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采取现场记名投 </w:t>
      </w:r>
      <w:r>
        <w:rPr>
          <w:rFonts w:ascii="宋体" w:hAnsi="宋体" w:cs="宋体" w:eastAsia="宋体" w:hint="default"/>
          <w:spacing w:val="-22"/>
          <w:sz w:val="18"/>
          <w:szCs w:val="18"/>
        </w:rPr>
        <w:t> </w:t>
      </w:r>
      <w:r>
        <w:rPr>
          <w:rFonts w:ascii="Times New Roman" w:hAnsi="Times New Roman" w:cs="Times New Roman" w:eastAsia="Times New Roman" w:hint="default"/>
          <w:position w:val="2"/>
          <w:sz w:val="18"/>
          <w:szCs w:val="18"/>
        </w:rPr>
        <w:t>2014</w:t>
      </w:r>
      <w:r>
        <w:rPr>
          <w:rFonts w:ascii="Times New Roman" w:hAnsi="Times New Roman" w:cs="Times New Roman" w:eastAsia="Times New Roman" w:hint="default"/>
          <w:spacing w:val="-8"/>
          <w:position w:val="2"/>
          <w:sz w:val="18"/>
          <w:szCs w:val="18"/>
        </w:rPr>
        <w:t> </w:t>
      </w:r>
      <w:r>
        <w:rPr>
          <w:rFonts w:ascii="宋体" w:hAnsi="宋体" w:cs="宋体" w:eastAsia="宋体" w:hint="default"/>
          <w:position w:val="2"/>
          <w:sz w:val="18"/>
          <w:szCs w:val="18"/>
        </w:rPr>
        <w:t>年</w:t>
      </w:r>
      <w:r>
        <w:rPr>
          <w:rFonts w:ascii="宋体" w:hAnsi="宋体" w:cs="宋体" w:eastAsia="宋体" w:hint="default"/>
          <w:spacing w:val="-53"/>
          <w:position w:val="2"/>
          <w:sz w:val="18"/>
          <w:szCs w:val="18"/>
        </w:rPr>
        <w:t> </w:t>
      </w:r>
      <w:r>
        <w:rPr>
          <w:rFonts w:ascii="Times New Roman" w:hAnsi="Times New Roman" w:cs="Times New Roman" w:eastAsia="Times New Roman" w:hint="default"/>
          <w:position w:val="2"/>
          <w:sz w:val="18"/>
          <w:szCs w:val="18"/>
        </w:rPr>
        <w:t>08</w:t>
      </w:r>
      <w:r>
        <w:rPr>
          <w:rFonts w:ascii="Times New Roman" w:hAnsi="Times New Roman" w:cs="Times New Roman" w:eastAsia="Times New Roman" w:hint="default"/>
          <w:spacing w:val="10"/>
          <w:position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before="63"/>
        <w:ind w:left="181" w:right="-20" w:firstLine="0"/>
        <w:jc w:val="left"/>
        <w:rPr>
          <w:rFonts w:ascii="宋体" w:hAnsi="宋体" w:cs="宋体" w:eastAsia="宋体" w:hint="default"/>
          <w:sz w:val="18"/>
          <w:szCs w:val="18"/>
        </w:rPr>
      </w:pPr>
      <w:r>
        <w:rPr>
          <w:rFonts w:ascii="宋体" w:hAnsi="宋体" w:cs="宋体" w:eastAsia="宋体" w:hint="default"/>
          <w:sz w:val="18"/>
          <w:szCs w:val="18"/>
        </w:rPr>
        <w:t>五次临时</w:t>
      </w:r>
    </w:p>
    <w:p>
      <w:pPr>
        <w:spacing w:before="43"/>
        <w:ind w:left="9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before="63"/>
        <w:ind w:left="181" w:right="-16"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w:t>
      </w:r>
      <w:r>
        <w:rPr>
          <w:rFonts w:ascii="宋体" w:hAnsi="宋体" w:cs="宋体" w:eastAsia="宋体" w:hint="default"/>
          <w:spacing w:val="-118"/>
          <w:sz w:val="18"/>
          <w:szCs w:val="18"/>
        </w:rPr>
        <w:t>、</w:t>
      </w:r>
      <w:r>
        <w:rPr>
          <w:rFonts w:ascii="宋体" w:hAnsi="宋体" w:cs="宋体" w:eastAsia="宋体" w:hint="default"/>
          <w:sz w:val="18"/>
          <w:szCs w:val="18"/>
        </w:rPr>
        <w:t>《关于修</w:t>
      </w:r>
      <w:r>
        <w:rPr>
          <w:rFonts w:ascii="宋体" w:hAnsi="宋体" w:cs="宋体" w:eastAsia="宋体" w:hint="default"/>
          <w:spacing w:val="-1"/>
          <w:sz w:val="18"/>
          <w:szCs w:val="18"/>
        </w:rPr>
        <w:t>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18"/>
          <w:sz w:val="18"/>
          <w:szCs w:val="18"/>
        </w:rPr>
        <w:t>、</w:t>
      </w:r>
      <w:r>
        <w:rPr>
          <w:rFonts w:ascii="宋体" w:hAnsi="宋体" w:cs="宋体" w:eastAsia="宋体" w:hint="default"/>
          <w:sz w:val="18"/>
          <w:szCs w:val="18"/>
        </w:rPr>
        <w:t>《关</w:t>
      </w:r>
      <w:r>
        <w:rPr>
          <w:rFonts w:ascii="宋体" w:hAnsi="宋体" w:cs="宋体" w:eastAsia="宋体" w:hint="default"/>
          <w:spacing w:val="1"/>
          <w:sz w:val="18"/>
          <w:szCs w:val="18"/>
        </w:rPr>
        <w:t>于</w:t>
      </w:r>
      <w:r>
        <w:rPr>
          <w:rFonts w:ascii="宋体" w:hAnsi="宋体" w:cs="宋体" w:eastAsia="宋体" w:hint="default"/>
          <w:sz w:val="18"/>
          <w:szCs w:val="18"/>
        </w:rPr>
        <w:t>修订</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票与网络投票相</w:t>
      </w:r>
    </w:p>
    <w:p>
      <w:pPr>
        <w:spacing w:before="43"/>
        <w:ind w:left="118"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before="63"/>
        <w:ind w:left="180" w:right="1125" w:firstLine="0"/>
        <w:jc w:val="left"/>
        <w:rPr>
          <w:rFonts w:ascii="宋体" w:hAnsi="宋体" w:cs="宋体" w:eastAsia="宋体" w:hint="default"/>
          <w:sz w:val="18"/>
          <w:szCs w:val="18"/>
        </w:rPr>
      </w:pPr>
      <w:r>
        <w:rPr/>
        <w:br w:type="column"/>
      </w:r>
      <w:r>
        <w:rPr>
          <w:rFonts w:ascii="宋体" w:hAnsi="宋体" w:cs="宋体" w:eastAsia="宋体" w:hint="default"/>
          <w:sz w:val="18"/>
          <w:szCs w:val="18"/>
        </w:rPr>
        <w:t>时股东大会决议公</w:t>
      </w:r>
    </w:p>
    <w:p>
      <w:pPr>
        <w:spacing w:after="0"/>
        <w:jc w:val="left"/>
        <w:rPr>
          <w:rFonts w:ascii="宋体" w:hAnsi="宋体" w:cs="宋体" w:eastAsia="宋体" w:hint="default"/>
          <w:sz w:val="18"/>
          <w:szCs w:val="18"/>
        </w:rPr>
        <w:sectPr>
          <w:type w:val="continuous"/>
          <w:pgSz w:w="11910" w:h="16840"/>
          <w:pgMar w:top="1060" w:bottom="1160" w:left="980" w:right="0"/>
          <w:cols w:num="5" w:equalWidth="0">
            <w:col w:w="902" w:space="40"/>
            <w:col w:w="720" w:space="40"/>
            <w:col w:w="5411" w:space="40"/>
            <w:col w:w="748" w:space="40"/>
            <w:col w:w="298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44"/>
        <w:ind w:left="0" w:right="1141" w:firstLine="0"/>
        <w:jc w:val="right"/>
        <w:rPr>
          <w:rFonts w:ascii="宋体" w:hAnsi="宋体" w:cs="宋体" w:eastAsia="宋体" w:hint="default"/>
          <w:sz w:val="18"/>
          <w:szCs w:val="18"/>
        </w:rPr>
      </w:pPr>
      <w:r>
        <w:rPr/>
        <w:pict>
          <v:group style="position:absolute;margin-left:411.420013pt;margin-top:-29.588266pt;width:42pt;height:48.85pt;mso-position-horizontal-relative:page;mso-position-vertical-relative:paragraph;z-index:1336" coordorigin="8228,-592" coordsize="840,977">
            <v:shape style="position:absolute;left:8228;top:-592;width:840;height:977" coordorigin="8228,-592" coordsize="840,977" path="m8228,385l9068,385,9068,-592,8228,-592,8228,385xe" filled="true" fillcolor="#ffffff" stroked="false">
              <v:path arrowok="t"/>
              <v:fill type="solid"/>
            </v:shape>
            <w10:wrap type="none"/>
          </v:group>
        </w:pict>
      </w:r>
      <w:r>
        <w:rPr/>
        <w:pict>
          <v:shape style="position:absolute;margin-left:56.459999pt;margin-top:-30.068266pt;width:479.1pt;height:49.8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851"/>
                    <w:gridCol w:w="3969"/>
                    <w:gridCol w:w="1419"/>
                    <w:gridCol w:w="850"/>
                    <w:gridCol w:w="1628"/>
                  </w:tblGrid>
                  <w:tr>
                    <w:trPr>
                      <w:trHeight w:val="98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851"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董事 会议事规则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监事会议事 规则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4"/>
                          <w:jc w:val="left"/>
                          <w:rPr>
                            <w:rFonts w:ascii="宋体" w:hAnsi="宋体" w:cs="宋体" w:eastAsia="宋体" w:hint="default"/>
                            <w:sz w:val="18"/>
                            <w:szCs w:val="18"/>
                          </w:rPr>
                        </w:pPr>
                        <w:r>
                          <w:rPr>
                            <w:rFonts w:ascii="宋体" w:hAnsi="宋体" w:cs="宋体" w:eastAsia="宋体" w:hint="default"/>
                            <w:sz w:val="18"/>
                            <w:szCs w:val="18"/>
                          </w:rPr>
                          <w:t>结合的方式审议 通过了全部议案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2014-065</w:t>
                        </w:r>
                        <w:r>
                          <w:rPr>
                            <w:rFonts w:ascii="宋体" w:hAnsi="宋体" w:cs="宋体" w:eastAsia="宋体" w:hint="default"/>
                            <w:spacing w:val="-90"/>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《上海证</w:t>
                        </w:r>
                        <w:r>
                          <w:rPr>
                            <w:rFonts w:ascii="宋体" w:hAnsi="宋体" w:cs="宋体" w:eastAsia="宋体" w:hint="default"/>
                            <w:sz w:val="18"/>
                            <w:szCs w:val="18"/>
                          </w:rPr>
                          <w:t> 券报</w:t>
                        </w:r>
                        <w:r>
                          <w:rPr>
                            <w:rFonts w:ascii="宋体" w:hAnsi="宋体" w:cs="宋体" w:eastAsia="宋体" w:hint="default"/>
                            <w:spacing w:val="-90"/>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巨潮资讯网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8"/>
          <w:szCs w:val="28"/>
        </w:rPr>
      </w:pPr>
    </w:p>
    <w:p>
      <w:pPr>
        <w:pStyle w:val="Heading5"/>
        <w:spacing w:line="240" w:lineRule="auto" w:before="35"/>
        <w:ind w:right="0"/>
        <w:jc w:val="left"/>
        <w:rPr>
          <w:b w:val="0"/>
          <w:bCs w:val="0"/>
        </w:rPr>
      </w:pPr>
      <w:bookmarkStart w:name="3、表决权恢夊的优先股股东请求召开临时股东大会" w:id="125"/>
      <w:bookmarkEnd w:id="125"/>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报告期内独立董事履行职责的情况" w:id="126"/>
      <w:bookmarkEnd w:id="126"/>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独立董事出席董事会及股东大会的情况" w:id="127"/>
      <w:bookmarkEnd w:id="12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罗会远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1" w:right="0"/>
              <w:jc w:val="lef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王普超</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1" w:right="0"/>
              <w:jc w:val="lef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田  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1" w:right="0"/>
              <w:jc w:val="lef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盛昭瀚</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1" w:right="0"/>
              <w:jc w:val="lef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r>
    </w:tbl>
    <w:p>
      <w:pPr>
        <w:spacing w:line="357"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2、独立董事对公司有关事项提出异议的情况" w:id="128"/>
      <w:bookmarkEnd w:id="12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pStyle w:val="Heading5"/>
        <w:spacing w:line="240" w:lineRule="auto"/>
        <w:ind w:left="153" w:right="0"/>
        <w:jc w:val="left"/>
        <w:rPr>
          <w:b w:val="0"/>
          <w:bCs w:val="0"/>
        </w:rPr>
      </w:pPr>
      <w:bookmarkStart w:name="3、独立董事履行职责的其他说明" w:id="129"/>
      <w:bookmarkEnd w:id="12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2"/>
        <w:ind w:right="1109" w:firstLine="420"/>
        <w:jc w:val="both"/>
      </w:pPr>
      <w:r>
        <w:rPr/>
        <w:t>报告期内，公司独立董事严格按照《公司法》、《证券法》、《公司章程》和《独立董事工作细则》 </w:t>
      </w:r>
      <w:r>
        <w:rPr>
          <w:spacing w:val="-1"/>
        </w:rPr>
        <w:t>等法律、法规的有关规定，勤勉尽责，多次对公司进行现场调查，了解公司的生产经营情况，积极出席相</w:t>
      </w:r>
      <w:r>
        <w:rPr>
          <w:spacing w:val="-83"/>
        </w:rPr>
        <w:t> </w:t>
      </w:r>
      <w:r>
        <w:rPr>
          <w:spacing w:val="-83"/>
        </w:rPr>
      </w:r>
      <w:r>
        <w:rPr>
          <w:spacing w:val="-1"/>
        </w:rPr>
        <w:t>关会议，认真审阅议案，注重保持与公司其他相关人员密切联系，在年报编制和披露过程中，认真听取公</w:t>
      </w:r>
      <w:r>
        <w:rPr>
          <w:spacing w:val="-86"/>
        </w:rPr>
        <w:t> </w:t>
      </w:r>
      <w:r>
        <w:rPr>
          <w:spacing w:val="-86"/>
        </w:rPr>
      </w:r>
      <w:r>
        <w:rPr/>
        <w:t>司管理层对全年经营情况和重大事项进展情况的汇报，及时了解年报审计工作安排及审计工作进展情况， </w:t>
      </w:r>
      <w:r>
        <w:rPr>
          <w:spacing w:val="-1"/>
        </w:rPr>
        <w:t>仔细审阅相关资料，并就审计过程中发现的问题进行了有效沟通，同时注重关注国内外经济形势以及市场</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变化对公司经营状况的影响，并本着对公司、股东负责的态度，利用自己的专业知识和能力发表专业独立</w:t>
      </w:r>
      <w:r>
        <w:rPr>
          <w:spacing w:val="-83"/>
        </w:rPr>
        <w:t> </w:t>
      </w:r>
      <w:r>
        <w:rPr>
          <w:spacing w:val="-83"/>
        </w:rPr>
      </w:r>
      <w:r>
        <w:rPr/>
        <w:t>意见，为董事会及董事会下设专门委员会的科学决策和公司健康发展发挥积极的作用。</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四、董事会下设专门委员会在报告期内履行职责情况" w:id="130"/>
      <w:bookmarkEnd w:id="130"/>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018" w:firstLine="420"/>
        <w:jc w:val="left"/>
      </w:pPr>
      <w:r>
        <w:rPr>
          <w:spacing w:val="-3"/>
        </w:rPr>
        <w:t>根据《公司法》、《上市公司治理准则》以及《公司章程》的有关规定，公司董事会下设战略委员会、</w:t>
      </w:r>
      <w:r>
        <w:rPr/>
        <w:t> 审计委员会、提名委员会和薪酬与考核委员会四个专门委员会，各专门委员会对董事会负责并报告工作。 报告期内，董事会各专门委员会按照《公司章程》及各自议事规则的规定开展工作，保障了董事会的有效 运作。</w:t>
      </w:r>
    </w:p>
    <w:p>
      <w:pPr>
        <w:pStyle w:val="BodyText"/>
        <w:spacing w:line="386" w:lineRule="auto" w:before="46"/>
        <w:ind w:left="574" w:right="0"/>
        <w:jc w:val="left"/>
      </w:pPr>
      <w:r>
        <w:rPr>
          <w:rFonts w:ascii="Times New Roman" w:hAnsi="Times New Roman" w:cs="Times New Roman" w:eastAsia="Times New Roman" w:hint="default"/>
        </w:rPr>
        <w:t>1</w:t>
      </w:r>
      <w:r>
        <w:rPr/>
        <w:t>、战略委员会</w:t>
      </w:r>
      <w:r>
        <w:rPr>
          <w:spacing w:val="-2"/>
        </w:rPr>
        <w:t> </w:t>
      </w:r>
      <w:r>
        <w:rPr>
          <w:spacing w:val="-6"/>
        </w:rPr>
        <w:t>公司董事会战略委员会由五名董事组成，其中三名为独立董事。报告期内，董事会战略委员会根据《公</w:t>
      </w:r>
    </w:p>
    <w:p>
      <w:pPr>
        <w:pStyle w:val="BodyText"/>
        <w:spacing w:line="408" w:lineRule="auto" w:before="65"/>
        <w:ind w:left="154" w:right="1131"/>
        <w:jc w:val="both"/>
      </w:pPr>
      <w:r>
        <w:rPr>
          <w:spacing w:val="-1"/>
        </w:rPr>
        <w:t>司章程》和《战略委员会议事规则》的有关规定，召集召开了会议，分别对《关于终止实施募投项目的议</w:t>
      </w:r>
      <w:r>
        <w:rPr>
          <w:spacing w:val="-83"/>
        </w:rPr>
        <w:t> </w:t>
      </w:r>
      <w:r>
        <w:rPr>
          <w:spacing w:val="-83"/>
        </w:rPr>
      </w:r>
      <w:r>
        <w:rPr>
          <w:spacing w:val="-1"/>
        </w:rPr>
        <w:t>案》、《关于控股子公司江苏北斗科技有限公司拟进行破产清算的议案》、《关于筹划重大资产重组事项</w:t>
      </w:r>
      <w:r>
        <w:rPr>
          <w:spacing w:val="-83"/>
        </w:rPr>
        <w:t> </w:t>
      </w:r>
      <w:r>
        <w:rPr>
          <w:spacing w:val="-83"/>
        </w:rPr>
      </w:r>
      <w:r>
        <w:rPr/>
        <w:t>的议案》等进行了审议。</w:t>
      </w:r>
    </w:p>
    <w:p>
      <w:pPr>
        <w:pStyle w:val="BodyText"/>
        <w:spacing w:line="386" w:lineRule="auto" w:before="46"/>
        <w:ind w:left="574" w:right="0"/>
        <w:jc w:val="left"/>
      </w:pPr>
      <w:r>
        <w:rPr>
          <w:rFonts w:ascii="Times New Roman" w:hAnsi="Times New Roman" w:cs="Times New Roman" w:eastAsia="Times New Roman" w:hint="default"/>
        </w:rPr>
        <w:t>2</w:t>
      </w:r>
      <w:r>
        <w:rPr/>
        <w:t>、审计委员会 </w:t>
      </w:r>
      <w:r>
        <w:rPr>
          <w:spacing w:val="-1"/>
        </w:rPr>
        <w:t>公司董事会审计委员会由三名董事组成，其中两名独立董事，并由具有注册会计师资格的独立董事担</w:t>
      </w:r>
    </w:p>
    <w:p>
      <w:pPr>
        <w:pStyle w:val="BodyText"/>
        <w:spacing w:line="408" w:lineRule="auto" w:before="65"/>
        <w:ind w:right="1131"/>
        <w:jc w:val="both"/>
      </w:pPr>
      <w:r>
        <w:rPr>
          <w:spacing w:val="-1"/>
        </w:rPr>
        <w:t>任主任委员和会议召集人。报告期内，董事会审计委员会严格按照《审计委员会议事规则》和《审计委员</w:t>
      </w:r>
      <w:r>
        <w:rPr>
          <w:spacing w:val="-83"/>
        </w:rPr>
        <w:t> </w:t>
      </w:r>
      <w:r>
        <w:rPr>
          <w:spacing w:val="-83"/>
        </w:rPr>
      </w:r>
      <w:r>
        <w:rPr>
          <w:spacing w:val="-1"/>
        </w:rPr>
        <w:t>会年报工作制度》的规定履行职责，并召开多次会议对公司内部审计工作进度、重大事项实施情况的报告</w:t>
      </w:r>
      <w:r>
        <w:rPr>
          <w:spacing w:val="-83"/>
        </w:rPr>
        <w:t> </w:t>
      </w:r>
      <w:r>
        <w:rPr>
          <w:spacing w:val="-83"/>
        </w:rPr>
      </w:r>
      <w:r>
        <w:rPr>
          <w:spacing w:val="-1"/>
        </w:rPr>
        <w:t>等事项进行了审议，对公司内部控制制度的建设及执行情况进行了检查，监督公司财务信息的有关披露工</w:t>
      </w:r>
      <w:r>
        <w:rPr>
          <w:spacing w:val="-82"/>
        </w:rPr>
        <w:t> </w:t>
      </w:r>
      <w:r>
        <w:rPr>
          <w:spacing w:val="-82"/>
        </w:rPr>
      </w:r>
      <w:r>
        <w:rPr>
          <w:spacing w:val="-1"/>
        </w:rPr>
        <w:t>作，并与公司年审注册会计师就审计过程中发现的问题进行了沟通和交流，同时对会计师事务所审计工作</w:t>
      </w:r>
      <w:r>
        <w:rPr>
          <w:spacing w:val="-81"/>
        </w:rPr>
        <w:t> </w:t>
      </w:r>
      <w:r>
        <w:rPr>
          <w:spacing w:val="-81"/>
        </w:rPr>
      </w:r>
      <w:r>
        <w:rPr>
          <w:spacing w:val="-1"/>
        </w:rPr>
        <w:t>进行评价且提出了续聘建议，对年度审计工作进行总结，对下一年度工作提出计划。报告期内，审计委员</w:t>
      </w:r>
      <w:r>
        <w:rPr>
          <w:spacing w:val="-86"/>
        </w:rPr>
        <w:t> </w:t>
      </w:r>
      <w:r>
        <w:rPr>
          <w:spacing w:val="-86"/>
        </w:rPr>
      </w:r>
      <w:r>
        <w:rPr/>
        <w:t>会切实履行了监督核查职能，维护了审计的独立性。</w:t>
      </w:r>
    </w:p>
    <w:p>
      <w:pPr>
        <w:pStyle w:val="BodyText"/>
        <w:spacing w:line="386" w:lineRule="auto" w:before="46"/>
        <w:ind w:left="574" w:right="0"/>
        <w:jc w:val="left"/>
      </w:pPr>
      <w:r>
        <w:rPr>
          <w:rFonts w:ascii="Times New Roman" w:hAnsi="Times New Roman" w:cs="Times New Roman" w:eastAsia="Times New Roman" w:hint="default"/>
        </w:rPr>
        <w:t>3</w:t>
      </w:r>
      <w:r>
        <w:rPr/>
        <w:t>、提名委员会 </w:t>
      </w:r>
      <w:r>
        <w:rPr>
          <w:spacing w:val="-1"/>
        </w:rPr>
        <w:t>公司董事会提名委员会由三名董事组成，其中两名独立董事，并由独立董事担任主任委员和会议召集</w:t>
      </w:r>
    </w:p>
    <w:p>
      <w:pPr>
        <w:pStyle w:val="BodyText"/>
        <w:spacing w:line="408" w:lineRule="auto" w:before="65"/>
        <w:ind w:left="154" w:right="1023"/>
        <w:jc w:val="left"/>
      </w:pPr>
      <w:r>
        <w:rPr/>
        <w:t>人。报告期内，提名委员会严格按照《公司章程》和《提名委员会议事规则》的有关规定履行职责，对公 </w:t>
      </w:r>
      <w:r>
        <w:rPr>
          <w:spacing w:val="-3"/>
        </w:rPr>
        <w:t>司董事候选人、拟聘任高管人员人选的任职资格、专业能力和职业素质等进行了审查并发表了客观的意见。</w:t>
      </w:r>
    </w:p>
    <w:p>
      <w:pPr>
        <w:pStyle w:val="BodyText"/>
        <w:spacing w:line="386" w:lineRule="auto" w:before="46"/>
        <w:ind w:left="574" w:right="0" w:firstLine="21"/>
        <w:jc w:val="left"/>
      </w:pPr>
      <w:r>
        <w:rPr>
          <w:rFonts w:ascii="Times New Roman" w:hAnsi="Times New Roman" w:cs="Times New Roman" w:eastAsia="Times New Roman" w:hint="default"/>
        </w:rPr>
        <w:t>4</w:t>
      </w:r>
      <w:r>
        <w:rPr/>
        <w:t>、薪酬与考核委员会 </w:t>
      </w:r>
      <w:r>
        <w:rPr>
          <w:spacing w:val="-1"/>
        </w:rPr>
        <w:t>公司董事会薪酬与考核委员会由三名董事组成，其中两名独立董事，并由独立董事担任主任委员和会</w:t>
      </w:r>
    </w:p>
    <w:p>
      <w:pPr>
        <w:pStyle w:val="BodyText"/>
        <w:spacing w:line="408" w:lineRule="auto" w:before="65"/>
        <w:ind w:left="154" w:right="1023"/>
        <w:jc w:val="left"/>
      </w:pPr>
      <w:r>
        <w:rPr/>
        <w:t>议召集人。报告期内，董事会薪酬与考核委员会严格按照《公司章程》和《薪酬与考核委员会议事规则》 </w:t>
      </w:r>
      <w:r>
        <w:rPr>
          <w:spacing w:val="-3"/>
        </w:rPr>
        <w:t>的有关规定履行职责，对公司董事、监事和高级管理人员的履职情况和薪酬分配方案等进行了检查和审议。</w:t>
      </w:r>
    </w:p>
    <w:p>
      <w:pPr>
        <w:spacing w:after="0" w:line="408"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五、监事会工作情况" w:id="131"/>
      <w:bookmarkEnd w:id="131"/>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六、公司相对于控股股东在业务、人员、资产、机构、财务等方面的独立完整情况" w:id="132"/>
      <w:bookmarkEnd w:id="132"/>
      <w:r>
        <w:rPr>
          <w:b w:val="0"/>
          <w:bCs w:val="0"/>
        </w:rPr>
      </w: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30"/>
          <w:szCs w:val="30"/>
        </w:rPr>
      </w:pPr>
    </w:p>
    <w:p>
      <w:pPr>
        <w:pStyle w:val="BodyText"/>
        <w:spacing w:line="410" w:lineRule="auto" w:before="0"/>
        <w:ind w:right="1118" w:firstLine="420"/>
        <w:jc w:val="left"/>
      </w:pPr>
      <w:r>
        <w:rPr>
          <w:spacing w:val="-1"/>
        </w:rPr>
        <w:t>公司与控股股东在业务、人员、资产、机构、财务等方面完全分开，具有独立完整的业务及自主经营</w:t>
      </w:r>
      <w:r>
        <w:rPr/>
        <w:t> 能力。</w:t>
      </w:r>
    </w:p>
    <w:p>
      <w:pPr>
        <w:pStyle w:val="BodyText"/>
        <w:spacing w:line="417" w:lineRule="auto" w:before="83"/>
        <w:ind w:left="573" w:right="1118"/>
        <w:jc w:val="left"/>
      </w:pPr>
      <w:r>
        <w:rPr>
          <w:rFonts w:ascii="Times New Roman" w:hAnsi="Times New Roman" w:cs="Times New Roman" w:eastAsia="Times New Roman" w:hint="default"/>
        </w:rPr>
        <w:t>1</w:t>
      </w:r>
      <w:r>
        <w:rPr/>
        <w:t>、业务 </w:t>
      </w:r>
      <w:r>
        <w:rPr>
          <w:spacing w:val="-1"/>
        </w:rPr>
        <w:t>公司主营业务为服装的制造、销售。公司业务结构独立完整，具备独立面向市场并自主经营的业务能</w:t>
      </w:r>
    </w:p>
    <w:p>
      <w:pPr>
        <w:pStyle w:val="BodyText"/>
        <w:spacing w:line="240" w:lineRule="auto" w:before="39"/>
        <w:ind w:right="0"/>
        <w:jc w:val="both"/>
      </w:pPr>
      <w:r>
        <w:rPr/>
        <w:t>力，与控股股东之间无同业竞争，控股股东不存在直接或间接干预公司经营的情形。</w:t>
      </w:r>
    </w:p>
    <w:p>
      <w:pPr>
        <w:spacing w:line="240" w:lineRule="auto" w:before="12"/>
        <w:rPr>
          <w:rFonts w:ascii="宋体" w:hAnsi="宋体" w:cs="宋体" w:eastAsia="宋体" w:hint="default"/>
          <w:sz w:val="17"/>
          <w:szCs w:val="17"/>
        </w:rPr>
      </w:pPr>
    </w:p>
    <w:p>
      <w:pPr>
        <w:pStyle w:val="BodyText"/>
        <w:spacing w:line="417" w:lineRule="auto" w:before="0"/>
        <w:ind w:left="573" w:right="1118"/>
        <w:jc w:val="left"/>
      </w:pPr>
      <w:r>
        <w:rPr>
          <w:rFonts w:ascii="Times New Roman" w:hAnsi="Times New Roman" w:cs="Times New Roman" w:eastAsia="Times New Roman" w:hint="default"/>
        </w:rPr>
        <w:t>2</w:t>
      </w:r>
      <w:r>
        <w:rPr/>
        <w:t>、人员 </w:t>
      </w:r>
      <w:r>
        <w:rPr>
          <w:spacing w:val="-1"/>
        </w:rPr>
        <w:t>公司在劳动、人事及工资管理等各方面均独立于控股股东。公司设立专门的机构负责公司的劳动人事</w:t>
      </w:r>
    </w:p>
    <w:p>
      <w:pPr>
        <w:pStyle w:val="BodyText"/>
        <w:spacing w:line="408" w:lineRule="auto" w:before="37"/>
        <w:ind w:right="1131"/>
        <w:jc w:val="both"/>
      </w:pPr>
      <w:r>
        <w:rPr>
          <w:spacing w:val="-1"/>
        </w:rPr>
        <w:t>及工资管理，公司拥有独立的劳动用工权和人事管理制度，不存在控股股东或其他任何部门、单位、个人</w:t>
      </w:r>
      <w:r>
        <w:rPr>
          <w:spacing w:val="-86"/>
        </w:rPr>
        <w:t> </w:t>
      </w:r>
      <w:r>
        <w:rPr>
          <w:spacing w:val="-86"/>
        </w:rPr>
      </w:r>
      <w:r>
        <w:rPr>
          <w:spacing w:val="-1"/>
        </w:rPr>
        <w:t>干预公司人事任免情形；公司董事、监事和高级管理人员的选聘均严格按照《公司法》和《公司章程》的</w:t>
      </w:r>
      <w:r>
        <w:rPr>
          <w:spacing w:val="-83"/>
        </w:rPr>
        <w:t> </w:t>
      </w:r>
      <w:r>
        <w:rPr>
          <w:spacing w:val="-83"/>
        </w:rPr>
      </w:r>
      <w:r>
        <w:rPr>
          <w:spacing w:val="-1"/>
        </w:rPr>
        <w:t>有关规定选举产生，不存在控股股东及其他单位违反《公司章程》规定干预公司人事任免的情况；公司总</w:t>
      </w:r>
      <w:r>
        <w:rPr>
          <w:spacing w:val="-86"/>
        </w:rPr>
        <w:t> </w:t>
      </w:r>
      <w:r>
        <w:rPr>
          <w:spacing w:val="-86"/>
        </w:rPr>
      </w:r>
      <w:r>
        <w:rPr>
          <w:spacing w:val="-1"/>
        </w:rPr>
        <w:t>经理、副总经理、董事会秘书、财务负责人等高级管理人员均在公司工作并领取薪酬，未在控股股东及其</w:t>
      </w:r>
      <w:r>
        <w:rPr>
          <w:spacing w:val="-86"/>
        </w:rPr>
        <w:t> </w:t>
      </w:r>
      <w:r>
        <w:rPr>
          <w:spacing w:val="-86"/>
        </w:rPr>
      </w:r>
      <w:r>
        <w:rPr/>
        <w:t>下属企业担任除董事、监事以外的任何职务和领取报酬。</w:t>
      </w:r>
    </w:p>
    <w:p>
      <w:pPr>
        <w:pStyle w:val="BodyText"/>
        <w:spacing w:line="420" w:lineRule="auto" w:before="85"/>
        <w:ind w:left="574" w:right="1118"/>
        <w:jc w:val="left"/>
      </w:pPr>
      <w:r>
        <w:rPr>
          <w:rFonts w:ascii="Times New Roman" w:hAnsi="Times New Roman" w:cs="Times New Roman" w:eastAsia="Times New Roman" w:hint="default"/>
        </w:rPr>
        <w:t>3</w:t>
      </w:r>
      <w:r>
        <w:rPr/>
        <w:t>、资产 </w:t>
      </w:r>
      <w:r>
        <w:rPr>
          <w:spacing w:val="-1"/>
        </w:rPr>
        <w:t>公司资产独立完整。公司拥有独立于控股股东的生产经营场所，拥有独立完整的资产结构，拥有独立</w:t>
      </w:r>
    </w:p>
    <w:p>
      <w:pPr>
        <w:pStyle w:val="BodyText"/>
        <w:spacing w:line="410" w:lineRule="auto" w:before="35"/>
        <w:ind w:left="154" w:right="1023"/>
        <w:jc w:val="left"/>
      </w:pPr>
      <w:r>
        <w:rPr>
          <w:spacing w:val="-3"/>
        </w:rPr>
        <w:t>的生产系统、辅助生产系统和配套设施，拥有独立的采购和销售系统。公司对资产独立登记、建帐、核算、</w:t>
      </w:r>
      <w:r>
        <w:rPr>
          <w:spacing w:val="-94"/>
        </w:rPr>
        <w:t> </w:t>
      </w:r>
      <w:r>
        <w:rPr>
          <w:spacing w:val="-94"/>
        </w:rPr>
      </w:r>
      <w:r>
        <w:rPr/>
        <w:t>管理。控股股东未有占用、支配公司资产或干预公司对该资产的经营管理。</w:t>
      </w:r>
    </w:p>
    <w:p>
      <w:pPr>
        <w:pStyle w:val="BodyText"/>
        <w:spacing w:line="417" w:lineRule="auto" w:before="83"/>
        <w:ind w:left="573" w:right="1118"/>
        <w:jc w:val="left"/>
      </w:pPr>
      <w:r>
        <w:rPr>
          <w:rFonts w:ascii="Times New Roman" w:hAnsi="Times New Roman" w:cs="Times New Roman" w:eastAsia="Times New Roman" w:hint="default"/>
        </w:rPr>
        <w:t>4</w:t>
      </w:r>
      <w:r>
        <w:rPr/>
        <w:t>、机构 </w:t>
      </w:r>
      <w:r>
        <w:rPr>
          <w:spacing w:val="-1"/>
        </w:rPr>
        <w:t>公司设有健全的组织机构体系，股东大会、董事会、监事会、经营层及各职能部门均独立运作，并制</w:t>
      </w:r>
    </w:p>
    <w:p>
      <w:pPr>
        <w:pStyle w:val="BodyText"/>
        <w:spacing w:line="410" w:lineRule="auto" w:before="37"/>
        <w:ind w:right="1024"/>
        <w:jc w:val="left"/>
      </w:pPr>
      <w:r>
        <w:rPr>
          <w:spacing w:val="-3"/>
        </w:rPr>
        <w:t>定了相应的内部管理和控制制度，使各部门之间分工明确、各司其职、相互配合，保证了公司的依法运作，</w:t>
      </w:r>
      <w:r>
        <w:rPr>
          <w:spacing w:val="-96"/>
        </w:rPr>
        <w:t> </w:t>
      </w:r>
      <w:r>
        <w:rPr>
          <w:spacing w:val="-96"/>
        </w:rPr>
      </w:r>
      <w:r>
        <w:rPr/>
        <w:t>不存在与控股股东职能部门之间的从属关系。</w:t>
      </w:r>
    </w:p>
    <w:p>
      <w:pPr>
        <w:pStyle w:val="BodyText"/>
        <w:spacing w:line="417" w:lineRule="auto" w:before="85"/>
        <w:ind w:left="574" w:right="1092"/>
        <w:jc w:val="left"/>
      </w:pPr>
      <w:r>
        <w:rPr>
          <w:rFonts w:ascii="Times New Roman" w:hAnsi="Times New Roman" w:cs="Times New Roman" w:eastAsia="Times New Roman" w:hint="default"/>
        </w:rPr>
        <w:t>5</w:t>
      </w:r>
      <w:r>
        <w:rPr/>
        <w:t>、财务 公司设立了独立的财务部门，配备了独立的财务人员，建立了独立的会计核算体系和财务管理制度，</w:t>
      </w:r>
    </w:p>
    <w:p>
      <w:pPr>
        <w:pStyle w:val="BodyText"/>
        <w:spacing w:line="240" w:lineRule="auto" w:before="37"/>
        <w:ind w:left="154" w:right="0"/>
        <w:jc w:val="both"/>
      </w:pPr>
      <w:r>
        <w:rPr/>
        <w:t>独立进行财务决策，具有规范的财务会计制度和对子公司的财务管理制度，公司在银行单独开立账户，依</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法独立纳税，独立作出财务决策，不存在控股股东干预本公司财务管理的情况。</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bookmarkStart w:name="七、同业竞争情况" w:id="133"/>
      <w:bookmarkEnd w:id="133"/>
      <w:r>
        <w:rPr>
          <w:b w:val="0"/>
          <w:bCs w:val="0"/>
        </w:rPr>
      </w:r>
      <w:r>
        <w:rPr/>
        <w:t>七、同业竞争情况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高级管理人员的考评及激励情况" w:id="134"/>
      <w:bookmarkEnd w:id="134"/>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0" w:firstLine="420"/>
        <w:jc w:val="both"/>
      </w:pPr>
      <w:r>
        <w:rPr>
          <w:spacing w:val="-1"/>
        </w:rPr>
        <w:t>公司建立了高级管理人员的考评、激励机制并不断完善，公司高级管理人员由董事会聘任产生，直接</w:t>
      </w:r>
      <w:r>
        <w:rPr/>
        <w:t> </w:t>
      </w:r>
      <w:r>
        <w:rPr>
          <w:spacing w:val="-1"/>
        </w:rPr>
        <w:t>对董事会负责。高级管理人员的薪酬是在年度股东大会审批的薪酬分配方案额度范围内授权公司董事长按</w:t>
      </w:r>
      <w:r>
        <w:rPr>
          <w:spacing w:val="-81"/>
        </w:rPr>
        <w:t> </w:t>
      </w:r>
      <w:r>
        <w:rPr>
          <w:spacing w:val="-81"/>
        </w:rPr>
      </w:r>
      <w:r>
        <w:rPr>
          <w:spacing w:val="-1"/>
        </w:rPr>
        <w:t>公司内部高级管理人员工作的分工，结合其履行职责情况及年度经营业绩情况等进行发放。报告期内，公</w:t>
      </w:r>
      <w:r>
        <w:rPr>
          <w:spacing w:val="-83"/>
        </w:rPr>
        <w:t> </w:t>
      </w:r>
      <w:r>
        <w:rPr>
          <w:spacing w:val="-83"/>
        </w:rPr>
      </w:r>
      <w:r>
        <w:rPr>
          <w:spacing w:val="-1"/>
        </w:rPr>
        <w:t>司高级管理人员能够严格按照《公司法》、《公司章程》及国家有关法律法规认真履行职责，严格执行公</w:t>
      </w:r>
      <w:r>
        <w:rPr>
          <w:spacing w:val="-83"/>
        </w:rPr>
        <w:t> </w:t>
      </w:r>
      <w:r>
        <w:rPr>
          <w:spacing w:val="-83"/>
        </w:rPr>
      </w:r>
      <w:r>
        <w:rPr/>
        <w:t>司股东大会和董事会决议，较好地履行了各自职责。</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8"/>
        <w:jc w:val="center"/>
        <w:rPr>
          <w:b w:val="0"/>
          <w:bCs w:val="0"/>
        </w:rPr>
      </w:pPr>
      <w:bookmarkStart w:name="_TOC_250002" w:id="135"/>
      <w:bookmarkStart w:name="第十节 内部控制" w:id="136"/>
      <w:r>
        <w:rPr>
          <w:b w:val="0"/>
          <w:bCs w:val="0"/>
        </w:rPr>
      </w:r>
      <w:r>
        <w:rPr/>
        <w:t>第十节</w:t>
      </w:r>
      <w:r>
        <w:rPr>
          <w:spacing w:val="-5"/>
        </w:rPr>
        <w:t> </w:t>
      </w:r>
      <w:r>
        <w:rPr/>
        <w:t>内部控制</w:t>
      </w:r>
      <w:bookmarkEnd w:id="13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37"/>
      <w:bookmarkEnd w:id="137"/>
      <w:r>
        <w:rPr>
          <w:b w:val="0"/>
          <w:bCs w:val="0"/>
        </w:rPr>
      </w:r>
      <w:r>
        <w:rPr/>
        <w:t>一、内部控制建设情况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0" w:firstLine="420"/>
        <w:jc w:val="both"/>
      </w:pPr>
      <w:r>
        <w:rPr>
          <w:spacing w:val="-6"/>
        </w:rPr>
        <w:t>为规范经营管理，控制风险，保证经营业务活动的政策开展，公司根据《公司法》、《证券法》、《企</w:t>
      </w:r>
      <w:r>
        <w:rPr/>
        <w:t> </w:t>
      </w:r>
      <w:r>
        <w:rPr>
          <w:spacing w:val="-1"/>
        </w:rPr>
        <w:t>业内部控制基本规范》等相关法律、法规及规范性文件要求，结合自身实际和运营管理需要制定了贯彻于</w:t>
      </w:r>
      <w:r>
        <w:rPr>
          <w:spacing w:val="-83"/>
        </w:rPr>
        <w:t> </w:t>
      </w:r>
      <w:r>
        <w:rPr>
          <w:spacing w:val="-83"/>
        </w:rPr>
      </w:r>
      <w:r>
        <w:rPr>
          <w:spacing w:val="-1"/>
        </w:rPr>
        <w:t>公司各层面、各环节的内部控制体系，规范公司运作。报告期内，公司内部控制建设基本符合《企业内部</w:t>
      </w:r>
      <w:r>
        <w:rPr>
          <w:spacing w:val="-83"/>
        </w:rPr>
        <w:t> </w:t>
      </w:r>
      <w:r>
        <w:rPr>
          <w:spacing w:val="-83"/>
        </w:rPr>
      </w:r>
      <w:r>
        <w:rPr>
          <w:spacing w:val="-1"/>
        </w:rPr>
        <w:t>控制基本规范》等有关法律、法规的要求，确保了公司生存经营活动的高效、有序、稳健运行，有效规避</w:t>
      </w:r>
      <w:r>
        <w:rPr>
          <w:spacing w:val="-83"/>
        </w:rPr>
        <w:t> </w:t>
      </w:r>
      <w:r>
        <w:rPr>
          <w:spacing w:val="-83"/>
        </w:rPr>
      </w:r>
      <w:r>
        <w:rPr/>
        <w:t>了经营风险。</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二、董事会关于内部控制责任的声明" w:id="138"/>
      <w:bookmarkEnd w:id="138"/>
      <w:r>
        <w:rPr>
          <w:b w:val="0"/>
          <w:bCs w:val="0"/>
        </w:rPr>
      </w:r>
      <w:r>
        <w:rPr/>
        <w:t>二、董事会关于内部控制责任的声明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09" w:firstLine="420"/>
        <w:jc w:val="right"/>
      </w:pPr>
      <w:r>
        <w:rPr>
          <w:spacing w:val="-1"/>
        </w:rPr>
        <w:t>按照企业内部控制规范体系的规定，建立健全和有效实施内部控制，评价其有效性，并如实披露内部</w:t>
      </w:r>
      <w:r>
        <w:rPr/>
        <w:t> </w:t>
      </w:r>
      <w:r>
        <w:rPr>
          <w:spacing w:val="-1"/>
        </w:rPr>
        <w:t>控制评价报告是公司董事会的责任。监事会对董事会建立和实施内部控制进行监督。经理层负责组织领导</w:t>
      </w:r>
      <w:r>
        <w:rPr/>
        <w:t> </w:t>
      </w:r>
      <w:r>
        <w:rPr>
          <w:spacing w:val="-1"/>
        </w:rPr>
        <w:t>企业内部控制的日常运行。公司董事会、监事会及董事、监事、高级管理人员保证本报告内容不存在任何</w:t>
      </w:r>
      <w:r>
        <w:rPr/>
        <w:t> 虚假记载、误导性陈述或重大遗漏，并对报告内容的真实性、准确性和完整性承担个别及连带法律责任。</w:t>
      </w:r>
    </w:p>
    <w:p>
      <w:pPr>
        <w:pStyle w:val="BodyText"/>
        <w:spacing w:line="408" w:lineRule="auto" w:before="84"/>
        <w:ind w:right="1131" w:firstLine="441"/>
        <w:jc w:val="both"/>
      </w:pPr>
      <w:r>
        <w:rPr>
          <w:spacing w:val="-2"/>
        </w:rPr>
        <w:t>公司内部控制的目标是合理保证经营管理合法合规、资产安全、财务报告及相关信息真实完整，提高</w:t>
      </w:r>
      <w:r>
        <w:rPr/>
        <w:t> </w:t>
      </w:r>
      <w:r>
        <w:rPr>
          <w:spacing w:val="-1"/>
        </w:rPr>
        <w:t>经营效率和效果，促进实现发展战略。由于内部控制存在的固有局限性，故仅能为实现上述目标提供合理</w:t>
      </w:r>
      <w:r>
        <w:rPr>
          <w:spacing w:val="-83"/>
        </w:rPr>
        <w:t> </w:t>
      </w:r>
      <w:r>
        <w:rPr>
          <w:spacing w:val="-83"/>
        </w:rPr>
      </w:r>
      <w:r>
        <w:rPr>
          <w:spacing w:val="-1"/>
        </w:rPr>
        <w:t>保证。此外，由于情况的变化可能导致内部控制变得不恰当，或对控制政策和程序遵循的程度降低，根据</w:t>
      </w:r>
      <w:r>
        <w:rPr>
          <w:spacing w:val="-86"/>
        </w:rPr>
        <w:t> </w:t>
      </w:r>
      <w:r>
        <w:rPr>
          <w:spacing w:val="-86"/>
        </w:rPr>
      </w:r>
      <w:r>
        <w:rPr/>
        <w:t>内部控制评价结果推测未来内部控制的有效性具有一定的风险。</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三、建立财务报告内部控制的依据" w:id="139"/>
      <w:bookmarkEnd w:id="139"/>
      <w:r>
        <w:rPr>
          <w:b w:val="0"/>
          <w:bCs w:val="0"/>
        </w:rPr>
      </w:r>
      <w:r>
        <w:rPr/>
        <w:t>三、建立财务报告内部控制的依据</w:t>
      </w:r>
      <w:r>
        <w:rPr>
          <w:b w:val="0"/>
          <w:bCs w:val="0"/>
        </w:rPr>
      </w:r>
    </w:p>
    <w:p>
      <w:pPr>
        <w:spacing w:line="240" w:lineRule="auto" w:before="8"/>
        <w:rPr>
          <w:rFonts w:ascii="宋体" w:hAnsi="宋体" w:cs="宋体" w:eastAsia="宋体" w:hint="default"/>
          <w:b/>
          <w:bCs/>
          <w:sz w:val="30"/>
          <w:szCs w:val="30"/>
        </w:rPr>
      </w:pPr>
    </w:p>
    <w:p>
      <w:pPr>
        <w:pStyle w:val="BodyText"/>
        <w:spacing w:line="410" w:lineRule="auto" w:before="0"/>
        <w:ind w:right="1130" w:firstLine="420"/>
        <w:jc w:val="both"/>
      </w:pPr>
      <w:r>
        <w:rPr>
          <w:spacing w:val="-1"/>
        </w:rPr>
        <w:t>公司依据《公司法》、《企业会计准则》、《企业内部控制基本规范》以及监管部门的相关规范性文</w:t>
      </w:r>
      <w:r>
        <w:rPr/>
        <w:t> </w:t>
      </w:r>
      <w:r>
        <w:rPr>
          <w:spacing w:val="-1"/>
        </w:rPr>
        <w:t>件为依据，引导和规范企业加强财务报告内部控制，促进公司规范化运作，为公司提供真实、完整的会计</w:t>
      </w:r>
      <w:r>
        <w:rPr>
          <w:spacing w:val="-86"/>
        </w:rPr>
        <w:t> </w:t>
      </w:r>
      <w:r>
        <w:rPr>
          <w:spacing w:val="-86"/>
        </w:rPr>
      </w:r>
      <w:r>
        <w:rPr/>
        <w:t>信息。</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bookmarkStart w:name="四、内部控制评价报告" w:id="140"/>
      <w:bookmarkEnd w:id="140"/>
      <w:r>
        <w:rPr>
          <w:b w:val="0"/>
          <w:bCs w:val="0"/>
        </w:rPr>
      </w: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8"/>
        <w:gridCol w:w="6591"/>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报告期内未发现内部控制存在重大缺陷。</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年度内部控制自我评价报告》刊登于巨潮资讯网。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五、内部控制审计报告或鉴证报告" w:id="141"/>
      <w:bookmarkEnd w:id="141"/>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六、年度报告重大差错责任追究制度的建立与执行情况" w:id="142"/>
      <w:bookmarkEnd w:id="142"/>
      <w:r>
        <w:rPr>
          <w:b w:val="0"/>
          <w:bCs w:val="0"/>
        </w:rPr>
      </w:r>
      <w:r>
        <w:rPr/>
        <w:t>六、年度报告重大差错责任追究制度的建立与执行情况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3" w:firstLine="420"/>
        <w:jc w:val="both"/>
      </w:pPr>
      <w:r>
        <w:rPr>
          <w:spacing w:val="-1"/>
        </w:rPr>
        <w:t>为提高公司规范运作水平，增强信息披露的真实性、准确性、完整性和及时性，提高年报信息披露的</w:t>
      </w:r>
      <w:r>
        <w:rPr/>
        <w:t> </w:t>
      </w:r>
      <w:r>
        <w:rPr>
          <w:spacing w:val="-1"/>
        </w:rPr>
        <w:t>质量和透明度，公司根据有关法律法规规定，结合公司实际，制订了公司《年报信息披露重大差错责任追</w:t>
      </w:r>
      <w:r>
        <w:rPr>
          <w:spacing w:val="-86"/>
        </w:rPr>
        <w:t> </w:t>
      </w:r>
      <w:r>
        <w:rPr>
          <w:spacing w:val="-86"/>
        </w:rPr>
      </w:r>
      <w:r>
        <w:rPr>
          <w:spacing w:val="-1"/>
        </w:rPr>
        <w:t>究制度》，并经公司第三届董事会第十二次会议审议通过。报告期内，公司严格按照该制度要求做好信息</w:t>
      </w:r>
      <w:r>
        <w:rPr>
          <w:spacing w:val="-85"/>
        </w:rPr>
        <w:t> </w:t>
      </w:r>
      <w:r>
        <w:rPr>
          <w:spacing w:val="-85"/>
        </w:rPr>
      </w:r>
      <w:r>
        <w:rPr/>
        <w:t>披露工作，未发生年报信息披露存在重大会计差错更正、重大遗漏信息补充等情况。</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_TOC_250001" w:id="143"/>
      <w:bookmarkStart w:name="第十一节 财务报告" w:id="144"/>
      <w:r>
        <w:rPr>
          <w:b w:val="0"/>
          <w:bCs w:val="0"/>
        </w:rPr>
      </w:r>
      <w:r>
        <w:rPr/>
        <w:t>第十一节</w:t>
      </w:r>
      <w:r>
        <w:rPr>
          <w:spacing w:val="-6"/>
        </w:rPr>
        <w:t> </w:t>
      </w:r>
      <w:r>
        <w:rPr/>
        <w:t>财务报告</w:t>
      </w:r>
      <w:bookmarkEnd w:id="14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5"/>
      <w:bookmarkEnd w:id="145"/>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92010006</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陈荣芳、宗泽</w:t>
            </w:r>
          </w:p>
        </w:tc>
      </w:tr>
    </w:tbl>
    <w:p>
      <w:pPr>
        <w:spacing w:before="51"/>
        <w:ind w:left="0" w:right="97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6"/>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pStyle w:val="BodyText"/>
        <w:spacing w:line="240" w:lineRule="auto" w:before="167"/>
        <w:ind w:left="0" w:right="1154"/>
        <w:jc w:val="right"/>
      </w:pPr>
      <w:r>
        <w:rPr/>
        <w:t>瑞华审字</w:t>
      </w:r>
      <w:r>
        <w:rPr>
          <w:rFonts w:ascii="Times New Roman" w:hAnsi="Times New Roman" w:cs="Times New Roman" w:eastAsia="Times New Roman" w:hint="default"/>
        </w:rPr>
        <w:t>[2015]92010006</w:t>
      </w:r>
      <w:r>
        <w:rPr/>
        <w:t>号</w:t>
      </w:r>
    </w:p>
    <w:p>
      <w:pPr>
        <w:spacing w:line="240" w:lineRule="auto" w:before="8"/>
        <w:rPr>
          <w:rFonts w:ascii="宋体" w:hAnsi="宋体" w:cs="宋体" w:eastAsia="宋体" w:hint="default"/>
          <w:sz w:val="21"/>
          <w:szCs w:val="21"/>
        </w:rPr>
      </w:pPr>
    </w:p>
    <w:p>
      <w:pPr>
        <w:pStyle w:val="Heading2"/>
        <w:spacing w:line="240" w:lineRule="auto" w:before="26"/>
        <w:ind w:left="154" w:right="0"/>
        <w:jc w:val="left"/>
        <w:rPr>
          <w:b w:val="0"/>
          <w:bCs w:val="0"/>
        </w:rPr>
      </w:pPr>
      <w:r>
        <w:rPr/>
        <w:t>江苏三友集团股份有限公司全体股东：</w:t>
      </w:r>
      <w:r>
        <w:rPr>
          <w:b w:val="0"/>
          <w:bCs w:val="0"/>
        </w:rPr>
      </w:r>
    </w:p>
    <w:p>
      <w:pPr>
        <w:spacing w:line="240" w:lineRule="auto" w:before="7"/>
        <w:rPr>
          <w:rFonts w:ascii="宋体" w:hAnsi="宋体" w:cs="宋体" w:eastAsia="宋体" w:hint="default"/>
          <w:b/>
          <w:bCs/>
          <w:sz w:val="31"/>
          <w:szCs w:val="31"/>
        </w:rPr>
      </w:pPr>
    </w:p>
    <w:p>
      <w:pPr>
        <w:pStyle w:val="BodyText"/>
        <w:spacing w:line="386" w:lineRule="auto" w:before="0"/>
        <w:ind w:right="1131" w:firstLine="480"/>
        <w:jc w:val="both"/>
      </w:pPr>
      <w:r>
        <w:rPr>
          <w:spacing w:val="-2"/>
        </w:rPr>
        <w:t>我们审计了后附的江苏三友集团股份有限公司（以下简称“江苏三友公司”）的财务报表，包括</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日合并及公司的资产负债表，</w:t>
      </w:r>
      <w:r>
        <w:rPr>
          <w:rFonts w:ascii="Times New Roman" w:hAnsi="Times New Roman" w:cs="Times New Roman" w:eastAsia="Times New Roman" w:hint="default"/>
          <w:spacing w:val="-1"/>
        </w:rPr>
        <w:t>2014</w:t>
      </w:r>
      <w:r>
        <w:rPr>
          <w:spacing w:val="-1"/>
        </w:rPr>
        <w:t>年度合并及公司的利润表、合并及公司的现金流量表和合并及</w:t>
      </w:r>
      <w:r>
        <w:rPr>
          <w:spacing w:val="-81"/>
        </w:rPr>
        <w:t> </w:t>
      </w:r>
      <w:r>
        <w:rPr>
          <w:spacing w:val="-81"/>
        </w:rPr>
      </w:r>
      <w:r>
        <w:rPr/>
        <w:t>公司的股东权益变动表以及财务报表附注。</w:t>
      </w:r>
    </w:p>
    <w:p>
      <w:pPr>
        <w:spacing w:line="240" w:lineRule="auto" w:before="0"/>
        <w:rPr>
          <w:rFonts w:ascii="宋体" w:hAnsi="宋体" w:cs="宋体" w:eastAsia="宋体" w:hint="default"/>
          <w:sz w:val="20"/>
          <w:szCs w:val="20"/>
        </w:rPr>
      </w:pPr>
    </w:p>
    <w:p>
      <w:pPr>
        <w:pStyle w:val="Heading2"/>
        <w:spacing w:line="240" w:lineRule="auto" w:before="169"/>
        <w:ind w:left="636" w:right="0"/>
        <w:jc w:val="left"/>
        <w:rPr>
          <w:b w:val="0"/>
          <w:bCs w:val="0"/>
        </w:rPr>
      </w:pPr>
      <w:r>
        <w:rPr/>
        <w:t>一、管理层对财务报表的责任</w:t>
      </w:r>
      <w:r>
        <w:rPr>
          <w:b w:val="0"/>
          <w:bCs w:val="0"/>
        </w:rPr>
      </w:r>
    </w:p>
    <w:p>
      <w:pPr>
        <w:pStyle w:val="BodyText"/>
        <w:spacing w:line="386" w:lineRule="auto" w:before="100"/>
        <w:ind w:right="1133" w:firstLine="480"/>
        <w:jc w:val="both"/>
      </w:pPr>
      <w:r>
        <w:rPr/>
        <w:t>编制和公允列报财务报表是江苏三友公司管理层的责任。这种责任包括：（</w:t>
      </w:r>
      <w:r>
        <w:rPr>
          <w:rFonts w:ascii="Times New Roman" w:hAnsi="Times New Roman" w:cs="Times New Roman" w:eastAsia="Times New Roman" w:hint="default"/>
        </w:rPr>
        <w:t>1</w:t>
      </w:r>
      <w:r>
        <w:rPr/>
        <w:t>）按照企业会计准则的 规定编制财务报表，并使其实现公允反映；（</w:t>
      </w:r>
      <w:r>
        <w:rPr>
          <w:rFonts w:ascii="Times New Roman" w:hAnsi="Times New Roman" w:cs="Times New Roman" w:eastAsia="Times New Roman" w:hint="default"/>
        </w:rPr>
        <w:t>2</w:t>
      </w:r>
      <w:r>
        <w:rPr/>
        <w:t>）设计、执行和维护必要的内部控制，以使财务报表不存</w:t>
      </w:r>
      <w:r>
        <w:rPr>
          <w:spacing w:val="-30"/>
        </w:rPr>
        <w:t> </w:t>
      </w:r>
      <w:r>
        <w:rPr>
          <w:spacing w:val="-30"/>
        </w:rPr>
      </w:r>
      <w:r>
        <w:rPr/>
        <w:t>在由于舞弊或错误导致的重大错报。</w:t>
      </w:r>
    </w:p>
    <w:p>
      <w:pPr>
        <w:spacing w:line="240" w:lineRule="auto" w:before="0"/>
        <w:rPr>
          <w:rFonts w:ascii="宋体" w:hAnsi="宋体" w:cs="宋体" w:eastAsia="宋体" w:hint="default"/>
          <w:sz w:val="20"/>
          <w:szCs w:val="20"/>
        </w:rPr>
      </w:pPr>
    </w:p>
    <w:p>
      <w:pPr>
        <w:pStyle w:val="Heading2"/>
        <w:spacing w:line="240" w:lineRule="auto" w:before="168"/>
        <w:ind w:left="636" w:right="0"/>
        <w:jc w:val="left"/>
        <w:rPr>
          <w:b w:val="0"/>
          <w:bCs w:val="0"/>
        </w:rPr>
      </w:pPr>
      <w:r>
        <w:rPr/>
        <w:t>二、注册会计师的责任</w:t>
      </w:r>
      <w:r>
        <w:rPr>
          <w:b w:val="0"/>
          <w:bCs w:val="0"/>
        </w:rPr>
      </w:r>
    </w:p>
    <w:p>
      <w:pPr>
        <w:pStyle w:val="BodyText"/>
        <w:spacing w:line="408" w:lineRule="auto" w:before="100"/>
        <w:ind w:right="1131" w:firstLine="480"/>
        <w:jc w:val="both"/>
      </w:pPr>
      <w:r>
        <w:rPr>
          <w:spacing w:val="-2"/>
        </w:rPr>
        <w:t>我们的责任是在执行审计工作的基础上对财务报表发表审计意见。我们按照中国注册会计师审计准则</w:t>
      </w:r>
      <w:r>
        <w:rPr/>
        <w:t> </w:t>
      </w: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before="46"/>
        <w:ind w:right="1131" w:firstLine="480"/>
        <w:jc w:val="both"/>
      </w:pPr>
      <w:r>
        <w:rPr>
          <w:spacing w:val="-2"/>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240" w:lineRule="auto" w:before="46"/>
        <w:ind w:left="633"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pStyle w:val="Heading2"/>
        <w:spacing w:line="240" w:lineRule="auto" w:before="141"/>
        <w:ind w:left="636" w:right="0"/>
        <w:jc w:val="left"/>
        <w:rPr>
          <w:b w:val="0"/>
          <w:bCs w:val="0"/>
        </w:rPr>
      </w:pPr>
      <w:r>
        <w:rPr/>
        <w:t>三、审计意见</w:t>
      </w:r>
      <w:r>
        <w:rPr>
          <w:b w:val="0"/>
          <w:bCs w:val="0"/>
        </w:rPr>
      </w:r>
    </w:p>
    <w:p>
      <w:pPr>
        <w:pStyle w:val="BodyText"/>
        <w:spacing w:line="240" w:lineRule="auto" w:before="100"/>
        <w:ind w:left="633" w:right="0"/>
        <w:jc w:val="left"/>
      </w:pPr>
      <w:r>
        <w:rPr>
          <w:spacing w:val="2"/>
        </w:rPr>
        <w:t>我们认为，上述财务报表在所有重大方面按照企业会计准则的规定编制，公允反映了江苏三友公司</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2014</w:t>
      </w:r>
      <w:r>
        <w:rPr/>
        <w:t>年度合并及公司的经营成果和现金流量。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541" w:type="dxa"/>
        <w:tblLayout w:type="fixed"/>
        <w:tblCellMar>
          <w:top w:w="0" w:type="dxa"/>
          <w:left w:w="0" w:type="dxa"/>
          <w:bottom w:w="0" w:type="dxa"/>
          <w:right w:w="0" w:type="dxa"/>
        </w:tblCellMar>
        <w:tblLook w:val="01E0"/>
      </w:tblPr>
      <w:tblGrid>
        <w:gridCol w:w="4507"/>
        <w:gridCol w:w="3499"/>
      </w:tblGrid>
      <w:tr>
        <w:trPr>
          <w:trHeight w:val="398"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10" w:lineRule="exact"/>
              <w:ind w:right="746"/>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3499" w:type="dxa"/>
            <w:tcBorders>
              <w:top w:val="nil" w:sz="6" w:space="0" w:color="auto"/>
              <w:left w:val="nil" w:sz="6" w:space="0" w:color="auto"/>
              <w:bottom w:val="nil" w:sz="6" w:space="0" w:color="auto"/>
              <w:right w:val="nil" w:sz="6" w:space="0" w:color="auto"/>
            </w:tcBorders>
          </w:tcPr>
          <w:p>
            <w:pPr>
              <w:pStyle w:val="TableParagraph"/>
              <w:spacing w:line="210" w:lineRule="exact"/>
              <w:ind w:right="221"/>
              <w:jc w:val="right"/>
              <w:rPr>
                <w:rFonts w:ascii="宋体" w:hAnsi="宋体" w:cs="宋体" w:eastAsia="宋体" w:hint="default"/>
                <w:sz w:val="21"/>
                <w:szCs w:val="21"/>
              </w:rPr>
            </w:pPr>
            <w:r>
              <w:rPr>
                <w:rFonts w:ascii="宋体" w:hAnsi="宋体" w:cs="宋体" w:eastAsia="宋体" w:hint="default"/>
                <w:sz w:val="21"/>
                <w:szCs w:val="21"/>
              </w:rPr>
              <w:t>中国注册会计师：陈荣芳</w:t>
            </w:r>
          </w:p>
        </w:tc>
      </w:tr>
      <w:tr>
        <w:trPr>
          <w:trHeight w:val="593"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745"/>
              <w:jc w:val="center"/>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p>
        </w:tc>
        <w:tc>
          <w:tcPr>
            <w:tcW w:w="3499" w:type="dxa"/>
            <w:tcBorders>
              <w:top w:val="nil" w:sz="6" w:space="0" w:color="auto"/>
              <w:left w:val="nil" w:sz="6" w:space="0" w:color="auto"/>
              <w:bottom w:val="nil" w:sz="6" w:space="0" w:color="auto"/>
              <w:right w:val="nil" w:sz="6" w:space="0" w:color="auto"/>
            </w:tcBorders>
          </w:tcPr>
          <w:p>
            <w:pPr>
              <w:pStyle w:val="TableParagraph"/>
              <w:tabs>
                <w:tab w:pos="2142" w:val="left" w:leader="none"/>
              </w:tabs>
              <w:spacing w:line="240" w:lineRule="auto" w:before="123"/>
              <w:ind w:right="198"/>
              <w:jc w:val="right"/>
              <w:rPr>
                <w:rFonts w:ascii="宋体" w:hAnsi="宋体" w:cs="宋体" w:eastAsia="宋体" w:hint="default"/>
                <w:sz w:val="21"/>
                <w:szCs w:val="21"/>
              </w:rPr>
            </w:pPr>
            <w:r>
              <w:rPr>
                <w:rFonts w:ascii="宋体" w:hAnsi="宋体" w:cs="宋体" w:eastAsia="宋体" w:hint="default"/>
                <w:sz w:val="21"/>
                <w:szCs w:val="21"/>
              </w:rPr>
              <w:t>中国注册会计师：宗</w:t>
              <w:tab/>
              <w:t>泽</w:t>
            </w:r>
          </w:p>
        </w:tc>
      </w:tr>
      <w:tr>
        <w:trPr>
          <w:trHeight w:val="393" w:hRule="exact"/>
        </w:trPr>
        <w:tc>
          <w:tcPr>
            <w:tcW w:w="4507" w:type="dxa"/>
            <w:tcBorders>
              <w:top w:val="nil" w:sz="6" w:space="0" w:color="auto"/>
              <w:left w:val="nil" w:sz="6" w:space="0" w:color="auto"/>
              <w:bottom w:val="nil" w:sz="6" w:space="0" w:color="auto"/>
              <w:right w:val="nil" w:sz="6" w:space="0" w:color="auto"/>
            </w:tcBorders>
          </w:tcPr>
          <w:p>
            <w:pPr/>
          </w:p>
        </w:tc>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21"/>
              <w:jc w:val="right"/>
              <w:rPr>
                <w:rFonts w:ascii="宋体" w:hAnsi="宋体" w:cs="宋体" w:eastAsia="宋体" w:hint="default"/>
                <w:sz w:val="21"/>
                <w:szCs w:val="21"/>
              </w:rPr>
            </w:pPr>
            <w:r>
              <w:rPr>
                <w:rFonts w:ascii="宋体" w:hAnsi="宋体" w:cs="宋体" w:eastAsia="宋体" w:hint="default"/>
                <w:sz w:val="21"/>
                <w:szCs w:val="21"/>
              </w:rPr>
              <w:t>二〇一五年二月二十六日</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2"/>
        <w:spacing w:line="240" w:lineRule="auto" w:before="26"/>
        <w:ind w:left="154" w:right="0"/>
        <w:jc w:val="left"/>
        <w:rPr>
          <w:b w:val="0"/>
          <w:bCs w:val="0"/>
        </w:rPr>
      </w:pPr>
      <w:bookmarkStart w:name="二、财务报表" w:id="146"/>
      <w:bookmarkEnd w:id="146"/>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1、合并资产负债表" w:id="147"/>
      <w:bookmarkEnd w:id="14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编制单位：江苏三友集团股份有限公司</w:t>
      </w:r>
    </w:p>
    <w:p>
      <w:pPr>
        <w:spacing w:before="116"/>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172,298,023.02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318,456,123.81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197,777.80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55,991,607.02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63,551,740.39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5,385,868.13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14,533,902.95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1,050,504.72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432,952.09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2,430,717.69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4,260,132.79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63,925,647.11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62,509,537.66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43,976,741.70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20,060,445.95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345,459,109.39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487,397,613.44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178,879,051.33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110,341,583.68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2,761,283.73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2,725,792.98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3,802,773.93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5,740,532.30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109,353,799.56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134,528,661.02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35,350,625.89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36,681,064.77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6,009,930.34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1,650,426.46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1,987,294.22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967,984.17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338,144,759.00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292,636,045.38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683,603,868.39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780,033,658.82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57,311,665.33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52,021,605.15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3,157,904.64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6,232,978.25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21,546,833.04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18,042,035.90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8,488,025.78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9,396,527.71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5,299.33</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17,820,519.87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21,555,031.80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1,033,739.00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850,295.50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195,863,986.99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312,098,474.31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1,096,900.00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1,168,300.00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50,093.07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39,626,900.00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41,118,393.07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235,490,886.99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353,216,867.38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224,250,000.00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224,250,000.00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776,262.14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634,676.97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78,693,206.10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77,869,058.33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2,115,221.84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1,003,058.14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81,465,023.68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45,100,692.47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387,299,713.76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348,857,485.91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60,813,267.64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77,959,305.53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448,112,981.40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426,816,791.44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683,603,868.39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780,033,658.82</w:t>
            </w:r>
          </w:p>
        </w:tc>
      </w:tr>
    </w:tbl>
    <w:p>
      <w:pPr>
        <w:spacing w:line="240" w:lineRule="auto" w:before="3"/>
        <w:rPr>
          <w:rFonts w:ascii="Times New Roman" w:hAnsi="Times New Roman" w:cs="Times New Roman" w:eastAsia="Times New Roman" w:hint="default"/>
          <w:sz w:val="23"/>
          <w:szCs w:val="23"/>
        </w:rPr>
      </w:pPr>
    </w:p>
    <w:p>
      <w:pPr>
        <w:tabs>
          <w:tab w:pos="360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法定代表人：陆尔穗</w:t>
        <w:tab/>
        <w:t>主管会计工作负责人：张松</w:t>
        <w:tab/>
        <w:t>会计机构负责人：张松</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2、母公司资产负债表" w:id="148"/>
      <w:bookmarkEnd w:id="14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128,744,952.40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253,340,363.52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197,777.80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40,687,823.86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47,858,166.61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2,444,430.12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6,904,033.61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45,841,531.57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49,256.00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29,134,253.78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26,068,740.20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22,995,219.78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16,145.82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269,848,211.51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335,034,483.56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177,077,890.52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194,813,282.70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5,386,554.98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5,740,532.30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15,987,747.05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20,771,039.87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4,016,489.78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4,127,035.34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5,145,442.17</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728,923.96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844,130.32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258,343,048.46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226,296,020.53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528,191,259.97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561,330,504.09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37,076,017.84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31,244,534.72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482,010.63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274,372.33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20,876,695.53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17,261,046.69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5,344,623.46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6,014,814.73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3,847,781.42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3,723,822.21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147,627,128.88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188,518,590.68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49,444.45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49,444.45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148,627,128.88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188,568,035.13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224,250,000.00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224,250,000.00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761,500.74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761,500.74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81,450,230.50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80,626,082.73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73,102,399.85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67,124,885.49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379,564,131.09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372,762,468.96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528,191,259.97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561,330,504.09</w:t>
            </w:r>
          </w:p>
        </w:tc>
      </w:tr>
    </w:tbl>
    <w:p>
      <w:pPr>
        <w:spacing w:line="240" w:lineRule="auto" w:before="4"/>
        <w:rPr>
          <w:rFonts w:ascii="Times New Roman" w:hAnsi="Times New Roman" w:cs="Times New Roman" w:eastAsia="Times New Roman" w:hint="default"/>
          <w:sz w:val="7"/>
          <w:szCs w:val="7"/>
        </w:rPr>
      </w:pPr>
    </w:p>
    <w:p>
      <w:pPr>
        <w:tabs>
          <w:tab w:pos="3754" w:val="left" w:leader="none"/>
          <w:tab w:pos="789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t>主管会计工作负责人：张松</w:t>
        <w:tab/>
        <w:t>会计机构负责人：张松</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left"/>
        <w:rPr>
          <w:b w:val="0"/>
          <w:bCs w:val="0"/>
        </w:rPr>
      </w:pPr>
      <w:bookmarkStart w:name="3、合并利润表" w:id="149"/>
      <w:bookmarkEnd w:id="14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716,060,234.61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769,233,340.97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696,008,522.05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758,700,415.60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19,717,051.31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10,084,268.31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281,806.50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255,965.00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52,854.75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192,692.06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649,267,625.96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787,841,819.37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556,375,832.12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624,264,230.89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-32,809.45</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3,788.10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1,677.61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175,250.00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241,374.00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5,794,018.94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4,530,749.54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10,790,437.96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10,842,038.74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50,180,749.78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44,008,332.51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8,098,209.26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11,548,955.90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17,882,149.25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92,404,460.18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19"/>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-197,777.80</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197,777.80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1,630,758.64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-21,413.46</w:t>
            </w:r>
            <w:r>
              <w:rPr>
                <w:rFonts w:ascii="Times New Roman"/>
                <w:sz w:val="18"/>
              </w:rPr>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97"/>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35,490.75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-21,413.46</w:t>
            </w:r>
            <w:r>
              <w:rPr>
                <w:rFonts w:ascii="Times New Roman"/>
                <w:sz w:val="18"/>
              </w:rPr>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68,225,589.49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-18,432,114.06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2,587,167.22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317,177.04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326,319.17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31,311.27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3,089,740.84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1,139,879.78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2,136,797.33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63,963.81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67,723,015.87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-19,254,816.80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22,629,534.36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25,914,665.49</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45,093,481.51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-45,169,482.29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49,513,142.68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-6,234,721.90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-4,419,661.17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-38,934,760.39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45,093,481.51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-45,169,482.29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49,513,142.68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-6,234,721.90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-4,419,661.17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-38,934,760.39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r>
    </w:tbl>
    <w:p>
      <w:pPr>
        <w:spacing w:line="240" w:lineRule="auto" w:before="6"/>
        <w:rPr>
          <w:rFonts w:ascii="宋体" w:hAnsi="宋体" w:cs="宋体" w:eastAsia="宋体" w:hint="default"/>
          <w:sz w:val="20"/>
          <w:szCs w:val="20"/>
        </w:rPr>
      </w:pPr>
    </w:p>
    <w:p>
      <w:pPr>
        <w:tabs>
          <w:tab w:pos="360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法定代表人：陆尔穗</w:t>
        <w:tab/>
        <w:t>主管会计工作负责人：张松</w:t>
        <w:tab/>
        <w:t>会计机构负责人：张松</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4、母公司利润表" w:id="150"/>
      <w:bookmarkEnd w:id="15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spacing w:before="0"/>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559,418,493.27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585,566,259.94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436,819,555.60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472,177,722.75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4,139,899.45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3,196,837.80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8,625,823.08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7,755,070.27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27,312,654.67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20,056,534.83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4,659,775.55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9,572,134.57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31,708,115.48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69,944,563.67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-197,777.80</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197,777.80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1,933,172.10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887,847.74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35,490.75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-21,413.46</w:t>
            </w:r>
            <w:r>
              <w:rPr>
                <w:rFonts w:ascii="Times New Roman"/>
                <w:sz w:val="18"/>
              </w:rPr>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47,888,063.74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3,949,021.59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1,356,684.15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84,640.01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70,931.39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31,311.27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11,482,600.42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407,464.78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1,825,279.65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19,697.99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37,762,147.47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3,626,196.82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19,747,985.34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18,343,767.89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18,014,162.13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-14,717,571.07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18,014,162.13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-14,717,571.07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r>
    </w:tbl>
    <w:p>
      <w:pPr>
        <w:spacing w:line="240" w:lineRule="auto" w:before="6"/>
        <w:rPr>
          <w:rFonts w:ascii="宋体" w:hAnsi="宋体" w:cs="宋体" w:eastAsia="宋体" w:hint="default"/>
          <w:sz w:val="6"/>
          <w:szCs w:val="6"/>
        </w:rPr>
      </w:pPr>
    </w:p>
    <w:p>
      <w:pPr>
        <w:tabs>
          <w:tab w:pos="3754" w:val="left" w:leader="none"/>
          <w:tab w:pos="789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t>主管会计工作负责人：张松</w:t>
        <w:tab/>
        <w:t>会计机构负责人：张松</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5"/>
        <w:spacing w:line="240" w:lineRule="auto"/>
        <w:ind w:left="153" w:right="0"/>
        <w:jc w:val="left"/>
        <w:rPr>
          <w:b w:val="0"/>
          <w:bCs w:val="0"/>
        </w:rPr>
      </w:pPr>
      <w:bookmarkStart w:name="5、合并现金流量表" w:id="151"/>
      <w:bookmarkEnd w:id="15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26"/>
          <w:szCs w:val="26"/>
        </w:rPr>
      </w:pPr>
    </w:p>
    <w:p>
      <w:pPr>
        <w:spacing w:before="0"/>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30"/>
        <w:gridCol w:w="2126"/>
        <w:gridCol w:w="1913"/>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507"/>
        <w:gridCol w:w="2138"/>
        <w:gridCol w:w="1913"/>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729,675,637.26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818,944,827.65</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19,487,050.62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9,940,822.34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28,861,797.12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42,614,642.03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29,752,834.45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4,833,533.02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807,777,319.45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876,333,825.04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520,279,276.27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653,764,447.68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72,583,492.19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42,396,951.48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1,677.61</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89,055,988.12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88,663,992.30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38,293,599.24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32,562,186.00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57,719,017.42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32,784,229.32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777,931,373.24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850,173,484.39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29,845,946.21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26,160,340.65</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27,714.76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2,869,040.40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269,819.23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995,850.38</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52,020,821.91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55,913,427.45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769,819.23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6,169,016.88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20,839,546.16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507"/>
        <w:gridCol w:w="2138"/>
        <w:gridCol w:w="1913"/>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84,797,800.00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74,738,998.00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80,908,014.88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105,637,346.16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-24,994,587.43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-104,867,526.93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23,129,174.13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52,259,891.03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741,442.46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1,002,574.59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11,591,258.00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316,720,432.13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90,259,891.03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-130,720,432.13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69,740,108.97</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1,210,972.56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-8,420,353.31</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-124,658,100.79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-17,387,430.62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294,456,123.81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311,843,554.43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169,798,023.02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294,456,123.81</w:t>
            </w:r>
          </w:p>
        </w:tc>
      </w:tr>
    </w:tbl>
    <w:p>
      <w:pPr>
        <w:spacing w:line="240" w:lineRule="auto" w:before="2"/>
        <w:rPr>
          <w:rFonts w:ascii="Times New Roman" w:hAnsi="Times New Roman" w:cs="Times New Roman" w:eastAsia="Times New Roman" w:hint="default"/>
          <w:sz w:val="14"/>
          <w:szCs w:val="14"/>
        </w:rPr>
      </w:pPr>
    </w:p>
    <w:p>
      <w:pPr>
        <w:tabs>
          <w:tab w:pos="3754" w:val="left" w:leader="none"/>
          <w:tab w:pos="789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t>主管会计工作负责人：张松</w:t>
        <w:tab/>
        <w:t>会计机构负责人：张松</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5"/>
        <w:spacing w:line="240" w:lineRule="auto"/>
        <w:ind w:left="153" w:right="0"/>
        <w:jc w:val="left"/>
        <w:rPr>
          <w:b w:val="0"/>
          <w:bCs w:val="0"/>
        </w:rPr>
      </w:pPr>
      <w:bookmarkStart w:name="6、母公司现金流量表" w:id="152"/>
      <w:bookmarkEnd w:id="15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79"/>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580,747,464.03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604,175,101.84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26,939,122.10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39,030,578.71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7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4,744,695.73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3,573,666.09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612,431,281.86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646,779,346.64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422,521,417.04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468,227,169.75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63,821,042.36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62,536,889.15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26,144,910.77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25,516,174.00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75,918,165.39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13,938,628.94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588,405,535.56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570,218,861.84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24,025,746.30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76,560,484.80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742,859.44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1,043,496.00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1,827,888.31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63,671.54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1,213,618.39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14,217.78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2,570,747.75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2,335,003.71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3,366,802.75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6,781,961.35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11,591,258.00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89,797,800.00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120,866,000.00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135,824,060.75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96,579,761.35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-133,253,313.00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-94,244,757.64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18,099,638.89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46,301,666.67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238,099,638.89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46,301,666.67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-68,099,638.89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83,698,333.33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1,210,972.56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-8,420,353.31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-176,116,233.03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57,593,707.18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253,340,363.52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195,746,656.34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77,224,130.49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253,340,363.52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tabs>
          <w:tab w:pos="3754" w:val="left" w:leader="none"/>
          <w:tab w:pos="7895" w:val="left" w:leader="none"/>
        </w:tabs>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t>主管会计工作负责人：张松</w:t>
        <w:tab/>
        <w:t>会计机构负责人：张松</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5"/>
        <w:spacing w:line="240" w:lineRule="auto"/>
        <w:ind w:left="153" w:right="0"/>
        <w:jc w:val="left"/>
        <w:rPr>
          <w:b w:val="0"/>
          <w:bCs w:val="0"/>
        </w:rPr>
      </w:pPr>
      <w:bookmarkStart w:name="7、合并所有者权益变动表" w:id="153"/>
      <w:bookmarkEnd w:id="15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27"/>
        <w:gridCol w:w="701"/>
        <w:gridCol w:w="425"/>
        <w:gridCol w:w="566"/>
        <w:gridCol w:w="474"/>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1" w:type="dxa"/>
            <w:vMerge w:val="restart"/>
            <w:tcBorders>
              <w:top w:val="single" w:sz="4" w:space="0" w:color="000000"/>
              <w:left w:val="single" w:sz="4" w:space="0" w:color="000000"/>
              <w:right w:val="single" w:sz="4" w:space="0" w:color="000000"/>
            </w:tcBorders>
            <w:shd w:val="clear" w:color="auto" w:fill="D2D2D2"/>
          </w:tcPr>
          <w:p>
            <w:pPr/>
          </w:p>
        </w:tc>
        <w:tc>
          <w:tcPr>
            <w:tcW w:w="146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465"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16"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88" w:right="9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701"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74"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9" w:space="0" w:color="D2D2D2"/>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000.00</w:t>
            </w:r>
          </w:p>
        </w:tc>
        <w:tc>
          <w:tcPr>
            <w:tcW w:w="425"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74"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634,676</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77,869,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058.33</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1,003,0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58.14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45,100,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692.47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77,959,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305.53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426,816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,791.44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701" w:type="dxa"/>
            <w:vMerge/>
            <w:tcBorders>
              <w:left w:val="single" w:sz="9" w:space="0" w:color="D2D2D2"/>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9"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1"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1"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701"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1"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9" w:space="0" w:color="D2D2D2"/>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000.00</w:t>
            </w:r>
          </w:p>
        </w:tc>
        <w:tc>
          <w:tcPr>
            <w:tcW w:w="425"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74"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634,676</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77,869,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058.33</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1,003,0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58.14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45,100,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692.47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77,959,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305.53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426,816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,791.44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701" w:type="dxa"/>
            <w:vMerge/>
            <w:tcBorders>
              <w:left w:val="single" w:sz="9" w:space="0" w:color="D2D2D2"/>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9"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701"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141,585</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824,147</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.77</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1,112,1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63.70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36,364,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331.21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-17,146,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037.89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21,296,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189.96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701"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49,513,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142.68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-4,419,6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61.17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45,093,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481.51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701"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141,585</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-12,012,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649.02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-11,871,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063.85</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1"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1"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1"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9" w:space="0" w:color="D2D2D2"/>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74"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141,585</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.17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-12,012,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649.02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-11,871,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063.85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1" w:type="dxa"/>
            <w:vMerge/>
            <w:tcBorders>
              <w:left w:val="single" w:sz="9" w:space="0" w:color="D2D2D2"/>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9"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690"/>
        <w:gridCol w:w="425"/>
        <w:gridCol w:w="566"/>
        <w:gridCol w:w="474"/>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824,147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.77</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1,112,1</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63.70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-13,148,</w:t>
            </w:r>
          </w:p>
          <w:p>
            <w:pPr>
              <w:pStyle w:val="TableParagraph"/>
              <w:spacing w:line="240" w:lineRule="auto" w:before="106"/>
              <w:ind w:left="118" w:right="0"/>
              <w:jc w:val="center"/>
              <w:rPr>
                <w:rFonts w:ascii="Times New Roman" w:hAnsi="Times New Roman" w:cs="Times New Roman" w:eastAsia="Times New Roman" w:hint="default"/>
                <w:sz w:val="18"/>
                <w:szCs w:val="18"/>
              </w:rPr>
            </w:pPr>
            <w:r>
              <w:rPr>
                <w:rFonts w:ascii="Times New Roman"/>
                <w:sz w:val="18"/>
              </w:rPr>
              <w:t>811.47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-713,72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7.70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-11,926,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227.70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824,147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-824,14</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7.77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1,112,1</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63.70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-1,112,1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63.70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-11,212,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-713,72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7.70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-11,926,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227.70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6"/>
              <w:ind w:left="138" w:right="0"/>
              <w:jc w:val="center"/>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776,262</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78,693,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206.10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2,115,2</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21.84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81,465,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023.68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60,813,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267.64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448,112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,981.40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690"/>
        <w:gridCol w:w="425"/>
        <w:gridCol w:w="509"/>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690" w:type="dxa"/>
            <w:vMerge w:val="restart"/>
            <w:tcBorders>
              <w:top w:val="single" w:sz="4" w:space="0" w:color="000000"/>
              <w:left w:val="single" w:sz="4" w:space="0" w:color="000000"/>
              <w:right w:val="single" w:sz="4" w:space="0" w:color="000000"/>
            </w:tcBorders>
            <w:shd w:val="clear" w:color="auto" w:fill="D2D2D2"/>
          </w:tcPr>
          <w:p>
            <w:pPr/>
          </w:p>
        </w:tc>
        <w:tc>
          <w:tcPr>
            <w:tcW w:w="146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90" w:type="dxa"/>
            <w:vMerge/>
            <w:tcBorders>
              <w:left w:val="single" w:sz="4" w:space="0" w:color="000000"/>
              <w:bottom w:val="nil" w:sz="6" w:space="0" w:color="auto"/>
              <w:right w:val="single" w:sz="4" w:space="0" w:color="000000"/>
            </w:tcBorders>
            <w:shd w:val="clear" w:color="auto" w:fill="D2D2D2"/>
          </w:tcPr>
          <w:p>
            <w:pPr/>
          </w:p>
        </w:tc>
        <w:tc>
          <w:tcPr>
            <w:tcW w:w="146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6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16"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58" w:right="6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690"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690"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690"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90" w:type="dxa"/>
            <w:vMerge w:val="restart"/>
            <w:tcBorders>
              <w:top w:val="single" w:sz="4" w:space="0" w:color="000000"/>
              <w:left w:val="single" w:sz="9"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425" w:type="dxa"/>
            <w:vMerge w:val="restart"/>
            <w:tcBorders>
              <w:top w:val="single" w:sz="4" w:space="0" w:color="000000"/>
              <w:left w:val="single" w:sz="4" w:space="0" w:color="000000"/>
              <w:right w:val="single" w:sz="4" w:space="0" w:color="000000"/>
            </w:tcBorders>
          </w:tcPr>
          <w:p>
            <w:pPr/>
          </w:p>
        </w:tc>
        <w:tc>
          <w:tcPr>
            <w:tcW w:w="509"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634,676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81,065,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220.97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110,554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,963.19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71,729,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358.01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488,234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,219.14</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690" w:type="dxa"/>
            <w:vMerge/>
            <w:tcBorders>
              <w:left w:val="single" w:sz="9" w:space="0" w:color="D2D2D2"/>
              <w:right w:val="single" w:sz="4" w:space="0" w:color="000000"/>
            </w:tcBorders>
          </w:tcPr>
          <w:p>
            <w:pPr/>
          </w:p>
        </w:tc>
        <w:tc>
          <w:tcPr>
            <w:tcW w:w="425"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90" w:type="dxa"/>
            <w:vMerge/>
            <w:tcBorders>
              <w:left w:val="single" w:sz="9"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691"/>
        <w:gridCol w:w="425"/>
        <w:gridCol w:w="509"/>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60,090,</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767,999</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.29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7,483,4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58.22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45,560,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971.67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113,902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,429.18</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60,724,</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676.97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81,065,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220.97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767,999</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.29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118,038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,421.41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117,290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,329.68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602,136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,648.32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-60,090,</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-3,196,1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235,058</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.85</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-72,937,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728.94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-39,331</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,024.15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9,856.8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-6,234,7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21.90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-38,934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,760.39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-45,169,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482.29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-60,090,</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-12,109,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193.38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606,310</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.83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-71,619,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460.26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606,310</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.83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-60,090,</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-12,029,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460.26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-72,119,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460.26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235,058</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.85</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-45,085,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058.85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-1,002,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574.59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-45,852,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574.59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235,058</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.85</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-235,05</w:t>
            </w:r>
          </w:p>
          <w:p>
            <w:pPr>
              <w:pStyle w:val="TableParagraph"/>
              <w:spacing w:line="240" w:lineRule="auto" w:before="106"/>
              <w:ind w:left="329" w:right="0"/>
              <w:jc w:val="left"/>
              <w:rPr>
                <w:rFonts w:ascii="Times New Roman" w:hAnsi="Times New Roman" w:cs="Times New Roman" w:eastAsia="Times New Roman" w:hint="default"/>
                <w:sz w:val="18"/>
                <w:szCs w:val="18"/>
              </w:rPr>
            </w:pPr>
            <w:r>
              <w:rPr>
                <w:rFonts w:ascii="Times New Roman"/>
                <w:sz w:val="18"/>
              </w:rPr>
              <w:t>8.85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-44,850,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-1,002,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574.59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-45,852,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574.59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-3,169,5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84.93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-9,508,7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54.81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-12,678,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339.74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-3,169,5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-9,508,7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-12,678,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691"/>
        <w:gridCol w:w="425"/>
        <w:gridCol w:w="509"/>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84.93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9" w:right="0"/>
              <w:jc w:val="left"/>
              <w:rPr>
                <w:rFonts w:ascii="Times New Roman" w:hAnsi="Times New Roman" w:cs="Times New Roman" w:eastAsia="Times New Roman" w:hint="default"/>
                <w:sz w:val="18"/>
                <w:szCs w:val="18"/>
              </w:rPr>
            </w:pPr>
            <w:r>
              <w:rPr>
                <w:rFonts w:ascii="Times New Roman"/>
                <w:sz w:val="18"/>
              </w:rPr>
              <w:t>54.81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339.74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634,676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77,869,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058.33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1,003,0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58.14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45,100,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692.47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77,959,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305.53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426,816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,791.44</w:t>
            </w:r>
          </w:p>
        </w:tc>
      </w:tr>
    </w:tbl>
    <w:p>
      <w:pPr>
        <w:spacing w:line="240" w:lineRule="auto" w:before="2"/>
        <w:rPr>
          <w:rFonts w:ascii="Times New Roman" w:hAnsi="Times New Roman" w:cs="Times New Roman" w:eastAsia="Times New Roman" w:hint="default"/>
          <w:sz w:val="14"/>
          <w:szCs w:val="14"/>
        </w:rPr>
      </w:pPr>
    </w:p>
    <w:p>
      <w:pPr>
        <w:tabs>
          <w:tab w:pos="3754" w:val="left" w:leader="none"/>
          <w:tab w:pos="789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t>主管会计工作负责人：张松</w:t>
        <w:tab/>
        <w:t>会计机构负责人：张松</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5"/>
        <w:spacing w:line="240" w:lineRule="auto"/>
        <w:ind w:left="153" w:right="0"/>
        <w:jc w:val="left"/>
        <w:rPr>
          <w:b w:val="0"/>
          <w:bCs w:val="0"/>
        </w:rPr>
      </w:pPr>
      <w:bookmarkStart w:name="8、母公司所有者权益变动表" w:id="154"/>
      <w:bookmarkEnd w:id="15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761,500.7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80,626,08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2.73</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67,124,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885.49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372,762,4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68.96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761,500.7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80,626,08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2.73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67,124,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885.49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372,762,4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68.96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824,147.7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5,977,5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14.36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6,801,662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18,014,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162.13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18,014,16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2.13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7"/>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-12,036,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647.77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-11,212,5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-824,14</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7.77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-11,212,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-11,212,5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761,500.7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81,450,23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73,102,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399.85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379,564,1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31.09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761,500.7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81,232,85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4.68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128,512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,772.42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434,757,1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27.84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761,500.7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81,232,85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128,512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,772.42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434,757,1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27.84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-606,771.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-61,387,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886.93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-61,994,6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58.88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-14,717,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571.07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-14,717,5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71.07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-606,771.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-1,820,3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15.86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-2,427,08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7.81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-606,771.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-1,820,3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15.86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-2,427,08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7.81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-44,850,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-44,850,0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-44,850,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-44,850,0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224,250,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761,500.7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80,626,08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67,124,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372,762,4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4"/>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2.73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885.49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68.96</w:t>
            </w:r>
          </w:p>
        </w:tc>
      </w:tr>
    </w:tbl>
    <w:p>
      <w:pPr>
        <w:spacing w:line="240" w:lineRule="auto" w:before="2"/>
        <w:rPr>
          <w:rFonts w:ascii="Times New Roman" w:hAnsi="Times New Roman" w:cs="Times New Roman" w:eastAsia="Times New Roman" w:hint="default"/>
          <w:sz w:val="14"/>
          <w:szCs w:val="14"/>
        </w:rPr>
      </w:pPr>
    </w:p>
    <w:p>
      <w:pPr>
        <w:tabs>
          <w:tab w:pos="3754" w:val="left" w:leader="none"/>
          <w:tab w:pos="789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t>主管会计工作负责人：张松</w:t>
        <w:tab/>
        <w:t>会计机构负责人：张松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bookmarkStart w:name="三、公司基本情况" w:id="155"/>
      <w:bookmarkEnd w:id="155"/>
      <w:r>
        <w:rPr>
          <w:b w:val="0"/>
          <w:bCs w:val="0"/>
        </w:rPr>
      </w:r>
      <w:r>
        <w:rPr/>
        <w:t>三、公司基本情况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111" w:firstLine="480"/>
        <w:jc w:val="both"/>
      </w:pPr>
      <w:r>
        <w:rPr>
          <w:spacing w:val="-2"/>
        </w:rPr>
        <w:t>江苏三友集团股份有限公司（前身为南通三友时装有限公司，以下简称公司或本公司）系江苏三友集</w:t>
      </w:r>
      <w:r>
        <w:rPr/>
        <w:t> </w:t>
      </w:r>
      <w:r>
        <w:rPr>
          <w:spacing w:val="-1"/>
        </w:rPr>
        <w:t>团有限公司在吸收合并南通三和时装有限公司（以下简称三和公司）基础上整体变更设立。本公司成立于</w:t>
      </w:r>
      <w:r>
        <w:rPr>
          <w:spacing w:val="-83"/>
        </w:rPr>
        <w:t> </w:t>
      </w:r>
      <w:r>
        <w:rPr>
          <w:spacing w:val="-83"/>
        </w:rPr>
      </w:r>
      <w:r>
        <w:rPr>
          <w:rFonts w:ascii="Times New Roman" w:hAnsi="Times New Roman" w:cs="Times New Roman" w:eastAsia="Times New Roman" w:hint="default"/>
        </w:rPr>
        <w:t>1991</w:t>
      </w:r>
      <w:r>
        <w:rPr>
          <w:rFonts w:ascii="Times New Roman" w:hAnsi="Times New Roman" w:cs="Times New Roman" w:eastAsia="Times New Roman" w:hint="default"/>
          <w:spacing w:val="-28"/>
        </w:rPr>
        <w:t> </w:t>
      </w:r>
      <w:r>
        <w:rPr/>
        <w:t>年</w:t>
      </w:r>
      <w:r>
        <w:rPr>
          <w:spacing w:val="-82"/>
        </w:rPr>
        <w:t> </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月</w:t>
      </w:r>
      <w:r>
        <w:rPr>
          <w:spacing w:val="-84"/>
        </w:rPr>
        <w:t> </w:t>
      </w:r>
      <w:r>
        <w:rPr>
          <w:rFonts w:ascii="Times New Roman" w:hAnsi="Times New Roman" w:cs="Times New Roman" w:eastAsia="Times New Roman" w:hint="default"/>
        </w:rPr>
        <w:t>22</w:t>
      </w:r>
      <w:r>
        <w:rPr>
          <w:rFonts w:ascii="Times New Roman" w:hAnsi="Times New Roman" w:cs="Times New Roman" w:eastAsia="Times New Roman" w:hint="default"/>
          <w:spacing w:val="-29"/>
        </w:rPr>
        <w:t> </w:t>
      </w:r>
      <w:r>
        <w:rPr>
          <w:spacing w:val="18"/>
        </w:rPr>
        <w:t>日，现总部地址位于江苏省南通市人民东路</w:t>
      </w:r>
      <w:r>
        <w:rPr>
          <w:spacing w:val="-82"/>
        </w:rPr>
        <w:t> </w:t>
      </w:r>
      <w:r>
        <w:rPr>
          <w:rFonts w:ascii="Times New Roman" w:hAnsi="Times New Roman" w:cs="Times New Roman" w:eastAsia="Times New Roman" w:hint="default"/>
        </w:rPr>
        <w:t>218</w:t>
      </w:r>
      <w:r>
        <w:rPr>
          <w:rFonts w:ascii="Times New Roman" w:hAnsi="Times New Roman" w:cs="Times New Roman" w:eastAsia="Times New Roman" w:hint="default"/>
          <w:spacing w:val="-29"/>
        </w:rPr>
        <w:t> </w:t>
      </w:r>
      <w:r>
        <w:rPr>
          <w:spacing w:val="10"/>
        </w:rPr>
        <w:t>号。</w:t>
      </w:r>
      <w:r>
        <w:rPr>
          <w:spacing w:val="-82"/>
        </w:rPr>
        <w:t> </w:t>
      </w:r>
      <w:r>
        <w:rPr>
          <w:spacing w:val="18"/>
        </w:rPr>
        <w:t>公司企业法人营业执照注册号：</w:t>
      </w:r>
      <w:r>
        <w:rPr>
          <w:spacing w:val="-85"/>
        </w:rPr>
        <w:t> </w:t>
      </w:r>
      <w:r>
        <w:rPr/>
      </w:r>
    </w:p>
    <w:p>
      <w:pPr>
        <w:pStyle w:val="BodyText"/>
        <w:spacing w:line="295" w:lineRule="auto" w:before="0"/>
        <w:ind w:left="636" w:right="0" w:hanging="483"/>
        <w:jc w:val="left"/>
      </w:pPr>
      <w:r>
        <w:rPr>
          <w:rFonts w:ascii="Times New Roman" w:hAnsi="Times New Roman" w:cs="Times New Roman" w:eastAsia="Times New Roman" w:hint="default"/>
        </w:rPr>
        <w:t>320000400000850</w:t>
      </w:r>
      <w:r>
        <w:rPr/>
        <w:t>；公司注册资本：</w:t>
      </w:r>
      <w:r>
        <w:rPr>
          <w:rFonts w:ascii="Times New Roman" w:hAnsi="Times New Roman" w:cs="Times New Roman" w:eastAsia="Times New Roman" w:hint="default"/>
        </w:rPr>
        <w:t>22,425</w:t>
      </w:r>
      <w:r>
        <w:rPr/>
        <w:t>万元人民币。 </w:t>
      </w:r>
      <w:r>
        <w:rPr>
          <w:spacing w:val="-1"/>
        </w:rPr>
        <w:t>本公司经江苏省人民政府外经贸苏府资字</w:t>
      </w:r>
      <w:r>
        <w:rPr>
          <w:rFonts w:ascii="Times New Roman" w:hAnsi="Times New Roman" w:cs="Times New Roman" w:eastAsia="Times New Roman" w:hint="default"/>
          <w:spacing w:val="-1"/>
        </w:rPr>
        <w:t>[1991]1017</w:t>
      </w:r>
      <w:r>
        <w:rPr>
          <w:spacing w:val="-1"/>
        </w:rPr>
        <w:t>号文批准，由南通友谊实业有限公司（前身为南</w:t>
      </w:r>
    </w:p>
    <w:p>
      <w:pPr>
        <w:pStyle w:val="BodyText"/>
        <w:spacing w:line="295" w:lineRule="auto" w:before="14"/>
        <w:ind w:right="1127"/>
        <w:jc w:val="both"/>
      </w:pPr>
      <w:r>
        <w:rPr/>
        <w:t>通市友谊服装厂）和日本三轮株式会社共同投资设立，企业性质为中外合资经营企业。</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w:t>
      </w:r>
      <w:r>
        <w:rPr>
          <w:spacing w:val="-25"/>
        </w:rPr>
        <w:t> </w:t>
      </w:r>
      <w:r>
        <w:rPr>
          <w:spacing w:val="2"/>
        </w:rPr>
        <w:t>本公司董事会审议通过了吸收合并三和公司（三和公司是经江苏省人民政府外经贸苏府资字</w:t>
      </w:r>
      <w:r>
        <w:rPr>
          <w:rFonts w:ascii="Times New Roman" w:hAnsi="Times New Roman" w:cs="Times New Roman" w:eastAsia="Times New Roman" w:hint="default"/>
          <w:spacing w:val="2"/>
        </w:rPr>
        <w:t>[1993]10288</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号文批准，由南通友谊实业有限公司和日本三轮株式会社投资设立的中外合资经营企业，成立于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spacing w:val="-1"/>
        </w:rPr>
        <w:t>月</w:t>
      </w:r>
      <w:r>
        <w:rPr>
          <w:rFonts w:ascii="Times New Roman" w:hAnsi="Times New Roman" w:cs="Times New Roman" w:eastAsia="Times New Roman" w:hint="default"/>
          <w:spacing w:val="-1"/>
        </w:rPr>
        <w:t>11</w:t>
      </w:r>
      <w:r>
        <w:rPr>
          <w:spacing w:val="-1"/>
        </w:rPr>
        <w:t>日）的决议，同时，三和公司董事会审议通过了并入本公司的决议。经南通市对外贸易经济合作局通</w:t>
      </w:r>
      <w:r>
        <w:rPr>
          <w:spacing w:val="-87"/>
        </w:rPr>
        <w:t> </w:t>
      </w:r>
      <w:r>
        <w:rPr>
          <w:spacing w:val="-87"/>
        </w:rPr>
      </w:r>
      <w:r>
        <w:rPr>
          <w:spacing w:val="2"/>
        </w:rPr>
        <w:t>外经贸</w:t>
      </w:r>
      <w:r>
        <w:rPr>
          <w:rFonts w:ascii="Times New Roman" w:hAnsi="Times New Roman" w:cs="Times New Roman" w:eastAsia="Times New Roman" w:hint="default"/>
          <w:spacing w:val="2"/>
        </w:rPr>
        <w:t>[2001]64</w:t>
      </w:r>
      <w:r>
        <w:rPr>
          <w:spacing w:val="2"/>
        </w:rPr>
        <w:t>号《关于江苏三友集团有限公司吸收合并南通三和时装有限公司的批复》批准，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25"/>
        </w:rPr>
        <w:t> </w:t>
      </w:r>
      <w:r>
        <w:rPr>
          <w:spacing w:val="-1"/>
        </w:rPr>
        <w:t>月</w:t>
      </w:r>
      <w:r>
        <w:rPr>
          <w:rFonts w:ascii="Times New Roman" w:hAnsi="Times New Roman" w:cs="Times New Roman" w:eastAsia="Times New Roman" w:hint="default"/>
          <w:spacing w:val="-1"/>
        </w:rPr>
        <w:t>10</w:t>
      </w:r>
      <w:r>
        <w:rPr>
          <w:spacing w:val="-1"/>
        </w:rPr>
        <w:t>日，本公司与三和公司签订吸收合并协议，本公司吸收合并三和公司，并取得了新的中华人民共和国</w:t>
      </w:r>
      <w:r>
        <w:rPr>
          <w:spacing w:val="-84"/>
        </w:rPr>
        <w:t> </w:t>
      </w:r>
      <w:r>
        <w:rPr>
          <w:spacing w:val="-84"/>
        </w:rPr>
      </w:r>
      <w:r>
        <w:rPr/>
        <w:t>外商投资企业批准证书。</w:t>
      </w:r>
    </w:p>
    <w:p>
      <w:pPr>
        <w:pStyle w:val="BodyText"/>
        <w:spacing w:line="295" w:lineRule="auto" w:before="35"/>
        <w:ind w:right="1131" w:firstLine="482"/>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日，本公司董事会通过关于整体变更为股份有限公司的决议。</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日，经国家对 外贸易经济合作部外经贸资二函</w:t>
      </w:r>
      <w:r>
        <w:rPr>
          <w:rFonts w:ascii="Times New Roman" w:hAnsi="Times New Roman" w:cs="Times New Roman" w:eastAsia="Times New Roman" w:hint="default"/>
        </w:rPr>
        <w:t>[2001]1039</w:t>
      </w:r>
      <w:r>
        <w:rPr/>
        <w:t>号文批复同意</w:t>
      </w:r>
      <w:r>
        <w:rPr>
          <w:rFonts w:ascii="Times New Roman" w:hAnsi="Times New Roman" w:cs="Times New Roman" w:eastAsia="Times New Roman" w:hint="default"/>
        </w:rPr>
        <w:t>,</w:t>
      </w:r>
      <w:r>
        <w:rPr/>
        <w:t>本公司转制为外商投资股份有限公司，同时更名 为江苏三友集团股份有限公司，股本总额人民币</w:t>
      </w:r>
      <w:r>
        <w:rPr>
          <w:rFonts w:ascii="Times New Roman" w:hAnsi="Times New Roman" w:cs="Times New Roman" w:eastAsia="Times New Roman" w:hint="default"/>
        </w:rPr>
        <w:t>8,000.00</w:t>
      </w:r>
      <w:r>
        <w:rPr/>
        <w:t>万股。</w:t>
      </w:r>
    </w:p>
    <w:p>
      <w:pPr>
        <w:pStyle w:val="BodyText"/>
        <w:spacing w:line="240" w:lineRule="auto" w:before="14"/>
        <w:ind w:left="636" w:right="0"/>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日，经中国证券监督管理委员会核准，本公司向社会公开发行</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4500</w:t>
      </w:r>
      <w:r>
        <w:rPr/>
        <w:t>万股，并于</w:t>
      </w:r>
      <w:r>
        <w:rPr>
          <w:rFonts w:ascii="Times New Roman" w:hAnsi="Times New Roman" w:cs="Times New Roman" w:eastAsia="Times New Roman" w:hint="default"/>
        </w:rPr>
        <w:t>2005</w:t>
      </w:r>
      <w:r>
        <w:rPr/>
        <w:t>年</w:t>
      </w:r>
    </w:p>
    <w:p>
      <w:pPr>
        <w:pStyle w:val="BodyText"/>
        <w:spacing w:line="240" w:lineRule="auto" w:before="68"/>
        <w:ind w:right="0"/>
        <w:jc w:val="left"/>
      </w:pP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日在深圳证券交易所挂牌交易。</w:t>
      </w:r>
    </w:p>
    <w:p>
      <w:pPr>
        <w:pStyle w:val="BodyText"/>
        <w:spacing w:line="295" w:lineRule="auto" w:before="68"/>
        <w:ind w:right="1131" w:firstLine="482"/>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日，经公司</w:t>
      </w:r>
      <w:r>
        <w:rPr>
          <w:rFonts w:ascii="Times New Roman" w:hAnsi="Times New Roman" w:cs="Times New Roman" w:eastAsia="Times New Roman" w:hint="default"/>
        </w:rPr>
        <w:t>2007</w:t>
      </w:r>
      <w:r>
        <w:rPr/>
        <w:t>年年度股东大会审议通过的利润分配预案，以公司现有总股本</w:t>
      </w:r>
      <w:r>
        <w:rPr>
          <w:rFonts w:ascii="Times New Roman" w:hAnsi="Times New Roman" w:cs="Times New Roman" w:eastAsia="Times New Roman" w:hint="default"/>
        </w:rPr>
        <w:t>12,500</w:t>
      </w:r>
      <w:r>
        <w:rPr/>
        <w:t>万 </w:t>
      </w:r>
      <w:r>
        <w:rPr>
          <w:spacing w:val="2"/>
        </w:rPr>
        <w:t>股为基数，以资本公积金转增股本，向全体股东每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股，转增后公司总股本由</w:t>
      </w:r>
      <w:r>
        <w:rPr>
          <w:rFonts w:ascii="Times New Roman" w:hAnsi="Times New Roman" w:cs="Times New Roman" w:eastAsia="Times New Roman" w:hint="default"/>
          <w:spacing w:val="2"/>
        </w:rPr>
        <w:t>12,500</w:t>
      </w:r>
      <w:r>
        <w:rPr>
          <w:spacing w:val="2"/>
        </w:rPr>
        <w:t>万股增加至</w:t>
      </w:r>
      <w:r>
        <w:rPr>
          <w:spacing w:val="-82"/>
        </w:rPr>
        <w:t> </w:t>
      </w:r>
      <w:r>
        <w:rPr>
          <w:spacing w:val="-82"/>
        </w:rPr>
      </w:r>
      <w:r>
        <w:rPr>
          <w:rFonts w:ascii="Times New Roman" w:hAnsi="Times New Roman" w:cs="Times New Roman" w:eastAsia="Times New Roman" w:hint="default"/>
        </w:rPr>
        <w:t>16,250</w:t>
      </w:r>
      <w:r>
        <w:rPr/>
        <w:t>万股。</w:t>
      </w:r>
    </w:p>
    <w:p>
      <w:pPr>
        <w:pStyle w:val="BodyText"/>
        <w:spacing w:line="295" w:lineRule="auto" w:before="14"/>
        <w:ind w:left="154" w:right="1132" w:firstLine="482"/>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日，经公司</w:t>
      </w:r>
      <w:r>
        <w:rPr>
          <w:rFonts w:ascii="Times New Roman" w:hAnsi="Times New Roman" w:cs="Times New Roman" w:eastAsia="Times New Roman" w:hint="default"/>
        </w:rPr>
        <w:t>2010</w:t>
      </w:r>
      <w:r>
        <w:rPr/>
        <w:t>年度股东大会决议通过的利润分配预案，以公司总股本</w:t>
      </w:r>
      <w:r>
        <w:rPr>
          <w:rFonts w:ascii="Times New Roman" w:hAnsi="Times New Roman" w:cs="Times New Roman" w:eastAsia="Times New Roman" w:hint="default"/>
        </w:rPr>
        <w:t>16,250</w:t>
      </w:r>
      <w:r>
        <w:rPr/>
        <w:t>万股为基 数，以资本公积转增股本，向全体股东每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3.8</w:t>
      </w:r>
      <w:r>
        <w:rPr/>
        <w:t>股，转增后公司总股本变更为人民币</w:t>
      </w:r>
      <w:r>
        <w:rPr>
          <w:rFonts w:ascii="Times New Roman" w:hAnsi="Times New Roman" w:cs="Times New Roman" w:eastAsia="Times New Roman" w:hint="default"/>
        </w:rPr>
        <w:t>22,425</w:t>
      </w:r>
      <w:r>
        <w:rPr/>
        <w:t>万股。</w:t>
      </w:r>
    </w:p>
    <w:p>
      <w:pPr>
        <w:pStyle w:val="BodyText"/>
        <w:spacing w:line="295" w:lineRule="auto" w:before="14"/>
        <w:ind w:left="154" w:right="1130" w:firstLine="480"/>
        <w:jc w:val="both"/>
      </w:pPr>
      <w:r>
        <w:rPr>
          <w:spacing w:val="-2"/>
        </w:rPr>
        <w:t>本公司</w:t>
      </w:r>
      <w:r>
        <w:rPr>
          <w:rFonts w:ascii="Times New Roman" w:hAnsi="Times New Roman" w:cs="Times New Roman" w:eastAsia="Times New Roman" w:hint="default"/>
          <w:spacing w:val="-2"/>
        </w:rPr>
        <w:t>2014</w:t>
      </w:r>
      <w:r>
        <w:rPr>
          <w:spacing w:val="-2"/>
        </w:rPr>
        <w:t>年度纳入合并范围的子公司共七户，详见本附注八“在其他主体中的权益”。本公司本年</w:t>
      </w:r>
      <w:r>
        <w:rPr/>
        <w:t> 度合并范围比上年度减少一户，详见本附注七“合并范围的变更”。</w:t>
      </w:r>
    </w:p>
    <w:p>
      <w:pPr>
        <w:pStyle w:val="BodyText"/>
        <w:spacing w:line="314" w:lineRule="auto" w:before="35"/>
        <w:ind w:left="636" w:right="1118"/>
        <w:jc w:val="left"/>
      </w:pPr>
      <w:r>
        <w:rPr/>
        <w:t>本公司经营范围：设计、生产、销售各式服装、服饰及原辅材料；纺织服装类产品的科技开发。 </w:t>
      </w:r>
      <w:r>
        <w:rPr>
          <w:spacing w:val="-2"/>
        </w:rPr>
        <w:t>本公司之子公司从事的业务范围主要包括融资性担保、开展金融机构业务代理及其他业务，生产、销</w:t>
      </w:r>
    </w:p>
    <w:p>
      <w:pPr>
        <w:pStyle w:val="BodyText"/>
        <w:spacing w:line="314" w:lineRule="auto"/>
        <w:ind w:left="636" w:right="0" w:hanging="483"/>
        <w:jc w:val="left"/>
      </w:pPr>
      <w:r>
        <w:rPr/>
        <w:t>售纺织品，生产销售环保材料，可再生资源循环使用项目等。 本财务报表业经本公司董事会于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26</w:t>
      </w:r>
      <w:r>
        <w:rPr/>
        <w:t>日决议批准报出。根据本公司章程，本财务报表将提交</w:t>
      </w:r>
    </w:p>
    <w:p>
      <w:pPr>
        <w:pStyle w:val="BodyText"/>
        <w:spacing w:line="240" w:lineRule="auto"/>
        <w:ind w:right="0"/>
        <w:jc w:val="left"/>
      </w:pPr>
      <w:r>
        <w:rPr/>
        <w:t>股东大会审议。</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56"/>
      <w:bookmarkEnd w:id="15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编制基础" w:id="157"/>
      <w:bookmarkEnd w:id="15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300" w:lineRule="auto" w:before="0"/>
        <w:ind w:right="1126" w:firstLine="480"/>
        <w:jc w:val="both"/>
      </w:pPr>
      <w:r>
        <w:rPr>
          <w:spacing w:val="-2"/>
        </w:rPr>
        <w:t>本公司财务报表以持续经营假设为基础，根据实际发生的交易和事项，按照财政部发布的《企业会计</w:t>
      </w:r>
      <w:r>
        <w:rPr/>
        <w:t> 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w:t>
      </w:r>
      <w:r>
        <w:rPr>
          <w:spacing w:val="-34"/>
        </w:rPr>
        <w:t> </w:t>
      </w:r>
      <w:r>
        <w:rPr>
          <w:spacing w:val="-34"/>
        </w:rPr>
      </w:r>
      <w:r>
        <w:rPr/>
        <w:t>订的</w:t>
      </w:r>
      <w:r>
        <w:rPr>
          <w:rFonts w:ascii="Times New Roman" w:hAnsi="Times New Roman" w:cs="Times New Roman" w:eastAsia="Times New Roman" w:hint="default"/>
        </w:rPr>
        <w:t>41</w:t>
      </w:r>
      <w:r>
        <w:rPr/>
        <w:t>项具体会计准则、企业会计准则应用指南、企业会计准则解释及其他相关规定（以下合称</w:t>
      </w:r>
      <w:r>
        <w:rPr>
          <w:rFonts w:ascii="Times New Roman" w:hAnsi="Times New Roman" w:cs="Times New Roman" w:eastAsia="Times New Roman" w:hint="default"/>
        </w:rPr>
        <w:t>“</w:t>
      </w:r>
      <w:r>
        <w:rPr/>
        <w:t>企业会</w:t>
      </w:r>
      <w:r>
        <w:rPr>
          <w:spacing w:val="-12"/>
        </w:rPr>
        <w:t> </w:t>
      </w:r>
      <w:r>
        <w:rPr/>
        <w:t>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w:t>
      </w:r>
      <w:r>
        <w:rPr>
          <w:spacing w:val="-17"/>
        </w:rPr>
        <w:t> </w:t>
      </w:r>
      <w:r>
        <w:rPr/>
        <w:t>的一般规定》（</w:t>
      </w:r>
      <w:r>
        <w:rPr>
          <w:rFonts w:ascii="Times New Roman" w:hAnsi="Times New Roman" w:cs="Times New Roman" w:eastAsia="Times New Roman" w:hint="default"/>
        </w:rPr>
        <w:t>2014</w:t>
      </w:r>
      <w:r>
        <w:rPr/>
        <w:t>年修订）的披露规定编制。</w:t>
      </w:r>
    </w:p>
    <w:p>
      <w:pPr>
        <w:pStyle w:val="BodyText"/>
        <w:spacing w:line="314" w:lineRule="auto" w:before="10"/>
        <w:ind w:left="154" w:right="1132" w:firstLine="480"/>
        <w:jc w:val="both"/>
      </w:pPr>
      <w:r>
        <w:rPr>
          <w:spacing w:val="-2"/>
        </w:rPr>
        <w:t>根据企业会计准则的相关规定，本公司会计核算以权责发生制为基础。除某些金融工具外，本财务报</w:t>
      </w:r>
      <w:r>
        <w:rPr/>
        <w:t> 表均以历史成本为计量基础。资产如果发生减值，则按照相关规定计提相应的减值准备。</w:t>
      </w:r>
    </w:p>
    <w:p>
      <w:pPr>
        <w:spacing w:line="240" w:lineRule="auto" w:before="8"/>
        <w:rPr>
          <w:rFonts w:ascii="宋体" w:hAnsi="宋体" w:cs="宋体" w:eastAsia="宋体" w:hint="default"/>
          <w:sz w:val="22"/>
          <w:szCs w:val="22"/>
        </w:rPr>
      </w:pPr>
    </w:p>
    <w:p>
      <w:pPr>
        <w:pStyle w:val="Heading5"/>
        <w:spacing w:line="240" w:lineRule="auto"/>
        <w:ind w:left="153" w:right="0"/>
        <w:jc w:val="left"/>
        <w:rPr>
          <w:b w:val="0"/>
          <w:bCs w:val="0"/>
        </w:rPr>
      </w:pPr>
      <w:bookmarkStart w:name="2、持续经营" w:id="158"/>
      <w:bookmarkEnd w:id="15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本公司自本报告期末起至少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重要会计政策及会计估计" w:id="159"/>
      <w:bookmarkEnd w:id="15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307" w:lineRule="auto" w:before="114"/>
        <w:ind w:right="1109" w:firstLine="480"/>
        <w:jc w:val="both"/>
      </w:pPr>
      <w:r>
        <w:rPr>
          <w:spacing w:val="-2"/>
        </w:rPr>
        <w:t>本公司及各子公司从事服装、色织面料及环保材料等生产经营。本公司及各子公司根据实际生产经营</w:t>
      </w:r>
      <w:r>
        <w:rPr/>
        <w:t> 特点，依据相关企业会计准则的规定，对收入确认等交易和事项制定了若干项具体会计政策和会计估计， 详见本附注四、</w:t>
      </w:r>
      <w:r>
        <w:rPr>
          <w:rFonts w:ascii="Times New Roman" w:hAnsi="Times New Roman" w:cs="Times New Roman" w:eastAsia="Times New Roman" w:hint="default"/>
        </w:rPr>
        <w:t>24</w:t>
      </w:r>
      <w:r>
        <w:rPr/>
        <w:t>“收入”各项描述。关于管理层所作出的重大会计判断和估计的说明，请参阅附注四、 </w:t>
      </w:r>
      <w:r>
        <w:rPr>
          <w:rFonts w:ascii="Times New Roman" w:hAnsi="Times New Roman" w:cs="Times New Roman" w:eastAsia="Times New Roman" w:hint="default"/>
        </w:rPr>
        <w:t>28</w:t>
      </w:r>
      <w:r>
        <w:rPr/>
        <w:t>“重大会计判断和估计”。</w:t>
      </w:r>
    </w:p>
    <w:p>
      <w:pPr>
        <w:spacing w:line="636" w:lineRule="exact" w:before="16"/>
        <w:ind w:left="633" w:right="1129" w:hanging="480"/>
        <w:jc w:val="left"/>
        <w:rPr>
          <w:rFonts w:ascii="宋体" w:hAnsi="宋体" w:cs="宋体" w:eastAsia="宋体" w:hint="default"/>
          <w:sz w:val="21"/>
          <w:szCs w:val="21"/>
        </w:rPr>
      </w:pPr>
      <w:bookmarkStart w:name="1、遵循企业会计准则的声明" w:id="160"/>
      <w:bookmarkEnd w:id="16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2"/>
          <w:sz w:val="21"/>
          <w:szCs w:val="21"/>
        </w:rPr>
        <w:t>本公司编制的财务报表符合企业会计准则的要求，真实、完整地反映了本公司</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日的财务</w:t>
      </w:r>
    </w:p>
    <w:p>
      <w:pPr>
        <w:pStyle w:val="BodyText"/>
        <w:spacing w:line="277" w:lineRule="exact" w:before="0"/>
        <w:ind w:right="0"/>
        <w:jc w:val="left"/>
      </w:pPr>
      <w:r>
        <w:rPr/>
        <w:t>状况及</w:t>
      </w:r>
      <w:r>
        <w:rPr>
          <w:rFonts w:ascii="Times New Roman" w:hAnsi="Times New Roman" w:cs="Times New Roman" w:eastAsia="Times New Roman" w:hint="default"/>
        </w:rPr>
        <w:t>2014</w:t>
      </w:r>
      <w:r>
        <w:rPr/>
        <w:t>年度的经营成果和现金流量等有关信息。此外，本公司的财务报表在所有重大方面符合中国证</w:t>
      </w:r>
    </w:p>
    <w:p>
      <w:pPr>
        <w:pStyle w:val="BodyText"/>
        <w:spacing w:line="295" w:lineRule="auto" w:before="68"/>
        <w:ind w:right="1093"/>
        <w:jc w:val="left"/>
      </w:pPr>
      <w:r>
        <w:rPr/>
        <w:t>券监督管理委员会</w:t>
      </w:r>
      <w:r>
        <w:rPr>
          <w:rFonts w:ascii="Times New Roman" w:hAnsi="Times New Roman" w:cs="Times New Roman" w:eastAsia="Times New Roman" w:hint="default"/>
        </w:rPr>
        <w:t>2014</w:t>
      </w:r>
      <w:r>
        <w:rPr/>
        <w:t>年修订的《公开发行证券的公司信息披露编报规则第</w:t>
      </w:r>
      <w:r>
        <w:rPr>
          <w:rFonts w:ascii="Times New Roman" w:hAnsi="Times New Roman" w:cs="Times New Roman" w:eastAsia="Times New Roman" w:hint="default"/>
        </w:rPr>
        <w:t>15</w:t>
      </w:r>
      <w:r>
        <w:rPr/>
        <w:t>号－财务报告的一般规定》 有关财务报表及其附注的披露要求。</w:t>
      </w:r>
    </w:p>
    <w:p>
      <w:pPr>
        <w:spacing w:line="240" w:lineRule="auto" w:before="12"/>
        <w:rPr>
          <w:rFonts w:ascii="宋体" w:hAnsi="宋体" w:cs="宋体" w:eastAsia="宋体" w:hint="default"/>
          <w:sz w:val="23"/>
          <w:szCs w:val="23"/>
        </w:rPr>
      </w:pPr>
    </w:p>
    <w:p>
      <w:pPr>
        <w:pStyle w:val="Heading5"/>
        <w:spacing w:line="240" w:lineRule="auto"/>
        <w:ind w:left="153" w:right="0"/>
        <w:jc w:val="left"/>
        <w:rPr>
          <w:b w:val="0"/>
          <w:bCs w:val="0"/>
        </w:rPr>
      </w:pPr>
      <w:bookmarkStart w:name="2、会计期间" w:id="161"/>
      <w:bookmarkEnd w:id="16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131" w:firstLine="480"/>
        <w:jc w:val="both"/>
      </w:pPr>
      <w:r>
        <w:rPr>
          <w:spacing w:val="-2"/>
        </w:rPr>
        <w:t>本公司的会计期间分为年度和中期，会计中期指短于一个完整的会计年度的报告期间。本公司会计年</w:t>
      </w:r>
      <w:r>
        <w:rPr/>
        <w:t> 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bookmarkStart w:name="3、营业周期" w:id="162"/>
      <w:bookmarkEnd w:id="16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95" w:lineRule="auto" w:before="0"/>
        <w:ind w:right="1129" w:firstLine="480"/>
        <w:jc w:val="both"/>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w:t>
      </w:r>
      <w:r>
        <w:rPr/>
        <w:t> 作为一个营业周期，并以其作为资产和负债的流动性划分标准。</w:t>
      </w:r>
    </w:p>
    <w:p>
      <w:pPr>
        <w:spacing w:after="0" w:line="295"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4、记账本位币" w:id="163"/>
      <w:bookmarkEnd w:id="16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132" w:firstLine="480"/>
        <w:jc w:val="both"/>
      </w:pPr>
      <w:r>
        <w:rPr>
          <w:spacing w:val="-2"/>
        </w:rPr>
        <w:t>人民币为本公司及境内子公司经营所处的主要经济环境中的货币，本公司及境内子公司以人民币为记</w:t>
      </w:r>
      <w:r>
        <w:rPr/>
        <w:t> 账本位币。本公司编制本财务报表时所采用的货币为人民币。</w:t>
      </w:r>
    </w:p>
    <w:p>
      <w:pPr>
        <w:spacing w:line="636" w:lineRule="exact" w:before="33"/>
        <w:ind w:left="636" w:right="1118" w:hanging="483"/>
        <w:jc w:val="left"/>
        <w:rPr>
          <w:rFonts w:ascii="宋体" w:hAnsi="宋体" w:cs="宋体" w:eastAsia="宋体" w:hint="default"/>
          <w:sz w:val="21"/>
          <w:szCs w:val="21"/>
        </w:rPr>
      </w:pPr>
      <w:bookmarkStart w:name="5、同一控制下和非同一控制下企业合并的会计处理方法" w:id="164"/>
      <w:bookmarkEnd w:id="16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企业合并，是指将两个或两个以上单独的企业合并形成一个报告主体的交易或事项。企业合并分为同</w:t>
      </w:r>
    </w:p>
    <w:p>
      <w:pPr>
        <w:pStyle w:val="BodyText"/>
        <w:spacing w:line="261" w:lineRule="exact" w:before="0"/>
        <w:ind w:left="156" w:right="0"/>
        <w:jc w:val="left"/>
      </w:pPr>
      <w:r>
        <w:rPr/>
        <w:t>一控制下企业合并和非同一控制下企业合并。</w:t>
      </w:r>
    </w:p>
    <w:p>
      <w:pPr>
        <w:pStyle w:val="BodyText"/>
        <w:spacing w:line="295" w:lineRule="auto" w:before="84"/>
        <w:ind w:left="633" w:right="1121"/>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w:t>
      </w:r>
    </w:p>
    <w:p>
      <w:pPr>
        <w:pStyle w:val="BodyText"/>
        <w:spacing w:line="314" w:lineRule="auto" w:before="35"/>
        <w:ind w:right="0"/>
        <w:jc w:val="left"/>
      </w:pP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pStyle w:val="BodyText"/>
        <w:spacing w:line="314" w:lineRule="auto"/>
        <w:ind w:right="1132" w:firstLine="480"/>
        <w:jc w:val="both"/>
      </w:pPr>
      <w:r>
        <w:rPr>
          <w:spacing w:val="-2"/>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85"/>
        </w:rPr>
        <w:t> </w:t>
      </w:r>
      <w:r>
        <w:rPr>
          <w:spacing w:val="-85"/>
        </w:rPr>
      </w:r>
      <w:r>
        <w:rPr/>
        <w:t>价）不足以冲减的，调整留存收益。</w:t>
      </w:r>
    </w:p>
    <w:p>
      <w:pPr>
        <w:pStyle w:val="BodyText"/>
        <w:spacing w:line="240" w:lineRule="auto"/>
        <w:ind w:left="633" w:right="0"/>
        <w:jc w:val="left"/>
      </w:pPr>
      <w:r>
        <w:rPr/>
        <w:t>合并方为进行企业合并发生的各项直接费用，于发生时计入当期损益。</w:t>
      </w:r>
    </w:p>
    <w:p>
      <w:pPr>
        <w:pStyle w:val="BodyText"/>
        <w:spacing w:line="295" w:lineRule="auto" w:before="84"/>
        <w:ind w:left="633" w:right="1121"/>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w:t>
      </w:r>
    </w:p>
    <w:p>
      <w:pPr>
        <w:pStyle w:val="BodyText"/>
        <w:spacing w:line="314" w:lineRule="auto" w:before="35"/>
        <w:ind w:right="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312" w:lineRule="auto"/>
        <w:ind w:right="1024" w:firstLine="480"/>
        <w:jc w:val="left"/>
      </w:pPr>
      <w:r>
        <w:rPr>
          <w:spacing w:val="2"/>
        </w:rPr>
        <w:t>对于非同一控制下的企业合并，合并成本包含购买日购买方为取得对被购买方的控制权而付出的资</w:t>
      </w:r>
      <w:r>
        <w:rPr/>
        <w:t>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w:t>
      </w:r>
      <w:r>
        <w:rPr>
          <w:spacing w:val="3"/>
        </w:rPr>
        <w:t>值计入合并成本，购买日后</w:t>
      </w:r>
      <w:r>
        <w:rPr>
          <w:rFonts w:ascii="Times New Roman" w:hAnsi="Times New Roman" w:cs="Times New Roman" w:eastAsia="Times New Roman" w:hint="default"/>
          <w:spacing w:val="3"/>
        </w:rPr>
        <w:t>12</w:t>
      </w:r>
      <w:r>
        <w:rPr>
          <w:spacing w:val="3"/>
        </w:rPr>
        <w:t>个月内出现对购买日已存在情况的新的或进一步证据而需要调整或有对价</w:t>
      </w:r>
      <w:r>
        <w:rPr>
          <w:spacing w:val="-82"/>
        </w:rPr>
        <w:t> </w:t>
      </w:r>
      <w:r>
        <w:rPr>
          <w:spacing w:val="-82"/>
        </w:rPr>
      </w:r>
      <w:r>
        <w:rPr>
          <w:spacing w:val="-3"/>
        </w:rPr>
        <w:t>的，相应调整合并商誉。购买方发生的合并成本及在合并中取得的可辨认净资产按购买日的公允价值计量。</w:t>
      </w:r>
      <w:r>
        <w:rPr>
          <w:spacing w:val="-92"/>
        </w:rPr>
        <w:t> </w:t>
      </w:r>
      <w:r>
        <w:rPr>
          <w:spacing w:val="-92"/>
        </w:rPr>
      </w:r>
      <w:r>
        <w:rPr/>
        <w:t>合并成本大于合并中取得的被购买方于购买日可辨认净资产公允价值份额的差额，确认为商誉。合并成本</w:t>
      </w:r>
      <w:r>
        <w:rPr/>
        <w:t>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BodyText"/>
        <w:spacing w:line="309" w:lineRule="auto" w:before="21"/>
        <w:ind w:right="1110" w:firstLine="480"/>
        <w:jc w:val="both"/>
      </w:pPr>
      <w:r>
        <w:rPr>
          <w:spacing w:val="2"/>
        </w:rPr>
        <w:t>购买方取得被购买方的可抵扣暂时性差异，在购买日因不符合递延所得税资产确认条件而未予确认</w:t>
      </w:r>
      <w:r>
        <w:rPr/>
        <w:t> </w:t>
      </w:r>
      <w:r>
        <w:rPr>
          <w:spacing w:val="-1"/>
        </w:rPr>
        <w:t>的，在购买日后</w:t>
      </w:r>
      <w:r>
        <w:rPr>
          <w:rFonts w:ascii="Times New Roman" w:hAnsi="Times New Roman" w:cs="Times New Roman" w:eastAsia="Times New Roman" w:hint="default"/>
          <w:spacing w:val="-1"/>
        </w:rPr>
        <w:t>12</w:t>
      </w:r>
      <w:r>
        <w:rPr>
          <w:spacing w:val="-1"/>
        </w:rPr>
        <w:t>个月内，如取得新的或进一步的信息表明购买日的相关情况已经存在，预期被购买方在</w:t>
      </w:r>
      <w:r>
        <w:rPr>
          <w:spacing w:val="-84"/>
        </w:rPr>
        <w:t> </w:t>
      </w:r>
      <w:r>
        <w:rPr>
          <w:spacing w:val="-84"/>
        </w:rPr>
      </w:r>
      <w:r>
        <w:rPr>
          <w:spacing w:val="-1"/>
        </w:rPr>
        <w:t>购买日可抵扣暂时性差异带来的经济利益能够实现的，则确认相关的递延所得税资产，同时减少商誉，商</w:t>
      </w:r>
      <w:r>
        <w:rPr>
          <w:spacing w:val="-83"/>
        </w:rPr>
        <w:t> </w:t>
      </w:r>
      <w:r>
        <w:rPr>
          <w:spacing w:val="-83"/>
        </w:rPr>
      </w:r>
      <w:r>
        <w:rPr/>
        <w:t>誉不足冲减的，差额部分确认为当期损益；除上述情况以外，确认与企业合并相关的递延所得税资产的， 计入当期损益。</w:t>
      </w:r>
    </w:p>
    <w:p>
      <w:pPr>
        <w:pStyle w:val="BodyText"/>
        <w:spacing w:line="295" w:lineRule="auto" w:before="23"/>
        <w:ind w:right="1131" w:firstLine="480"/>
        <w:jc w:val="both"/>
      </w:pPr>
      <w:r>
        <w:rPr/>
        <w:t>通过多次交易分步实现的非同一控制下企业合并，根据《财政部关于印发企业会计准则解释第</w:t>
      </w:r>
      <w:r>
        <w:rPr>
          <w:rFonts w:ascii="Times New Roman" w:hAnsi="Times New Roman" w:cs="Times New Roman" w:eastAsia="Times New Roman" w:hint="default"/>
        </w:rPr>
        <w:t>5</w:t>
      </w:r>
      <w:r>
        <w:rPr/>
        <w:t>号的</w:t>
      </w:r>
      <w:r>
        <w:rPr>
          <w:spacing w:val="1"/>
        </w:rPr>
        <w:t> </w:t>
      </w:r>
      <w:r>
        <w:rPr/>
        <w:t>通知》（财会〔</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的判断标准（参见本附注四、</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w:t>
      </w:r>
      <w:r>
        <w:rPr>
          <w:spacing w:val="-1"/>
        </w:rPr>
        <w:t>）），判断该多次交易是否属于“一揽子交易”。属于“一揽子交易”</w:t>
      </w:r>
    </w:p>
    <w:p>
      <w:pPr>
        <w:spacing w:after="0" w:line="295" w:lineRule="auto"/>
        <w:jc w:val="both"/>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295" w:lineRule="auto" w:before="35"/>
        <w:ind w:left="154" w:right="0"/>
        <w:jc w:val="left"/>
      </w:pPr>
      <w:r>
        <w:rPr>
          <w:spacing w:val="-3"/>
        </w:rPr>
        <w:t>的，参考本部分前面各段描述及本附注四、</w:t>
      </w:r>
      <w:r>
        <w:rPr>
          <w:rFonts w:ascii="Times New Roman" w:hAnsi="Times New Roman" w:cs="Times New Roman" w:eastAsia="Times New Roman" w:hint="default"/>
          <w:spacing w:val="-3"/>
        </w:rPr>
        <w:t>13</w:t>
      </w:r>
      <w:r>
        <w:rPr>
          <w:spacing w:val="-3"/>
        </w:rPr>
        <w:t>“长期股权投资”进行会计处理；不属于“一揽子交易”的，</w:t>
      </w:r>
      <w:r>
        <w:rPr>
          <w:spacing w:val="-90"/>
        </w:rPr>
        <w:t> </w:t>
      </w:r>
      <w:r>
        <w:rPr>
          <w:spacing w:val="-90"/>
        </w:rPr>
      </w:r>
      <w:r>
        <w:rPr/>
        <w:t>区分个别财务报表和合并财务报表进行相关会计处理：</w:t>
      </w:r>
    </w:p>
    <w:p>
      <w:pPr>
        <w:pStyle w:val="BodyText"/>
        <w:spacing w:line="314" w:lineRule="auto" w:before="35"/>
        <w:ind w:left="154" w:right="1032" w:firstLine="480"/>
        <w:jc w:val="left"/>
      </w:pPr>
      <w:r>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BodyText"/>
        <w:spacing w:line="314" w:lineRule="auto"/>
        <w:ind w:left="154" w:right="1131" w:firstLine="480"/>
        <w:jc w:val="both"/>
      </w:pPr>
      <w:r>
        <w:rPr>
          <w:spacing w:val="-2"/>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1"/>
        </w:rPr>
        <w:t> </w:t>
      </w:r>
      <w:r>
        <w:rPr>
          <w:spacing w:val="-81"/>
        </w:rPr>
      </w:r>
      <w:r>
        <w:rPr/>
        <w:t>额以外，其余转为购买日所属当期投资收益）。</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bookmarkStart w:name="6、合并财务报表的编制方法" w:id="165"/>
      <w:bookmarkEnd w:id="16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295" w:lineRule="auto" w:before="0"/>
        <w:ind w:left="634" w:right="112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w:t>
      </w:r>
    </w:p>
    <w:p>
      <w:pPr>
        <w:pStyle w:val="BodyText"/>
        <w:spacing w:line="314" w:lineRule="auto" w:before="35"/>
        <w:ind w:left="154" w:right="1131"/>
        <w:jc w:val="both"/>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pStyle w:val="BodyText"/>
        <w:spacing w:line="240" w:lineRule="auto"/>
        <w:ind w:left="634" w:right="0"/>
        <w:jc w:val="left"/>
      </w:pPr>
      <w:r>
        <w:rPr/>
        <w:t>一旦相关事实和情况的变化导致上述控制定义涉及的相关要素发生了变化，本公司将进行重新评估。</w:t>
      </w:r>
    </w:p>
    <w:p>
      <w:pPr>
        <w:pStyle w:val="BodyText"/>
        <w:spacing w:line="295" w:lineRule="auto" w:before="84"/>
        <w:ind w:left="634" w:right="112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w:t>
      </w:r>
    </w:p>
    <w:p>
      <w:pPr>
        <w:pStyle w:val="BodyText"/>
        <w:spacing w:line="314" w:lineRule="auto" w:before="35"/>
        <w:ind w:left="154" w:right="1130"/>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3"/>
        </w:rPr>
        <w:t> </w:t>
      </w:r>
      <w:r>
        <w:rPr>
          <w:spacing w:val="-83"/>
        </w:rPr>
      </w:r>
      <w:r>
        <w:rPr>
          <w:spacing w:val="-1"/>
        </w:rPr>
        <w:t>初至合并日的经营成果和现金流量已经适当地包括在合并利润表和合并现金流量表中，并且同时调整合并</w:t>
      </w:r>
      <w:r>
        <w:rPr>
          <w:spacing w:val="-81"/>
        </w:rPr>
        <w:t> </w:t>
      </w:r>
      <w:r>
        <w:rPr>
          <w:spacing w:val="-81"/>
        </w:rPr>
      </w:r>
      <w:r>
        <w:rPr/>
        <w:t>财务报表的对比数。</w:t>
      </w:r>
    </w:p>
    <w:p>
      <w:pPr>
        <w:pStyle w:val="BodyText"/>
        <w:spacing w:line="314" w:lineRule="auto"/>
        <w:ind w:left="154" w:right="1130" w:firstLine="480"/>
        <w:jc w:val="both"/>
      </w:pPr>
      <w:r>
        <w:rPr>
          <w:spacing w:val="-2"/>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0"/>
        </w:rPr>
        <w:t> </w:t>
      </w:r>
      <w:r>
        <w:rPr>
          <w:spacing w:val="-80"/>
        </w:rPr>
      </w:r>
      <w:r>
        <w:rPr/>
        <w:t>辨认净资产公允价值为基础对其财务报表进行调整。</w:t>
      </w:r>
    </w:p>
    <w:p>
      <w:pPr>
        <w:pStyle w:val="BodyText"/>
        <w:spacing w:line="314" w:lineRule="auto"/>
        <w:ind w:left="633" w:right="0"/>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w:t>
      </w:r>
    </w:p>
    <w:p>
      <w:pPr>
        <w:pStyle w:val="BodyText"/>
        <w:spacing w:line="304" w:lineRule="auto"/>
        <w:ind w:right="1131"/>
        <w:jc w:val="both"/>
      </w:pPr>
      <w:r>
        <w:rPr>
          <w:spacing w:val="-1"/>
        </w:rPr>
        <w:t>益在合并财务报表中股东权益及净利润项下单独列示。子公司当期净损益中属于少数股东权益的份额，在</w:t>
      </w:r>
      <w:r>
        <w:rPr>
          <w:spacing w:val="-81"/>
        </w:rPr>
        <w:t> </w:t>
      </w:r>
      <w:r>
        <w:rPr>
          <w:spacing w:val="-81"/>
        </w:rPr>
      </w:r>
      <w:r>
        <w:rPr/>
        <w:t>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 该子公司期初股东权益中所享有的份额，仍冲减少数股东权益。</w:t>
      </w:r>
    </w:p>
    <w:p>
      <w:pPr>
        <w:pStyle w:val="BodyText"/>
        <w:spacing w:line="314" w:lineRule="auto" w:before="27"/>
        <w:ind w:right="1110" w:firstLine="480"/>
        <w:jc w:val="both"/>
      </w:pPr>
      <w:r>
        <w:rPr>
          <w:spacing w:val="-2"/>
        </w:rPr>
        <w:t>当因处置部分股权投资或其他原因丧失了对原有子公司的控制权时，对于剩余股权，按照其在丧失控</w:t>
      </w:r>
      <w:r>
        <w:rPr/>
        <w:t> </w:t>
      </w:r>
      <w:r>
        <w:rPr>
          <w:spacing w:val="-1"/>
        </w:rPr>
        <w:t>制权日的公允价值进行重新计量。处置股权取得的对价与剩余股权公允价值之和，减去按原持股比例计算</w:t>
      </w:r>
      <w:r>
        <w:rPr>
          <w:spacing w:val="-81"/>
        </w:rPr>
        <w:t> </w:t>
      </w:r>
      <w:r>
        <w:rPr>
          <w:spacing w:val="-81"/>
        </w:rPr>
      </w:r>
      <w:r>
        <w:rPr/>
        <w:t>应享有原有子公司自购买日开始持续计算的净资产的份额之间的差额，计入丧失控制权当期的投资收益。</w:t>
      </w:r>
    </w:p>
    <w:p>
      <w:pPr>
        <w:spacing w:after="0" w:line="314" w:lineRule="auto"/>
        <w:jc w:val="both"/>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304" w:lineRule="auto" w:before="35"/>
        <w:ind w:right="1024"/>
        <w:jc w:val="left"/>
      </w:pPr>
      <w:r>
        <w:rPr/>
        <w:t>与原有子公司股权投资相关的其他综合收益，在丧失控制权时采用与被购买方直接处置相关资产或负债相 </w:t>
      </w: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 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w:t>
      </w:r>
      <w:r>
        <w:rPr>
          <w:w w:val="100"/>
        </w:rPr>
        <w:t> </w:t>
      </w:r>
      <w:r>
        <w:rPr/>
        <w:t>股权投资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07" w:lineRule="auto" w:before="5"/>
        <w:ind w:right="1121" w:firstLine="480"/>
        <w:jc w:val="left"/>
      </w:pPr>
      <w:r>
        <w:rPr>
          <w:spacing w:val="-2"/>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1"/>
        </w:rPr>
        <w:t> </w:t>
      </w:r>
      <w:r>
        <w:rPr>
          <w:spacing w:val="-81"/>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1"/>
        </w:rPr>
        <w:t> </w:t>
      </w:r>
      <w:r>
        <w:rPr>
          <w:spacing w:val="-81"/>
        </w:rPr>
      </w:r>
      <w:r>
        <w:rPr/>
        <w:t>济的。不属于一揽子交易的，对其中的每一项交易视情况分别按照</w:t>
      </w:r>
      <w:r>
        <w:rPr>
          <w:rFonts w:ascii="Times New Roman" w:hAnsi="Times New Roman" w:cs="Times New Roman" w:eastAsia="Times New Roman" w:hint="default"/>
        </w:rPr>
        <w:t>“</w:t>
      </w:r>
      <w:r>
        <w:rPr/>
        <w:t>不丧失控制权的情况下部分处置对子 </w:t>
      </w:r>
      <w:r>
        <w:rPr>
          <w:spacing w:val="-3"/>
        </w:rPr>
        <w:t>公司的长期股权投资</w:t>
      </w:r>
      <w:r>
        <w:rPr>
          <w:rFonts w:ascii="Times New Roman" w:hAnsi="Times New Roman" w:cs="Times New Roman" w:eastAsia="Times New Roman" w:hint="default"/>
          <w:spacing w:val="-3"/>
        </w:rPr>
        <w:t>”</w:t>
      </w:r>
      <w:r>
        <w:rPr>
          <w:spacing w:val="-3"/>
        </w:rPr>
        <w:t>（详见本附注四、</w:t>
      </w:r>
      <w:r>
        <w:rPr>
          <w:rFonts w:ascii="Times New Roman" w:hAnsi="Times New Roman" w:cs="Times New Roman" w:eastAsia="Times New Roman" w:hint="default"/>
          <w:spacing w:val="-3"/>
        </w:rPr>
        <w:t>13</w:t>
      </w:r>
      <w:r>
        <w:rPr>
          <w:spacing w:val="-3"/>
        </w:rPr>
        <w:t>、（</w:t>
      </w:r>
      <w:r>
        <w:rPr>
          <w:rFonts w:ascii="Times New Roman" w:hAnsi="Times New Roman" w:cs="Times New Roman" w:eastAsia="Times New Roman" w:hint="default"/>
          <w:spacing w:val="-3"/>
        </w:rPr>
        <w:t>2</w:t>
      </w:r>
      <w:r>
        <w:rPr>
          <w:spacing w:val="-3"/>
        </w:rPr>
        <w:t>）④）和</w:t>
      </w:r>
      <w:r>
        <w:rPr>
          <w:rFonts w:ascii="Times New Roman" w:hAnsi="Times New Roman" w:cs="Times New Roman" w:eastAsia="Times New Roman" w:hint="default"/>
          <w:spacing w:val="-3"/>
        </w:rPr>
        <w:t>“</w:t>
      </w:r>
      <w:r>
        <w:rPr>
          <w:spacing w:val="-3"/>
        </w:rPr>
        <w:t>因处置部分股权投资或其他原因丧失了对原有子</w:t>
      </w:r>
      <w:r>
        <w:rPr>
          <w:spacing w:val="-67"/>
        </w:rPr>
        <w:t> </w:t>
      </w:r>
      <w:r>
        <w:rPr/>
        <w:t>公司的控制权</w:t>
      </w:r>
      <w:r>
        <w:rPr>
          <w:rFonts w:ascii="Times New Roman" w:hAnsi="Times New Roman" w:cs="Times New Roman" w:eastAsia="Times New Roman" w:hint="default"/>
        </w:rPr>
        <w:t>”</w:t>
      </w:r>
      <w:r>
        <w:rPr/>
        <w:t>（详见前段）适用的原则进行会计处理。处置对子公司股权投资直至丧失控制权的各项交 </w:t>
      </w:r>
      <w:r>
        <w:rPr>
          <w:spacing w:val="-1"/>
        </w:rPr>
        <w:t>易属于一揽子交易的，将各项交易作为一项处置子公司并丧失控制权的交易进行会计处理；但是，在丧失</w:t>
      </w:r>
      <w:r>
        <w:rPr>
          <w:spacing w:val="-83"/>
        </w:rPr>
        <w:t> </w:t>
      </w:r>
      <w:r>
        <w:rPr>
          <w:spacing w:val="-83"/>
        </w:rPr>
      </w:r>
      <w:r>
        <w:rPr>
          <w:spacing w:val="-1"/>
        </w:rPr>
        <w:t>控制权之前每一次处置价款与处置投资对应的享有该子公司净资产份额的差额，在合并财务报表中确认为</w:t>
      </w:r>
      <w:r>
        <w:rPr>
          <w:spacing w:val="-80"/>
        </w:rPr>
        <w:t> </w:t>
      </w:r>
      <w:r>
        <w:rPr>
          <w:spacing w:val="-80"/>
        </w:rPr>
      </w:r>
      <w:r>
        <w:rPr/>
        <w:t>其他综合收益，在丧失控制权时一并转入丧失控制权当期的损益。</w:t>
      </w:r>
    </w:p>
    <w:p>
      <w:pPr>
        <w:spacing w:line="636" w:lineRule="exact" w:before="39"/>
        <w:ind w:left="634" w:right="1120" w:hanging="480"/>
        <w:jc w:val="left"/>
        <w:rPr>
          <w:rFonts w:ascii="宋体" w:hAnsi="宋体" w:cs="宋体" w:eastAsia="宋体" w:hint="default"/>
          <w:sz w:val="21"/>
          <w:szCs w:val="21"/>
        </w:rPr>
      </w:pPr>
      <w:bookmarkStart w:name="7、合营安排分类及共同经营会计处理方法" w:id="166"/>
      <w:bookmarkEnd w:id="16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合营安排，是指一项由两个或两个以上的参与方共同控制的安排。本公司根据在合营安排中享有的权</w:t>
      </w:r>
    </w:p>
    <w:p>
      <w:pPr>
        <w:pStyle w:val="BodyText"/>
        <w:spacing w:line="262" w:lineRule="exact" w:before="0"/>
        <w:ind w:left="154" w:right="0"/>
        <w:jc w:val="left"/>
      </w:pPr>
      <w:r>
        <w:rPr/>
        <w:t>利和承担的义务，将合营安排分为共同经营和合营企业。共同经营，是指本公司享有该安排相关资产且承</w:t>
      </w:r>
    </w:p>
    <w:p>
      <w:pPr>
        <w:pStyle w:val="BodyText"/>
        <w:spacing w:line="314" w:lineRule="auto" w:before="84"/>
        <w:ind w:left="154" w:right="0"/>
        <w:jc w:val="left"/>
      </w:pPr>
      <w:r>
        <w:rPr>
          <w:spacing w:val="-1"/>
        </w:rPr>
        <w:t>担该安排相关负债的合营安排。合营企业，是指本公司仅对该安排的净资产享有权利的合营安排。本公司</w:t>
      </w:r>
      <w:r>
        <w:rPr>
          <w:spacing w:val="-83"/>
        </w:rPr>
        <w:t> </w:t>
      </w:r>
      <w:r>
        <w:rPr>
          <w:spacing w:val="-83"/>
        </w:rPr>
      </w:r>
      <w:r>
        <w:rPr/>
        <w:t>不存在合营安排。</w:t>
      </w:r>
    </w:p>
    <w:p>
      <w:pPr>
        <w:spacing w:line="636" w:lineRule="exact" w:before="32"/>
        <w:ind w:left="634" w:right="1120" w:hanging="480"/>
        <w:jc w:val="left"/>
        <w:rPr>
          <w:rFonts w:ascii="宋体" w:hAnsi="宋体" w:cs="宋体" w:eastAsia="宋体" w:hint="default"/>
          <w:sz w:val="21"/>
          <w:szCs w:val="21"/>
        </w:rPr>
      </w:pPr>
      <w:bookmarkStart w:name="8、现金及现金等价物的确定标准" w:id="167"/>
      <w:bookmarkEnd w:id="16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本公司现金及现金等价物包括库存现金、可以随时用于支付的存款以及本公司持有的期限短（一般为</w:t>
      </w:r>
    </w:p>
    <w:p>
      <w:pPr>
        <w:pStyle w:val="BodyText"/>
        <w:spacing w:line="261" w:lineRule="exact" w:before="0"/>
        <w:ind w:left="154" w:right="0"/>
        <w:jc w:val="left"/>
      </w:pPr>
      <w:r>
        <w:rPr/>
        <w:t>从购买日起，三个月内到期）、流动性强、易于转换为已知金额的现金、价值变动风险很小的投资。</w:t>
      </w:r>
    </w:p>
    <w:p>
      <w:pPr>
        <w:spacing w:line="240" w:lineRule="auto" w:before="8"/>
        <w:rPr>
          <w:rFonts w:ascii="宋体" w:hAnsi="宋体" w:cs="宋体" w:eastAsia="宋体" w:hint="default"/>
          <w:sz w:val="27"/>
          <w:szCs w:val="27"/>
        </w:rPr>
      </w:pPr>
    </w:p>
    <w:p>
      <w:pPr>
        <w:pStyle w:val="Heading5"/>
        <w:spacing w:line="240" w:lineRule="auto"/>
        <w:ind w:left="153" w:right="0"/>
        <w:jc w:val="left"/>
        <w:rPr>
          <w:b w:val="0"/>
          <w:bCs w:val="0"/>
        </w:rPr>
      </w:pPr>
      <w:bookmarkStart w:name="9、外币业务和外币报表折算" w:id="168"/>
      <w:bookmarkEnd w:id="16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295" w:lineRule="auto" w:before="0"/>
        <w:ind w:left="633" w:right="1121"/>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本公司发生的外币交易在初始确认时，按交易日的即期汇率（通常指中国人民银行公布的当日外汇牌</w:t>
      </w:r>
    </w:p>
    <w:p>
      <w:pPr>
        <w:pStyle w:val="BodyText"/>
        <w:spacing w:line="314" w:lineRule="auto" w:before="35"/>
        <w:ind w:right="0"/>
        <w:jc w:val="left"/>
      </w:pPr>
      <w:r>
        <w:rPr>
          <w:spacing w:val="-1"/>
        </w:rPr>
        <w:t>价的中间价，下同）折算为记账本位币金额，但公司发生的外币兑换业务或涉及外币兑换的交易事项，按</w:t>
      </w:r>
      <w:r>
        <w:rPr>
          <w:spacing w:val="-86"/>
        </w:rPr>
        <w:t> </w:t>
      </w:r>
      <w:r>
        <w:rPr>
          <w:spacing w:val="-86"/>
        </w:rPr>
      </w:r>
      <w:r>
        <w:rPr/>
        <w:t>照实际采用的汇率折算为记账本位币金额。</w:t>
      </w:r>
    </w:p>
    <w:p>
      <w:pPr>
        <w:pStyle w:val="BodyText"/>
        <w:spacing w:line="297" w:lineRule="auto"/>
        <w:ind w:left="634" w:right="112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w:t>
      </w:r>
    </w:p>
    <w:p>
      <w:pPr>
        <w:pStyle w:val="BodyText"/>
        <w:spacing w:line="314" w:lineRule="auto" w:before="33"/>
        <w:ind w:left="154" w:right="1110"/>
        <w:jc w:val="both"/>
      </w:pPr>
      <w:r>
        <w:rPr/>
        <w:t>属于与购建符合资本化条件的资产相关的外币专门借款产生的汇兑差额按照借款费用资本化的原则处理； </w:t>
      </w:r>
      <w:r>
        <w:rPr>
          <w:spacing w:val="3"/>
        </w:rPr>
        <w:t>以及②可供出售的外币货币性项目除摊余成本之外的其他账面余额变动产生的汇兑差额计入其他综合收</w:t>
      </w:r>
      <w:r>
        <w:rPr>
          <w:spacing w:val="-82"/>
        </w:rPr>
        <w:t> </w:t>
      </w:r>
      <w:r>
        <w:rPr>
          <w:spacing w:val="-82"/>
        </w:rPr>
      </w:r>
      <w:r>
        <w:rPr/>
        <w:t>益之外，均计入当期损益。</w:t>
      </w:r>
    </w:p>
    <w:p>
      <w:pPr>
        <w:spacing w:after="0" w:line="314" w:lineRule="auto"/>
        <w:jc w:val="both"/>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1110" w:firstLine="480"/>
        <w:jc w:val="both"/>
      </w:pPr>
      <w:r>
        <w:rPr>
          <w:spacing w:val="-2"/>
        </w:rPr>
        <w:t>以历史成本计量的外币非货币性项目，仍采用交易发生日的即期汇率折算的记账本位币金额计量。以</w:t>
      </w:r>
      <w:r>
        <w:rPr/>
        <w:t> </w:t>
      </w:r>
      <w:r>
        <w:rPr>
          <w:spacing w:val="-1"/>
        </w:rPr>
        <w:t>公允价值计量的外币非货币性项目，采用公允价值确定日的即期汇率折算，折算后的记账本位币金额与原</w:t>
      </w:r>
      <w:r>
        <w:rPr>
          <w:spacing w:val="-81"/>
        </w:rPr>
        <w:t> </w:t>
      </w:r>
      <w:r>
        <w:rPr>
          <w:spacing w:val="-81"/>
        </w:rPr>
      </w:r>
      <w:r>
        <w:rPr/>
        <w:t>记账本位币金额的差额，作为公允价值变动（含汇率变动）处理，计入当期损益或确认为其他综合收益。</w:t>
      </w:r>
    </w:p>
    <w:p>
      <w:pPr>
        <w:spacing w:line="240" w:lineRule="auto" w:before="9"/>
        <w:rPr>
          <w:rFonts w:ascii="宋体" w:hAnsi="宋体" w:cs="宋体" w:eastAsia="宋体" w:hint="default"/>
          <w:sz w:val="22"/>
          <w:szCs w:val="22"/>
        </w:rPr>
      </w:pPr>
    </w:p>
    <w:p>
      <w:pPr>
        <w:pStyle w:val="Heading5"/>
        <w:spacing w:line="240" w:lineRule="auto"/>
        <w:ind w:left="153" w:right="0"/>
        <w:jc w:val="both"/>
        <w:rPr>
          <w:b w:val="0"/>
          <w:bCs w:val="0"/>
        </w:rPr>
      </w:pPr>
      <w:bookmarkStart w:name="10、金融工具" w:id="169"/>
      <w:bookmarkEnd w:id="16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154" w:right="1131" w:firstLine="480"/>
        <w:jc w:val="both"/>
      </w:pPr>
      <w:r>
        <w:rPr>
          <w:spacing w:val="-2"/>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295" w:lineRule="auto"/>
        <w:ind w:left="633" w:right="1121"/>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w:t>
      </w:r>
    </w:p>
    <w:p>
      <w:pPr>
        <w:pStyle w:val="BodyText"/>
        <w:spacing w:line="314" w:lineRule="auto" w:before="35"/>
        <w:ind w:right="1131"/>
        <w:jc w:val="both"/>
      </w:pP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5"/>
        </w:rPr>
        <w:t> </w:t>
      </w:r>
      <w:r>
        <w:rPr>
          <w:spacing w:val="-85"/>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295" w:lineRule="auto"/>
        <w:ind w:left="634" w:right="112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w:t>
      </w:r>
    </w:p>
    <w:p>
      <w:pPr>
        <w:pStyle w:val="BodyText"/>
        <w:spacing w:line="240" w:lineRule="auto" w:before="35"/>
        <w:ind w:left="154" w:right="0"/>
        <w:jc w:val="both"/>
      </w:pPr>
      <w:r>
        <w:rPr/>
        <w:t>价值计量且其变动计入当期损益的金融资产、持有至到期投资、贷款和应收款项以及可供出售金融资产。</w:t>
      </w:r>
    </w:p>
    <w:p>
      <w:pPr>
        <w:pStyle w:val="BodyText"/>
        <w:spacing w:line="314" w:lineRule="auto" w:before="84"/>
        <w:ind w:left="634" w:right="1120"/>
        <w:jc w:val="left"/>
      </w:pPr>
      <w:r>
        <w:rPr/>
        <w:t>①以公允价值计量且其变动计入当期损益的金融资产 </w:t>
      </w:r>
      <w:r>
        <w:rPr>
          <w:spacing w:val="-2"/>
        </w:rPr>
        <w:t>包括交易性金融资产和指定为以公允价值计量且其变动计入当期损益的金融资产。本公司以公允价值</w:t>
      </w:r>
    </w:p>
    <w:p>
      <w:pPr>
        <w:pStyle w:val="BodyText"/>
        <w:spacing w:line="314" w:lineRule="auto"/>
        <w:ind w:left="633" w:right="1129" w:hanging="480"/>
        <w:jc w:val="left"/>
      </w:pPr>
      <w:r>
        <w:rPr/>
        <w:t>计量且其变动计入当期损益的金融资产均为交易性金融资产。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w:t>
      </w:r>
    </w:p>
    <w:p>
      <w:pPr>
        <w:pStyle w:val="BodyText"/>
        <w:spacing w:line="302" w:lineRule="auto" w:before="0"/>
        <w:ind w:right="1131"/>
        <w:jc w:val="both"/>
      </w:pPr>
      <w:r>
        <w:rPr/>
        <w:t>售或回购；</w:t>
      </w:r>
      <w:r>
        <w:rPr>
          <w:rFonts w:ascii="Times New Roman" w:hAnsi="Times New Roman" w:cs="Times New Roman" w:eastAsia="Times New Roman" w:hint="default"/>
        </w:rPr>
        <w:t>B.</w:t>
      </w:r>
      <w:r>
        <w:rPr/>
        <w:t>属于进行集中管理的可辨认金融工具组合的一部分，且有客观证据表明本公司近期采用短期 </w:t>
      </w:r>
      <w:r>
        <w:rPr>
          <w:spacing w:val="-1"/>
        </w:rPr>
        <w:t>获利方式对该组合进行管理；</w:t>
      </w:r>
      <w:r>
        <w:rPr>
          <w:rFonts w:ascii="Times New Roman" w:hAnsi="Times New Roman" w:cs="Times New Roman" w:eastAsia="Times New Roman" w:hint="default"/>
          <w:spacing w:val="-1"/>
        </w:rPr>
        <w:t>C.</w:t>
      </w:r>
      <w:r>
        <w:rPr>
          <w:spacing w:val="-1"/>
        </w:rPr>
        <w:t>属于衍生工具，但是，被指定且为有效套期工具的衍生工具、属于财务担</w:t>
      </w:r>
      <w:r>
        <w:rPr>
          <w:spacing w:val="-67"/>
        </w:rPr>
        <w:t> </w:t>
      </w:r>
      <w:r>
        <w:rPr>
          <w:spacing w:val="-67"/>
        </w:rPr>
      </w:r>
      <w:r>
        <w:rPr>
          <w:spacing w:val="-1"/>
        </w:rPr>
        <w:t>保合同的衍生工具、与在活跃市场中没有报价且其公允价值不能可靠计量的权益工具投资挂钩并须通过交</w:t>
      </w:r>
      <w:r>
        <w:rPr>
          <w:spacing w:val="-81"/>
        </w:rPr>
        <w:t> </w:t>
      </w:r>
      <w:r>
        <w:rPr>
          <w:spacing w:val="-81"/>
        </w:rPr>
      </w:r>
      <w:r>
        <w:rPr/>
        <w:t>付该权益工具结算的衍生工具除外。</w:t>
      </w:r>
    </w:p>
    <w:p>
      <w:pPr>
        <w:pStyle w:val="BodyText"/>
        <w:spacing w:line="314" w:lineRule="auto" w:before="29"/>
        <w:ind w:right="1132" w:firstLine="480"/>
        <w:jc w:val="both"/>
      </w:pPr>
      <w:r>
        <w:rPr>
          <w:spacing w:val="-2"/>
        </w:rPr>
        <w:t>交易性金融资产采用公允价值进行后续计量，公允价值变动形成的利得或损失以及与该金融资产相关</w:t>
      </w:r>
      <w:r>
        <w:rPr/>
        <w:t> 的股利和利息收入计入当期损益。</w:t>
      </w:r>
    </w:p>
    <w:p>
      <w:pPr>
        <w:pStyle w:val="BodyText"/>
        <w:spacing w:line="314" w:lineRule="auto"/>
        <w:ind w:left="633" w:right="0"/>
        <w:jc w:val="left"/>
      </w:pPr>
      <w:r>
        <w:rPr/>
        <w:t>②持有至到期投资 </w:t>
      </w:r>
      <w:r>
        <w:rPr>
          <w:spacing w:val="-5"/>
        </w:rPr>
        <w:t>是指到期日固定、回收金额固定或可确定，且本公司有明确意图和能力持有至到期的非衍生金融资产。</w:t>
      </w:r>
      <w:r>
        <w:rPr>
          <w:spacing w:val="-68"/>
        </w:rPr>
        <w:t> </w:t>
      </w:r>
      <w:r>
        <w:rPr>
          <w:spacing w:val="-68"/>
        </w:rPr>
      </w:r>
      <w:r>
        <w:rPr>
          <w:spacing w:val="-2"/>
        </w:rPr>
        <w:t>持有至到期投资采用实际利率法，按摊余成本进行后续计量，在终止确认、发生减值或摊销时产生的</w:t>
      </w:r>
    </w:p>
    <w:p>
      <w:pPr>
        <w:pStyle w:val="BodyText"/>
        <w:spacing w:line="314" w:lineRule="auto"/>
        <w:ind w:left="633" w:right="1121" w:hanging="480"/>
        <w:jc w:val="left"/>
      </w:pPr>
      <w:r>
        <w:rPr/>
        <w:t>利得或损失，计入当期损益。 </w:t>
      </w:r>
      <w:r>
        <w:rPr>
          <w:spacing w:val="-2"/>
        </w:rPr>
        <w:t>实际利率法是指按照金融资产或金融负债（含一组金融资产或金融负债）的实际利率计算其摊余成本</w:t>
      </w:r>
    </w:p>
    <w:p>
      <w:pPr>
        <w:pStyle w:val="BodyText"/>
        <w:spacing w:line="314" w:lineRule="auto"/>
        <w:ind w:right="1132"/>
        <w:jc w:val="both"/>
      </w:pP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pStyle w:val="BodyText"/>
        <w:spacing w:line="240" w:lineRule="auto"/>
        <w:ind w:left="633" w:right="0"/>
        <w:jc w:val="left"/>
      </w:pPr>
      <w:r>
        <w:rPr/>
        <w:t>在计算实际利率时，本公司将在考虑金融资产或金融负债所有合同条款的基础上预计未来现金流量</w:t>
      </w:r>
    </w:p>
    <w:p>
      <w:pPr>
        <w:pStyle w:val="BodyText"/>
        <w:spacing w:line="314" w:lineRule="auto" w:before="84"/>
        <w:ind w:right="1131"/>
        <w:jc w:val="both"/>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spacing w:after="0" w:line="314" w:lineRule="auto"/>
        <w:jc w:val="both"/>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314" w:lineRule="auto" w:before="35"/>
        <w:ind w:left="633" w:right="1121"/>
        <w:jc w:val="left"/>
      </w:pPr>
      <w:r>
        <w:rPr/>
        <w:t>③贷款和应收款项 </w:t>
      </w:r>
      <w:r>
        <w:rPr>
          <w:spacing w:val="-2"/>
        </w:rPr>
        <w:t>是指在活跃市场中没有报价、回收金额固定或可确定的非衍生金融资产。本公司划分为贷款和应收款</w:t>
      </w:r>
    </w:p>
    <w:p>
      <w:pPr>
        <w:pStyle w:val="BodyText"/>
        <w:spacing w:line="314" w:lineRule="auto"/>
        <w:ind w:left="633" w:right="1121" w:hanging="480"/>
        <w:jc w:val="left"/>
      </w:pPr>
      <w:r>
        <w:rPr/>
        <w:t>的金融资产包括应收票据、应收账款、应收利息、应收股利及其他应收款等。 </w:t>
      </w:r>
      <w:r>
        <w:rPr>
          <w:spacing w:val="-2"/>
        </w:rPr>
        <w:t>贷款和应收款项采用实际利率法，按摊余成本进行后续计量，在终止确认、发生减值或摊销时产生的</w:t>
      </w:r>
    </w:p>
    <w:p>
      <w:pPr>
        <w:pStyle w:val="BodyText"/>
        <w:spacing w:line="240" w:lineRule="auto"/>
        <w:ind w:right="0"/>
        <w:jc w:val="left"/>
      </w:pPr>
      <w:r>
        <w:rPr/>
        <w:t>利得或损失，计入当期损益。</w:t>
      </w:r>
    </w:p>
    <w:p>
      <w:pPr>
        <w:pStyle w:val="BodyText"/>
        <w:spacing w:line="314" w:lineRule="auto" w:before="84"/>
        <w:ind w:left="633" w:right="1121"/>
        <w:jc w:val="left"/>
      </w:pPr>
      <w:r>
        <w:rPr/>
        <w:t>④可供出售金融资产 </w:t>
      </w:r>
      <w:r>
        <w:rPr>
          <w:spacing w:val="-2"/>
        </w:rPr>
        <w:t>包括初始确认时即被指定为可供出售的非衍生金融资产，以及除了以公允价值计量且其变动计入当期</w:t>
      </w:r>
    </w:p>
    <w:p>
      <w:pPr>
        <w:pStyle w:val="BodyText"/>
        <w:spacing w:line="314" w:lineRule="auto"/>
        <w:ind w:left="633" w:right="1121" w:hanging="480"/>
        <w:jc w:val="left"/>
      </w:pPr>
      <w:r>
        <w:rPr/>
        <w:t>损益的金融资产、贷款和应收款项、持有至到期投资以外的金融资产。 </w:t>
      </w:r>
      <w:r>
        <w:rPr>
          <w:spacing w:val="-2"/>
        </w:rPr>
        <w:t>可供出售债务工具投资的期末成本按照其摊余成本法确定，即初始确认金额扣除已偿还的本金，加上</w:t>
      </w:r>
    </w:p>
    <w:p>
      <w:pPr>
        <w:pStyle w:val="BodyText"/>
        <w:spacing w:line="314" w:lineRule="auto"/>
        <w:ind w:right="1130"/>
        <w:jc w:val="both"/>
      </w:pPr>
      <w:r>
        <w:rPr>
          <w:spacing w:val="-1"/>
        </w:rPr>
        <w:t>或减去采用实际利率法将该初始确认金额与到期日金额之间的差额进行摊销形成的累计摊销额，并扣除已</w:t>
      </w:r>
      <w:r>
        <w:rPr>
          <w:spacing w:val="-80"/>
        </w:rPr>
        <w:t> </w:t>
      </w:r>
      <w:r>
        <w:rPr>
          <w:spacing w:val="-80"/>
        </w:rPr>
      </w:r>
      <w:r>
        <w:rPr/>
        <w:t>发生的减值损失后的金额。可供出售权益工具投资的期末成本为其初始取得成本。</w:t>
      </w:r>
    </w:p>
    <w:p>
      <w:pPr>
        <w:pStyle w:val="BodyText"/>
        <w:spacing w:line="314" w:lineRule="auto"/>
        <w:ind w:right="1131" w:firstLine="480"/>
        <w:jc w:val="both"/>
      </w:pPr>
      <w:r>
        <w:rPr>
          <w:spacing w:val="-2"/>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pStyle w:val="BodyText"/>
        <w:spacing w:line="240" w:lineRule="auto"/>
        <w:ind w:left="633" w:right="0"/>
        <w:jc w:val="left"/>
      </w:pPr>
      <w:r>
        <w:rPr/>
        <w:t>可供出售金融资产持有期间取得的利息及被投资单位宣告发放的现金股利，计入投资收益。</w:t>
      </w:r>
    </w:p>
    <w:p>
      <w:pPr>
        <w:pStyle w:val="BodyText"/>
        <w:spacing w:line="295" w:lineRule="auto" w:before="84"/>
        <w:ind w:left="633" w:right="1121"/>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w:t>
      </w:r>
    </w:p>
    <w:p>
      <w:pPr>
        <w:pStyle w:val="BodyText"/>
        <w:spacing w:line="314" w:lineRule="auto" w:before="35"/>
        <w:ind w:left="633" w:right="1121" w:hanging="480"/>
        <w:jc w:val="left"/>
      </w:pPr>
      <w:r>
        <w:rPr/>
        <w:t>产的账面价值进行检查，有客观证据表明金融资产发生减值的，计提减值准备。 </w:t>
      </w:r>
      <w:r>
        <w:rPr>
          <w:spacing w:val="-2"/>
        </w:rPr>
        <w:t>本公司对单项金额重大的金融资产单独进行减值测试；对单项金额不重大的金融资产，单独进行减值</w:t>
      </w:r>
    </w:p>
    <w:p>
      <w:pPr>
        <w:pStyle w:val="BodyText"/>
        <w:spacing w:line="240" w:lineRule="auto"/>
        <w:ind w:right="0"/>
        <w:jc w:val="left"/>
      </w:pPr>
      <w:r>
        <w:rPr/>
        <w:t>测试或包括在具有类似信用风险特征的金融资产组合中进行减值测试。单独测试未发生减值的金融资产</w:t>
      </w:r>
    </w:p>
    <w:p>
      <w:pPr>
        <w:pStyle w:val="BodyText"/>
        <w:spacing w:line="314" w:lineRule="auto" w:before="84"/>
        <w:ind w:right="1024"/>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314" w:lineRule="auto"/>
        <w:ind w:left="634" w:right="1120"/>
        <w:jc w:val="left"/>
      </w:pPr>
      <w:r>
        <w:rPr/>
        <w:t>①持有至到期投资、贷款和应收款项减值 </w:t>
      </w:r>
      <w:r>
        <w:rPr>
          <w:spacing w:val="-2"/>
        </w:rPr>
        <w:t>以成本或摊余成本计量的金融资产将其账面价值减记至预计未来现金流量现值，减记金额确认为减值</w:t>
      </w:r>
    </w:p>
    <w:p>
      <w:pPr>
        <w:pStyle w:val="BodyText"/>
        <w:spacing w:line="314" w:lineRule="auto"/>
        <w:ind w:left="154" w:right="1131"/>
        <w:jc w:val="both"/>
      </w:pP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314" w:lineRule="auto"/>
        <w:ind w:left="633" w:right="1121"/>
        <w:jc w:val="left"/>
      </w:pPr>
      <w:r>
        <w:rPr/>
        <w:t>②可供出售金融资产减值 </w:t>
      </w:r>
      <w:r>
        <w:rPr>
          <w:spacing w:val="-2"/>
        </w:rPr>
        <w:t>当综合相关因素判断可供出售权益工具投资公允价值下跌是严重或非暂时性下跌时，表明该可供出售</w:t>
      </w:r>
    </w:p>
    <w:p>
      <w:pPr>
        <w:pStyle w:val="BodyText"/>
        <w:spacing w:line="295" w:lineRule="auto"/>
        <w:ind w:left="154" w:right="1132"/>
        <w:jc w:val="both"/>
      </w:pPr>
      <w:r>
        <w:rPr/>
        <w:t>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30%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w:t>
      </w:r>
      <w:r>
        <w:rPr>
          <w:spacing w:val="-59"/>
        </w:rPr>
        <w:t> </w:t>
      </w:r>
      <w:r>
        <w:rPr>
          <w:spacing w:val="-59"/>
        </w:rPr>
      </w:r>
      <w:r>
        <w:rPr/>
        <w:t>价值连续下跌时间超过</w:t>
      </w:r>
      <w:r>
        <w:rPr>
          <w:rFonts w:ascii="Times New Roman" w:hAnsi="Times New Roman" w:cs="Times New Roman" w:eastAsia="Times New Roman" w:hint="default"/>
        </w:rPr>
        <w:t>12</w:t>
      </w:r>
      <w:r>
        <w:rPr/>
        <w:t>个月，持续下跌期间的确定依据为一般判断。</w:t>
      </w:r>
    </w:p>
    <w:p>
      <w:pPr>
        <w:pStyle w:val="BodyText"/>
        <w:spacing w:line="314" w:lineRule="auto" w:before="14"/>
        <w:ind w:left="154" w:right="1131" w:firstLine="480"/>
        <w:jc w:val="both"/>
      </w:pPr>
      <w:r>
        <w:rPr>
          <w:spacing w:val="-2"/>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pStyle w:val="BodyText"/>
        <w:spacing w:line="314" w:lineRule="auto"/>
        <w:ind w:left="154" w:right="1131" w:firstLine="480"/>
        <w:jc w:val="both"/>
      </w:pPr>
      <w:r>
        <w:rPr>
          <w:spacing w:val="-2"/>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240" w:lineRule="auto"/>
        <w:ind w:left="634" w:right="0"/>
        <w:jc w:val="left"/>
      </w:pPr>
      <w:r>
        <w:rPr/>
        <w:t>在活跃市场中没有报价且其公允价值不能可靠计量的权益工具投资，或与该权益工具挂钩并须通过交</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240" w:lineRule="auto" w:before="35"/>
        <w:ind w:right="0"/>
        <w:jc w:val="left"/>
      </w:pPr>
      <w:r>
        <w:rPr/>
        <w:t>付该权益工具结算的衍生金融资产的减值损失，不予转回。</w:t>
      </w:r>
    </w:p>
    <w:p>
      <w:pPr>
        <w:pStyle w:val="BodyText"/>
        <w:spacing w:line="295" w:lineRule="auto" w:before="84"/>
        <w:ind w:left="633" w:right="1121"/>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w:t>
      </w:r>
    </w:p>
    <w:p>
      <w:pPr>
        <w:pStyle w:val="BodyText"/>
        <w:spacing w:line="314" w:lineRule="auto" w:before="35"/>
        <w:ind w:right="0"/>
        <w:jc w:val="left"/>
      </w:pPr>
      <w:r>
        <w:rPr>
          <w:spacing w:val="-1"/>
        </w:rPr>
        <w:t>融资产已转移，且将金融资产所有权上几乎所有的风险和报酬转移给转入方；③该金融资产已转移，虽然</w:t>
      </w:r>
      <w:r>
        <w:rPr>
          <w:spacing w:val="-83"/>
        </w:rPr>
        <w:t> </w:t>
      </w:r>
      <w:r>
        <w:rPr>
          <w:spacing w:val="-83"/>
        </w:rPr>
      </w:r>
      <w:r>
        <w:rPr/>
        <w:t>企业既没有转移也没有保留金融资产所有权上几乎所有的风险和报酬，但是放弃了对该金融资产控制。</w:t>
      </w:r>
    </w:p>
    <w:p>
      <w:pPr>
        <w:pStyle w:val="BodyText"/>
        <w:spacing w:line="314" w:lineRule="auto"/>
        <w:ind w:right="1131" w:firstLine="480"/>
        <w:jc w:val="both"/>
      </w:pPr>
      <w:r>
        <w:rPr>
          <w:spacing w:val="-2"/>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3"/>
        </w:rPr>
        <w:t> </w:t>
      </w:r>
      <w:r>
        <w:rPr>
          <w:spacing w:val="-83"/>
        </w:rPr>
      </w:r>
      <w:r>
        <w:rPr/>
        <w:t>金融资产的程度，是指该金融资产价值变动使企业面临的风险水平。</w:t>
      </w:r>
    </w:p>
    <w:p>
      <w:pPr>
        <w:pStyle w:val="BodyText"/>
        <w:spacing w:line="314" w:lineRule="auto"/>
        <w:ind w:right="1132" w:firstLine="480"/>
        <w:jc w:val="both"/>
      </w:pPr>
      <w:r>
        <w:rPr>
          <w:spacing w:val="-2"/>
        </w:rPr>
        <w:t>金融资产整体转移满足终止确认条件的，将所转移金融资产的账面价值及因转移而收到的对价与原计</w:t>
      </w:r>
      <w:r>
        <w:rPr/>
        <w:t> 入其他综合收益的公允价值变动累计额之和的差额计入当期损益。</w:t>
      </w:r>
    </w:p>
    <w:p>
      <w:pPr>
        <w:pStyle w:val="BodyText"/>
        <w:spacing w:line="314" w:lineRule="auto"/>
        <w:ind w:right="1130" w:firstLine="480"/>
        <w:jc w:val="both"/>
      </w:pPr>
      <w:r>
        <w:rPr>
          <w:spacing w:val="-2"/>
        </w:rPr>
        <w:t>金融资产部分转移满足终止确认条件的，将所转移金融资产的账面价值在终止确认及未终止确认部分</w:t>
      </w:r>
      <w:r>
        <w:rPr/>
        <w:t>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314" w:lineRule="auto"/>
        <w:ind w:right="1110" w:firstLine="480"/>
        <w:jc w:val="both"/>
      </w:pPr>
      <w:r>
        <w:rPr>
          <w:spacing w:val="-2"/>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 </w:t>
      </w:r>
      <w:r>
        <w:rPr>
          <w:spacing w:val="-1"/>
        </w:rPr>
        <w:t>既没有转移也没有保留金融资产所有权上几乎所有的风险和报酬的，则继续判断企业是否对该资产保留了</w:t>
      </w:r>
      <w:r>
        <w:rPr>
          <w:spacing w:val="-80"/>
        </w:rPr>
        <w:t> </w:t>
      </w:r>
      <w:r>
        <w:rPr>
          <w:spacing w:val="-80"/>
        </w:rPr>
      </w:r>
      <w:r>
        <w:rPr/>
        <w:t>控制，并根据前面各段所述的原则进行会计处理。</w:t>
      </w:r>
    </w:p>
    <w:p>
      <w:pPr>
        <w:pStyle w:val="BodyText"/>
        <w:spacing w:line="297" w:lineRule="auto"/>
        <w:ind w:left="634" w:right="1120"/>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金融负债在初始确认时划分为以公允价值计量且其变动计入当期损益的金融负债和其他金融负债。初</w:t>
      </w:r>
    </w:p>
    <w:p>
      <w:pPr>
        <w:pStyle w:val="BodyText"/>
        <w:spacing w:line="314" w:lineRule="auto" w:before="33"/>
        <w:ind w:left="154" w:right="0"/>
        <w:jc w:val="left"/>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314" w:lineRule="auto"/>
        <w:ind w:left="634" w:right="1242"/>
        <w:jc w:val="left"/>
      </w:pPr>
      <w:r>
        <w:rPr/>
        <w:t>①以公允价值计量且其变动计入当期损益的金融负债 分类为交易性金融负债和在初始确认时指定为以公允价值计量且其变动计入当期损益的金融负债的</w:t>
      </w:r>
    </w:p>
    <w:p>
      <w:pPr>
        <w:pStyle w:val="BodyText"/>
        <w:spacing w:line="314" w:lineRule="auto"/>
        <w:ind w:left="154" w:right="1302"/>
        <w:jc w:val="left"/>
      </w:pPr>
      <w:r>
        <w:rPr/>
        <w:t>条件与分类为交易性金融资产和在初始确认时指定为以公允价值计量且其变动计入当期损益的金融资产 的条件一致。</w:t>
      </w:r>
    </w:p>
    <w:p>
      <w:pPr>
        <w:pStyle w:val="BodyText"/>
        <w:spacing w:line="314" w:lineRule="auto"/>
        <w:ind w:left="154" w:right="1132" w:firstLine="480"/>
        <w:jc w:val="both"/>
      </w:pPr>
      <w:r>
        <w:rPr>
          <w:spacing w:val="-2"/>
        </w:rPr>
        <w:t>以公允价值计量且其变动计入当期损益的金融负债采用公允价值进行后续计量，公允价值的变动形成</w:t>
      </w:r>
      <w:r>
        <w:rPr/>
        <w:t> 的利得或损失以及与该等金融负债相关的股利和利息支出计入当期损益。</w:t>
      </w:r>
    </w:p>
    <w:p>
      <w:pPr>
        <w:pStyle w:val="BodyText"/>
        <w:spacing w:line="314" w:lineRule="auto"/>
        <w:ind w:left="633" w:right="1121"/>
        <w:jc w:val="left"/>
      </w:pPr>
      <w:r>
        <w:rPr/>
        <w:t>②其他金融负债 </w:t>
      </w:r>
      <w:r>
        <w:rPr>
          <w:spacing w:val="-2"/>
        </w:rPr>
        <w:t>与在活跃市场中没有报价、公允价值不能可靠计量的权益工具挂钩并须通过交付该权益工具结算的衍</w:t>
      </w:r>
    </w:p>
    <w:p>
      <w:pPr>
        <w:pStyle w:val="BodyText"/>
        <w:spacing w:line="314" w:lineRule="auto"/>
        <w:ind w:right="0"/>
        <w:jc w:val="left"/>
      </w:pP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BodyText"/>
        <w:spacing w:line="295" w:lineRule="auto"/>
        <w:ind w:left="633" w:right="0"/>
        <w:jc w:val="left"/>
      </w:pPr>
      <w:r>
        <w:rPr/>
        <w:t>（</w:t>
      </w:r>
      <w:r>
        <w:rPr>
          <w:rFonts w:ascii="Times New Roman" w:hAnsi="Times New Roman" w:cs="Times New Roman" w:eastAsia="Times New Roman" w:hint="default"/>
        </w:rPr>
        <w:t>6</w:t>
      </w:r>
      <w:r>
        <w:rPr/>
        <w:t>）金融负债的终止确认 </w:t>
      </w:r>
      <w:r>
        <w:rPr>
          <w:spacing w:val="-5"/>
        </w:rPr>
        <w:t>金融负债的现时义务全部或部分已经解除的，才能终止确认该金融负债或其一部分。本公司（债务人）</w:t>
      </w:r>
    </w:p>
    <w:p>
      <w:pPr>
        <w:pStyle w:val="BodyText"/>
        <w:spacing w:line="314" w:lineRule="auto" w:before="35"/>
        <w:ind w:right="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BodyText"/>
        <w:spacing w:line="314" w:lineRule="auto"/>
        <w:ind w:right="1131" w:firstLine="480"/>
        <w:jc w:val="both"/>
      </w:pPr>
      <w:r>
        <w:rPr>
          <w:spacing w:val="-2"/>
        </w:rPr>
        <w:t>金融负债全部或部分终止确认的，将终止确认部分的账面价值与支付的对价（包括转出的非现金资产</w:t>
      </w:r>
      <w:r>
        <w:rPr/>
        <w:t> 或承担的新金融负债）之间的差额，计入当期损益。</w:t>
      </w:r>
    </w:p>
    <w:p>
      <w:pPr>
        <w:pStyle w:val="BodyText"/>
        <w:spacing w:line="240" w:lineRule="auto"/>
        <w:ind w:left="634" w:right="0"/>
        <w:jc w:val="left"/>
      </w:pPr>
      <w:r>
        <w:rPr/>
        <w:t>（</w:t>
      </w:r>
      <w:r>
        <w:rPr>
          <w:rFonts w:ascii="Times New Roman" w:hAnsi="Times New Roman" w:cs="Times New Roman" w:eastAsia="Times New Roman" w:hint="default"/>
        </w:rPr>
        <w:t>7</w:t>
      </w:r>
      <w:r>
        <w:rPr/>
        <w:t>）衍生工具及嵌入衍生工具</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1131" w:firstLine="480"/>
        <w:jc w:val="both"/>
      </w:pPr>
      <w:r>
        <w:rPr>
          <w:spacing w:val="-2"/>
        </w:rPr>
        <w:t>衍生工具于相关合同签署日以公允价值进行初始计量，并以公允价值进行后续计量。除指定为套期工</w:t>
      </w:r>
      <w:r>
        <w:rPr/>
        <w:t> </w:t>
      </w:r>
      <w:r>
        <w:rPr>
          <w:spacing w:val="-1"/>
        </w:rPr>
        <w:t>具且套期高度有效的衍生工具，其公允价值变动形成的利得或损失将根据套期关系的性质按照套期会计的</w:t>
      </w:r>
      <w:r>
        <w:rPr>
          <w:spacing w:val="-81"/>
        </w:rPr>
        <w:t> </w:t>
      </w:r>
      <w:r>
        <w:rPr>
          <w:spacing w:val="-81"/>
        </w:rPr>
      </w:r>
      <w:r>
        <w:rPr/>
        <w:t>要求确定计入损益的期间外，其余衍生工具的公允价值变动计入当期损益。</w:t>
      </w:r>
    </w:p>
    <w:p>
      <w:pPr>
        <w:pStyle w:val="BodyText"/>
        <w:spacing w:line="314" w:lineRule="auto"/>
        <w:ind w:right="1110" w:firstLine="480"/>
        <w:jc w:val="both"/>
      </w:pPr>
      <w:r>
        <w:rPr>
          <w:spacing w:val="-2"/>
        </w:rPr>
        <w:t>对包含嵌入衍生工具的混合工具，如未指定为以公允价值计量且其变动计入当期损益的金融资产或金</w:t>
      </w:r>
      <w:r>
        <w:rPr/>
        <w:t> 融负债，嵌入衍生工具与该主合同在经济特征及风险方面不存在紧密关系，且与嵌入衍生工具条件相同， 单独存在的工具符合衍生工具定义的，嵌入衍生工具从混合工具中分拆，作为单独的衍生金融工具处理。 </w:t>
      </w:r>
      <w:r>
        <w:rPr>
          <w:spacing w:val="-1"/>
        </w:rPr>
        <w:t>如果无法在取得时或后续的资产负债表日对嵌入衍生工具进行单独计量，则将混合工具整体指定为以公允</w:t>
      </w:r>
      <w:r>
        <w:rPr>
          <w:spacing w:val="-81"/>
        </w:rPr>
        <w:t> </w:t>
      </w:r>
      <w:r>
        <w:rPr>
          <w:spacing w:val="-81"/>
        </w:rPr>
      </w:r>
      <w:r>
        <w:rPr/>
        <w:t>价值计量且其变动计入当期损益的金融资产或金融负债。</w:t>
      </w:r>
    </w:p>
    <w:p>
      <w:pPr>
        <w:pStyle w:val="BodyText"/>
        <w:spacing w:line="295" w:lineRule="auto"/>
        <w:ind w:left="633" w:right="1121"/>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w:t>
      </w:r>
    </w:p>
    <w:p>
      <w:pPr>
        <w:pStyle w:val="BodyText"/>
        <w:spacing w:line="314" w:lineRule="auto" w:before="35"/>
        <w:ind w:right="0"/>
        <w:jc w:val="left"/>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295" w:lineRule="auto"/>
        <w:ind w:left="633" w:right="1121"/>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w:t>
      </w:r>
    </w:p>
    <w:p>
      <w:pPr>
        <w:pStyle w:val="BodyText"/>
        <w:spacing w:line="314" w:lineRule="auto" w:before="35"/>
        <w:ind w:right="0"/>
        <w:jc w:val="left"/>
      </w:pPr>
      <w:r>
        <w:rPr>
          <w:spacing w:val="-1"/>
        </w:rPr>
        <w:t>资）、回购、出售或注销权益工具作为权益的变动处理。本公司不确认权益工具的公允价值变动。与权益</w:t>
      </w:r>
      <w:r>
        <w:rPr>
          <w:spacing w:val="-82"/>
        </w:rPr>
        <w:t> </w:t>
      </w:r>
      <w:r>
        <w:rPr>
          <w:spacing w:val="-82"/>
        </w:rPr>
      </w:r>
      <w:r>
        <w:rPr/>
        <w:t>性交易相关的交易费用从权益中扣减。</w:t>
      </w:r>
    </w:p>
    <w:p>
      <w:pPr>
        <w:pStyle w:val="BodyText"/>
        <w:spacing w:line="240" w:lineRule="auto"/>
        <w:ind w:left="633" w:right="0"/>
        <w:jc w:val="left"/>
      </w:pPr>
      <w:r>
        <w:rPr/>
        <w:t>本公司对权益工具持有方的各种分配（不包括股票股利），减少股东权益。</w:t>
      </w:r>
    </w:p>
    <w:p>
      <w:pPr>
        <w:spacing w:line="240" w:lineRule="auto" w:before="8"/>
        <w:rPr>
          <w:rFonts w:ascii="宋体" w:hAnsi="宋体" w:cs="宋体" w:eastAsia="宋体" w:hint="default"/>
          <w:sz w:val="27"/>
          <w:szCs w:val="27"/>
        </w:rPr>
      </w:pPr>
    </w:p>
    <w:p>
      <w:pPr>
        <w:pStyle w:val="Heading5"/>
        <w:spacing w:line="240" w:lineRule="auto"/>
        <w:ind w:left="153" w:right="0"/>
        <w:jc w:val="left"/>
        <w:rPr>
          <w:b w:val="0"/>
          <w:bCs w:val="0"/>
        </w:rPr>
      </w:pPr>
      <w:bookmarkStart w:name="11、应收款项" w:id="170"/>
      <w:bookmarkEnd w:id="17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单项金额重大并单独计提坏账准备的应收款项" w:id="171"/>
      <w:bookmarkEnd w:id="17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70"/>
        <w:gridCol w:w="5599"/>
      </w:tblGrid>
      <w:tr>
        <w:trPr>
          <w:trHeight w:val="714"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万元（含</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万元）以上的应收款项确认为 单项金额重大的应收款项</w:t>
            </w:r>
          </w:p>
        </w:tc>
      </w:tr>
      <w:tr>
        <w:trPr>
          <w:trHeight w:val="1338"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both"/>
              <w:rPr>
                <w:rFonts w:ascii="宋体" w:hAnsi="宋体" w:cs="宋体" w:eastAsia="宋体" w:hint="default"/>
                <w:sz w:val="18"/>
                <w:szCs w:val="18"/>
              </w:rPr>
            </w:pPr>
            <w:r>
              <w:rPr>
                <w:rFonts w:ascii="宋体" w:hAnsi="宋体" w:cs="宋体" w:eastAsia="宋体" w:hint="default"/>
                <w:spacing w:val="-2"/>
                <w:sz w:val="18"/>
                <w:szCs w:val="18"/>
              </w:rPr>
              <w:t>本公司对单项金额重大的应收款项单独进行减值测试，单独测试未发生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减值的金融资产，包括在具有类似信用风险特征的金融资产组合中进行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减值测试。单项测试已确认减值损失的应收款项，不再包括在具有类似</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信用风险特征的应收款项组合中进行减值测试。</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按信用风险特征组合计提坏账准备的应收款项" w:id="172"/>
      <w:bookmarkEnd w:id="17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70"/>
        <w:gridCol w:w="5598"/>
      </w:tblGrid>
      <w:tr>
        <w:trPr>
          <w:trHeight w:val="401"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应收出口退税（不计提坏账）</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按账龄组合</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3）单项金额上重大但单独计提坏账准备的应收款项" w:id="173"/>
      <w:bookmarkEnd w:id="17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61"/>
        <w:gridCol w:w="6307"/>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有客观证据表明其发生了减值的</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根据其未来现金流量现值低于其账面价值的差额，确认减值损失，计提坏账准备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4） 坏账准备的转回" w:id="174"/>
      <w:bookmarkEnd w:id="174"/>
      <w:r>
        <w:rPr>
          <w:b w:val="0"/>
          <w:bCs w:val="0"/>
        </w:rPr>
      </w:r>
      <w:r>
        <w:rPr/>
        <w:t>（</w:t>
      </w:r>
      <w:r>
        <w:rPr>
          <w:rFonts w:ascii="Times New Roman" w:hAnsi="Times New Roman" w:cs="Times New Roman" w:eastAsia="Times New Roman" w:hint="default"/>
        </w:rPr>
        <w:t>4</w:t>
      </w:r>
      <w:r>
        <w:rPr/>
        <w:t>）</w:t>
      </w:r>
      <w:r>
        <w:rPr>
          <w:spacing w:val="-3"/>
        </w:rPr>
        <w:t> </w:t>
      </w:r>
      <w:r>
        <w:rPr/>
        <w:t>坏账准备的转回</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131" w:firstLine="420"/>
        <w:jc w:val="both"/>
      </w:pPr>
      <w:r>
        <w:rPr>
          <w:spacing w:val="-1"/>
        </w:rPr>
        <w:t>如有客观证据表明该应收款项价值已恢复，且客观上与确认该损失后发生的事项有关，原确认的减值</w:t>
      </w:r>
      <w:r>
        <w:rPr/>
        <w:t> </w:t>
      </w:r>
      <w:r>
        <w:rPr>
          <w:spacing w:val="-1"/>
        </w:rPr>
        <w:t>损失予以转回，计入当期损益。但是，该转回后的账面价值不超过假定不计提减值准备情况下该应收款项</w:t>
      </w:r>
      <w:r>
        <w:rPr>
          <w:spacing w:val="-83"/>
        </w:rPr>
        <w:t> </w:t>
      </w:r>
      <w:r>
        <w:rPr>
          <w:spacing w:val="-83"/>
        </w:rPr>
      </w:r>
      <w:r>
        <w:rPr/>
        <w:t>在转回日的摊余成本。</w:t>
      </w:r>
    </w:p>
    <w:p>
      <w:pPr>
        <w:spacing w:line="240" w:lineRule="auto" w:before="9"/>
        <w:rPr>
          <w:rFonts w:ascii="宋体" w:hAnsi="宋体" w:cs="宋体" w:eastAsia="宋体" w:hint="default"/>
          <w:sz w:val="22"/>
          <w:szCs w:val="22"/>
        </w:rPr>
      </w:pPr>
    </w:p>
    <w:p>
      <w:pPr>
        <w:pStyle w:val="Heading5"/>
        <w:spacing w:line="240" w:lineRule="auto"/>
        <w:ind w:left="153" w:right="0"/>
        <w:jc w:val="left"/>
        <w:rPr>
          <w:b w:val="0"/>
          <w:bCs w:val="0"/>
        </w:rPr>
      </w:pPr>
      <w:bookmarkStart w:name="12、存货" w:id="175"/>
      <w:bookmarkEnd w:id="175"/>
      <w:r>
        <w:rPr>
          <w:b w:val="0"/>
          <w:bCs w:val="0"/>
        </w:rPr>
      </w: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295" w:lineRule="auto" w:before="0"/>
        <w:ind w:left="634" w:right="5232"/>
        <w:jc w:val="left"/>
      </w:pPr>
      <w:r>
        <w:rPr/>
        <w:t>（</w:t>
      </w:r>
      <w:r>
        <w:rPr>
          <w:rFonts w:ascii="Times New Roman" w:hAnsi="Times New Roman" w:cs="Times New Roman" w:eastAsia="Times New Roman" w:hint="default"/>
        </w:rPr>
        <w:t>1</w:t>
      </w:r>
      <w:r>
        <w:rPr/>
        <w:t>）存货的分类 存货主要包括原材料、在产品、产成品、库存商品等。</w:t>
      </w:r>
    </w:p>
    <w:p>
      <w:pPr>
        <w:pStyle w:val="BodyText"/>
        <w:spacing w:line="295" w:lineRule="auto" w:before="35"/>
        <w:ind w:left="634" w:right="1120"/>
        <w:jc w:val="left"/>
      </w:pPr>
      <w:r>
        <w:rPr/>
        <w:t>（</w:t>
      </w:r>
      <w:r>
        <w:rPr>
          <w:rFonts w:ascii="Times New Roman" w:hAnsi="Times New Roman" w:cs="Times New Roman" w:eastAsia="Times New Roman" w:hint="default"/>
        </w:rPr>
        <w:t>2</w:t>
      </w:r>
      <w:r>
        <w:rPr/>
        <w:t>）存货取得和发出的计价方法 </w:t>
      </w:r>
      <w:r>
        <w:rPr>
          <w:spacing w:val="-2"/>
        </w:rPr>
        <w:t>存货在取得时按实际成本计价，存货成本包括采购成本、加工成本和其他成本。领用和发出时按加权</w:t>
      </w:r>
    </w:p>
    <w:p>
      <w:pPr>
        <w:pStyle w:val="BodyText"/>
        <w:spacing w:line="240" w:lineRule="auto" w:before="35"/>
        <w:ind w:left="154" w:right="0"/>
        <w:jc w:val="left"/>
      </w:pPr>
      <w:r>
        <w:rPr/>
        <w:t>平均法计价。</w:t>
      </w:r>
    </w:p>
    <w:p>
      <w:pPr>
        <w:pStyle w:val="BodyText"/>
        <w:spacing w:line="295" w:lineRule="auto" w:before="84"/>
        <w:ind w:left="634" w:right="112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w:t>
      </w:r>
    </w:p>
    <w:p>
      <w:pPr>
        <w:pStyle w:val="BodyText"/>
        <w:spacing w:line="314" w:lineRule="auto" w:before="35"/>
        <w:ind w:left="154" w:right="0"/>
        <w:jc w:val="left"/>
      </w:pP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BodyText"/>
        <w:spacing w:line="314" w:lineRule="auto"/>
        <w:ind w:left="154" w:right="1131" w:firstLine="480"/>
        <w:jc w:val="both"/>
      </w:pPr>
      <w:r>
        <w:rPr>
          <w:spacing w:val="-2"/>
        </w:rPr>
        <w:t>在资产负债表日，存货按照成本与可变现净值孰低计量。当其可变现净值低于成本时，提取存货跌价</w:t>
      </w:r>
      <w:r>
        <w:rPr/>
        <w:t> </w:t>
      </w:r>
      <w:r>
        <w:rPr>
          <w:spacing w:val="-1"/>
        </w:rPr>
        <w:t>准备。存货跌价准备通常按单个存货项目的成本高于其可变现净值的差额提取。对于数量繁多、单价较低</w:t>
      </w:r>
      <w:r>
        <w:rPr>
          <w:spacing w:val="-83"/>
        </w:rPr>
        <w:t> </w:t>
      </w:r>
      <w:r>
        <w:rPr>
          <w:spacing w:val="-83"/>
        </w:rPr>
      </w:r>
      <w:r>
        <w:rPr/>
        <w:t>的存货，按存货类别计提存货跌价准备。</w:t>
      </w:r>
    </w:p>
    <w:p>
      <w:pPr>
        <w:pStyle w:val="BodyText"/>
        <w:spacing w:line="314" w:lineRule="auto"/>
        <w:ind w:left="154" w:right="1131" w:firstLine="480"/>
        <w:jc w:val="both"/>
      </w:pPr>
      <w:r>
        <w:rPr>
          <w:spacing w:val="-2"/>
        </w:rPr>
        <w:t>计提存货跌价准备后，如果以前减记存货价值的影响因素已经消失，导致存货的可变现净值高于其账</w:t>
      </w:r>
      <w:r>
        <w:rPr/>
        <w:t> 面价值的，在原已计提的存货跌价准备金额内予以转回，转回的金额计入当期损益。</w:t>
      </w:r>
    </w:p>
    <w:p>
      <w:pPr>
        <w:pStyle w:val="BodyText"/>
        <w:spacing w:line="240" w:lineRule="auto"/>
        <w:ind w:left="634" w:right="0"/>
        <w:jc w:val="left"/>
      </w:pPr>
      <w:r>
        <w:rPr/>
        <w:t>（</w:t>
      </w:r>
      <w:r>
        <w:rPr>
          <w:rFonts w:ascii="Times New Roman" w:hAnsi="Times New Roman" w:cs="Times New Roman" w:eastAsia="Times New Roman" w:hint="default"/>
        </w:rPr>
        <w:t>4</w:t>
      </w:r>
      <w:r>
        <w:rPr/>
        <w:t>）存货的盘存制度一般为永续盘存制，对于在产品及库存商品采用年末定期盘存制。</w:t>
      </w:r>
    </w:p>
    <w:p>
      <w:pPr>
        <w:pStyle w:val="BodyText"/>
        <w:spacing w:line="295" w:lineRule="auto" w:before="68"/>
        <w:ind w:left="634" w:right="5652"/>
        <w:jc w:val="left"/>
      </w:pPr>
      <w:r>
        <w:rPr/>
        <w:t>（</w:t>
      </w:r>
      <w:r>
        <w:rPr>
          <w:rFonts w:ascii="Times New Roman" w:hAnsi="Times New Roman" w:cs="Times New Roman" w:eastAsia="Times New Roman" w:hint="default"/>
        </w:rPr>
        <w:t>5</w:t>
      </w:r>
      <w:r>
        <w:rPr/>
        <w:t>）低值易耗品和包装物的摊销方法 低值易耗品、包装物于领用时按一次摊销法摊销。</w:t>
      </w:r>
    </w:p>
    <w:p>
      <w:pPr>
        <w:spacing w:after="0" w:line="295"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13、 发放贷款和贷款减值测试方法" w:id="176"/>
      <w:bookmarkEnd w:id="176"/>
      <w:r>
        <w:rPr>
          <w:b w:val="0"/>
          <w:bCs w:val="0"/>
        </w:rPr>
      </w:r>
      <w:r>
        <w:rPr>
          <w:rFonts w:ascii="Times New Roman" w:hAnsi="Times New Roman" w:cs="Times New Roman" w:eastAsia="Times New Roman" w:hint="default"/>
        </w:rPr>
        <w:t>13</w:t>
      </w:r>
      <w:r>
        <w:rPr/>
        <w:t>、</w:t>
      </w:r>
      <w:r>
        <w:rPr>
          <w:spacing w:val="-4"/>
        </w:rPr>
        <w:t> </w:t>
      </w:r>
      <w:r>
        <w:rPr/>
        <w:t>发放贷款和贷款减值测试方法</w:t>
      </w:r>
      <w:r>
        <w:rPr>
          <w:b w:val="0"/>
          <w:bCs w:val="0"/>
        </w:rPr>
      </w:r>
    </w:p>
    <w:p>
      <w:pPr>
        <w:spacing w:line="240" w:lineRule="auto" w:before="5"/>
        <w:rPr>
          <w:rFonts w:ascii="宋体" w:hAnsi="宋体" w:cs="宋体" w:eastAsia="宋体" w:hint="default"/>
          <w:b/>
          <w:bCs/>
          <w:sz w:val="26"/>
          <w:szCs w:val="26"/>
        </w:rPr>
      </w:pPr>
    </w:p>
    <w:p>
      <w:pPr>
        <w:pStyle w:val="BodyText"/>
        <w:spacing w:line="295" w:lineRule="auto" w:before="0"/>
        <w:ind w:left="633" w:right="1033"/>
        <w:jc w:val="left"/>
      </w:pPr>
      <w:r>
        <w:rPr/>
        <w:t>（</w:t>
      </w:r>
      <w:r>
        <w:rPr>
          <w:rFonts w:ascii="Times New Roman" w:hAnsi="Times New Roman" w:cs="Times New Roman" w:eastAsia="Times New Roman" w:hint="default"/>
        </w:rPr>
        <w:t>1</w:t>
      </w:r>
      <w:r>
        <w:rPr/>
        <w:t>）发放贷款的分类 本公司的发放贷款包括短期农户贷款、短期农业经济组织贷款、短期非农业贷款；中长期农户贷款、</w:t>
      </w:r>
    </w:p>
    <w:p>
      <w:pPr>
        <w:pStyle w:val="BodyText"/>
        <w:spacing w:line="314" w:lineRule="auto" w:before="36"/>
        <w:ind w:left="634" w:right="1122" w:hanging="480"/>
        <w:jc w:val="left"/>
        <w:rPr>
          <w:rFonts w:ascii="Times New Roman" w:hAnsi="Times New Roman" w:cs="Times New Roman" w:eastAsia="Times New Roman" w:hint="default"/>
        </w:rPr>
      </w:pPr>
      <w:r>
        <w:rPr/>
        <w:t>中长期农业经济组织贷款、中长期非农业贷款。 </w:t>
      </w:r>
      <w:r>
        <w:rPr>
          <w:spacing w:val="-2"/>
        </w:rPr>
        <w:t>逾期贷款包括逾期农户贷款、逾期农业经济组织贷款、逾期非农业贷款。本公司将发放的贷款逾期</w:t>
      </w:r>
      <w:r>
        <w:rPr>
          <w:rFonts w:ascii="Times New Roman" w:hAnsi="Times New Roman" w:cs="Times New Roman" w:eastAsia="Times New Roman" w:hint="default"/>
          <w:spacing w:val="-2"/>
        </w:rPr>
        <w:t>90</w:t>
      </w:r>
    </w:p>
    <w:p>
      <w:pPr>
        <w:pStyle w:val="BodyText"/>
        <w:spacing w:line="314" w:lineRule="auto" w:before="0"/>
        <w:ind w:left="633" w:right="1121" w:hanging="480"/>
        <w:jc w:val="left"/>
      </w:pPr>
      <w:r>
        <w:rPr/>
        <w:t>天后转为呆滞贷款。按有关规定列为呆帐的，转入呆账贷款。 </w:t>
      </w:r>
      <w:r>
        <w:rPr>
          <w:spacing w:val="-2"/>
        </w:rPr>
        <w:t>本公司按当前市场条件发放的贷款，按发放贷款的本金和相关交易费用之和作为初始确认金额。贷款</w:t>
      </w:r>
    </w:p>
    <w:p>
      <w:pPr>
        <w:pStyle w:val="BodyText"/>
        <w:spacing w:line="314" w:lineRule="auto"/>
        <w:ind w:right="0"/>
        <w:jc w:val="left"/>
      </w:pPr>
      <w:r>
        <w:rPr>
          <w:spacing w:val="-1"/>
        </w:rPr>
        <w:t>持有期间所确认的利息收入，根据实际利率计算。实际利率在发放贷款时确定，在贷款持有期间或适用更</w:t>
      </w:r>
      <w:r>
        <w:rPr>
          <w:spacing w:val="-83"/>
        </w:rPr>
        <w:t> </w:t>
      </w:r>
      <w:r>
        <w:rPr>
          <w:spacing w:val="-83"/>
        </w:rPr>
      </w:r>
      <w:r>
        <w:rPr/>
        <w:t>短期间内保持不变。</w:t>
      </w:r>
    </w:p>
    <w:p>
      <w:pPr>
        <w:pStyle w:val="BodyText"/>
        <w:spacing w:line="295" w:lineRule="auto"/>
        <w:ind w:left="633" w:right="1121"/>
        <w:jc w:val="left"/>
      </w:pPr>
      <w:r>
        <w:rPr/>
        <w:t>（</w:t>
      </w:r>
      <w:r>
        <w:rPr>
          <w:rFonts w:ascii="Times New Roman" w:hAnsi="Times New Roman" w:cs="Times New Roman" w:eastAsia="Times New Roman" w:hint="default"/>
        </w:rPr>
        <w:t>2</w:t>
      </w:r>
      <w:r>
        <w:rPr/>
        <w:t>）贷款减值测试方法 </w:t>
      </w:r>
      <w:r>
        <w:rPr>
          <w:spacing w:val="-2"/>
        </w:rPr>
        <w:t>本公司每季度对贷款按其资产质量分为正常、关注、次级、可疑和损失五类，按五级分类的贷款余额</w:t>
      </w:r>
    </w:p>
    <w:p>
      <w:pPr>
        <w:pStyle w:val="BodyText"/>
        <w:spacing w:line="240" w:lineRule="auto" w:before="35"/>
        <w:ind w:right="0"/>
        <w:jc w:val="left"/>
      </w:pPr>
      <w:r>
        <w:rPr/>
        <w:t>计提贷款损失准备，其主要分类标准和计提贷款损失准备的比例为：</w:t>
      </w:r>
    </w:p>
    <w:p>
      <w:pPr>
        <w:spacing w:line="240" w:lineRule="auto" w:before="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6379"/>
        <w:gridCol w:w="992"/>
        <w:gridCol w:w="1276"/>
      </w:tblGrid>
      <w:tr>
        <w:trPr>
          <w:trHeight w:val="337"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30" w:right="0"/>
              <w:jc w:val="left"/>
              <w:rPr>
                <w:rFonts w:ascii="宋体" w:hAnsi="宋体" w:cs="宋体" w:eastAsia="宋体" w:hint="default"/>
                <w:sz w:val="18"/>
                <w:szCs w:val="18"/>
              </w:rPr>
            </w:pPr>
            <w:r>
              <w:rPr>
                <w:rFonts w:ascii="宋体" w:hAnsi="宋体" w:cs="宋体" w:eastAsia="宋体" w:hint="default"/>
                <w:sz w:val="18"/>
                <w:szCs w:val="18"/>
              </w:rPr>
              <w:t>贷款分类</w:t>
            </w:r>
          </w:p>
        </w:tc>
        <w:tc>
          <w:tcPr>
            <w:tcW w:w="6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资产质量特征</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逾期月数</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7"/>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2"/>
              <w:jc w:val="left"/>
              <w:rPr>
                <w:rFonts w:ascii="宋体" w:hAnsi="宋体" w:cs="宋体" w:eastAsia="宋体" w:hint="default"/>
                <w:sz w:val="18"/>
                <w:szCs w:val="18"/>
              </w:rPr>
            </w:pPr>
            <w:r>
              <w:rPr>
                <w:rFonts w:ascii="宋体" w:hAnsi="宋体" w:cs="宋体" w:eastAsia="宋体" w:hint="default"/>
                <w:sz w:val="18"/>
                <w:szCs w:val="18"/>
              </w:rPr>
              <w:t>交易对手能够履行合同或协议，没有足够理由怀疑债务本金和利息不能按时足额 偿还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center"/>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
              <w:jc w:val="right"/>
              <w:rPr>
                <w:rFonts w:ascii="Times New Roman" w:hAnsi="Times New Roman" w:cs="Times New Roman" w:eastAsia="Times New Roman" w:hint="default"/>
                <w:sz w:val="18"/>
                <w:szCs w:val="18"/>
              </w:rPr>
            </w:pPr>
            <w:r>
              <w:rPr>
                <w:rFonts w:ascii="Times New Roman"/>
                <w:sz w:val="18"/>
              </w:rPr>
              <w:t>0</w:t>
            </w:r>
          </w:p>
        </w:tc>
      </w:tr>
      <w:tr>
        <w:trPr>
          <w:trHeight w:val="96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3"/>
              <w:jc w:val="both"/>
              <w:rPr>
                <w:rFonts w:ascii="宋体" w:hAnsi="宋体" w:cs="宋体" w:eastAsia="宋体" w:hint="default"/>
                <w:sz w:val="18"/>
                <w:szCs w:val="18"/>
              </w:rPr>
            </w:pPr>
            <w:r>
              <w:rPr>
                <w:rFonts w:ascii="宋体" w:hAnsi="宋体" w:cs="宋体" w:eastAsia="宋体" w:hint="default"/>
                <w:sz w:val="18"/>
                <w:szCs w:val="18"/>
              </w:rPr>
              <w:t>尽管交易对手目前有能力偿还，但存在一些可能对偿还产生不利影响的因素的债 权类资产；交易对手的现金偿还能力出现明显问题，但交易对手的抵押或质押的 可变现资产大于等于债务本金及收益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
              <w:jc w:val="right"/>
              <w:rPr>
                <w:rFonts w:ascii="Times New Roman" w:hAnsi="Times New Roman" w:cs="Times New Roman" w:eastAsia="Times New Roman" w:hint="default"/>
                <w:sz w:val="18"/>
                <w:szCs w:val="18"/>
              </w:rPr>
            </w:pPr>
            <w:r>
              <w:rPr>
                <w:rFonts w:ascii="Times New Roman"/>
                <w:sz w:val="18"/>
              </w:rPr>
              <w:t>2.00</w:t>
            </w:r>
          </w:p>
        </w:tc>
      </w:tr>
      <w:tr>
        <w:trPr>
          <w:trHeight w:val="6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62"/>
              <w:jc w:val="left"/>
              <w:rPr>
                <w:rFonts w:ascii="宋体" w:hAnsi="宋体" w:cs="宋体" w:eastAsia="宋体" w:hint="default"/>
                <w:sz w:val="18"/>
                <w:szCs w:val="18"/>
              </w:rPr>
            </w:pPr>
            <w:r>
              <w:rPr>
                <w:rFonts w:ascii="宋体" w:hAnsi="宋体" w:cs="宋体" w:eastAsia="宋体" w:hint="default"/>
                <w:sz w:val="18"/>
                <w:szCs w:val="18"/>
              </w:rPr>
              <w:t>交易对手的偿还能力出现明显问题，完全依靠其正常经营收入无法足额偿还债务 本金及收益，即使执行担保，也可能会造成一定损失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宋体" w:hAnsi="宋体" w:cs="宋体" w:eastAsia="宋体" w:hint="default"/>
                <w:sz w:val="18"/>
                <w:szCs w:val="18"/>
              </w:rPr>
              <w:t>个月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
              <w:jc w:val="right"/>
              <w:rPr>
                <w:rFonts w:ascii="Times New Roman" w:hAnsi="Times New Roman" w:cs="Times New Roman" w:eastAsia="Times New Roman" w:hint="default"/>
                <w:sz w:val="18"/>
                <w:szCs w:val="18"/>
              </w:rPr>
            </w:pPr>
            <w:r>
              <w:rPr>
                <w:rFonts w:ascii="Times New Roman"/>
                <w:sz w:val="18"/>
              </w:rPr>
              <w:t>25.00</w:t>
            </w:r>
          </w:p>
        </w:tc>
      </w:tr>
      <w:tr>
        <w:trPr>
          <w:trHeight w:val="34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可疑</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7"/>
              <w:jc w:val="center"/>
              <w:rPr>
                <w:rFonts w:ascii="宋体" w:hAnsi="宋体" w:cs="宋体" w:eastAsia="宋体" w:hint="default"/>
                <w:sz w:val="18"/>
                <w:szCs w:val="18"/>
              </w:rPr>
            </w:pPr>
            <w:r>
              <w:rPr>
                <w:rFonts w:ascii="宋体" w:hAnsi="宋体" w:cs="宋体" w:eastAsia="宋体" w:hint="default"/>
                <w:sz w:val="18"/>
                <w:szCs w:val="18"/>
              </w:rPr>
              <w:t>交易对手无法足额偿还债务本金及利息，即使执行担保，也肯定要造成较大损失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6-24</w:t>
            </w:r>
            <w:r>
              <w:rPr>
                <w:rFonts w:ascii="宋体" w:hAnsi="宋体" w:cs="宋体" w:eastAsia="宋体" w:hint="default"/>
                <w:sz w:val="18"/>
                <w:szCs w:val="18"/>
              </w:rPr>
              <w:t>个月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
              <w:jc w:val="right"/>
              <w:rPr>
                <w:rFonts w:ascii="Times New Roman" w:hAnsi="Times New Roman" w:cs="Times New Roman" w:eastAsia="Times New Roman" w:hint="default"/>
                <w:sz w:val="18"/>
                <w:szCs w:val="18"/>
              </w:rPr>
            </w:pPr>
            <w:r>
              <w:rPr>
                <w:rFonts w:ascii="Times New Roman"/>
                <w:sz w:val="18"/>
              </w:rPr>
              <w:t>50.00</w:t>
            </w:r>
          </w:p>
        </w:tc>
      </w:tr>
      <w:tr>
        <w:trPr>
          <w:trHeight w:val="6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2"/>
              <w:jc w:val="left"/>
              <w:rPr>
                <w:rFonts w:ascii="宋体" w:hAnsi="宋体" w:cs="宋体" w:eastAsia="宋体" w:hint="default"/>
                <w:sz w:val="18"/>
                <w:szCs w:val="18"/>
              </w:rPr>
            </w:pPr>
            <w:r>
              <w:rPr>
                <w:rFonts w:ascii="宋体" w:hAnsi="宋体" w:cs="宋体" w:eastAsia="宋体" w:hint="default"/>
                <w:sz w:val="18"/>
                <w:szCs w:val="18"/>
              </w:rPr>
              <w:t>在采取所有可能的措施或一切必要的法律程序后，资产及收益仍然无法收回，或 只能收回极少部分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个月以上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both"/>
        <w:rPr>
          <w:b w:val="0"/>
          <w:bCs w:val="0"/>
        </w:rPr>
      </w:pPr>
      <w:bookmarkStart w:name="14、长期股权投资" w:id="177"/>
      <w:bookmarkEnd w:id="17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154" w:right="0" w:firstLine="480"/>
        <w:jc w:val="left"/>
      </w:pPr>
      <w:r>
        <w:rPr/>
        <w:t>本部分所指的长期股权投资是指本公司对被投资单位具有控制、共同控制或重大影响的长期股权投 </w:t>
      </w:r>
      <w:r>
        <w:rPr>
          <w:spacing w:val="-1"/>
        </w:rPr>
        <w:t>资。本公司对被投资单位不具有控制、共同控制或重大影响的长期股权投资，作为可供出售金融资产或以</w:t>
      </w:r>
      <w:r>
        <w:rPr>
          <w:spacing w:val="-83"/>
        </w:rPr>
        <w:t> </w:t>
      </w:r>
      <w:r>
        <w:rPr>
          <w:spacing w:val="-83"/>
        </w:rPr>
      </w:r>
      <w:r>
        <w:rPr/>
        <w:t>公允价值计量且其变动计入当期损益的金融资产核算，其会计政策详见附注四、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4" w:lineRule="auto" w:before="0"/>
        <w:ind w:right="1131" w:firstLine="480"/>
        <w:jc w:val="both"/>
      </w:pPr>
      <w:r>
        <w:rPr>
          <w:spacing w:val="-2"/>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295" w:lineRule="auto"/>
        <w:ind w:left="633" w:right="1121"/>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w:t>
      </w:r>
    </w:p>
    <w:p>
      <w:pPr>
        <w:pStyle w:val="BodyText"/>
        <w:spacing w:line="314" w:lineRule="auto" w:before="35"/>
        <w:ind w:right="1131"/>
        <w:jc w:val="both"/>
      </w:pPr>
      <w:r>
        <w:rPr>
          <w:spacing w:val="-1"/>
        </w:rPr>
        <w:t>并财务报表中的账面价值的份额作为长期股权投资的初始投资成本。长期股权投资初始投资成本与支付的</w:t>
      </w:r>
      <w:r>
        <w:rPr>
          <w:spacing w:val="-81"/>
        </w:rPr>
        <w:t> </w:t>
      </w:r>
      <w:r>
        <w:rPr>
          <w:spacing w:val="-81"/>
        </w:rPr>
      </w:r>
      <w:r>
        <w:rPr>
          <w:spacing w:val="-1"/>
        </w:rPr>
        <w:t>现金、转让的非现金资产以及所承担债务账面价值之间的差额，调整资本公积；资本公积不足冲减的，调</w:t>
      </w:r>
      <w:r>
        <w:rPr>
          <w:spacing w:val="-85"/>
        </w:rPr>
        <w:t> </w:t>
      </w:r>
      <w:r>
        <w:rPr>
          <w:spacing w:val="-85"/>
        </w:rPr>
      </w:r>
      <w:r>
        <w:rPr>
          <w:spacing w:val="-1"/>
        </w:rPr>
        <w:t>整留存收益。以发行权益性证券作为合并对价的，在合并日按照被合并方股东权益或所有者权益在最终控</w:t>
      </w:r>
      <w:r>
        <w:rPr>
          <w:spacing w:val="-81"/>
        </w:rPr>
        <w:t> </w:t>
      </w:r>
      <w:r>
        <w:rPr>
          <w:spacing w:val="-81"/>
        </w:rPr>
      </w:r>
      <w:r>
        <w:rPr>
          <w:spacing w:val="-1"/>
        </w:rPr>
        <w:t>制方合并财务报表中的账面价值的份额作为长期股权投资的初始投资成本，按照发行股份的面值总额作为</w:t>
      </w:r>
      <w:r>
        <w:rPr>
          <w:spacing w:val="-81"/>
        </w:rPr>
        <w:t> </w:t>
      </w:r>
      <w:r>
        <w:rPr>
          <w:spacing w:val="-81"/>
        </w:rPr>
      </w:r>
      <w:r>
        <w:rPr>
          <w:spacing w:val="-1"/>
        </w:rPr>
        <w:t>股本，长期股权投资初始投资成本与所发行股份面值总额之间的差额，调整资本公积；资本公积不足冲减</w:t>
      </w:r>
    </w:p>
    <w:p>
      <w:pPr>
        <w:spacing w:after="0" w:line="314" w:lineRule="auto"/>
        <w:jc w:val="both"/>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307" w:lineRule="auto" w:before="35"/>
        <w:ind w:right="1024"/>
        <w:jc w:val="left"/>
      </w:pPr>
      <w:r>
        <w:rPr>
          <w:spacing w:val="-3"/>
        </w:rPr>
        <w:t>的，调整留存收益。通过多次交易分步取得同一控制下被合并方的股权，最终形成同一控制下企业合并的，</w:t>
      </w:r>
      <w:r>
        <w:rPr>
          <w:spacing w:val="-90"/>
        </w:rPr>
        <w:t> </w:t>
      </w:r>
      <w:r>
        <w:rPr>
          <w:spacing w:val="-90"/>
        </w:rPr>
      </w:r>
      <w:r>
        <w:rPr/>
        <w:t>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的，在合并日按照应享有被合并方股东权益或所有者权益在最终控制方 合并财务报表中的账面价值的份额作为长期股权投资的初始投资成本，长期股权投资初始投资成本与达到 合并前的长期股权投资账面价值加上合并日进一步取得股份新支付对价的账面价值之和的差额，调整资本 公积；资本公积不足冲减的，调整留存收益。</w:t>
      </w:r>
    </w:p>
    <w:p>
      <w:pPr>
        <w:pStyle w:val="BodyText"/>
        <w:spacing w:line="307" w:lineRule="auto" w:before="25"/>
        <w:ind w:right="1121" w:firstLine="480"/>
        <w:jc w:val="left"/>
      </w:pPr>
      <w:r>
        <w:rPr>
          <w:spacing w:val="-2"/>
        </w:rPr>
        <w:t>对于非同一控制下的企业合并取得的长期股权投资，在购买日按照合并成本作为长期股权投资的初始</w:t>
      </w:r>
      <w:r>
        <w:rPr/>
        <w:t> </w:t>
      </w:r>
      <w:r>
        <w:rPr>
          <w:spacing w:val="-1"/>
        </w:rPr>
        <w:t>投资成本，合并成本包括购买方付出的资产、发生或承担的负债、发行的权益性证券的公允价值之和。通</w:t>
      </w:r>
      <w:r>
        <w:rPr>
          <w:spacing w:val="-85"/>
        </w:rPr>
        <w:t> </w:t>
      </w:r>
      <w:r>
        <w:rPr>
          <w:spacing w:val="-85"/>
        </w:rPr>
      </w:r>
      <w:r>
        <w:rPr/>
        <w:t>过多次交易分步取得被购买方的股权，最终形成非同一控制下的企业合并的，应分别是否属于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的，按照原持有被购买方的股权投资账面价值加上新增投资成本之和，作为改按成本法核算的长 </w:t>
      </w:r>
      <w:r>
        <w:rPr>
          <w:spacing w:val="-1"/>
        </w:rPr>
        <w:t>期股权投资的初始投资成本。原持有的股权采用权益法核算的，相关其他综合收益暂不进行会计处理。原</w:t>
      </w:r>
      <w:r>
        <w:rPr>
          <w:spacing w:val="-83"/>
        </w:rPr>
        <w:t> </w:t>
      </w:r>
      <w:r>
        <w:rPr>
          <w:spacing w:val="-83"/>
        </w:rPr>
      </w:r>
      <w:r>
        <w:rPr>
          <w:spacing w:val="-1"/>
        </w:rPr>
        <w:t>持有股权投资为可供出售金融资产的，其公允价值与账面价值之间的差额，以及原计入其他综合收益的累</w:t>
      </w:r>
      <w:r>
        <w:rPr>
          <w:spacing w:val="-81"/>
        </w:rPr>
        <w:t> </w:t>
      </w:r>
      <w:r>
        <w:rPr>
          <w:spacing w:val="-81"/>
        </w:rPr>
      </w:r>
      <w:r>
        <w:rPr/>
        <w:t>计公允价值变动转入当期损益。</w:t>
      </w:r>
    </w:p>
    <w:p>
      <w:pPr>
        <w:pStyle w:val="BodyText"/>
        <w:spacing w:line="314" w:lineRule="auto" w:before="25"/>
        <w:ind w:right="1132" w:firstLine="480"/>
        <w:jc w:val="both"/>
      </w:pPr>
      <w:r>
        <w:rPr>
          <w:spacing w:val="-2"/>
        </w:rPr>
        <w:t>合并方或购买方为企业合并发生的审计、法律服务、评估咨询等中介费用以及其他相关管理费用，于</w:t>
      </w:r>
      <w:r>
        <w:rPr/>
        <w:t> 发生时计入当期损益。</w:t>
      </w:r>
    </w:p>
    <w:p>
      <w:pPr>
        <w:pStyle w:val="BodyText"/>
        <w:spacing w:line="309" w:lineRule="auto"/>
        <w:ind w:right="1110" w:firstLine="480"/>
        <w:jc w:val="both"/>
      </w:pPr>
      <w:r>
        <w:rPr>
          <w:spacing w:val="-2"/>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2"/>
        </w:rPr>
        <w:t> </w:t>
      </w:r>
      <w:r>
        <w:rPr>
          <w:spacing w:val="-82"/>
        </w:rPr>
      </w: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金融工具确认和计量》确定的原持有股权投资的公允价值加上新增投资成本</w:t>
      </w:r>
      <w:r>
        <w:rPr>
          <w:spacing w:val="-81"/>
        </w:rPr>
        <w:t> </w:t>
      </w:r>
      <w:r>
        <w:rPr>
          <w:spacing w:val="-81"/>
        </w:rPr>
      </w:r>
      <w:r>
        <w:rPr/>
        <w:t>之和。</w:t>
      </w:r>
    </w:p>
    <w:p>
      <w:pPr>
        <w:pStyle w:val="BodyText"/>
        <w:spacing w:line="295" w:lineRule="auto" w:before="23"/>
        <w:ind w:left="634" w:right="1032"/>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对被投资单位具有共同控制（构成共同经营者除外）或重大影响的长期股权投资，采用权益法核算。</w:t>
      </w:r>
    </w:p>
    <w:p>
      <w:pPr>
        <w:pStyle w:val="BodyText"/>
        <w:spacing w:line="240" w:lineRule="auto" w:before="35"/>
        <w:ind w:left="154" w:right="0"/>
        <w:jc w:val="left"/>
      </w:pPr>
      <w:r>
        <w:rPr/>
        <w:t>此外，公司财务报表采用成本法核算能够对被投资单位实施控制的长期股权投资。</w:t>
      </w:r>
    </w:p>
    <w:p>
      <w:pPr>
        <w:pStyle w:val="BodyText"/>
        <w:spacing w:line="314" w:lineRule="auto" w:before="84"/>
        <w:ind w:left="633" w:right="1033"/>
        <w:jc w:val="left"/>
      </w:pPr>
      <w:r>
        <w:rPr/>
        <w:t>①成本法核算的长期股权投资 采用成本法核算时，长期股权投资按初始投资成本计价，追加或收回投资调整长期股权投资的成本。</w:t>
      </w:r>
    </w:p>
    <w:p>
      <w:pPr>
        <w:pStyle w:val="BodyText"/>
        <w:spacing w:line="314" w:lineRule="auto"/>
        <w:ind w:right="0"/>
        <w:jc w:val="left"/>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314" w:lineRule="auto"/>
        <w:ind w:left="634" w:right="1120"/>
        <w:jc w:val="left"/>
      </w:pPr>
      <w:r>
        <w:rPr/>
        <w:t>②权益法核算的长期股权投资 </w:t>
      </w:r>
      <w:r>
        <w:rPr>
          <w:spacing w:val="-2"/>
        </w:rPr>
        <w:t>采用权益法核算时，长期股权投资的初始投资成本大于投资时应享有被投资单位可辨认净资产公允价</w:t>
      </w:r>
    </w:p>
    <w:p>
      <w:pPr>
        <w:pStyle w:val="BodyText"/>
        <w:spacing w:line="314" w:lineRule="auto"/>
        <w:ind w:left="154" w:right="0"/>
        <w:jc w:val="left"/>
      </w:pP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BodyText"/>
        <w:spacing w:line="314" w:lineRule="auto"/>
        <w:ind w:right="1131" w:firstLine="480"/>
        <w:jc w:val="both"/>
      </w:pPr>
      <w:r>
        <w:rPr>
          <w:spacing w:val="-2"/>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p>
    <w:p>
      <w:pPr>
        <w:spacing w:after="0" w:line="314" w:lineRule="auto"/>
        <w:jc w:val="both"/>
        <w:sectPr>
          <w:footerReference w:type="default" r:id="rId20"/>
          <w:pgSz w:w="11910" w:h="16840"/>
          <w:pgMar w:footer="979" w:header="747" w:top="1060" w:bottom="1160" w:left="980" w:right="0"/>
        </w:sectPr>
      </w:pPr>
    </w:p>
    <w:p>
      <w:pPr>
        <w:spacing w:line="240" w:lineRule="auto" w:before="7"/>
        <w:rPr>
          <w:rFonts w:ascii="宋体" w:hAnsi="宋体" w:cs="宋体" w:eastAsia="宋体" w:hint="default"/>
          <w:sz w:val="26"/>
          <w:szCs w:val="26"/>
        </w:rPr>
      </w:pPr>
    </w:p>
    <w:p>
      <w:pPr>
        <w:pStyle w:val="BodyText"/>
        <w:spacing w:line="312" w:lineRule="auto" w:before="35"/>
        <w:ind w:right="1131"/>
        <w:jc w:val="both"/>
      </w:pP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Times New Roman" w:hAnsi="Times New Roman" w:cs="Times New Roman" w:eastAsia="Times New Roman" w:hint="default"/>
          <w:spacing w:val="-1"/>
        </w:rPr>
        <w:t>20</w:t>
      </w:r>
      <w:r>
        <w:rPr>
          <w:spacing w:val="-1"/>
        </w:rPr>
        <w:t>号</w:t>
      </w:r>
      <w:r>
        <w:rPr>
          <w:rFonts w:ascii="Times New Roman" w:hAnsi="Times New Roman" w:cs="Times New Roman" w:eastAsia="Times New Roman" w:hint="default"/>
          <w:spacing w:val="-1"/>
        </w:rPr>
        <w:t>——</w:t>
      </w:r>
      <w:r>
        <w:rPr>
          <w:spacing w:val="-1"/>
        </w:rPr>
        <w:t>企业合并》的规定进行会计处理，全额</w:t>
      </w:r>
      <w:r>
        <w:rPr>
          <w:spacing w:val="-86"/>
        </w:rPr>
        <w:t> </w:t>
      </w:r>
      <w:r>
        <w:rPr>
          <w:spacing w:val="-86"/>
        </w:rPr>
      </w:r>
      <w:r>
        <w:rPr/>
        <w:t>确认与交易相关的利得或损失。</w:t>
      </w:r>
    </w:p>
    <w:p>
      <w:pPr>
        <w:pStyle w:val="BodyText"/>
        <w:spacing w:line="314" w:lineRule="auto" w:before="21"/>
        <w:ind w:left="154" w:right="1130" w:firstLine="480"/>
        <w:jc w:val="both"/>
      </w:pPr>
      <w:r>
        <w:rPr>
          <w:spacing w:val="-2"/>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314" w:lineRule="auto"/>
        <w:ind w:left="634" w:right="1120"/>
        <w:jc w:val="left"/>
      </w:pPr>
      <w:r>
        <w:rPr/>
        <w:t>③收购少数股权 </w:t>
      </w:r>
      <w:r>
        <w:rPr>
          <w:spacing w:val="-2"/>
        </w:rPr>
        <w:t>在编制合并财务报表时，因购买少数股权新增的长期股权投资与按照新增持股比例计算应享有子公司</w:t>
      </w:r>
    </w:p>
    <w:p>
      <w:pPr>
        <w:pStyle w:val="BodyText"/>
        <w:spacing w:line="314" w:lineRule="auto"/>
        <w:ind w:left="154" w:right="1133"/>
        <w:jc w:val="both"/>
      </w:pP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BodyText"/>
        <w:spacing w:line="314" w:lineRule="auto"/>
        <w:ind w:left="634" w:right="1120"/>
        <w:jc w:val="left"/>
      </w:pPr>
      <w:r>
        <w:rPr/>
        <w:t>④处置长期股权投资 </w:t>
      </w:r>
      <w:r>
        <w:rPr>
          <w:spacing w:val="-2"/>
        </w:rPr>
        <w:t>在合并财务报表中，母公司在不丧失控制权的情况下部分处置对子公司的长期股权投资，处置价款与</w:t>
      </w:r>
    </w:p>
    <w:p>
      <w:pPr>
        <w:pStyle w:val="BodyText"/>
        <w:spacing w:line="304" w:lineRule="auto"/>
        <w:ind w:right="1132"/>
        <w:jc w:val="both"/>
      </w:pPr>
      <w:r>
        <w:rPr>
          <w:spacing w:val="-1"/>
        </w:rPr>
        <w:t>处置长期股权投资相对应享有子公司净资产的差额计入股东权益；母公司部分处置对子公司的长期股权投</w:t>
      </w:r>
      <w:r>
        <w:rPr>
          <w:spacing w:val="-81"/>
        </w:rPr>
        <w:t> </w:t>
      </w:r>
      <w:r>
        <w:rPr>
          <w:spacing w:val="-81"/>
        </w:rPr>
      </w:r>
      <w:r>
        <w:rPr/>
        <w:t>资导致丧失对子公司控制权的，按本附注四、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 处理。</w:t>
      </w:r>
    </w:p>
    <w:p>
      <w:pPr>
        <w:pStyle w:val="BodyText"/>
        <w:spacing w:line="240" w:lineRule="auto" w:before="27"/>
        <w:ind w:left="633" w:right="0"/>
        <w:jc w:val="left"/>
      </w:pPr>
      <w:r>
        <w:rPr/>
        <w:t>其他情形下的长期股权投资处置，对于处置的股权，其账面价值与实际取得价款的差额，计入当期损</w:t>
      </w:r>
    </w:p>
    <w:p>
      <w:pPr>
        <w:pStyle w:val="BodyText"/>
        <w:spacing w:line="240" w:lineRule="auto" w:before="84"/>
        <w:ind w:right="0"/>
        <w:jc w:val="left"/>
      </w:pPr>
      <w:r>
        <w:rPr/>
        <w:t>益。</w:t>
      </w:r>
    </w:p>
    <w:p>
      <w:pPr>
        <w:pStyle w:val="BodyText"/>
        <w:spacing w:line="240" w:lineRule="auto" w:before="84"/>
        <w:ind w:left="634" w:right="0"/>
        <w:jc w:val="left"/>
      </w:pPr>
      <w:r>
        <w:rPr/>
        <w:t>采用权益法核算的长期股权投资，处置后的剩余股权仍采用权益法核算的，在处置时将原计入股东权</w:t>
      </w:r>
    </w:p>
    <w:p>
      <w:pPr>
        <w:pStyle w:val="BodyText"/>
        <w:spacing w:line="314" w:lineRule="auto" w:before="84"/>
        <w:ind w:left="154" w:right="0"/>
        <w:jc w:val="left"/>
      </w:pPr>
      <w:r>
        <w:rPr/>
        <w:t>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314" w:lineRule="auto"/>
        <w:ind w:left="154" w:right="1131" w:firstLine="480"/>
        <w:jc w:val="both"/>
      </w:pPr>
      <w:r>
        <w:rPr>
          <w:spacing w:val="-2"/>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BodyText"/>
        <w:spacing w:line="314" w:lineRule="auto"/>
        <w:ind w:right="1130" w:firstLine="480"/>
        <w:jc w:val="both"/>
      </w:pPr>
      <w:r>
        <w:rPr>
          <w:spacing w:val="-2"/>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p>
    <w:p>
      <w:pPr>
        <w:spacing w:after="0" w:line="314" w:lineRule="auto"/>
        <w:jc w:val="both"/>
        <w:sectPr>
          <w:footerReference w:type="default" r:id="rId21"/>
          <w:pgSz w:w="11910" w:h="16840"/>
          <w:pgMar w:footer="979" w:header="747" w:top="1060" w:bottom="1160" w:left="980" w:right="0"/>
          <w:pgNumType w:start="101"/>
        </w:sectPr>
      </w:pPr>
    </w:p>
    <w:p>
      <w:pPr>
        <w:spacing w:line="240" w:lineRule="auto" w:before="7"/>
        <w:rPr>
          <w:rFonts w:ascii="宋体" w:hAnsi="宋体" w:cs="宋体" w:eastAsia="宋体" w:hint="default"/>
          <w:sz w:val="26"/>
          <w:szCs w:val="26"/>
        </w:rPr>
      </w:pPr>
    </w:p>
    <w:p>
      <w:pPr>
        <w:pStyle w:val="BodyText"/>
        <w:spacing w:line="314" w:lineRule="auto" w:before="35"/>
        <w:ind w:right="1131"/>
        <w:jc w:val="both"/>
      </w:pP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BodyText"/>
        <w:spacing w:line="314" w:lineRule="auto"/>
        <w:ind w:right="1131" w:firstLine="480"/>
        <w:jc w:val="both"/>
      </w:pPr>
      <w:r>
        <w:rPr>
          <w:spacing w:val="-2"/>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BodyText"/>
        <w:spacing w:line="314" w:lineRule="auto"/>
        <w:ind w:right="1033" w:firstLine="480"/>
        <w:jc w:val="left"/>
      </w:pPr>
      <w:r>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spacing w:line="240" w:lineRule="auto" w:before="8"/>
        <w:rPr>
          <w:rFonts w:ascii="宋体" w:hAnsi="宋体" w:cs="宋体" w:eastAsia="宋体" w:hint="default"/>
          <w:sz w:val="22"/>
          <w:szCs w:val="22"/>
        </w:rPr>
      </w:pPr>
    </w:p>
    <w:p>
      <w:pPr>
        <w:pStyle w:val="Heading5"/>
        <w:spacing w:line="240" w:lineRule="auto"/>
        <w:ind w:left="153" w:right="0"/>
        <w:jc w:val="both"/>
        <w:rPr>
          <w:b w:val="0"/>
          <w:bCs w:val="0"/>
        </w:rPr>
      </w:pPr>
      <w:bookmarkStart w:name="15、投资性房地产" w:id="178"/>
      <w:bookmarkEnd w:id="17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953"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314" w:lineRule="auto" w:before="23"/>
        <w:ind w:right="1050" w:firstLine="480"/>
        <w:jc w:val="both"/>
      </w:pPr>
      <w:r>
        <w:rPr/>
        <w:t>投资性房地产是指为赚取租金或资本增值，或两者兼有而持有的房地产。包括已出租的土地使用权、 持有并准备增值后转让的土地使用权、已出租的建筑物等。</w:t>
      </w:r>
    </w:p>
    <w:p>
      <w:pPr>
        <w:pStyle w:val="BodyText"/>
        <w:spacing w:line="314" w:lineRule="auto"/>
        <w:ind w:left="154" w:right="1110" w:firstLine="480"/>
        <w:jc w:val="right"/>
      </w:pPr>
      <w:r>
        <w:rPr>
          <w:spacing w:val="-2"/>
        </w:rPr>
        <w:t>投资性房地产按成本进行初始计量。与投资性房地产有关的后续支出，如果与该资产有关的经济利益</w:t>
      </w:r>
      <w:r>
        <w:rPr/>
        <w:t> 很可能流入且其成本能可靠地计量，则计入投资性房地产成本。其他后续支出，在发生时计入当期损益。 </w:t>
      </w:r>
      <w:r>
        <w:rPr>
          <w:spacing w:val="-2"/>
        </w:rPr>
        <w:t>本公司采用成本模式对投资性房地产进行后续计量，并按照与房屋建筑物或土地使用权一致的政策进</w:t>
      </w:r>
    </w:p>
    <w:p>
      <w:pPr>
        <w:pStyle w:val="BodyText"/>
        <w:spacing w:line="240" w:lineRule="auto"/>
        <w:ind w:left="154" w:right="0"/>
        <w:jc w:val="both"/>
      </w:pPr>
      <w:r>
        <w:rPr/>
        <w:t>行折旧或摊销。</w:t>
      </w:r>
    </w:p>
    <w:p>
      <w:pPr>
        <w:pStyle w:val="BodyText"/>
        <w:spacing w:line="295" w:lineRule="auto" w:before="84"/>
        <w:ind w:left="633" w:right="1121"/>
        <w:jc w:val="left"/>
      </w:pPr>
      <w:r>
        <w:rPr/>
        <w:t>投资性房地产的减值测试方法和减值准备计提方法详见附注四、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w:t>
      </w:r>
    </w:p>
    <w:p>
      <w:pPr>
        <w:pStyle w:val="BodyText"/>
        <w:spacing w:line="314" w:lineRule="auto" w:before="35"/>
        <w:ind w:left="633" w:right="1033" w:hanging="480"/>
        <w:jc w:val="left"/>
      </w:pPr>
      <w:r>
        <w:rPr/>
        <w:t>为转换后的入账价值。 投资性房地产的用途改变为自用时，自改变之日起，将该投资性房地产转换为固定资产或无形资产。</w:t>
      </w:r>
    </w:p>
    <w:p>
      <w:pPr>
        <w:pStyle w:val="BodyText"/>
        <w:spacing w:line="314" w:lineRule="auto"/>
        <w:ind w:right="1131"/>
        <w:jc w:val="both"/>
      </w:pPr>
      <w:r>
        <w:rPr>
          <w:spacing w:val="-1"/>
        </w:rPr>
        <w:t>自用房地产的用途改变为赚取租金或资本增值时，自改变之日起，将固定资产或无形资产转换为投资性房</w:t>
      </w:r>
      <w:r>
        <w:rPr>
          <w:spacing w:val="-81"/>
        </w:rPr>
        <w:t> </w:t>
      </w:r>
      <w:r>
        <w:rPr>
          <w:spacing w:val="-81"/>
        </w:rPr>
      </w:r>
      <w:r>
        <w:rPr>
          <w:spacing w:val="-1"/>
        </w:rPr>
        <w:t>地产。发生转换时，转换为采用成本模式计量的投资性房地产的，以转换前的账面价值作为转换后的入账</w:t>
      </w:r>
      <w:r>
        <w:rPr>
          <w:spacing w:val="-83"/>
        </w:rPr>
        <w:t> </w:t>
      </w:r>
      <w:r>
        <w:rPr>
          <w:spacing w:val="-83"/>
        </w:rPr>
      </w:r>
      <w:r>
        <w:rPr/>
        <w:t>价值；转换为以公允价值模式计量的投资性房地产的，以转换日的公允价值作为转换后的入账价值。</w:t>
      </w:r>
    </w:p>
    <w:p>
      <w:pPr>
        <w:pStyle w:val="BodyText"/>
        <w:spacing w:line="314" w:lineRule="auto"/>
        <w:ind w:right="1131" w:firstLine="480"/>
        <w:jc w:val="both"/>
      </w:pPr>
      <w:r>
        <w:rPr>
          <w:spacing w:val="-2"/>
        </w:rPr>
        <w:t>当投资性房地产被处置、或者永久退出使用且预计不能从其处置中取得经济利益时，终止确认该项投</w:t>
      </w:r>
      <w:r>
        <w:rPr/>
        <w:t> </w:t>
      </w:r>
      <w:r>
        <w:rPr>
          <w:spacing w:val="-1"/>
        </w:rPr>
        <w:t>资性房地产。投资性房地产出售、转让、报废或毁损的处置收入扣除其账面价值和相关税费后计入当期损</w:t>
      </w:r>
      <w:r>
        <w:rPr>
          <w:spacing w:val="-83"/>
        </w:rPr>
        <w:t> </w:t>
      </w:r>
      <w:r>
        <w:rPr>
          <w:spacing w:val="-83"/>
        </w:rPr>
      </w:r>
      <w:r>
        <w:rPr/>
        <w:t>益。</w:t>
      </w:r>
    </w:p>
    <w:p>
      <w:pPr>
        <w:spacing w:after="0" w:line="314"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16、固定资产" w:id="179"/>
      <w:bookmarkEnd w:id="17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确认条件" w:id="180"/>
      <w:bookmarkEnd w:id="18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131" w:firstLine="420"/>
        <w:jc w:val="both"/>
      </w:pPr>
      <w:r>
        <w:rPr>
          <w:spacing w:val="-1"/>
        </w:rPr>
        <w:t>固定资产是指为生产商品、提供劳务、出租或经营管理而持有的，使用寿命超过一个会计年度的有形</w:t>
      </w:r>
      <w:r>
        <w:rPr/>
        <w:t> </w:t>
      </w:r>
      <w:r>
        <w:rPr>
          <w:spacing w:val="-1"/>
        </w:rPr>
        <w:t>资产。固定资产仅在与其有关的经济利益很可能流入本公司，且其成本能够可靠地计量时才予以确认。固</w:t>
      </w:r>
      <w:r>
        <w:rPr>
          <w:spacing w:val="-83"/>
        </w:rPr>
        <w:t> </w:t>
      </w:r>
      <w:r>
        <w:rPr>
          <w:spacing w:val="-83"/>
        </w:rPr>
      </w:r>
      <w:r>
        <w:rPr/>
        <w:t>定资产按成本并考虑预计弃置费用因素的影响进行初始计量。</w:t>
      </w:r>
    </w:p>
    <w:p>
      <w:pPr>
        <w:spacing w:line="240" w:lineRule="auto" w:before="6"/>
        <w:rPr>
          <w:rFonts w:ascii="宋体" w:hAnsi="宋体" w:cs="宋体" w:eastAsia="宋体" w:hint="default"/>
          <w:sz w:val="22"/>
          <w:szCs w:val="22"/>
        </w:rPr>
      </w:pPr>
    </w:p>
    <w:p>
      <w:pPr>
        <w:pStyle w:val="Heading5"/>
        <w:spacing w:line="240" w:lineRule="auto"/>
        <w:ind w:left="153" w:right="0"/>
        <w:jc w:val="left"/>
        <w:rPr>
          <w:b w:val="0"/>
          <w:bCs w:val="0"/>
        </w:rPr>
      </w:pPr>
      <w:bookmarkStart w:name="（2）折旧方法" w:id="181"/>
      <w:bookmarkEnd w:id="18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4.50-4.75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18.00-19.00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18.00-19.00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18.00-19.00</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3）融资租入固定资产的认定依据、计价和折旧方法" w:id="182"/>
      <w:bookmarkEnd w:id="18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154" w:right="1131" w:firstLine="420"/>
        <w:jc w:val="both"/>
      </w:pPr>
      <w:r>
        <w:rPr>
          <w:spacing w:val="-1"/>
        </w:rPr>
        <w:t>融资租赁为实质上转移了与资产所有权有关的全部风险和报酬的租赁，其所有权最终可能转移，也可</w:t>
      </w:r>
      <w:r>
        <w:rPr/>
        <w:t> </w:t>
      </w:r>
      <w:r>
        <w:rPr>
          <w:spacing w:val="-1"/>
        </w:rPr>
        <w:t>能不转移。以融资租赁方式租入的固定资产采用与自有固定资产一致的政策计提租赁资产折旧。能够合理</w:t>
      </w:r>
      <w:r>
        <w:rPr>
          <w:spacing w:val="-81"/>
        </w:rPr>
        <w:t> </w:t>
      </w:r>
      <w:r>
        <w:rPr>
          <w:spacing w:val="-81"/>
        </w:rPr>
      </w:r>
      <w:r>
        <w:rPr>
          <w:spacing w:val="-1"/>
        </w:rPr>
        <w:t>确定租赁期届满时取得租赁资产所有权的在租赁资产使用寿命内计提折旧，无法合理确定租赁期届满能够</w:t>
      </w:r>
      <w:r>
        <w:rPr>
          <w:spacing w:val="-81"/>
        </w:rPr>
        <w:t> </w:t>
      </w:r>
      <w:r>
        <w:rPr>
          <w:spacing w:val="-81"/>
        </w:rPr>
      </w:r>
      <w:r>
        <w:rPr/>
        <w:t>取得租赁资产所有权的，在租赁期与租赁资产使用寿命两者中较短的期间内计提折旧。</w:t>
      </w:r>
    </w:p>
    <w:p>
      <w:pPr>
        <w:spacing w:line="240" w:lineRule="auto" w:before="6"/>
        <w:rPr>
          <w:rFonts w:ascii="宋体" w:hAnsi="宋体" w:cs="宋体" w:eastAsia="宋体" w:hint="default"/>
          <w:sz w:val="22"/>
          <w:szCs w:val="22"/>
        </w:rPr>
      </w:pPr>
    </w:p>
    <w:p>
      <w:pPr>
        <w:pStyle w:val="Heading5"/>
        <w:spacing w:line="240" w:lineRule="auto"/>
        <w:ind w:left="153" w:right="0"/>
        <w:jc w:val="left"/>
        <w:rPr>
          <w:b w:val="0"/>
          <w:bCs w:val="0"/>
        </w:rPr>
      </w:pPr>
      <w:bookmarkStart w:name="17、在建工程" w:id="183"/>
      <w:bookmarkEnd w:id="18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6"/>
        <w:rPr>
          <w:rFonts w:ascii="宋体" w:hAnsi="宋体" w:cs="宋体" w:eastAsia="宋体" w:hint="default"/>
          <w:b/>
          <w:bCs/>
          <w:sz w:val="26"/>
          <w:szCs w:val="26"/>
        </w:rPr>
      </w:pPr>
    </w:p>
    <w:p>
      <w:pPr>
        <w:pStyle w:val="BodyText"/>
        <w:spacing w:line="314" w:lineRule="auto" w:before="0"/>
        <w:ind w:right="1131" w:firstLine="480"/>
        <w:jc w:val="both"/>
      </w:pPr>
      <w:r>
        <w:rPr>
          <w:spacing w:val="-2"/>
        </w:rPr>
        <w:t>在建工程成本按实际工程支出确定，包括在建期间发生的各项工程支出、工程达到预定可使用状态前</w:t>
      </w:r>
      <w:r>
        <w:rPr/>
        <w:t> 的资本化的借款费用以及其他相关费用等。在建工程在达到预定可使用状态后结转为固定资产。</w:t>
      </w:r>
    </w:p>
    <w:p>
      <w:pPr>
        <w:pStyle w:val="BodyText"/>
        <w:spacing w:line="240" w:lineRule="auto"/>
        <w:ind w:left="573" w:right="0"/>
        <w:jc w:val="left"/>
      </w:pPr>
      <w:r>
        <w:rPr/>
        <w:t>在建工程的减值测试方法和减值准备计提方法详见附注四、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6"/>
          <w:szCs w:val="26"/>
        </w:rPr>
      </w:pPr>
    </w:p>
    <w:p>
      <w:pPr>
        <w:pStyle w:val="Heading5"/>
        <w:spacing w:line="240" w:lineRule="auto"/>
        <w:ind w:left="153" w:right="0"/>
        <w:jc w:val="left"/>
        <w:rPr>
          <w:b w:val="0"/>
          <w:bCs w:val="0"/>
        </w:rPr>
      </w:pPr>
      <w:bookmarkStart w:name="18、借款费用" w:id="184"/>
      <w:bookmarkEnd w:id="18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131" w:firstLine="480"/>
        <w:jc w:val="both"/>
      </w:pPr>
      <w:r>
        <w:rPr>
          <w:spacing w:val="-2"/>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使资产达到预定可使用或可销售状态所必要的购建或生产活动已经开始时，开始资本化；购建或者生产的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pStyle w:val="BodyText"/>
        <w:spacing w:line="314" w:lineRule="auto"/>
        <w:ind w:left="154" w:right="1131" w:firstLine="480"/>
        <w:jc w:val="both"/>
      </w:pPr>
      <w:r>
        <w:rPr>
          <w:spacing w:val="-2"/>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p>
    <w:p>
      <w:pPr>
        <w:spacing w:after="0" w:line="314" w:lineRule="auto"/>
        <w:jc w:val="both"/>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240" w:lineRule="auto" w:before="35"/>
        <w:ind w:right="0"/>
        <w:jc w:val="left"/>
      </w:pPr>
      <w:r>
        <w:rPr/>
        <w:t>定。</w:t>
      </w:r>
    </w:p>
    <w:p>
      <w:pPr>
        <w:pStyle w:val="BodyText"/>
        <w:spacing w:line="314" w:lineRule="auto" w:before="84"/>
        <w:ind w:left="634" w:right="1032"/>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w:t>
      </w:r>
    </w:p>
    <w:p>
      <w:pPr>
        <w:pStyle w:val="BodyText"/>
        <w:spacing w:line="314" w:lineRule="auto"/>
        <w:ind w:left="634" w:right="0" w:hanging="480"/>
        <w:jc w:val="left"/>
      </w:pPr>
      <w:r>
        <w:rPr/>
        <w:t>态的固定资产、投资性房地产和存货等资产。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w:t>
      </w:r>
    </w:p>
    <w:p>
      <w:pPr>
        <w:pStyle w:val="BodyText"/>
        <w:spacing w:line="271" w:lineRule="exact" w:before="0"/>
        <w:ind w:right="0"/>
        <w:jc w:val="left"/>
      </w:pPr>
      <w:r>
        <w:rPr/>
        <w:t>暂停借款费用的资本化，直至资产的购建或生产活动重新开始。</w:t>
      </w:r>
    </w:p>
    <w:p>
      <w:pPr>
        <w:spacing w:line="240" w:lineRule="auto" w:before="8"/>
        <w:rPr>
          <w:rFonts w:ascii="宋体" w:hAnsi="宋体" w:cs="宋体" w:eastAsia="宋体" w:hint="default"/>
          <w:sz w:val="27"/>
          <w:szCs w:val="27"/>
        </w:rPr>
      </w:pPr>
    </w:p>
    <w:p>
      <w:pPr>
        <w:pStyle w:val="Heading5"/>
        <w:spacing w:line="240" w:lineRule="auto"/>
        <w:ind w:left="153" w:right="0"/>
        <w:jc w:val="left"/>
        <w:rPr>
          <w:b w:val="0"/>
          <w:bCs w:val="0"/>
        </w:rPr>
      </w:pPr>
      <w:bookmarkStart w:name="19、无形资产" w:id="185"/>
      <w:bookmarkEnd w:id="185"/>
      <w:r>
        <w:rPr>
          <w:b w:val="0"/>
          <w:bCs w:val="0"/>
        </w:rPr>
      </w:r>
      <w:r>
        <w:rPr>
          <w:rFonts w:ascii="Times New Roman" w:hAnsi="Times New Roman" w:cs="Times New Roman" w:eastAsia="Times New Roman" w:hint="default"/>
        </w:rPr>
        <w:t>19</w:t>
      </w:r>
      <w:r>
        <w:rPr/>
        <w:t>、无形资产</w:t>
      </w:r>
      <w:r>
        <w:rPr>
          <w:b w:val="0"/>
          <w:bCs w:val="0"/>
        </w:rPr>
      </w:r>
    </w:p>
    <w:p>
      <w:pPr>
        <w:spacing w:line="636" w:lineRule="exact" w:before="59"/>
        <w:ind w:left="634" w:right="1120" w:hanging="480"/>
        <w:jc w:val="left"/>
        <w:rPr>
          <w:rFonts w:ascii="宋体" w:hAnsi="宋体" w:cs="宋体" w:eastAsia="宋体" w:hint="default"/>
          <w:sz w:val="21"/>
          <w:szCs w:val="21"/>
        </w:rPr>
      </w:pPr>
      <w:bookmarkStart w:name="（1）计价方法、使用寿命、减值测试"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pacing w:val="-2"/>
          <w:sz w:val="21"/>
          <w:szCs w:val="21"/>
        </w:rPr>
        <w:t>无形资产按成本进行初始计量。与无形资产有关的支出，如果相关的经济利益很可能流入本公司且其</w:t>
      </w:r>
    </w:p>
    <w:p>
      <w:pPr>
        <w:pStyle w:val="BodyText"/>
        <w:spacing w:line="261" w:lineRule="exact" w:before="0"/>
        <w:ind w:left="154" w:right="0"/>
        <w:jc w:val="left"/>
      </w:pPr>
      <w:r>
        <w:rPr/>
        <w:t>成本能可靠地计量，则计入无形资产成本。除此以外的其他项目的支出，在发生时计入当期损益。</w:t>
      </w:r>
    </w:p>
    <w:p>
      <w:pPr>
        <w:pStyle w:val="BodyText"/>
        <w:spacing w:line="314" w:lineRule="auto" w:before="84"/>
        <w:ind w:right="1131" w:firstLine="480"/>
        <w:jc w:val="both"/>
      </w:pPr>
      <w:r>
        <w:rPr>
          <w:spacing w:val="-2"/>
        </w:rPr>
        <w:t>取得的土地使用权通常作为无形资产核算。自行开发建造厂房等建筑物，相关的土地使用权支出和建</w:t>
      </w:r>
      <w:r>
        <w:rPr/>
        <w:t> </w:t>
      </w: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pStyle w:val="BodyText"/>
        <w:spacing w:line="314" w:lineRule="auto"/>
        <w:ind w:right="1131" w:firstLine="480"/>
        <w:jc w:val="both"/>
      </w:pPr>
      <w:r>
        <w:rPr>
          <w:spacing w:val="-2"/>
        </w:rPr>
        <w:t>使用寿命有限的无形资产自可供使用时起，对其原值减去预计净残值和已计提的减值准备累计金额在</w:t>
      </w:r>
      <w:r>
        <w:rPr/>
        <w:t> 其预计使用寿命内采用直线法分期平均摊销。使用寿命不确定的无形资产不予摊销。</w:t>
      </w:r>
    </w:p>
    <w:p>
      <w:pPr>
        <w:pStyle w:val="BodyText"/>
        <w:spacing w:line="314" w:lineRule="auto"/>
        <w:ind w:right="1110" w:firstLine="480"/>
        <w:jc w:val="both"/>
      </w:pPr>
      <w:r>
        <w:rPr>
          <w:spacing w:val="-2"/>
        </w:rPr>
        <w:t>期末，对使用寿命有限的无形资产的使用寿命和摊销方法进行复核，如发生变更则作为会计估计变更</w:t>
      </w:r>
      <w:r>
        <w:rPr/>
        <w:t> </w:t>
      </w:r>
      <w:r>
        <w:rPr>
          <w:spacing w:val="-1"/>
        </w:rPr>
        <w:t>处理。此外，还对使用寿命不确定的无形资产的使用寿命进行复核，如果有证据表明该无形资产为企业带</w:t>
      </w:r>
      <w:r>
        <w:rPr>
          <w:spacing w:val="-83"/>
        </w:rPr>
        <w:t> </w:t>
      </w:r>
      <w:r>
        <w:rPr>
          <w:spacing w:val="-83"/>
        </w:rPr>
      </w:r>
      <w:r>
        <w:rPr/>
        <w:t>来经济利益的期限是可预见的，则估计其使用寿命并按照使用寿命有限的无形资产的摊销政策进行摊销。 具体如下：</w:t>
      </w:r>
    </w:p>
    <w:p>
      <w:pPr>
        <w:pStyle w:val="BodyText"/>
        <w:spacing w:line="240" w:lineRule="auto"/>
        <w:ind w:left="624" w:right="0"/>
        <w:jc w:val="left"/>
      </w:pPr>
      <w:r>
        <w:rPr/>
        <w:t>具体如下：</w:t>
      </w: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63"/>
        <w:gridCol w:w="4678"/>
      </w:tblGrid>
      <w:tr>
        <w:trPr>
          <w:trHeight w:val="389" w:hRule="exact"/>
        </w:trPr>
        <w:tc>
          <w:tcPr>
            <w:tcW w:w="49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0"/>
              <w:ind w:right="8"/>
              <w:jc w:val="center"/>
              <w:rPr>
                <w:rFonts w:ascii="宋体" w:hAnsi="宋体" w:cs="宋体" w:eastAsia="宋体" w:hint="default"/>
                <w:sz w:val="21"/>
                <w:szCs w:val="21"/>
              </w:rPr>
            </w:pPr>
            <w:r>
              <w:rPr>
                <w:rFonts w:ascii="宋体" w:hAnsi="宋体" w:cs="宋体" w:eastAsia="宋体" w:hint="default"/>
                <w:sz w:val="21"/>
                <w:szCs w:val="21"/>
              </w:rPr>
              <w:t>类别</w:t>
            </w:r>
          </w:p>
        </w:tc>
        <w:tc>
          <w:tcPr>
            <w:tcW w:w="467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使用寿命</w:t>
            </w:r>
          </w:p>
        </w:tc>
      </w:tr>
      <w:tr>
        <w:trPr>
          <w:trHeight w:val="389"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21"/>
                <w:szCs w:val="21"/>
              </w:rPr>
            </w:pPr>
            <w:r>
              <w:rPr>
                <w:rFonts w:ascii="宋体" w:hAnsi="宋体" w:cs="宋体" w:eastAsia="宋体" w:hint="default"/>
                <w:sz w:val="21"/>
                <w:szCs w:val="21"/>
              </w:rPr>
              <w:t>土地使用权（注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48</w:t>
            </w:r>
            <w:r>
              <w:rPr>
                <w:rFonts w:ascii="宋体" w:hAnsi="宋体" w:cs="宋体" w:eastAsia="宋体" w:hint="default"/>
                <w:sz w:val="21"/>
                <w:szCs w:val="21"/>
              </w:rPr>
              <w:t>年</w:t>
            </w:r>
          </w:p>
        </w:tc>
      </w:tr>
      <w:tr>
        <w:trPr>
          <w:trHeight w:val="389"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土地使用权</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r>
      <w:tr>
        <w:trPr>
          <w:trHeight w:val="389"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r>
    </w:tbl>
    <w:p>
      <w:pPr>
        <w:pStyle w:val="BodyText"/>
        <w:spacing w:line="295" w:lineRule="auto" w:before="9"/>
        <w:ind w:left="574" w:right="3006" w:firstLine="60"/>
        <w:jc w:val="left"/>
      </w:pPr>
      <w:r>
        <w:rPr/>
        <w:t>注</w:t>
      </w:r>
      <w:r>
        <w:rPr>
          <w:rFonts w:ascii="Times New Roman" w:hAnsi="Times New Roman" w:cs="Times New Roman" w:eastAsia="Times New Roman" w:hint="default"/>
        </w:rPr>
        <w:t>1</w:t>
      </w:r>
      <w:r>
        <w:rPr/>
        <w:t>：位于江苏省南通市崇川区城山路</w:t>
      </w:r>
      <w:r>
        <w:rPr>
          <w:rFonts w:ascii="Times New Roman" w:hAnsi="Times New Roman" w:cs="Times New Roman" w:eastAsia="Times New Roman" w:hint="default"/>
        </w:rPr>
        <w:t>111</w:t>
      </w:r>
      <w:r>
        <w:rPr/>
        <w:t>号土地使用权。 注</w:t>
      </w:r>
      <w:r>
        <w:rPr>
          <w:rFonts w:ascii="Times New Roman" w:hAnsi="Times New Roman" w:cs="Times New Roman" w:eastAsia="Times New Roman" w:hint="default"/>
        </w:rPr>
        <w:t>2</w:t>
      </w:r>
      <w:r>
        <w:rPr/>
        <w:t>：子公司江苏三友集团南通色织有限公司土地使用权。 无形资产的减值测试方法和减值准备计提方法详见附注四、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5"/>
        <w:spacing w:line="240" w:lineRule="auto"/>
        <w:ind w:left="153" w:right="0"/>
        <w:jc w:val="left"/>
        <w:rPr>
          <w:b w:val="0"/>
          <w:bCs w:val="0"/>
        </w:rPr>
      </w:pPr>
      <w:bookmarkStart w:name="（2）内部研究开发支出会计政策" w:id="187"/>
      <w:bookmarkEnd w:id="18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633" w:right="1121" w:hanging="96"/>
        <w:jc w:val="left"/>
      </w:pPr>
      <w:r>
        <w:rPr/>
        <w:t>本公司内部研究开发项目的支出分为研究阶段支出与开发阶段支出。 研究阶段的支出，于发生时计入当期损益。 </w:t>
      </w:r>
      <w:r>
        <w:rPr>
          <w:spacing w:val="-2"/>
        </w:rPr>
        <w:t>开发阶段的支出同时满足下列条件的，确认为无形资产，不能满足下述条件的开发阶段的支出计入当</w:t>
      </w:r>
    </w:p>
    <w:p>
      <w:pPr>
        <w:pStyle w:val="BodyText"/>
        <w:spacing w:line="240" w:lineRule="auto"/>
        <w:ind w:left="154" w:right="0"/>
        <w:jc w:val="left"/>
      </w:pPr>
      <w:r>
        <w:rPr/>
        <w:t>期损益：</w:t>
      </w:r>
    </w:p>
    <w:p>
      <w:pPr>
        <w:pStyle w:val="BodyText"/>
        <w:spacing w:line="240" w:lineRule="auto" w:before="84"/>
        <w:ind w:left="634" w:right="0"/>
        <w:jc w:val="left"/>
      </w:pPr>
      <w:r>
        <w:rPr/>
        <w:t>①完成该无形资产以使其能够使用或出售在技术上具有可行性；</w:t>
      </w:r>
    </w:p>
    <w:p>
      <w:pPr>
        <w:pStyle w:val="BodyText"/>
        <w:spacing w:line="240" w:lineRule="auto" w:before="84"/>
        <w:ind w:left="634" w:right="0"/>
        <w:jc w:val="left"/>
      </w:pPr>
      <w:r>
        <w:rPr/>
        <w:t>②具有完成该无形资产并使用或出售的意图；</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1132" w:firstLine="480"/>
        <w:jc w:val="both"/>
      </w:pPr>
      <w:r>
        <w:rPr>
          <w:spacing w:val="-2"/>
        </w:rPr>
        <w:t>③无形资产产生经济利益的方式，包括能够证明运用该无形资产生产的产品存在市场或无形资产自身</w:t>
      </w:r>
      <w:r>
        <w:rPr/>
        <w:t> 存在市场，无形资产将在内部使用的，能够证明其有用性；</w:t>
      </w:r>
    </w:p>
    <w:p>
      <w:pPr>
        <w:pStyle w:val="BodyText"/>
        <w:spacing w:line="314" w:lineRule="auto"/>
        <w:ind w:right="1132" w:firstLine="480"/>
        <w:jc w:val="both"/>
      </w:pPr>
      <w:r>
        <w:rPr>
          <w:spacing w:val="-2"/>
        </w:rPr>
        <w:t>④有足够的技术、财务资源和其他资源支持，以完成该无形资产的开发，并有能力使用或出售该无形</w:t>
      </w:r>
      <w:r>
        <w:rPr/>
        <w:t> 资产；</w:t>
      </w:r>
    </w:p>
    <w:p>
      <w:pPr>
        <w:pStyle w:val="BodyText"/>
        <w:spacing w:line="314" w:lineRule="auto"/>
        <w:ind w:left="633" w:right="2713"/>
        <w:jc w:val="left"/>
      </w:pPr>
      <w:r>
        <w:rPr/>
        <w:t>⑤归属于该无形资产开发阶段的支出能够可靠地计量。 无法区分研究阶段支出和开发阶段支出的，将发生的研发支出全部计入当期损益。</w:t>
      </w:r>
    </w:p>
    <w:p>
      <w:pPr>
        <w:pStyle w:val="BodyText"/>
        <w:spacing w:line="636" w:lineRule="exact" w:before="32"/>
        <w:ind w:left="633" w:right="1033" w:hanging="480"/>
        <w:jc w:val="left"/>
      </w:pPr>
      <w:bookmarkStart w:name="20、长期资产减值" w:id="188"/>
      <w:bookmarkEnd w:id="188"/>
      <w:r>
        <w:rPr/>
      </w: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99"/>
        </w:rPr>
        <w:t> </w:t>
      </w:r>
      <w:r>
        <w:rPr/>
        <w:t>对于固定资产、在建工程、使用寿命有限的无形资产、以成本模式计量的投资性房地产及对子公司、</w:t>
      </w:r>
    </w:p>
    <w:p>
      <w:pPr>
        <w:pStyle w:val="BodyText"/>
        <w:spacing w:line="261" w:lineRule="exact" w:before="0"/>
        <w:ind w:right="0"/>
        <w:jc w:val="left"/>
      </w:pPr>
      <w:r>
        <w:rPr>
          <w:spacing w:val="-3"/>
        </w:rPr>
        <w:t>合营企业、联营企业的长期股权投资等非流动非金融资产，本公司于资产负债表日判断是否存在减值迹象。</w:t>
      </w:r>
    </w:p>
    <w:p>
      <w:pPr>
        <w:pStyle w:val="BodyText"/>
        <w:spacing w:line="314" w:lineRule="auto" w:before="84"/>
        <w:ind w:right="0"/>
        <w:jc w:val="left"/>
      </w:pPr>
      <w:r>
        <w:rPr>
          <w:spacing w:val="-1"/>
        </w:rPr>
        <w:t>如存在减值迹象的，则估计其可收回金额，进行减值测试。商誉、使用寿命不确定的无形资产和尚未达到</w:t>
      </w:r>
      <w:r>
        <w:rPr>
          <w:spacing w:val="-86"/>
        </w:rPr>
        <w:t> </w:t>
      </w:r>
      <w:r>
        <w:rPr>
          <w:spacing w:val="-86"/>
        </w:rPr>
      </w:r>
      <w:r>
        <w:rPr/>
        <w:t>可使用状态的无形资产，无论是否存在减值迹象，每年均进行减值测试。</w:t>
      </w:r>
    </w:p>
    <w:p>
      <w:pPr>
        <w:pStyle w:val="BodyText"/>
        <w:spacing w:line="314" w:lineRule="auto"/>
        <w:ind w:right="1110" w:firstLine="480"/>
        <w:jc w:val="both"/>
      </w:pPr>
      <w:r>
        <w:rPr>
          <w:spacing w:val="-2"/>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pStyle w:val="BodyText"/>
        <w:spacing w:line="314" w:lineRule="auto"/>
        <w:ind w:left="154" w:right="1131" w:firstLine="480"/>
        <w:jc w:val="both"/>
      </w:pPr>
      <w:r>
        <w:rPr>
          <w:spacing w:val="-2"/>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ind w:left="634" w:right="0"/>
        <w:jc w:val="left"/>
      </w:pPr>
      <w:r>
        <w:rPr/>
        <w:t>上述资产减值损失一经确认，以后期间不予转回价值得以恢复的部分。</w:t>
      </w:r>
    </w:p>
    <w:p>
      <w:pPr>
        <w:pStyle w:val="BodyText"/>
        <w:spacing w:line="620" w:lineRule="atLeast" w:before="32"/>
        <w:ind w:left="574" w:right="0" w:hanging="420"/>
        <w:jc w:val="left"/>
      </w:pPr>
      <w:bookmarkStart w:name="21、长期待摊费用" w:id="189"/>
      <w:bookmarkEnd w:id="189"/>
      <w:r>
        <w:rPr/>
      </w: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长期待摊费用为已经发生但应由报告期和以后各期负担的分摊期限在一年以上的各项费用。本公司的</w:t>
      </w:r>
    </w:p>
    <w:p>
      <w:pPr>
        <w:pStyle w:val="BodyText"/>
        <w:spacing w:line="240" w:lineRule="auto" w:before="84"/>
        <w:ind w:left="154" w:right="0"/>
        <w:jc w:val="left"/>
      </w:pPr>
      <w:r>
        <w:rPr/>
        <w:t>长期待摊费用主要为租入资产改良支出。长期待摊费用在预计受益期间按直线法摊销。</w:t>
      </w:r>
    </w:p>
    <w:p>
      <w:pPr>
        <w:spacing w:line="240" w:lineRule="auto" w:before="8"/>
        <w:rPr>
          <w:rFonts w:ascii="宋体" w:hAnsi="宋体" w:cs="宋体" w:eastAsia="宋体" w:hint="default"/>
          <w:sz w:val="27"/>
          <w:szCs w:val="27"/>
        </w:rPr>
      </w:pPr>
    </w:p>
    <w:p>
      <w:pPr>
        <w:pStyle w:val="Heading5"/>
        <w:spacing w:line="240" w:lineRule="auto"/>
        <w:ind w:right="0"/>
        <w:jc w:val="left"/>
        <w:rPr>
          <w:b w:val="0"/>
          <w:bCs w:val="0"/>
        </w:rPr>
      </w:pPr>
      <w:bookmarkStart w:name="22、担保业务准备金及一般风险准备" w:id="190"/>
      <w:bookmarkEnd w:id="190"/>
      <w:r>
        <w:rPr>
          <w:b w:val="0"/>
          <w:bCs w:val="0"/>
        </w:rPr>
      </w:r>
      <w:r>
        <w:rPr>
          <w:rFonts w:ascii="Times New Roman" w:hAnsi="Times New Roman" w:cs="Times New Roman" w:eastAsia="Times New Roman" w:hint="default"/>
        </w:rPr>
        <w:t>22</w:t>
      </w:r>
      <w:r>
        <w:rPr/>
        <w:t>、担保业务准备金及一般风险准备</w:t>
      </w:r>
      <w:r>
        <w:rPr>
          <w:b w:val="0"/>
          <w:bCs w:val="0"/>
        </w:rPr>
      </w:r>
    </w:p>
    <w:p>
      <w:pPr>
        <w:spacing w:line="240" w:lineRule="auto" w:before="7"/>
        <w:rPr>
          <w:rFonts w:ascii="宋体" w:hAnsi="宋体" w:cs="宋体" w:eastAsia="宋体" w:hint="default"/>
          <w:b/>
          <w:bCs/>
          <w:sz w:val="26"/>
          <w:szCs w:val="26"/>
        </w:rPr>
      </w:pPr>
    </w:p>
    <w:p>
      <w:pPr>
        <w:pStyle w:val="BodyText"/>
        <w:spacing w:line="328" w:lineRule="auto" w:before="0"/>
        <w:ind w:left="573" w:right="0"/>
        <w:jc w:val="left"/>
      </w:pPr>
      <w:r>
        <w:rPr/>
        <w:t>（</w:t>
      </w:r>
      <w:r>
        <w:rPr>
          <w:rFonts w:ascii="Times New Roman" w:hAnsi="Times New Roman" w:cs="Times New Roman" w:eastAsia="Times New Roman" w:hint="default"/>
        </w:rPr>
        <w:t>1</w:t>
      </w:r>
      <w:r>
        <w:rPr/>
        <w:t>）担保业务准备金包括未到期责任准备金和担保赔偿准备金。 </w:t>
      </w:r>
      <w:r>
        <w:rPr>
          <w:spacing w:val="3"/>
        </w:rPr>
        <w:t>未到期责任准备金是指公司为尚未终止的担保责任提取的准备金。对融资性担保按当期保费收入的</w:t>
      </w:r>
    </w:p>
    <w:p>
      <w:pPr>
        <w:pStyle w:val="BodyText"/>
        <w:spacing w:line="328" w:lineRule="auto" w:before="7"/>
        <w:ind w:left="573" w:right="0" w:hanging="420"/>
        <w:jc w:val="left"/>
      </w:pPr>
      <w:r>
        <w:rPr>
          <w:rFonts w:ascii="Times New Roman" w:hAnsi="Times New Roman" w:cs="Times New Roman" w:eastAsia="Times New Roman" w:hint="default"/>
        </w:rPr>
        <w:t>50%</w:t>
      </w:r>
      <w:r>
        <w:rPr/>
        <w:t>提取未到期责任准备金</w:t>
      </w:r>
      <w:r>
        <w:rPr>
          <w:rFonts w:ascii="Times New Roman" w:hAnsi="Times New Roman" w:cs="Times New Roman" w:eastAsia="Times New Roman" w:hint="default"/>
        </w:rPr>
        <w:t>,</w:t>
      </w:r>
      <w:r>
        <w:rPr/>
        <w:t>同时将上年度计提的未到期责任准备余额转为当期收入。</w:t>
      </w:r>
      <w:r>
        <w:rPr>
          <w:w w:val="99"/>
        </w:rPr>
        <w:t> </w:t>
      </w:r>
      <w:r>
        <w:rPr>
          <w:spacing w:val="-1"/>
        </w:rPr>
        <w:t>担保赔偿准备金是指公司为已发生尚未结案且需代偿的担保余额提取的准备金。在资产负债表日按融</w:t>
      </w:r>
    </w:p>
    <w:p>
      <w:pPr>
        <w:spacing w:after="0" w:line="328" w:lineRule="auto"/>
        <w:jc w:val="left"/>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297" w:lineRule="auto" w:before="35"/>
        <w:ind w:right="1133"/>
        <w:jc w:val="both"/>
      </w:pPr>
      <w:r>
        <w:rPr/>
        <w:t>资性担保责任金额</w:t>
      </w:r>
      <w:r>
        <w:rPr>
          <w:spacing w:val="9"/>
        </w:rPr>
        <w:t> </w:t>
      </w:r>
      <w:r>
        <w:rPr>
          <w:rFonts w:ascii="Times New Roman" w:hAnsi="Times New Roman" w:cs="Times New Roman" w:eastAsia="Times New Roman" w:hint="default"/>
        </w:rPr>
        <w:t>1%</w:t>
      </w:r>
      <w:r>
        <w:rPr/>
        <w:t>的比例提取担保赔偿准备金；融资性担保担保赔偿准备金累计达到当年担保责任余 额</w:t>
      </w:r>
      <w:r>
        <w:rPr>
          <w:spacing w:val="-56"/>
        </w:rPr>
        <w:t> </w:t>
      </w:r>
      <w:r>
        <w:rPr>
          <w:rFonts w:ascii="Times New Roman" w:hAnsi="Times New Roman" w:cs="Times New Roman" w:eastAsia="Times New Roman" w:hint="default"/>
        </w:rPr>
        <w:t>10%</w:t>
      </w:r>
      <w:r>
        <w:rPr/>
        <w:t>的，实行差额提取。</w:t>
      </w:r>
    </w:p>
    <w:p>
      <w:pPr>
        <w:pStyle w:val="BodyText"/>
        <w:spacing w:line="328" w:lineRule="auto" w:before="52"/>
        <w:ind w:left="573" w:right="0"/>
        <w:jc w:val="left"/>
      </w:pPr>
      <w:r>
        <w:rPr/>
        <w:t>（</w:t>
      </w:r>
      <w:r>
        <w:rPr>
          <w:rFonts w:ascii="Times New Roman" w:hAnsi="Times New Roman" w:cs="Times New Roman" w:eastAsia="Times New Roman" w:hint="default"/>
        </w:rPr>
        <w:t>2</w:t>
      </w:r>
      <w:r>
        <w:rPr/>
        <w:t>）一般风险准备金 </w:t>
      </w:r>
      <w:r>
        <w:rPr>
          <w:spacing w:val="-1"/>
        </w:rPr>
        <w:t>本公司之子公司采用标准法计算风险资产的潜在风险估计值，扣减已计提的资产减值准备，从净利润</w:t>
      </w:r>
    </w:p>
    <w:p>
      <w:pPr>
        <w:pStyle w:val="BodyText"/>
        <w:spacing w:line="240" w:lineRule="auto" w:before="7"/>
        <w:ind w:right="0"/>
        <w:jc w:val="both"/>
      </w:pPr>
      <w:r>
        <w:rPr/>
        <w:t>中计提、用于部分弥补尚未识别的可能性损失的准备金。</w:t>
      </w:r>
    </w:p>
    <w:p>
      <w:pPr>
        <w:pStyle w:val="BodyText"/>
        <w:spacing w:line="297" w:lineRule="auto" w:before="122"/>
        <w:ind w:right="1130" w:firstLine="420"/>
        <w:jc w:val="both"/>
      </w:pPr>
      <w:r>
        <w:rPr/>
        <w:t>潜在风险估计值</w:t>
      </w:r>
      <w:r>
        <w:rPr>
          <w:rFonts w:ascii="Times New Roman" w:hAnsi="Times New Roman" w:cs="Times New Roman" w:eastAsia="Times New Roman" w:hint="default"/>
        </w:rPr>
        <w:t>=</w:t>
      </w:r>
      <w:r>
        <w:rPr/>
        <w:t>正常类风险资产的</w:t>
      </w:r>
      <w:r>
        <w:rPr>
          <w:spacing w:val="-79"/>
        </w:rPr>
        <w:t> </w:t>
      </w:r>
      <w:r>
        <w:rPr>
          <w:rFonts w:ascii="Times New Roman" w:hAnsi="Times New Roman" w:cs="Times New Roman" w:eastAsia="Times New Roman" w:hint="default"/>
        </w:rPr>
        <w:t>1.5%+</w:t>
      </w:r>
      <w:r>
        <w:rPr/>
        <w:t>关注类风险资产</w:t>
      </w:r>
      <w:r>
        <w:rPr>
          <w:spacing w:val="-79"/>
        </w:rPr>
        <w:t> </w:t>
      </w:r>
      <w:r>
        <w:rPr>
          <w:rFonts w:ascii="Times New Roman" w:hAnsi="Times New Roman" w:cs="Times New Roman" w:eastAsia="Times New Roman" w:hint="default"/>
        </w:rPr>
        <w:t>3%+</w:t>
      </w:r>
      <w:r>
        <w:rPr/>
        <w:t>次级类风险资产</w:t>
      </w:r>
      <w:r>
        <w:rPr>
          <w:spacing w:val="-78"/>
        </w:rPr>
        <w:t> </w:t>
      </w:r>
      <w:r>
        <w:rPr>
          <w:rFonts w:ascii="Times New Roman" w:hAnsi="Times New Roman" w:cs="Times New Roman" w:eastAsia="Times New Roman" w:hint="default"/>
        </w:rPr>
        <w:t>30%+</w:t>
      </w:r>
      <w:r>
        <w:rPr/>
        <w:t>可疑类风险资产 </w:t>
      </w:r>
      <w:r>
        <w:rPr>
          <w:rFonts w:ascii="Times New Roman" w:hAnsi="Times New Roman" w:cs="Times New Roman" w:eastAsia="Times New Roman" w:hint="default"/>
        </w:rPr>
        <w:t>60%+</w:t>
      </w:r>
      <w:r>
        <w:rPr/>
        <w:t>损失类风险资产</w:t>
      </w:r>
      <w:r>
        <w:rPr>
          <w:spacing w:val="-56"/>
        </w:rPr>
        <w:t> </w:t>
      </w:r>
      <w:r>
        <w:rPr>
          <w:rFonts w:ascii="Times New Roman" w:hAnsi="Times New Roman" w:cs="Times New Roman" w:eastAsia="Times New Roman" w:hint="default"/>
        </w:rPr>
        <w:t>100%</w:t>
      </w:r>
      <w:r>
        <w:rPr/>
        <w:t>。</w:t>
      </w:r>
    </w:p>
    <w:p>
      <w:pPr>
        <w:pStyle w:val="BodyText"/>
        <w:spacing w:line="314" w:lineRule="auto" w:before="50"/>
        <w:ind w:right="1131" w:firstLine="420"/>
        <w:jc w:val="both"/>
      </w:pPr>
      <w:r>
        <w:rPr>
          <w:spacing w:val="-1"/>
        </w:rPr>
        <w:t>对于潜在风险估计值高于资产减值准备的差额，计提一般准备。当潜在风险估计值低于资产减值准备</w:t>
      </w:r>
      <w:r>
        <w:rPr/>
        <w:t> 时，可不计提一般准备。一般准备余额原则上不得低于风险资产期末余额的</w:t>
      </w:r>
      <w:r>
        <w:rPr>
          <w:spacing w:val="-52"/>
        </w:rPr>
        <w:t> </w:t>
      </w:r>
      <w:r>
        <w:rPr>
          <w:rFonts w:ascii="Times New Roman" w:hAnsi="Times New Roman" w:cs="Times New Roman" w:eastAsia="Times New Roman" w:hint="default"/>
        </w:rPr>
        <w:t>1.5%</w:t>
      </w:r>
      <w:r>
        <w:rPr/>
        <w:t>。</w:t>
      </w:r>
    </w:p>
    <w:p>
      <w:pPr>
        <w:spacing w:line="240" w:lineRule="auto" w:before="10"/>
        <w:rPr>
          <w:rFonts w:ascii="宋体" w:hAnsi="宋体" w:cs="宋体" w:eastAsia="宋体" w:hint="default"/>
          <w:sz w:val="20"/>
          <w:szCs w:val="20"/>
        </w:rPr>
      </w:pPr>
    </w:p>
    <w:p>
      <w:pPr>
        <w:pStyle w:val="Heading5"/>
        <w:spacing w:line="240" w:lineRule="auto"/>
        <w:ind w:left="153" w:right="0"/>
        <w:jc w:val="both"/>
        <w:rPr>
          <w:b w:val="0"/>
          <w:bCs w:val="0"/>
        </w:rPr>
      </w:pPr>
      <w:bookmarkStart w:name="23、职工薪酬" w:id="191"/>
      <w:bookmarkEnd w:id="191"/>
      <w:r>
        <w:rPr>
          <w:b w:val="0"/>
          <w:bCs w:val="0"/>
        </w:rPr>
      </w:r>
      <w:r>
        <w:rPr>
          <w:rFonts w:ascii="Times New Roman" w:hAnsi="Times New Roman" w:cs="Times New Roman" w:eastAsia="Times New Roman" w:hint="default"/>
        </w:rPr>
        <w:t>23</w:t>
      </w:r>
      <w:r>
        <w:rPr/>
        <w:t>、职工薪酬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both"/>
        <w:rPr>
          <w:b w:val="0"/>
          <w:bCs w:val="0"/>
        </w:rPr>
      </w:pPr>
      <w:bookmarkStart w:name="（1）短期薪酬的会计处理方法" w:id="192"/>
      <w:bookmarkEnd w:id="19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633" w:right="1033"/>
        <w:jc w:val="left"/>
      </w:pPr>
      <w:r>
        <w:rPr/>
        <w:t>本公司职工薪酬主要包括短期职工薪酬、离职后福利、辞退福利以及其他长期职工福利。其中： 短期薪酬主要包括工资、奖金、津贴和补贴、职工福利费、医疗保险费、生育保险费、工伤保险费、</w:t>
      </w:r>
    </w:p>
    <w:p>
      <w:pPr>
        <w:pStyle w:val="BodyText"/>
        <w:spacing w:line="314" w:lineRule="auto"/>
        <w:ind w:right="1131"/>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638" w:lineRule="exact" w:before="31"/>
        <w:ind w:left="634" w:right="1120" w:hanging="480"/>
        <w:jc w:val="left"/>
        <w:rPr>
          <w:rFonts w:ascii="宋体" w:hAnsi="宋体" w:cs="宋体" w:eastAsia="宋体" w:hint="default"/>
          <w:sz w:val="21"/>
          <w:szCs w:val="21"/>
        </w:rPr>
      </w:pPr>
      <w:bookmarkStart w:name="（2）离职后福利的会计处理方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离职后福利主要包括设定提存计划，设定提存计划主要包括基本养老保险、失业保险以及年金等，相</w:t>
      </w:r>
    </w:p>
    <w:p>
      <w:pPr>
        <w:pStyle w:val="BodyText"/>
        <w:spacing w:line="260" w:lineRule="exact" w:before="0"/>
        <w:ind w:left="154" w:right="0"/>
        <w:jc w:val="both"/>
      </w:pPr>
      <w:r>
        <w:rPr/>
        <w:t>应的应缴存金额于发生时计入相关资产成本或当期损益。</w:t>
      </w:r>
    </w:p>
    <w:p>
      <w:pPr>
        <w:spacing w:line="620" w:lineRule="atLeast" w:before="32"/>
        <w:ind w:left="633" w:right="0" w:hanging="480"/>
        <w:jc w:val="left"/>
        <w:rPr>
          <w:rFonts w:ascii="宋体" w:hAnsi="宋体" w:cs="宋体" w:eastAsia="宋体" w:hint="default"/>
          <w:sz w:val="21"/>
          <w:szCs w:val="21"/>
        </w:rPr>
      </w:pPr>
      <w:bookmarkStart w:name="（3）辞退福利的会计处理方法"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在职工劳动合同到期之前解除与职工的劳动关系，或为鼓励职工自愿接受裁减而提出给予补偿的建</w:t>
      </w:r>
    </w:p>
    <w:p>
      <w:pPr>
        <w:pStyle w:val="BodyText"/>
        <w:spacing w:line="314" w:lineRule="auto" w:before="84"/>
        <w:ind w:right="1131"/>
        <w:jc w:val="both"/>
      </w:pPr>
      <w:r>
        <w:rPr>
          <w:spacing w:val="-1"/>
        </w:rPr>
        <w:t>议，在本公司不能单方面撤回因解除劳动关系计划或裁减建议所提供的辞退福利时，和本公司确认与涉及</w:t>
      </w:r>
      <w:r>
        <w:rPr>
          <w:spacing w:val="-81"/>
        </w:rPr>
        <w:t> </w:t>
      </w:r>
      <w:r>
        <w:rPr>
          <w:spacing w:val="-81"/>
        </w:rPr>
      </w:r>
      <w:r>
        <w:rPr>
          <w:spacing w:val="-1"/>
        </w:rPr>
        <w:t>支付辞退福利的重组相关的成本两者孰早日，确认辞退福利产生的职工薪酬负债，并计入当期损益。但辞</w:t>
      </w:r>
      <w:r>
        <w:rPr>
          <w:spacing w:val="-83"/>
        </w:rPr>
        <w:t> </w:t>
      </w:r>
      <w:r>
        <w:rPr>
          <w:spacing w:val="-83"/>
        </w:rPr>
      </w:r>
      <w:r>
        <w:rPr/>
        <w:t>退福利预期在年度报告期结束后十二个月不能完全支付的，按照其他长期职工薪酬处理。</w:t>
      </w:r>
    </w:p>
    <w:p>
      <w:pPr>
        <w:pStyle w:val="BodyText"/>
        <w:spacing w:line="314" w:lineRule="auto"/>
        <w:ind w:right="1130" w:firstLine="480"/>
        <w:jc w:val="both"/>
      </w:pPr>
      <w:r>
        <w:rPr>
          <w:spacing w:val="-2"/>
        </w:rPr>
        <w:t>职工内部退休计划采用上述辞退福利相同的原则处理。本公司将自职工停止提供服务日至正常退休日</w:t>
      </w:r>
      <w:r>
        <w:rPr/>
        <w:t> </w:t>
      </w:r>
      <w:r>
        <w:rPr>
          <w:spacing w:val="-1"/>
        </w:rPr>
        <w:t>的期间拟支付的内退人员工资和缴纳的社会保险费等，在符合预计负债确认条件时，计入当期损益（辞退</w:t>
      </w:r>
      <w:r>
        <w:rPr>
          <w:spacing w:val="-83"/>
        </w:rPr>
        <w:t> </w:t>
      </w:r>
      <w:r>
        <w:rPr>
          <w:spacing w:val="-83"/>
        </w:rPr>
      </w:r>
      <w:r>
        <w:rPr/>
        <w:t>福利）。</w:t>
      </w:r>
    </w:p>
    <w:p>
      <w:pPr>
        <w:spacing w:line="636" w:lineRule="exact" w:before="32"/>
        <w:ind w:left="633" w:right="1121" w:hanging="480"/>
        <w:jc w:val="left"/>
        <w:rPr>
          <w:rFonts w:ascii="宋体" w:hAnsi="宋体" w:cs="宋体" w:eastAsia="宋体" w:hint="default"/>
          <w:sz w:val="21"/>
          <w:szCs w:val="21"/>
        </w:rPr>
      </w:pPr>
      <w:bookmarkStart w:name="（4）其他长期职工福利的会计处理方法" w:id="195"/>
      <w:bookmarkEnd w:id="1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本公司向职工提供的其他长期职工福利，符合设定提存计划的，按照设定提存计划进行会计处理，除</w:t>
      </w:r>
    </w:p>
    <w:p>
      <w:pPr>
        <w:pStyle w:val="BodyText"/>
        <w:spacing w:line="261" w:lineRule="exact" w:before="0"/>
        <w:ind w:right="0"/>
        <w:jc w:val="both"/>
      </w:pPr>
      <w:r>
        <w:rPr/>
        <w:t>此之外按照设定收益计划进行会计处理。</w:t>
      </w:r>
    </w:p>
    <w:p>
      <w:pPr>
        <w:spacing w:after="0" w:line="261" w:lineRule="exact"/>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24、预计负债" w:id="196"/>
      <w:bookmarkEnd w:id="196"/>
      <w:r>
        <w:rPr>
          <w:b w:val="0"/>
          <w:bCs w:val="0"/>
        </w:rPr>
      </w:r>
      <w:r>
        <w:rPr>
          <w:rFonts w:ascii="Times New Roman" w:hAnsi="Times New Roman" w:cs="Times New Roman" w:eastAsia="Times New Roman" w:hint="default"/>
        </w:rPr>
        <w:t>24</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295" w:lineRule="auto" w:before="0"/>
        <w:ind w:right="1138" w:firstLine="480"/>
        <w:jc w:val="left"/>
      </w:pPr>
      <w:r>
        <w:rPr/>
        <w:t>当与或有事项相关的义务同时符合以下条件，确认为预计负债：（</w:t>
      </w:r>
      <w:r>
        <w:rPr>
          <w:rFonts w:ascii="Times New Roman" w:hAnsi="Times New Roman" w:cs="Times New Roman" w:eastAsia="Times New Roman" w:hint="default"/>
        </w:rPr>
        <w:t>1</w:t>
      </w:r>
      <w:r>
        <w:rPr/>
        <w:t>）该义务是本公司承担的现时义 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）该义务的金额能够可靠地计量。</w:t>
      </w:r>
    </w:p>
    <w:p>
      <w:pPr>
        <w:pStyle w:val="BodyText"/>
        <w:spacing w:line="314" w:lineRule="auto" w:before="15"/>
        <w:ind w:right="1121" w:firstLine="480"/>
        <w:jc w:val="left"/>
      </w:pPr>
      <w:r>
        <w:rPr>
          <w:spacing w:val="-2"/>
        </w:rPr>
        <w:t>在资产负债表日，考虑与或有事项有关的风险、不确定性和货币时间价值等因素，按照履行相关现时</w:t>
      </w:r>
      <w:r>
        <w:rPr/>
        <w:t> 义务所需支出的最佳估计数对预计负债进行计量。</w:t>
      </w:r>
    </w:p>
    <w:p>
      <w:pPr>
        <w:pStyle w:val="BodyText"/>
        <w:spacing w:line="314" w:lineRule="auto"/>
        <w:ind w:right="1121" w:firstLine="480"/>
        <w:jc w:val="left"/>
      </w:pPr>
      <w:r>
        <w:rPr>
          <w:spacing w:val="-2"/>
        </w:rPr>
        <w:t>如果清偿预计负债所需支出全部或部分预期由第三方补偿的，补偿金额在基本确定能够收到时，作为</w:t>
      </w:r>
      <w:r>
        <w:rPr/>
        <w:t> 资产单独确认，且确认的补偿金额不超过预计负债的账面价值。</w:t>
      </w:r>
    </w:p>
    <w:p>
      <w:pPr>
        <w:spacing w:line="240" w:lineRule="auto" w:before="8"/>
        <w:rPr>
          <w:rFonts w:ascii="宋体" w:hAnsi="宋体" w:cs="宋体" w:eastAsia="宋体" w:hint="default"/>
          <w:sz w:val="22"/>
          <w:szCs w:val="22"/>
        </w:rPr>
      </w:pPr>
    </w:p>
    <w:p>
      <w:pPr>
        <w:pStyle w:val="Heading5"/>
        <w:spacing w:line="240" w:lineRule="auto"/>
        <w:ind w:left="153" w:right="0"/>
        <w:jc w:val="left"/>
        <w:rPr>
          <w:b w:val="0"/>
          <w:bCs w:val="0"/>
        </w:rPr>
      </w:pPr>
      <w:bookmarkStart w:name="25、收入" w:id="197"/>
      <w:bookmarkEnd w:id="197"/>
      <w:r>
        <w:rPr>
          <w:b w:val="0"/>
          <w:bCs w:val="0"/>
        </w:rPr>
      </w:r>
      <w:r>
        <w:rPr>
          <w:rFonts w:ascii="Times New Roman" w:hAnsi="Times New Roman" w:cs="Times New Roman" w:eastAsia="Times New Roman" w:hint="default"/>
        </w:rPr>
        <w:t>25</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95" w:lineRule="auto" w:before="0"/>
        <w:ind w:left="633" w:right="1033"/>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在已将商品所有权上的主要风险和报酬转移给买方，既没有保留通常与所有权相联系的继续管理权，</w:t>
      </w:r>
    </w:p>
    <w:p>
      <w:pPr>
        <w:pStyle w:val="BodyText"/>
        <w:spacing w:line="314" w:lineRule="auto" w:before="35"/>
        <w:ind w:right="0"/>
        <w:jc w:val="left"/>
      </w:pPr>
      <w:r>
        <w:rPr>
          <w:spacing w:val="-1"/>
        </w:rPr>
        <w:t>也没有对已售商品实施有效控制，收入的金额能够可靠地计量，相关的经济利益很可能流入企业，相关的</w:t>
      </w:r>
      <w:r>
        <w:rPr>
          <w:spacing w:val="-83"/>
        </w:rPr>
        <w:t> </w:t>
      </w:r>
      <w:r>
        <w:rPr>
          <w:spacing w:val="-83"/>
        </w:rPr>
      </w:r>
      <w:r>
        <w:rPr/>
        <w:t>已发生或将发生的成本能够可靠地计量时，确认商品销售收入的实现。</w:t>
      </w:r>
    </w:p>
    <w:p>
      <w:pPr>
        <w:pStyle w:val="BodyText"/>
        <w:spacing w:line="314" w:lineRule="auto"/>
        <w:ind w:right="1010" w:firstLine="480"/>
        <w:jc w:val="left"/>
      </w:pPr>
      <w:r>
        <w:rPr/>
        <w:t>根据不同销售模式，本公司销售商品收入确认方法具体如下：① 服装出口业务：收到购货方给予的 信用证或收到购货方其他相关结算单证，服装发出并办理出口报关手续确认销售收入；②</w:t>
      </w:r>
      <w:r>
        <w:rPr>
          <w:spacing w:val="-22"/>
        </w:rPr>
        <w:t> </w:t>
      </w:r>
      <w:r>
        <w:rPr/>
        <w:t>服装内销收入：</w:t>
      </w:r>
      <w:r>
        <w:rPr/>
        <w:t> 商品发出后经贸易部与客户确认检验合格后通知财务部确认销售收入。</w:t>
      </w:r>
    </w:p>
    <w:p>
      <w:pPr>
        <w:pStyle w:val="BodyText"/>
        <w:spacing w:line="295" w:lineRule="auto"/>
        <w:ind w:left="633" w:right="1121"/>
        <w:jc w:val="left"/>
      </w:pPr>
      <w:r>
        <w:rPr/>
        <w:t>（</w:t>
      </w:r>
      <w:r>
        <w:rPr>
          <w:rFonts w:ascii="Times New Roman" w:hAnsi="Times New Roman" w:cs="Times New Roman" w:eastAsia="Times New Roman" w:hint="default"/>
        </w:rPr>
        <w:t>2</w:t>
      </w:r>
      <w:r>
        <w:rPr/>
        <w:t>）利息收入和支出 </w:t>
      </w:r>
      <w:r>
        <w:rPr>
          <w:spacing w:val="-2"/>
        </w:rPr>
        <w:t>以摊余成本计量的金融工具及可供出售金融资产中的计息金融工具，利息收入和支出根据权责发生制</w:t>
      </w:r>
    </w:p>
    <w:p>
      <w:pPr>
        <w:pStyle w:val="BodyText"/>
        <w:spacing w:line="314" w:lineRule="auto" w:before="36"/>
        <w:ind w:right="1024"/>
        <w:jc w:val="left"/>
      </w:pPr>
      <w:r>
        <w:rPr/>
        <w:t>原则按实际利率法在利润表中确认。实际利率法是一种计算某项金融资产或负债的摊余成本以及在相关期 间分摊利息收入和利息支出的方法。实际利率是在金融工具预计到期日或某一恰当较短期限内，将其未来 </w:t>
      </w:r>
      <w:r>
        <w:rPr>
          <w:spacing w:val="-3"/>
        </w:rPr>
        <w:t>现金流量贴现为账面净额所使用的利率。本公司在估计未来现金流量时，会考虑金融工具的所有合同条款，</w:t>
      </w:r>
      <w:r>
        <w:rPr>
          <w:spacing w:val="-92"/>
        </w:rPr>
        <w:t> </w:t>
      </w:r>
      <w:r>
        <w:rPr>
          <w:spacing w:val="-92"/>
        </w:rPr>
      </w:r>
      <w:r>
        <w:rPr/>
        <w:t>但不会考虑未来的信用损失。计算实际利率会考虑交易成本、折溢价和合同各方之间收付的所有与实际利</w:t>
      </w:r>
      <w:r>
        <w:rPr/>
        <w:t> 率相关的费用。</w:t>
      </w:r>
    </w:p>
    <w:p>
      <w:pPr>
        <w:pStyle w:val="BodyText"/>
        <w:spacing w:line="314" w:lineRule="auto"/>
        <w:ind w:right="1121" w:firstLine="480"/>
        <w:jc w:val="left"/>
      </w:pPr>
      <w:r>
        <w:rPr>
          <w:spacing w:val="-2"/>
        </w:rPr>
        <w:t>若金融资产发生减值，确认其利息收入的实际利率按照计量损失的未来现金流贴现利率确定按照他人</w:t>
      </w:r>
      <w:r>
        <w:rPr/>
        <w:t> 使用本公司货币资金的时间和实际利率计算确定。</w:t>
      </w:r>
    </w:p>
    <w:p>
      <w:pPr>
        <w:pStyle w:val="BodyText"/>
        <w:spacing w:line="295" w:lineRule="auto"/>
        <w:ind w:left="573" w:right="0" w:firstLine="60"/>
        <w:jc w:val="left"/>
      </w:pPr>
      <w:r>
        <w:rPr/>
        <w:t>（</w:t>
      </w:r>
      <w:r>
        <w:rPr>
          <w:rFonts w:ascii="Times New Roman" w:hAnsi="Times New Roman" w:cs="Times New Roman" w:eastAsia="Times New Roman" w:hint="default"/>
        </w:rPr>
        <w:t>3</w:t>
      </w:r>
      <w:r>
        <w:rPr/>
        <w:t>）担保费收入 </w:t>
      </w:r>
      <w:r>
        <w:rPr>
          <w:spacing w:val="-1"/>
        </w:rPr>
        <w:t>担保费收入于担保合同成立并承担相应担保责任，与担保合同相关的经济利益能够流入，并与担保合</w:t>
      </w:r>
    </w:p>
    <w:p>
      <w:pPr>
        <w:pStyle w:val="BodyText"/>
        <w:spacing w:line="314" w:lineRule="auto" w:before="35"/>
        <w:ind w:right="1024"/>
        <w:jc w:val="left"/>
      </w:pPr>
      <w:r>
        <w:rPr/>
        <w:t>同相关的净收入能够可靠计量时予以确认。担保费收入的金额按担保合同规定的应向被担保人收取的金额 确定；采取趸收方式向被担保人收取担保费的，一次性确认为担保费收入。担保合同成立并开始承担担保 </w:t>
      </w:r>
      <w:r>
        <w:rPr>
          <w:spacing w:val="-3"/>
        </w:rPr>
        <w:t>责任前，收到的被担保人交纳的担保费，确认为负债，作为预收担保费处理，在符合上述规定确认条件时，</w:t>
      </w:r>
      <w:r>
        <w:rPr>
          <w:spacing w:val="-96"/>
        </w:rPr>
        <w:t> </w:t>
      </w:r>
      <w:r>
        <w:rPr>
          <w:spacing w:val="-96"/>
        </w:rPr>
      </w:r>
      <w:r>
        <w:rPr/>
        <w:t>确认为担保费收入。担保合同成立并开始承担担保责任后，被担保人提前清偿被担保的主债务而解除担保</w:t>
      </w:r>
      <w:r>
        <w:rPr/>
        <w:t> 责任，按担保合同规定向被担保人退还部分担保费的，按实际退还的担保费冲减当期的担保费收入。</w:t>
      </w:r>
    </w:p>
    <w:p>
      <w:pPr>
        <w:pStyle w:val="BodyText"/>
        <w:spacing w:line="295" w:lineRule="auto"/>
        <w:ind w:left="754" w:right="4062" w:hanging="121"/>
        <w:jc w:val="left"/>
      </w:pPr>
      <w:r>
        <w:rPr/>
        <w:t>（</w:t>
      </w:r>
      <w:r>
        <w:rPr>
          <w:rFonts w:ascii="Times New Roman" w:hAnsi="Times New Roman" w:cs="Times New Roman" w:eastAsia="Times New Roman" w:hint="default"/>
        </w:rPr>
        <w:t>4</w:t>
      </w:r>
      <w:r>
        <w:rPr/>
        <w:t>）手续费及佣金收入 手续费及佣金收入通常在提供相关服务时按权责发生制原则确认。</w:t>
      </w:r>
    </w:p>
    <w:p>
      <w:pPr>
        <w:spacing w:after="0" w:line="295"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26、政府补助" w:id="198"/>
      <w:bookmarkEnd w:id="198"/>
      <w:r>
        <w:rPr>
          <w:b w:val="0"/>
          <w:bCs w:val="0"/>
        </w:rPr>
      </w:r>
      <w:r>
        <w:rPr>
          <w:rFonts w:ascii="Times New Roman" w:hAnsi="Times New Roman" w:cs="Times New Roman" w:eastAsia="Times New Roman" w:hint="default"/>
        </w:rPr>
        <w:t>26</w:t>
      </w:r>
      <w:r>
        <w:rPr/>
        <w:t>、政府补助</w:t>
      </w:r>
      <w:r>
        <w:rPr>
          <w:b w:val="0"/>
          <w:bCs w:val="0"/>
        </w:rPr>
      </w:r>
    </w:p>
    <w:p>
      <w:pPr>
        <w:spacing w:line="636" w:lineRule="exact" w:before="59"/>
        <w:ind w:left="634" w:right="1242" w:hanging="480"/>
        <w:jc w:val="left"/>
        <w:rPr>
          <w:rFonts w:ascii="宋体" w:hAnsi="宋体" w:cs="宋体" w:eastAsia="宋体" w:hint="default"/>
          <w:sz w:val="21"/>
          <w:szCs w:val="21"/>
        </w:rPr>
      </w:pPr>
      <w:bookmarkStart w:name="（1）与资产相关的政府补助判断依据及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政府补助是指本公司从政府无偿取得货币性资产和非货币性资产，不包括政府作为所有者投入的资</w:t>
      </w:r>
    </w:p>
    <w:p>
      <w:pPr>
        <w:pStyle w:val="BodyText"/>
        <w:spacing w:line="261" w:lineRule="exact" w:before="0"/>
        <w:ind w:left="154" w:right="0"/>
        <w:jc w:val="left"/>
      </w:pPr>
      <w:r>
        <w:rPr/>
        <w:t>本。政府补助分为与资产相关的政府补助和与收益相关的政府补助。本公司将所取得的用于购建或以其他</w:t>
      </w:r>
    </w:p>
    <w:p>
      <w:pPr>
        <w:pStyle w:val="BodyText"/>
        <w:spacing w:line="307" w:lineRule="auto" w:before="84"/>
        <w:ind w:left="154" w:right="1118"/>
        <w:jc w:val="left"/>
      </w:pPr>
      <w:r>
        <w:rPr/>
        <w:t>方式形成长期资产的政府补助界定为与资产相关的政府补助；其余政府补助界定为与收益相关的政府补 </w:t>
      </w:r>
      <w:r>
        <w:rPr>
          <w:spacing w:val="-1"/>
        </w:rPr>
        <w:t>助。若政府文件未明确规定补助对象，则采用以下方式将补助款划分为与收益相关的政府补助和与资产相</w:t>
      </w:r>
      <w:r>
        <w:rPr>
          <w:spacing w:val="-81"/>
        </w:rPr>
        <w:t> </w:t>
      </w:r>
      <w:r>
        <w:rPr>
          <w:spacing w:val="-81"/>
        </w:rPr>
      </w:r>
      <w:r>
        <w:rPr/>
        <w:t>关的政府补助：（</w:t>
      </w:r>
      <w:r>
        <w:rPr>
          <w:rFonts w:ascii="Times New Roman" w:hAnsi="Times New Roman" w:cs="Times New Roman" w:eastAsia="Times New Roman" w:hint="default"/>
        </w:rPr>
        <w:t>1</w:t>
      </w:r>
      <w:r>
        <w:rPr/>
        <w:t>）政府文件明确了补助所针对的特定项目的，根据该特定项目的预算中将形成资产的 </w:t>
      </w:r>
      <w:r>
        <w:rPr>
          <w:spacing w:val="-1"/>
        </w:rPr>
        <w:t>支出金额和计入费用的支出金额的相对比例进行划分，对该划分比例需在每个资产负债表日进行复核，必</w:t>
      </w:r>
      <w:r>
        <w:rPr>
          <w:spacing w:val="-81"/>
        </w:rPr>
        <w:t> </w:t>
      </w:r>
      <w:r>
        <w:rPr>
          <w:spacing w:val="-81"/>
        </w:rPr>
      </w:r>
      <w:r>
        <w:rPr/>
        <w:t>要时进行变更；（</w:t>
      </w:r>
      <w:r>
        <w:rPr>
          <w:rFonts w:ascii="Times New Roman" w:hAnsi="Times New Roman" w:cs="Times New Roman" w:eastAsia="Times New Roman" w:hint="default"/>
        </w:rPr>
        <w:t>2</w:t>
      </w:r>
      <w:r>
        <w:rPr/>
        <w:t>）政府文件中对用途仅作一般性表述，没有指明特定项目的，作为与收益相关的政府 补助。</w:t>
      </w:r>
    </w:p>
    <w:p>
      <w:pPr>
        <w:pStyle w:val="BodyText"/>
        <w:spacing w:line="314" w:lineRule="auto" w:before="25"/>
        <w:ind w:left="154" w:right="1132" w:firstLine="480"/>
        <w:jc w:val="both"/>
      </w:pPr>
      <w:r>
        <w:rPr>
          <w:spacing w:val="-2"/>
        </w:rPr>
        <w:t>政府补助为货币性资产的，按照收到或应收的金额计量。政府补助为非货币性资产的，按照公允价值</w:t>
      </w:r>
      <w:r>
        <w:rPr/>
        <w:t> </w:t>
      </w:r>
      <w:r>
        <w:rPr>
          <w:spacing w:val="-1"/>
        </w:rPr>
        <w:t>计量；公允价值不能够可靠取得的，按照名义金额计量。按照名义金额计量的政府补助，直接计入当期损</w:t>
      </w:r>
      <w:r>
        <w:rPr>
          <w:spacing w:val="-86"/>
        </w:rPr>
        <w:t> </w:t>
      </w:r>
      <w:r>
        <w:rPr>
          <w:spacing w:val="-86"/>
        </w:rPr>
      </w:r>
      <w:r>
        <w:rPr/>
        <w:t>益。</w:t>
      </w:r>
    </w:p>
    <w:p>
      <w:pPr>
        <w:pStyle w:val="BodyText"/>
        <w:spacing w:line="307" w:lineRule="auto"/>
        <w:ind w:right="1121" w:firstLine="480"/>
        <w:jc w:val="left"/>
      </w:pPr>
      <w:r>
        <w:rPr>
          <w:spacing w:val="-2"/>
        </w:rPr>
        <w:t>本公司对于政府补助通常在实际收到时，按照实收金额予以确认和计量。但对于期末有确凿证据表明</w:t>
      </w:r>
      <w:r>
        <w:rPr/>
        <w:t> </w:t>
      </w:r>
      <w:r>
        <w:rPr>
          <w:spacing w:val="-1"/>
        </w:rPr>
        <w:t>能够符合财政扶持政策规定的相关条件预计能够收到财政扶持资金，按照应收的金额计量。按照应收金额</w:t>
      </w:r>
      <w:r>
        <w:rPr>
          <w:spacing w:val="-81"/>
        </w:rPr>
        <w:t> </w:t>
      </w:r>
      <w:r>
        <w:rPr>
          <w:spacing w:val="-81"/>
        </w:rPr>
      </w:r>
      <w:r>
        <w:rPr/>
        <w:t>计量的政府补助应同时符合以下条件：（</w:t>
      </w:r>
      <w:r>
        <w:rPr>
          <w:rFonts w:ascii="Times New Roman" w:hAnsi="Times New Roman" w:cs="Times New Roman" w:eastAsia="Times New Roman" w:hint="default"/>
        </w:rPr>
        <w:t>1</w:t>
      </w:r>
      <w:r>
        <w:rPr/>
        <w:t>）应收补助款的金额已经过有权政府部门发文确认，或者可根 据正式发布的财政资金管理办法的有关规定自行合理测算，且预计其金额不存在重大不确定性；（</w:t>
      </w:r>
      <w:r>
        <w:rPr>
          <w:rFonts w:ascii="Times New Roman" w:hAnsi="Times New Roman" w:cs="Times New Roman" w:eastAsia="Times New Roman" w:hint="default"/>
        </w:rPr>
        <w:t>2</w:t>
      </w:r>
      <w:r>
        <w:rPr/>
        <w:t>）所 </w:t>
      </w:r>
      <w:r>
        <w:rPr>
          <w:spacing w:val="-1"/>
        </w:rPr>
        <w:t>依据的是当地财政部门正式发布并按照《政府信息公开条例》的规定予以主动公开的财政扶持项目及其财</w:t>
      </w:r>
      <w:r>
        <w:rPr>
          <w:spacing w:val="-81"/>
        </w:rPr>
        <w:t> </w:t>
      </w:r>
      <w:r>
        <w:rPr>
          <w:spacing w:val="-81"/>
        </w:rPr>
      </w:r>
      <w:r>
        <w:rPr>
          <w:spacing w:val="-1"/>
        </w:rPr>
        <w:t>政资金管理办法，且该管理办法应当是普惠性的（任何符合规定条件的企业均可申请），而不是专门针对</w:t>
      </w:r>
      <w:r>
        <w:rPr>
          <w:spacing w:val="-86"/>
        </w:rPr>
        <w:t> </w:t>
      </w:r>
      <w:r>
        <w:rPr>
          <w:spacing w:val="-86"/>
        </w:rPr>
      </w:r>
      <w:r>
        <w:rPr/>
        <w:t>特定企业制定的；（</w:t>
      </w:r>
      <w:r>
        <w:rPr>
          <w:rFonts w:ascii="Times New Roman" w:hAnsi="Times New Roman" w:cs="Times New Roman" w:eastAsia="Times New Roman" w:hint="default"/>
        </w:rPr>
        <w:t>3</w:t>
      </w:r>
      <w:r>
        <w:rPr/>
        <w:t>）相关的补助款批文中已明确承诺了拨付期限，且该款项的拨付是有相应财政预算 作为保障的，因而可以合理保证其可在规定期限内收到。</w:t>
      </w:r>
    </w:p>
    <w:p>
      <w:pPr>
        <w:pStyle w:val="BodyText"/>
        <w:spacing w:line="314" w:lineRule="auto" w:before="25"/>
        <w:ind w:left="633" w:right="1121"/>
        <w:jc w:val="left"/>
      </w:pPr>
      <w:r>
        <w:rPr/>
        <w:t>与资产相关的政府补助，确认为递延收益，并在相关资产的使用寿命内平均分配计入当期损益。 </w:t>
      </w:r>
      <w:r>
        <w:rPr>
          <w:spacing w:val="-2"/>
        </w:rPr>
        <w:t>已确认的政府补助需要返还时，存在相关递延收益余额的，冲减相关递延收益账面余额，超出部分计</w:t>
      </w:r>
    </w:p>
    <w:p>
      <w:pPr>
        <w:pStyle w:val="BodyText"/>
        <w:spacing w:line="240" w:lineRule="auto"/>
        <w:ind w:right="0"/>
        <w:jc w:val="left"/>
      </w:pPr>
      <w:r>
        <w:rPr/>
        <w:t>入当期损益；不存在相关递延收益的，直接计入当期损益。</w:t>
      </w:r>
    </w:p>
    <w:p>
      <w:pPr>
        <w:spacing w:line="620" w:lineRule="atLeast" w:before="32"/>
        <w:ind w:left="574" w:right="0" w:hanging="420"/>
        <w:jc w:val="left"/>
        <w:rPr>
          <w:rFonts w:ascii="宋体" w:hAnsi="宋体" w:cs="宋体" w:eastAsia="宋体" w:hint="default"/>
          <w:sz w:val="21"/>
          <w:szCs w:val="21"/>
        </w:rPr>
      </w:pPr>
      <w:bookmarkStart w:name="（2）与收益相关的政府补助判断依据及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与收益相关的政府补助，用于补偿以后期间的相关费用和损失的，确认为递延收益，并在确认相关费</w:t>
      </w:r>
    </w:p>
    <w:p>
      <w:pPr>
        <w:pStyle w:val="BodyText"/>
        <w:spacing w:line="240" w:lineRule="auto" w:before="84"/>
        <w:ind w:left="154" w:right="0"/>
        <w:jc w:val="left"/>
      </w:pPr>
      <w:r>
        <w:rPr/>
        <w:t>用的期间计入当期损益；用于补偿已经发生的相关费用和损失的，直接计入当期损益。</w:t>
      </w:r>
    </w:p>
    <w:p>
      <w:pPr>
        <w:spacing w:line="240" w:lineRule="auto" w:before="8"/>
        <w:rPr>
          <w:rFonts w:ascii="宋体" w:hAnsi="宋体" w:cs="宋体" w:eastAsia="宋体" w:hint="default"/>
          <w:sz w:val="27"/>
          <w:szCs w:val="27"/>
        </w:rPr>
      </w:pPr>
    </w:p>
    <w:p>
      <w:pPr>
        <w:pStyle w:val="Heading5"/>
        <w:spacing w:line="240" w:lineRule="auto"/>
        <w:ind w:left="153" w:right="0"/>
        <w:jc w:val="left"/>
        <w:rPr>
          <w:b w:val="0"/>
          <w:bCs w:val="0"/>
        </w:rPr>
      </w:pPr>
      <w:bookmarkStart w:name="27、递延所得税资产/递延所得税负债" w:id="201"/>
      <w:bookmarkEnd w:id="201"/>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295" w:lineRule="auto" w:before="0"/>
        <w:ind w:left="633" w:right="1121"/>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w:t>
      </w:r>
    </w:p>
    <w:p>
      <w:pPr>
        <w:pStyle w:val="BodyText"/>
        <w:spacing w:line="314" w:lineRule="auto" w:before="36"/>
        <w:ind w:right="0"/>
        <w:jc w:val="left"/>
      </w:pPr>
      <w:r>
        <w:rPr>
          <w:spacing w:val="-1"/>
        </w:rPr>
        <w:t>应交纳（或返还）的所得税金额计量。计算当期所得税费用所依据的应纳税所得额系根据有关税法规定对</w:t>
      </w:r>
      <w:r>
        <w:rPr>
          <w:spacing w:val="-83"/>
        </w:rPr>
        <w:t> </w:t>
      </w:r>
      <w:r>
        <w:rPr>
          <w:spacing w:val="-83"/>
        </w:rPr>
      </w:r>
      <w:r>
        <w:rPr/>
        <w:t>本年度税前会计利润作相应调整后计算得出。</w:t>
      </w:r>
    </w:p>
    <w:p>
      <w:pPr>
        <w:pStyle w:val="BodyText"/>
        <w:spacing w:line="295" w:lineRule="auto"/>
        <w:ind w:left="634" w:right="112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w:t>
      </w:r>
    </w:p>
    <w:p>
      <w:pPr>
        <w:spacing w:after="0" w:line="295" w:lineRule="auto"/>
        <w:jc w:val="left"/>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1132"/>
        <w:jc w:val="both"/>
      </w:pP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pStyle w:val="BodyText"/>
        <w:spacing w:line="314" w:lineRule="auto"/>
        <w:ind w:left="154" w:right="1023" w:firstLine="480"/>
        <w:jc w:val="left"/>
      </w:pPr>
      <w:r>
        <w:rPr>
          <w:spacing w:val="-2"/>
        </w:rPr>
        <w:t>与商誉的初始确认有关，以及与既不是企业合并、发生时也不影响会计利润和应纳税所得额（或可抵</w:t>
      </w:r>
      <w:r>
        <w:rPr/>
        <w:t>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pStyle w:val="BodyText"/>
        <w:spacing w:line="314" w:lineRule="auto"/>
        <w:ind w:right="1131" w:firstLine="480"/>
        <w:jc w:val="both"/>
      </w:pPr>
      <w:r>
        <w:rPr>
          <w:spacing w:val="-2"/>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pStyle w:val="BodyText"/>
        <w:spacing w:line="314" w:lineRule="auto"/>
        <w:ind w:left="154" w:right="1120" w:firstLine="480"/>
        <w:jc w:val="left"/>
      </w:pPr>
      <w:r>
        <w:rPr>
          <w:spacing w:val="-2"/>
        </w:rPr>
        <w:t>对于能够结转以后年度的可抵扣亏损和税款抵减，以很可能获得用来抵扣可抵扣亏损和税款抵减的未</w:t>
      </w:r>
      <w:r>
        <w:rPr/>
        <w:t> 来应纳税所得额为限，确认相应的递延所得税资产。</w:t>
      </w:r>
    </w:p>
    <w:p>
      <w:pPr>
        <w:pStyle w:val="BodyText"/>
        <w:spacing w:line="314" w:lineRule="auto"/>
        <w:ind w:left="154" w:right="1120" w:firstLine="480"/>
        <w:jc w:val="left"/>
      </w:pPr>
      <w:r>
        <w:rPr>
          <w:spacing w:val="-2"/>
        </w:rPr>
        <w:t>资产负债表日，对于递延所得税资产和递延所得税负债，根据税法规定，按照预期收回相关资产或清</w:t>
      </w:r>
      <w:r>
        <w:rPr/>
        <w:t> 偿相关负债期间的适用税率计量。</w:t>
      </w:r>
    </w:p>
    <w:p>
      <w:pPr>
        <w:pStyle w:val="BodyText"/>
        <w:spacing w:line="314" w:lineRule="auto"/>
        <w:ind w:left="154" w:right="1131" w:firstLine="480"/>
        <w:jc w:val="both"/>
      </w:pPr>
      <w:r>
        <w:rPr>
          <w:spacing w:val="-2"/>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pStyle w:val="BodyText"/>
        <w:spacing w:line="295" w:lineRule="auto"/>
        <w:ind w:left="634" w:right="628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4" w:lineRule="auto" w:before="35"/>
        <w:ind w:left="154" w:right="0" w:firstLine="480"/>
        <w:jc w:val="left"/>
      </w:pPr>
      <w:r>
        <w:rPr/>
        <w:t>除确认为其他综合收益或直接计入股东权益的交易和事项相关的当期所得税和递延所得税计入其他 </w:t>
      </w: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bookmarkStart w:name="28、重要会计政策和会计估计变更" w:id="202"/>
      <w:bookmarkEnd w:id="202"/>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both"/>
        <w:rPr>
          <w:b w:val="0"/>
          <w:bCs w:val="0"/>
        </w:rPr>
      </w:pPr>
      <w:bookmarkStart w:name="（1）重要会计政策变更" w:id="203"/>
      <w:bookmarkEnd w:id="20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95" w:lineRule="auto" w:before="0"/>
        <w:ind w:left="154" w:right="1025" w:firstLine="480"/>
        <w:jc w:val="both"/>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 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年修订）》、《企业会计 </w:t>
      </w:r>
      <w:r>
        <w:rPr>
          <w:spacing w:val="-1"/>
        </w:rPr>
        <w:t>准则第</w:t>
      </w:r>
      <w:r>
        <w:rPr>
          <w:rFonts w:ascii="Times New Roman" w:hAnsi="Times New Roman" w:cs="Times New Roman" w:eastAsia="Times New Roman" w:hint="default"/>
          <w:spacing w:val="-1"/>
        </w:rPr>
        <w:t>9</w:t>
      </w:r>
      <w:r>
        <w:rPr>
          <w:spacing w:val="-1"/>
        </w:rPr>
        <w:t>号</w:t>
      </w:r>
      <w:r>
        <w:rPr>
          <w:rFonts w:ascii="Times New Roman" w:hAnsi="Times New Roman" w:cs="Times New Roman" w:eastAsia="Times New Roman" w:hint="default"/>
          <w:spacing w:val="-1"/>
        </w:rPr>
        <w:t>——</w:t>
      </w:r>
      <w:r>
        <w:rPr>
          <w:spacing w:val="-1"/>
        </w:rPr>
        <w:t>职工薪酬（</w:t>
      </w:r>
      <w:r>
        <w:rPr>
          <w:rFonts w:ascii="Times New Roman" w:hAnsi="Times New Roman" w:cs="Times New Roman" w:eastAsia="Times New Roman" w:hint="default"/>
          <w:spacing w:val="-1"/>
        </w:rPr>
        <w:t>2014</w:t>
      </w:r>
      <w:r>
        <w:rPr>
          <w:spacing w:val="-1"/>
        </w:rPr>
        <w:t>年修订）》、《企业会计准则第</w:t>
      </w:r>
      <w:r>
        <w:rPr>
          <w:rFonts w:ascii="Times New Roman" w:hAnsi="Times New Roman" w:cs="Times New Roman" w:eastAsia="Times New Roman" w:hint="default"/>
          <w:spacing w:val="-1"/>
        </w:rPr>
        <w:t>33</w:t>
      </w:r>
      <w:r>
        <w:rPr>
          <w:spacing w:val="-1"/>
        </w:rPr>
        <w:t>号</w:t>
      </w:r>
      <w:r>
        <w:rPr>
          <w:rFonts w:ascii="Times New Roman" w:hAnsi="Times New Roman" w:cs="Times New Roman" w:eastAsia="Times New Roman" w:hint="default"/>
          <w:spacing w:val="-1"/>
        </w:rPr>
        <w:t>——</w:t>
      </w:r>
      <w:r>
        <w:rPr>
          <w:spacing w:val="-1"/>
        </w:rPr>
        <w:t>合并财务报表（</w:t>
      </w:r>
      <w:r>
        <w:rPr>
          <w:rFonts w:ascii="Times New Roman" w:hAnsi="Times New Roman" w:cs="Times New Roman" w:eastAsia="Times New Roman" w:hint="default"/>
          <w:spacing w:val="-1"/>
        </w:rPr>
        <w:t>2014</w:t>
      </w:r>
      <w:r>
        <w:rPr>
          <w:spacing w:val="-1"/>
        </w:rPr>
        <w:t>年修订）》、</w:t>
      </w:r>
    </w:p>
    <w:p>
      <w:pPr>
        <w:pStyle w:val="BodyText"/>
        <w:spacing w:line="295" w:lineRule="auto" w:before="14"/>
        <w:ind w:right="1130"/>
        <w:jc w:val="both"/>
      </w:pPr>
      <w:r>
        <w:rPr>
          <w:spacing w:val="-3"/>
        </w:rPr>
        <w:t>《企业会计准则第</w:t>
      </w:r>
      <w:r>
        <w:rPr>
          <w:rFonts w:ascii="Times New Roman" w:hAnsi="Times New Roman" w:cs="Times New Roman" w:eastAsia="Times New Roman" w:hint="default"/>
          <w:spacing w:val="-3"/>
        </w:rPr>
        <w:t>40</w:t>
      </w:r>
      <w:r>
        <w:rPr>
          <w:spacing w:val="-3"/>
        </w:rPr>
        <w:t>号</w:t>
      </w:r>
      <w:r>
        <w:rPr>
          <w:rFonts w:ascii="Times New Roman" w:hAnsi="Times New Roman" w:cs="Times New Roman" w:eastAsia="Times New Roman" w:hint="default"/>
          <w:spacing w:val="-3"/>
        </w:rPr>
        <w:t>——</w:t>
      </w:r>
      <w:r>
        <w:rPr>
          <w:spacing w:val="-3"/>
        </w:rPr>
        <w:t>合营安排》、《企业会计准则第</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w:t>
      </w:r>
      <w:r>
        <w:rPr>
          <w:spacing w:val="-3"/>
        </w:rPr>
        <w:t>长期股权投资（</w:t>
      </w:r>
      <w:r>
        <w:rPr>
          <w:rFonts w:ascii="Times New Roman" w:hAnsi="Times New Roman" w:cs="Times New Roman" w:eastAsia="Times New Roman" w:hint="default"/>
          <w:spacing w:val="-3"/>
        </w:rPr>
        <w:t>2014</w:t>
      </w:r>
      <w:r>
        <w:rPr>
          <w:spacing w:val="-3"/>
        </w:rPr>
        <w:t>年修订）》及《企</w:t>
      </w:r>
      <w:r>
        <w:rPr>
          <w:spacing w:val="-90"/>
        </w:rPr>
        <w:t> </w:t>
      </w:r>
      <w:r>
        <w:rPr>
          <w:spacing w:val="-90"/>
        </w:rPr>
      </w:r>
      <w:r>
        <w:rPr>
          <w:spacing w:val="-1"/>
        </w:rPr>
        <w:t>业会计准则第</w:t>
      </w:r>
      <w:r>
        <w:rPr>
          <w:rFonts w:ascii="Times New Roman" w:hAnsi="Times New Roman" w:cs="Times New Roman" w:eastAsia="Times New Roman" w:hint="default"/>
          <w:spacing w:val="-1"/>
        </w:rPr>
        <w:t>41</w:t>
      </w:r>
      <w:r>
        <w:rPr>
          <w:spacing w:val="-1"/>
        </w:rPr>
        <w:t>号</w:t>
      </w:r>
      <w:r>
        <w:rPr>
          <w:rFonts w:ascii="Times New Roman" w:hAnsi="Times New Roman" w:cs="Times New Roman" w:eastAsia="Times New Roman" w:hint="default"/>
          <w:spacing w:val="-1"/>
        </w:rPr>
        <w:t>——</w:t>
      </w:r>
      <w:r>
        <w:rPr>
          <w:spacing w:val="-1"/>
        </w:rPr>
        <w:t>在其他主体中权益的披露》，要求自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日起在所有执行企业会计准则的企</w:t>
      </w:r>
      <w:r>
        <w:rPr>
          <w:spacing w:val="-84"/>
        </w:rPr>
        <w:t> </w:t>
      </w:r>
      <w:r>
        <w:rPr>
          <w:spacing w:val="-84"/>
        </w:rPr>
      </w:r>
      <w:r>
        <w:rPr/>
        <w:t>业范围内施行，鼓励在境外上市的企业提前执行。同时，财政部以财会</w:t>
      </w:r>
      <w:r>
        <w:rPr>
          <w:rFonts w:ascii="Times New Roman" w:hAnsi="Times New Roman" w:cs="Times New Roman" w:eastAsia="Times New Roman" w:hint="default"/>
        </w:rPr>
        <w:t>[2014]23</w:t>
      </w:r>
      <w:r>
        <w:rPr/>
        <w:t>号发布了《企业会计准则</w:t>
      </w:r>
      <w:r>
        <w:rPr>
          <w:spacing w:val="-64"/>
        </w:rPr>
        <w:t> </w:t>
      </w:r>
      <w:r>
        <w:rPr>
          <w:spacing w:val="-64"/>
        </w:rPr>
      </w:r>
      <w:r>
        <w:rPr/>
        <w:t>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2014</w:t>
      </w:r>
      <w:r>
        <w:rPr/>
        <w:t>年修订）》（以下简称</w:t>
      </w:r>
      <w:r>
        <w:rPr>
          <w:rFonts w:ascii="Times New Roman" w:hAnsi="Times New Roman" w:cs="Times New Roman" w:eastAsia="Times New Roman" w:hint="default"/>
        </w:rPr>
        <w:t>“</w:t>
      </w:r>
      <w:r>
        <w:rPr/>
        <w:t>金融工具列报准则</w:t>
      </w:r>
      <w:r>
        <w:rPr>
          <w:rFonts w:ascii="Times New Roman" w:hAnsi="Times New Roman" w:cs="Times New Roman" w:eastAsia="Times New Roman" w:hint="default"/>
        </w:rPr>
        <w:t>”</w:t>
      </w:r>
      <w:r>
        <w:rPr/>
        <w:t>），要求在</w:t>
      </w:r>
      <w:r>
        <w:rPr>
          <w:rFonts w:ascii="Times New Roman" w:hAnsi="Times New Roman" w:cs="Times New Roman" w:eastAsia="Times New Roman" w:hint="default"/>
        </w:rPr>
        <w:t>2014</w:t>
      </w:r>
      <w:r>
        <w:rPr/>
        <w:t>年年度及以后 期间的财务报告中按照该准则的要求对金融工具进行列报。</w:t>
      </w:r>
    </w:p>
    <w:p>
      <w:pPr>
        <w:pStyle w:val="BodyText"/>
        <w:spacing w:line="240" w:lineRule="auto" w:before="35"/>
        <w:ind w:left="634" w:right="0"/>
        <w:jc w:val="left"/>
      </w:pPr>
      <w:r>
        <w:rPr/>
        <w:t>经本公司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日第五届董事会第十五次会议决议通过，本公司于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295" w:lineRule="auto" w:before="35"/>
        <w:ind w:right="1024"/>
        <w:jc w:val="left"/>
      </w:pPr>
      <w:r>
        <w:rPr/>
        <w:t>除金融工具列报准则以外的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年年度财务报告时开始执行金</w:t>
      </w:r>
      <w:r>
        <w:rPr>
          <w:spacing w:val="-28"/>
        </w:rPr>
        <w:t> </w:t>
      </w:r>
      <w:r>
        <w:rPr>
          <w:spacing w:val="-28"/>
        </w:rPr>
      </w:r>
      <w:r>
        <w:rPr>
          <w:spacing w:val="-3"/>
        </w:rPr>
        <w:t>融工具列报准则，并根据各准则衔接要求进行了调整，对当期和列报前期财务报表项目及金额的影响如下：</w:t>
      </w:r>
    </w:p>
    <w:p>
      <w:pPr>
        <w:pStyle w:val="BodyText"/>
        <w:spacing w:line="240" w:lineRule="auto" w:before="35"/>
        <w:ind w:left="633" w:right="0"/>
        <w:jc w:val="left"/>
      </w:pPr>
      <w:r>
        <w:rPr>
          <w:rFonts w:ascii="Times New Roman" w:hAnsi="Times New Roman" w:cs="Times New Roman" w:eastAsia="Times New Roman" w:hint="default"/>
        </w:rPr>
        <w:t>A</w:t>
      </w:r>
      <w:r>
        <w:rPr/>
        <w:t>对列报产生影响的会计政策变更事项：</w:t>
      </w:r>
    </w:p>
    <w:p>
      <w:pPr>
        <w:spacing w:line="240" w:lineRule="auto" w:before="7"/>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946"/>
        <w:gridCol w:w="4434"/>
        <w:gridCol w:w="1985"/>
        <w:gridCol w:w="1276"/>
      </w:tblGrid>
      <w:tr>
        <w:trPr>
          <w:trHeight w:val="654" w:hRule="exact"/>
        </w:trPr>
        <w:tc>
          <w:tcPr>
            <w:tcW w:w="194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443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会计政策变更的内容及其对本公司的影响说明</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auto" w:before="20"/>
              <w:ind w:left="995" w:right="68" w:hanging="92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年度相关财务报表 项目的影响金额</w:t>
            </w:r>
          </w:p>
        </w:tc>
      </w:tr>
      <w:tr>
        <w:trPr>
          <w:trHeight w:val="342" w:hRule="exact"/>
        </w:trPr>
        <w:tc>
          <w:tcPr>
            <w:tcW w:w="1946" w:type="dxa"/>
            <w:vMerge/>
            <w:tcBorders>
              <w:left w:val="single" w:sz="4" w:space="0" w:color="000000"/>
              <w:right w:val="single" w:sz="4" w:space="0" w:color="000000"/>
            </w:tcBorders>
            <w:shd w:val="clear" w:color="auto" w:fill="BEBEBE"/>
          </w:tcPr>
          <w:p>
            <w:pPr/>
          </w:p>
        </w:tc>
        <w:tc>
          <w:tcPr>
            <w:tcW w:w="4434" w:type="dxa"/>
            <w:vMerge/>
            <w:tcBorders>
              <w:left w:val="single" w:sz="4" w:space="0" w:color="000000"/>
              <w:right w:val="single" w:sz="4" w:space="0" w:color="000000"/>
            </w:tcBorders>
            <w:shd w:val="clear" w:color="auto" w:fill="BEBEBE"/>
          </w:tcPr>
          <w:p>
            <w:pPr/>
          </w:p>
        </w:tc>
        <w:tc>
          <w:tcPr>
            <w:tcW w:w="198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342" w:hRule="exact"/>
        </w:trPr>
        <w:tc>
          <w:tcPr>
            <w:tcW w:w="1946" w:type="dxa"/>
            <w:vMerge/>
            <w:tcBorders>
              <w:left w:val="single" w:sz="4" w:space="0" w:color="000000"/>
              <w:bottom w:val="single" w:sz="4" w:space="0" w:color="000000"/>
              <w:right w:val="single" w:sz="4" w:space="0" w:color="000000"/>
            </w:tcBorders>
            <w:shd w:val="clear" w:color="auto" w:fill="BEBEBE"/>
          </w:tcPr>
          <w:p>
            <w:pPr/>
          </w:p>
        </w:tc>
        <w:tc>
          <w:tcPr>
            <w:tcW w:w="4434" w:type="dxa"/>
            <w:vMerge/>
            <w:tcBorders>
              <w:left w:val="single" w:sz="4" w:space="0" w:color="000000"/>
              <w:bottom w:val="single" w:sz="4" w:space="0" w:color="000000"/>
              <w:right w:val="single" w:sz="4" w:space="0" w:color="000000"/>
            </w:tcBorders>
            <w:shd w:val="clear" w:color="auto" w:fill="BEBEBE"/>
          </w:tcPr>
          <w:p>
            <w:pPr/>
          </w:p>
        </w:tc>
        <w:tc>
          <w:tcPr>
            <w:tcW w:w="1985" w:type="dxa"/>
            <w:vMerge/>
            <w:tcBorders>
              <w:left w:val="single" w:sz="4" w:space="0" w:color="000000"/>
              <w:bottom w:val="single" w:sz="4" w:space="0" w:color="000000"/>
              <w:right w:val="single" w:sz="4" w:space="0" w:color="000000"/>
            </w:tcBorders>
            <w:shd w:val="clear" w:color="auto" w:fill="BEBEBE"/>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1"/>
              <w:ind w:left="1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42" w:hRule="exact"/>
        </w:trPr>
        <w:tc>
          <w:tcPr>
            <w:tcW w:w="1946" w:type="dxa"/>
            <w:vMerge w:val="restart"/>
            <w:tcBorders>
              <w:top w:val="single" w:sz="4" w:space="0" w:color="000000"/>
              <w:left w:val="single" w:sz="4" w:space="0" w:color="000000"/>
              <w:right w:val="single" w:sz="4" w:space="0" w:color="000000"/>
            </w:tcBorders>
          </w:tcPr>
          <w:p>
            <w:pPr>
              <w:pStyle w:val="TableParagraph"/>
              <w:spacing w:line="300" w:lineRule="auto" w:before="21"/>
              <w:ind w:left="4" w:right="-15"/>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职工薪酬（</w:t>
            </w:r>
            <w:r>
              <w:rPr>
                <w:rFonts w:ascii="Times New Roman" w:hAnsi="Times New Roman" w:cs="Times New Roman" w:eastAsia="Times New Roman" w:hint="default"/>
                <w:spacing w:val="-16"/>
                <w:sz w:val="18"/>
                <w:szCs w:val="18"/>
              </w:rPr>
              <w:t>2014</w:t>
            </w:r>
            <w:r>
              <w:rPr>
                <w:rFonts w:ascii="宋体" w:hAnsi="宋体" w:cs="宋体" w:eastAsia="宋体" w:hint="default"/>
                <w:spacing w:val="-16"/>
                <w:sz w:val="18"/>
                <w:szCs w:val="18"/>
              </w:rPr>
              <w:t>年修订）》</w:t>
            </w:r>
            <w:r>
              <w:rPr>
                <w:rFonts w:ascii="宋体" w:hAnsi="宋体" w:cs="宋体" w:eastAsia="宋体" w:hint="default"/>
                <w:sz w:val="18"/>
                <w:szCs w:val="18"/>
              </w:rPr>
            </w:r>
          </w:p>
        </w:tc>
        <w:tc>
          <w:tcPr>
            <w:tcW w:w="4434" w:type="dxa"/>
            <w:vMerge w:val="restart"/>
            <w:tcBorders>
              <w:top w:val="single" w:sz="4" w:space="0" w:color="000000"/>
              <w:left w:val="single" w:sz="4" w:space="0" w:color="000000"/>
              <w:right w:val="single" w:sz="4" w:space="0" w:color="000000"/>
            </w:tcBorders>
          </w:tcPr>
          <w:p>
            <w:pPr>
              <w:pStyle w:val="TableParagraph"/>
              <w:spacing w:line="309" w:lineRule="auto" w:before="21"/>
              <w:ind w:left="4" w:right="-15"/>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根据《企业会计准则第</w:t>
            </w:r>
            <w:r>
              <w:rPr>
                <w:rFonts w:ascii="Times New Roman" w:hAnsi="Times New Roman" w:cs="Times New Roman" w:eastAsia="Times New Roman" w:hint="default"/>
                <w:spacing w:val="-6"/>
                <w:sz w:val="18"/>
                <w:szCs w:val="18"/>
              </w:rPr>
              <w:t>9</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职工薪酬（</w:t>
            </w:r>
            <w:r>
              <w:rPr>
                <w:rFonts w:ascii="Times New Roman" w:hAnsi="Times New Roman" w:cs="Times New Roman" w:eastAsia="Times New Roman" w:hint="default"/>
                <w:spacing w:val="-6"/>
                <w:sz w:val="18"/>
                <w:szCs w:val="18"/>
              </w:rPr>
              <w:t>2014</w:t>
            </w:r>
            <w:r>
              <w:rPr>
                <w:rFonts w:ascii="宋体" w:hAnsi="宋体" w:cs="宋体" w:eastAsia="宋体" w:hint="default"/>
                <w:spacing w:val="-6"/>
                <w:sz w:val="18"/>
                <w:szCs w:val="18"/>
              </w:rPr>
              <w:t>年修订）》，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公司辞退福利中将资产负债表日起十二个月之后支付的</w:t>
            </w:r>
            <w:r>
              <w:rPr>
                <w:rFonts w:ascii="宋体" w:hAnsi="宋体" w:cs="宋体" w:eastAsia="宋体" w:hint="default"/>
                <w:sz w:val="18"/>
                <w:szCs w:val="18"/>
              </w:rPr>
              <w:t> 部分列示于</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长期应付职工薪酬</w:t>
            </w: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1,168,300.00</w:t>
            </w:r>
          </w:p>
        </w:tc>
      </w:tr>
      <w:tr>
        <w:trPr>
          <w:trHeight w:val="624" w:hRule="exact"/>
        </w:trPr>
        <w:tc>
          <w:tcPr>
            <w:tcW w:w="1946" w:type="dxa"/>
            <w:vMerge/>
            <w:tcBorders>
              <w:left w:val="single" w:sz="4" w:space="0" w:color="000000"/>
              <w:bottom w:val="single" w:sz="4" w:space="0" w:color="000000"/>
              <w:right w:val="single" w:sz="4" w:space="0" w:color="000000"/>
            </w:tcBorders>
          </w:tcPr>
          <w:p>
            <w:pPr/>
          </w:p>
        </w:tc>
        <w:tc>
          <w:tcPr>
            <w:tcW w:w="4434"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-1,168,300.00</w:t>
            </w:r>
          </w:p>
        </w:tc>
      </w:tr>
      <w:tr>
        <w:trPr>
          <w:trHeight w:val="342" w:hRule="exact"/>
        </w:trPr>
        <w:tc>
          <w:tcPr>
            <w:tcW w:w="1946" w:type="dxa"/>
            <w:vMerge w:val="restart"/>
            <w:tcBorders>
              <w:top w:val="single" w:sz="4" w:space="0" w:color="000000"/>
              <w:left w:val="single" w:sz="4" w:space="0" w:color="000000"/>
              <w:right w:val="single" w:sz="4" w:space="0" w:color="000000"/>
            </w:tcBorders>
          </w:tcPr>
          <w:p>
            <w:pPr>
              <w:pStyle w:val="TableParagraph"/>
              <w:spacing w:line="300" w:lineRule="auto" w:before="21"/>
              <w:ind w:left="4" w:right="5"/>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财务报表列报（</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年修</w:t>
            </w:r>
            <w:r>
              <w:rPr>
                <w:rFonts w:ascii="宋体" w:hAnsi="宋体" w:cs="宋体" w:eastAsia="宋体" w:hint="default"/>
                <w:spacing w:val="-81"/>
                <w:sz w:val="18"/>
                <w:szCs w:val="18"/>
              </w:rPr>
              <w:t> </w:t>
            </w:r>
            <w:r>
              <w:rPr>
                <w:rFonts w:ascii="宋体" w:hAnsi="宋体" w:cs="宋体" w:eastAsia="宋体" w:hint="default"/>
                <w:sz w:val="18"/>
                <w:szCs w:val="18"/>
              </w:rPr>
              <w:t>订）</w:t>
            </w:r>
          </w:p>
        </w:tc>
        <w:tc>
          <w:tcPr>
            <w:tcW w:w="4434" w:type="dxa"/>
            <w:vMerge w:val="restart"/>
            <w:tcBorders>
              <w:top w:val="single" w:sz="4" w:space="0" w:color="000000"/>
              <w:left w:val="single" w:sz="4" w:space="0" w:color="000000"/>
              <w:right w:val="single" w:sz="4" w:space="0" w:color="000000"/>
            </w:tcBorders>
          </w:tcPr>
          <w:p>
            <w:pPr>
              <w:pStyle w:val="TableParagraph"/>
              <w:spacing w:line="300" w:lineRule="auto" w:before="21"/>
              <w:ind w:left="4" w:right="5"/>
              <w:jc w:val="left"/>
              <w:rPr>
                <w:rFonts w:ascii="宋体" w:hAnsi="宋体" w:cs="宋体" w:eastAsia="宋体" w:hint="default"/>
                <w:sz w:val="18"/>
                <w:szCs w:val="18"/>
              </w:rPr>
            </w:pPr>
            <w:r>
              <w:rPr>
                <w:rFonts w:ascii="宋体" w:hAnsi="宋体" w:cs="宋体" w:eastAsia="宋体" w:hint="default"/>
                <w:spacing w:val="-4"/>
                <w:sz w:val="18"/>
                <w:szCs w:val="18"/>
              </w:rPr>
              <w:t>按照《企业会计准则第</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财务报表列报（</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年修</w:t>
            </w:r>
            <w:r>
              <w:rPr>
                <w:rFonts w:ascii="宋体" w:hAnsi="宋体" w:cs="宋体" w:eastAsia="宋体" w:hint="default"/>
                <w:spacing w:val="-66"/>
                <w:sz w:val="18"/>
                <w:szCs w:val="18"/>
              </w:rPr>
              <w:t> </w:t>
            </w:r>
            <w:r>
              <w:rPr>
                <w:rFonts w:ascii="宋体" w:hAnsi="宋体" w:cs="宋体" w:eastAsia="宋体" w:hint="default"/>
                <w:sz w:val="18"/>
                <w:szCs w:val="18"/>
              </w:rPr>
              <w:t>订）》及应用指南的相关规定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20,060,445.95</w:t>
            </w:r>
          </w:p>
        </w:tc>
      </w:tr>
      <w:tr>
        <w:trPr>
          <w:trHeight w:val="342" w:hRule="exact"/>
        </w:trPr>
        <w:tc>
          <w:tcPr>
            <w:tcW w:w="1946" w:type="dxa"/>
            <w:vMerge/>
            <w:tcBorders>
              <w:left w:val="single" w:sz="4" w:space="0" w:color="000000"/>
              <w:right w:val="single" w:sz="4" w:space="0" w:color="000000"/>
            </w:tcBorders>
          </w:tcPr>
          <w:p>
            <w:pPr/>
          </w:p>
        </w:tc>
        <w:tc>
          <w:tcPr>
            <w:tcW w:w="4434"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应交税金</w:t>
            </w:r>
            <w:r>
              <w:rPr>
                <w:rFonts w:ascii="Times New Roman" w:hAnsi="Times New Roman" w:cs="Times New Roman" w:eastAsia="Times New Roman" w:hint="default"/>
                <w:sz w:val="18"/>
                <w:szCs w:val="18"/>
              </w:rPr>
              <w:t>-</w:t>
            </w:r>
            <w:r>
              <w:rPr>
                <w:rFonts w:ascii="宋体" w:hAnsi="宋体" w:cs="宋体" w:eastAsia="宋体" w:hint="default"/>
                <w:sz w:val="18"/>
                <w:szCs w:val="18"/>
              </w:rPr>
              <w:t>可抵扣进项税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20,060,445.95</w:t>
            </w:r>
          </w:p>
        </w:tc>
      </w:tr>
      <w:tr>
        <w:trPr>
          <w:trHeight w:val="342" w:hRule="exact"/>
        </w:trPr>
        <w:tc>
          <w:tcPr>
            <w:tcW w:w="1946" w:type="dxa"/>
            <w:vMerge/>
            <w:tcBorders>
              <w:left w:val="single" w:sz="4" w:space="0" w:color="000000"/>
              <w:right w:val="single" w:sz="4" w:space="0" w:color="000000"/>
            </w:tcBorders>
          </w:tcPr>
          <w:p>
            <w:pPr/>
          </w:p>
        </w:tc>
        <w:tc>
          <w:tcPr>
            <w:tcW w:w="4434"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17,400,000.00</w:t>
            </w:r>
          </w:p>
        </w:tc>
      </w:tr>
      <w:tr>
        <w:trPr>
          <w:trHeight w:val="342" w:hRule="exact"/>
        </w:trPr>
        <w:tc>
          <w:tcPr>
            <w:tcW w:w="1946" w:type="dxa"/>
            <w:vMerge/>
            <w:tcBorders>
              <w:left w:val="single" w:sz="4" w:space="0" w:color="000000"/>
              <w:bottom w:val="single" w:sz="4" w:space="0" w:color="000000"/>
              <w:right w:val="single" w:sz="4" w:space="0" w:color="000000"/>
            </w:tcBorders>
          </w:tcPr>
          <w:p>
            <w:pPr/>
          </w:p>
        </w:tc>
        <w:tc>
          <w:tcPr>
            <w:tcW w:w="4434"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-17,400,000.00</w:t>
            </w:r>
          </w:p>
        </w:tc>
      </w:tr>
    </w:tbl>
    <w:p>
      <w:pPr>
        <w:pStyle w:val="BodyText"/>
        <w:spacing w:line="260" w:lineRule="exact" w:before="0"/>
        <w:ind w:left="634" w:right="0"/>
        <w:jc w:val="left"/>
      </w:pPr>
      <w:r>
        <w:rPr/>
        <w:t>续上表</w:t>
      </w:r>
    </w:p>
    <w:p>
      <w:pPr>
        <w:spacing w:line="240" w:lineRule="auto" w:before="0"/>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942"/>
        <w:gridCol w:w="4438"/>
        <w:gridCol w:w="1985"/>
        <w:gridCol w:w="1276"/>
      </w:tblGrid>
      <w:tr>
        <w:trPr>
          <w:trHeight w:val="653" w:hRule="exact"/>
        </w:trPr>
        <w:tc>
          <w:tcPr>
            <w:tcW w:w="1942"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06"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443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会计政策变更的内容及其对本公司的影响说明</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auto" w:before="20"/>
              <w:ind w:left="995" w:right="68" w:hanging="92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年度相关财务报表 项目的影响金额</w:t>
            </w:r>
          </w:p>
        </w:tc>
      </w:tr>
      <w:tr>
        <w:trPr>
          <w:trHeight w:val="342" w:hRule="exact"/>
        </w:trPr>
        <w:tc>
          <w:tcPr>
            <w:tcW w:w="1942" w:type="dxa"/>
            <w:vMerge/>
            <w:tcBorders>
              <w:left w:val="single" w:sz="4" w:space="0" w:color="000000"/>
              <w:right w:val="single" w:sz="4" w:space="0" w:color="000000"/>
            </w:tcBorders>
            <w:shd w:val="clear" w:color="auto" w:fill="BEBEBE"/>
          </w:tcPr>
          <w:p>
            <w:pPr/>
          </w:p>
        </w:tc>
        <w:tc>
          <w:tcPr>
            <w:tcW w:w="4438" w:type="dxa"/>
            <w:vMerge/>
            <w:tcBorders>
              <w:left w:val="single" w:sz="4" w:space="0" w:color="000000"/>
              <w:right w:val="single" w:sz="4" w:space="0" w:color="000000"/>
            </w:tcBorders>
            <w:shd w:val="clear" w:color="auto" w:fill="BEBEBE"/>
          </w:tcPr>
          <w:p>
            <w:pPr/>
          </w:p>
        </w:tc>
        <w:tc>
          <w:tcPr>
            <w:tcW w:w="198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342" w:hRule="exact"/>
        </w:trPr>
        <w:tc>
          <w:tcPr>
            <w:tcW w:w="1942" w:type="dxa"/>
            <w:vMerge/>
            <w:tcBorders>
              <w:left w:val="single" w:sz="4" w:space="0" w:color="000000"/>
              <w:bottom w:val="single" w:sz="4" w:space="0" w:color="000000"/>
              <w:right w:val="single" w:sz="4" w:space="0" w:color="000000"/>
            </w:tcBorders>
            <w:shd w:val="clear" w:color="auto" w:fill="BEBEBE"/>
          </w:tcPr>
          <w:p>
            <w:pPr/>
          </w:p>
        </w:tc>
        <w:tc>
          <w:tcPr>
            <w:tcW w:w="4438" w:type="dxa"/>
            <w:vMerge/>
            <w:tcBorders>
              <w:left w:val="single" w:sz="4" w:space="0" w:color="000000"/>
              <w:bottom w:val="single" w:sz="4" w:space="0" w:color="000000"/>
              <w:right w:val="single" w:sz="4" w:space="0" w:color="000000"/>
            </w:tcBorders>
            <w:shd w:val="clear" w:color="auto" w:fill="BEBEBE"/>
          </w:tcPr>
          <w:p>
            <w:pPr/>
          </w:p>
        </w:tc>
        <w:tc>
          <w:tcPr>
            <w:tcW w:w="1985" w:type="dxa"/>
            <w:vMerge/>
            <w:tcBorders>
              <w:left w:val="single" w:sz="4" w:space="0" w:color="000000"/>
              <w:bottom w:val="single" w:sz="4" w:space="0" w:color="000000"/>
              <w:right w:val="single" w:sz="4" w:space="0" w:color="000000"/>
            </w:tcBorders>
            <w:shd w:val="clear" w:color="auto" w:fill="BEBEBE"/>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1"/>
              <w:ind w:left="1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42" w:hRule="exact"/>
        </w:trPr>
        <w:tc>
          <w:tcPr>
            <w:tcW w:w="1942" w:type="dxa"/>
            <w:vMerge w:val="restart"/>
            <w:tcBorders>
              <w:top w:val="single" w:sz="4" w:space="0" w:color="000000"/>
              <w:left w:val="single" w:sz="4" w:space="0" w:color="000000"/>
              <w:right w:val="single" w:sz="4" w:space="0" w:color="000000"/>
            </w:tcBorders>
          </w:tcPr>
          <w:p>
            <w:pPr>
              <w:pStyle w:val="TableParagraph"/>
              <w:spacing w:line="300" w:lineRule="auto" w:before="21"/>
              <w:ind w:left="4" w:right="-16"/>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职工薪酬（</w:t>
            </w:r>
            <w:r>
              <w:rPr>
                <w:rFonts w:ascii="Times New Roman" w:hAnsi="Times New Roman" w:cs="Times New Roman" w:eastAsia="Times New Roman" w:hint="default"/>
                <w:spacing w:val="-16"/>
                <w:sz w:val="18"/>
                <w:szCs w:val="18"/>
              </w:rPr>
              <w:t>2014</w:t>
            </w:r>
            <w:r>
              <w:rPr>
                <w:rFonts w:ascii="宋体" w:hAnsi="宋体" w:cs="宋体" w:eastAsia="宋体" w:hint="default"/>
                <w:spacing w:val="-16"/>
                <w:sz w:val="18"/>
                <w:szCs w:val="18"/>
              </w:rPr>
              <w:t>年修订）》</w:t>
            </w:r>
            <w:r>
              <w:rPr>
                <w:rFonts w:ascii="宋体" w:hAnsi="宋体" w:cs="宋体" w:eastAsia="宋体" w:hint="default"/>
                <w:sz w:val="18"/>
                <w:szCs w:val="18"/>
              </w:rPr>
            </w:r>
          </w:p>
        </w:tc>
        <w:tc>
          <w:tcPr>
            <w:tcW w:w="4438" w:type="dxa"/>
            <w:vMerge w:val="restart"/>
            <w:tcBorders>
              <w:top w:val="single" w:sz="4" w:space="0" w:color="000000"/>
              <w:left w:val="single" w:sz="4" w:space="0" w:color="000000"/>
              <w:right w:val="single" w:sz="4" w:space="0" w:color="000000"/>
            </w:tcBorders>
          </w:tcPr>
          <w:p>
            <w:pPr>
              <w:pStyle w:val="TableParagraph"/>
              <w:spacing w:line="309" w:lineRule="auto" w:before="21"/>
              <w:ind w:left="5" w:right="-15"/>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根据《企业会计准则第</w:t>
            </w:r>
            <w:r>
              <w:rPr>
                <w:rFonts w:ascii="Times New Roman" w:hAnsi="Times New Roman" w:cs="Times New Roman" w:eastAsia="Times New Roman" w:hint="default"/>
                <w:spacing w:val="-6"/>
                <w:sz w:val="18"/>
                <w:szCs w:val="18"/>
              </w:rPr>
              <w:t>9</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职工薪酬（</w:t>
            </w:r>
            <w:r>
              <w:rPr>
                <w:rFonts w:ascii="Times New Roman" w:hAnsi="Times New Roman" w:cs="Times New Roman" w:eastAsia="Times New Roman" w:hint="default"/>
                <w:spacing w:val="-6"/>
                <w:sz w:val="18"/>
                <w:szCs w:val="18"/>
              </w:rPr>
              <w:t>2014</w:t>
            </w:r>
            <w:r>
              <w:rPr>
                <w:rFonts w:ascii="宋体" w:hAnsi="宋体" w:cs="宋体" w:eastAsia="宋体" w:hint="default"/>
                <w:spacing w:val="-6"/>
                <w:sz w:val="18"/>
                <w:szCs w:val="18"/>
              </w:rPr>
              <w:t>年修订）》，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公司辞退福利中将资产负债表日起十二个月之后支付的</w:t>
            </w:r>
            <w:r>
              <w:rPr>
                <w:rFonts w:ascii="宋体" w:hAnsi="宋体" w:cs="宋体" w:eastAsia="宋体" w:hint="default"/>
                <w:sz w:val="18"/>
                <w:szCs w:val="18"/>
              </w:rPr>
              <w:t> 部分列示于</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长期应付职工薪酬</w:t>
            </w: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1,299,900.00</w:t>
            </w:r>
          </w:p>
        </w:tc>
      </w:tr>
      <w:tr>
        <w:trPr>
          <w:trHeight w:val="624" w:hRule="exact"/>
        </w:trPr>
        <w:tc>
          <w:tcPr>
            <w:tcW w:w="1942" w:type="dxa"/>
            <w:vMerge/>
            <w:tcBorders>
              <w:left w:val="single" w:sz="4" w:space="0" w:color="000000"/>
              <w:bottom w:val="single" w:sz="4" w:space="0" w:color="000000"/>
              <w:right w:val="single" w:sz="4" w:space="0" w:color="000000"/>
            </w:tcBorders>
          </w:tcPr>
          <w:p>
            <w:pPr/>
          </w:p>
        </w:tc>
        <w:tc>
          <w:tcPr>
            <w:tcW w:w="4438"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-1,299,900.00</w:t>
            </w:r>
          </w:p>
        </w:tc>
      </w:tr>
      <w:tr>
        <w:trPr>
          <w:trHeight w:val="342" w:hRule="exact"/>
        </w:trPr>
        <w:tc>
          <w:tcPr>
            <w:tcW w:w="1942" w:type="dxa"/>
            <w:vMerge w:val="restart"/>
            <w:tcBorders>
              <w:top w:val="single" w:sz="4" w:space="0" w:color="000000"/>
              <w:left w:val="single" w:sz="4" w:space="0" w:color="000000"/>
              <w:right w:val="single" w:sz="4" w:space="0" w:color="000000"/>
            </w:tcBorders>
          </w:tcPr>
          <w:p>
            <w:pPr>
              <w:pStyle w:val="TableParagraph"/>
              <w:spacing w:line="300" w:lineRule="auto" w:before="21"/>
              <w:ind w:left="4" w:right="2"/>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财务报表列报（</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年修</w:t>
            </w:r>
            <w:r>
              <w:rPr>
                <w:rFonts w:ascii="宋体" w:hAnsi="宋体" w:cs="宋体" w:eastAsia="宋体" w:hint="default"/>
                <w:spacing w:val="-83"/>
                <w:sz w:val="18"/>
                <w:szCs w:val="18"/>
              </w:rPr>
              <w:t> </w:t>
            </w:r>
            <w:r>
              <w:rPr>
                <w:rFonts w:ascii="宋体" w:hAnsi="宋体" w:cs="宋体" w:eastAsia="宋体" w:hint="default"/>
                <w:sz w:val="18"/>
                <w:szCs w:val="18"/>
              </w:rPr>
              <w:t>订）</w:t>
            </w:r>
          </w:p>
        </w:tc>
        <w:tc>
          <w:tcPr>
            <w:tcW w:w="4438" w:type="dxa"/>
            <w:vMerge w:val="restart"/>
            <w:tcBorders>
              <w:top w:val="single" w:sz="4" w:space="0" w:color="000000"/>
              <w:left w:val="single" w:sz="4" w:space="0" w:color="000000"/>
              <w:right w:val="single" w:sz="4" w:space="0" w:color="000000"/>
            </w:tcBorders>
          </w:tcPr>
          <w:p>
            <w:pPr>
              <w:pStyle w:val="TableParagraph"/>
              <w:spacing w:line="300" w:lineRule="auto" w:before="21"/>
              <w:ind w:left="5" w:right="5"/>
              <w:jc w:val="left"/>
              <w:rPr>
                <w:rFonts w:ascii="宋体" w:hAnsi="宋体" w:cs="宋体" w:eastAsia="宋体" w:hint="default"/>
                <w:sz w:val="18"/>
                <w:szCs w:val="18"/>
              </w:rPr>
            </w:pPr>
            <w:r>
              <w:rPr>
                <w:rFonts w:ascii="宋体" w:hAnsi="宋体" w:cs="宋体" w:eastAsia="宋体" w:hint="default"/>
                <w:spacing w:val="-4"/>
                <w:sz w:val="18"/>
                <w:szCs w:val="18"/>
              </w:rPr>
              <w:t>按照《企业会计准则第</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财务报表列报（</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年修</w:t>
            </w:r>
            <w:r>
              <w:rPr>
                <w:rFonts w:ascii="宋体" w:hAnsi="宋体" w:cs="宋体" w:eastAsia="宋体" w:hint="default"/>
                <w:spacing w:val="-64"/>
                <w:sz w:val="18"/>
                <w:szCs w:val="18"/>
              </w:rPr>
              <w:t> </w:t>
            </w:r>
            <w:r>
              <w:rPr>
                <w:rFonts w:ascii="宋体" w:hAnsi="宋体" w:cs="宋体" w:eastAsia="宋体" w:hint="default"/>
                <w:sz w:val="18"/>
                <w:szCs w:val="18"/>
              </w:rPr>
              <w:t>订）》及应用指南的相关规定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22,041,683.03</w:t>
            </w:r>
          </w:p>
        </w:tc>
      </w:tr>
      <w:tr>
        <w:trPr>
          <w:trHeight w:val="342" w:hRule="exact"/>
        </w:trPr>
        <w:tc>
          <w:tcPr>
            <w:tcW w:w="1942" w:type="dxa"/>
            <w:vMerge/>
            <w:tcBorders>
              <w:left w:val="single" w:sz="4" w:space="0" w:color="000000"/>
              <w:right w:val="single" w:sz="4" w:space="0" w:color="000000"/>
            </w:tcBorders>
          </w:tcPr>
          <w:p>
            <w:pPr/>
          </w:p>
        </w:tc>
        <w:tc>
          <w:tcPr>
            <w:tcW w:w="4438"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应交税金</w:t>
            </w:r>
            <w:r>
              <w:rPr>
                <w:rFonts w:ascii="Times New Roman" w:hAnsi="Times New Roman" w:cs="Times New Roman" w:eastAsia="Times New Roman" w:hint="default"/>
                <w:sz w:val="18"/>
                <w:szCs w:val="18"/>
              </w:rPr>
              <w:t>-</w:t>
            </w:r>
            <w:r>
              <w:rPr>
                <w:rFonts w:ascii="宋体" w:hAnsi="宋体" w:cs="宋体" w:eastAsia="宋体" w:hint="default"/>
                <w:sz w:val="18"/>
                <w:szCs w:val="18"/>
              </w:rPr>
              <w:t>可抵扣进项税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22,041,683.03</w:t>
            </w:r>
          </w:p>
        </w:tc>
      </w:tr>
      <w:tr>
        <w:trPr>
          <w:trHeight w:val="342" w:hRule="exact"/>
        </w:trPr>
        <w:tc>
          <w:tcPr>
            <w:tcW w:w="1942" w:type="dxa"/>
            <w:vMerge/>
            <w:tcBorders>
              <w:left w:val="single" w:sz="4" w:space="0" w:color="000000"/>
              <w:right w:val="single" w:sz="4" w:space="0" w:color="000000"/>
            </w:tcBorders>
          </w:tcPr>
          <w:p>
            <w:pPr/>
          </w:p>
        </w:tc>
        <w:tc>
          <w:tcPr>
            <w:tcW w:w="4438"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17,400,000.00</w:t>
            </w:r>
          </w:p>
        </w:tc>
      </w:tr>
      <w:tr>
        <w:trPr>
          <w:trHeight w:val="343" w:hRule="exact"/>
        </w:trPr>
        <w:tc>
          <w:tcPr>
            <w:tcW w:w="1942" w:type="dxa"/>
            <w:vMerge/>
            <w:tcBorders>
              <w:left w:val="single" w:sz="4" w:space="0" w:color="000000"/>
              <w:bottom w:val="single" w:sz="4" w:space="0" w:color="000000"/>
              <w:right w:val="single" w:sz="4" w:space="0" w:color="000000"/>
            </w:tcBorders>
          </w:tcPr>
          <w:p>
            <w:pPr/>
          </w:p>
        </w:tc>
        <w:tc>
          <w:tcPr>
            <w:tcW w:w="4438"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-17,400,000.00</w:t>
            </w:r>
          </w:p>
        </w:tc>
      </w:tr>
    </w:tbl>
    <w:p>
      <w:pPr>
        <w:pStyle w:val="BodyText"/>
        <w:spacing w:line="240" w:lineRule="auto" w:before="9"/>
        <w:ind w:left="634" w:right="0"/>
        <w:jc w:val="left"/>
      </w:pPr>
      <w:r>
        <w:rPr/>
        <w:t>《企业会计准则第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在其他主体中权益的披露》适用于企业在子公司、联营企业的披露。采用</w:t>
      </w:r>
    </w:p>
    <w:p>
      <w:pPr>
        <w:pStyle w:val="BodyText"/>
        <w:spacing w:line="295" w:lineRule="auto" w:before="68"/>
        <w:ind w:left="154" w:right="1131"/>
        <w:jc w:val="both"/>
      </w:pPr>
      <w:r>
        <w:rPr>
          <w:spacing w:val="-1"/>
        </w:rPr>
        <w:t>《企业会计准则第</w:t>
      </w:r>
      <w:r>
        <w:rPr>
          <w:rFonts w:ascii="Times New Roman" w:hAnsi="Times New Roman" w:cs="Times New Roman" w:eastAsia="Times New Roman" w:hint="default"/>
          <w:spacing w:val="-1"/>
        </w:rPr>
        <w:t>41</w:t>
      </w:r>
      <w:r>
        <w:rPr>
          <w:spacing w:val="-1"/>
        </w:rPr>
        <w:t>号</w:t>
      </w:r>
      <w:r>
        <w:rPr>
          <w:rFonts w:ascii="Times New Roman" w:hAnsi="Times New Roman" w:cs="Times New Roman" w:eastAsia="Times New Roman" w:hint="default"/>
          <w:spacing w:val="-1"/>
        </w:rPr>
        <w:t>—</w:t>
      </w:r>
      <w:r>
        <w:rPr>
          <w:spacing w:val="-1"/>
        </w:rPr>
        <w:t>在其他主体中权益的披露》将导致企业在财务报表附注中作出更广泛的披露。本</w:t>
      </w:r>
      <w:r>
        <w:rPr>
          <w:spacing w:val="-82"/>
        </w:rPr>
        <w:t> </w:t>
      </w:r>
      <w:r>
        <w:rPr>
          <w:spacing w:val="-82"/>
        </w:rPr>
      </w:r>
      <w:r>
        <w:rPr/>
        <w:t>财务报表已按该准则的规定进行披露，并对可比年度财务报表的附注进行了相应调整。</w:t>
      </w:r>
    </w:p>
    <w:p>
      <w:pPr>
        <w:pStyle w:val="BodyText"/>
        <w:spacing w:line="240" w:lineRule="auto" w:before="35"/>
        <w:ind w:left="633" w:right="0"/>
        <w:jc w:val="left"/>
      </w:pPr>
      <w:r>
        <w:rPr>
          <w:rFonts w:ascii="Times New Roman" w:hAnsi="Times New Roman" w:cs="Times New Roman" w:eastAsia="Times New Roman" w:hint="default"/>
        </w:rPr>
        <w:t>B</w:t>
      </w:r>
      <w:r>
        <w:rPr/>
        <w:t>：对本期列报不产生影响的新会计准则</w:t>
      </w:r>
    </w:p>
    <w:p>
      <w:pPr>
        <w:pStyle w:val="BodyText"/>
        <w:spacing w:line="295" w:lineRule="auto" w:before="68"/>
        <w:ind w:right="0" w:firstLine="480"/>
        <w:jc w:val="left"/>
      </w:pP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合并财务报表》、《企业会 </w:t>
      </w:r>
      <w:r>
        <w:rPr>
          <w:spacing w:val="-1"/>
        </w:rPr>
        <w:t>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金融工具列报》、《企业会计准则第</w:t>
      </w:r>
      <w:r>
        <w:rPr>
          <w:rFonts w:ascii="Times New Roman" w:hAnsi="Times New Roman" w:cs="Times New Roman" w:eastAsia="Times New Roman" w:hint="default"/>
          <w:spacing w:val="-1"/>
        </w:rPr>
        <w:t>39</w:t>
      </w:r>
      <w:r>
        <w:rPr>
          <w:spacing w:val="-1"/>
        </w:rPr>
        <w:t>号</w:t>
      </w:r>
      <w:r>
        <w:rPr>
          <w:rFonts w:ascii="Times New Roman" w:hAnsi="Times New Roman" w:cs="Times New Roman" w:eastAsia="Times New Roman" w:hint="default"/>
          <w:spacing w:val="-1"/>
        </w:rPr>
        <w:t>——</w:t>
      </w:r>
      <w:r>
        <w:rPr>
          <w:spacing w:val="-1"/>
        </w:rPr>
        <w:t>公允价值计量》、《企业会计准则第</w:t>
      </w:r>
      <w:r>
        <w:rPr>
          <w:rFonts w:ascii="Times New Roman" w:hAnsi="Times New Roman" w:cs="Times New Roman" w:eastAsia="Times New Roman" w:hint="default"/>
          <w:spacing w:val="-1"/>
        </w:rPr>
        <w:t>40</w:t>
      </w:r>
      <w:r>
        <w:rPr>
          <w:spacing w:val="-1"/>
        </w:rPr>
        <w:t>号</w:t>
      </w:r>
    </w:p>
    <w:p>
      <w:pPr>
        <w:pStyle w:val="BodyText"/>
        <w:spacing w:line="240" w:lineRule="auto" w:before="14"/>
        <w:ind w:right="0"/>
        <w:jc w:val="both"/>
      </w:pPr>
      <w:r>
        <w:rPr>
          <w:rFonts w:ascii="Times New Roman" w:hAnsi="Times New Roman" w:cs="Times New Roman" w:eastAsia="Times New Roman" w:hint="default"/>
        </w:rPr>
        <w:t>——</w:t>
      </w:r>
      <w:r>
        <w:rPr/>
        <w:t>合营安排》对本公司财务报表未产生影响。</w:t>
      </w:r>
    </w:p>
    <w:p>
      <w:pPr>
        <w:spacing w:line="620" w:lineRule="atLeast" w:before="16"/>
        <w:ind w:left="634" w:right="1120" w:hanging="480"/>
        <w:jc w:val="left"/>
        <w:rPr>
          <w:rFonts w:ascii="宋体" w:hAnsi="宋体" w:cs="宋体" w:eastAsia="宋体" w:hint="default"/>
          <w:sz w:val="21"/>
          <w:szCs w:val="21"/>
        </w:rPr>
      </w:pPr>
      <w:bookmarkStart w:name="（2）重要会计估计变更"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本公司在运用会计政策过程中，由于经营活动内在的不确定性，本公司需要对无法准确计量的报表项</w:t>
      </w:r>
    </w:p>
    <w:p>
      <w:pPr>
        <w:pStyle w:val="BodyText"/>
        <w:spacing w:line="314" w:lineRule="auto" w:before="84"/>
        <w:ind w:left="154" w:right="1131"/>
        <w:jc w:val="both"/>
      </w:pPr>
      <w:r>
        <w:rPr>
          <w:spacing w:val="-1"/>
        </w:rPr>
        <w:t>目的账面价值进行判断、估计和假设。这些判断、估计和假设是基于本公司管理层过去的历史经验，并在</w:t>
      </w:r>
      <w:r>
        <w:rPr>
          <w:spacing w:val="-85"/>
        </w:rPr>
        <w:t> </w:t>
      </w:r>
      <w:r>
        <w:rPr>
          <w:spacing w:val="-85"/>
        </w:rPr>
      </w:r>
      <w:r>
        <w:rPr>
          <w:spacing w:val="-1"/>
        </w:rPr>
        <w:t>考虑其他相关因素的基础上做出的。这些判断、估计和假设会影响收入、费用、资产和负债的报告金额以</w:t>
      </w:r>
      <w:r>
        <w:rPr>
          <w:spacing w:val="-85"/>
        </w:rPr>
        <w:t> </w:t>
      </w:r>
      <w:r>
        <w:rPr>
          <w:spacing w:val="-85"/>
        </w:rPr>
      </w:r>
      <w:r>
        <w:rPr>
          <w:spacing w:val="-1"/>
        </w:rPr>
        <w:t>及资产负债表日或有负债的披露。然而，这些估计的不确定性所导致的实际结果可能与本公司管理层当前</w:t>
      </w:r>
      <w:r>
        <w:rPr>
          <w:spacing w:val="-81"/>
        </w:rPr>
        <w:t> </w:t>
      </w:r>
      <w:r>
        <w:rPr>
          <w:spacing w:val="-81"/>
        </w:rPr>
      </w:r>
      <w:r>
        <w:rPr/>
        <w:t>的估计存在差异，进而造成对未来受影响的资产或负债的账面金额进行重大调整。</w:t>
      </w:r>
    </w:p>
    <w:p>
      <w:pPr>
        <w:spacing w:after="0" w:line="314" w:lineRule="auto"/>
        <w:jc w:val="both"/>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314" w:lineRule="auto" w:before="35"/>
        <w:ind w:left="154" w:right="1131" w:firstLine="480"/>
        <w:jc w:val="both"/>
      </w:pPr>
      <w:r>
        <w:rPr>
          <w:spacing w:val="-2"/>
        </w:rPr>
        <w:t>本公司对前述判断、估计和假设在持续经营的基础上进行定期复核，会计估计的变更仅影响变更当期</w:t>
      </w:r>
      <w:r>
        <w:rPr/>
        <w:t> </w:t>
      </w:r>
      <w:r>
        <w:rPr>
          <w:spacing w:val="-1"/>
        </w:rPr>
        <w:t>的，其影响数在变更当期予以确认；既影响变更当期又影响未来期间的，其影响数在变更当期和未来期间</w:t>
      </w:r>
      <w:r>
        <w:rPr>
          <w:spacing w:val="-83"/>
        </w:rPr>
        <w:t> </w:t>
      </w:r>
      <w:r>
        <w:rPr>
          <w:spacing w:val="-83"/>
        </w:rPr>
      </w:r>
      <w:r>
        <w:rPr/>
        <w:t>予以确认。</w:t>
      </w:r>
    </w:p>
    <w:p>
      <w:pPr>
        <w:pStyle w:val="BodyText"/>
        <w:spacing w:line="240" w:lineRule="auto"/>
        <w:ind w:left="634" w:right="0"/>
        <w:jc w:val="left"/>
      </w:pPr>
      <w:r>
        <w:rPr/>
        <w:t>于资产负债表日，本公司需对财务报表项目金额进行判断、估计和假设的重要领域如下：</w:t>
      </w:r>
    </w:p>
    <w:p>
      <w:pPr>
        <w:pStyle w:val="BodyText"/>
        <w:spacing w:line="295" w:lineRule="auto" w:before="84"/>
        <w:ind w:left="634" w:right="1122"/>
        <w:jc w:val="left"/>
      </w:pPr>
      <w:r>
        <w:rPr/>
        <w:t>（</w:t>
      </w:r>
      <w:r>
        <w:rPr>
          <w:rFonts w:ascii="Times New Roman" w:hAnsi="Times New Roman" w:cs="Times New Roman" w:eastAsia="Times New Roman" w:hint="default"/>
        </w:rPr>
        <w:t>1</w:t>
      </w:r>
      <w:r>
        <w:rPr/>
        <w:t>）租赁的归类 </w:t>
      </w: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w:t>
      </w:r>
    </w:p>
    <w:p>
      <w:pPr>
        <w:pStyle w:val="BodyText"/>
        <w:spacing w:line="314" w:lineRule="auto" w:before="14"/>
        <w:ind w:right="1131"/>
        <w:jc w:val="both"/>
      </w:pPr>
      <w:r>
        <w:rPr>
          <w:spacing w:val="-1"/>
        </w:rPr>
        <w:t>类时，管理层需要对是否已将与租出资产所有权有关的全部风险和报酬实质上转移给承租人，或者本公司</w:t>
      </w:r>
      <w:r>
        <w:rPr>
          <w:spacing w:val="-81"/>
        </w:rPr>
        <w:t> </w:t>
      </w:r>
      <w:r>
        <w:rPr>
          <w:spacing w:val="-81"/>
        </w:rPr>
      </w:r>
      <w:r>
        <w:rPr/>
        <w:t>是否已经实质上承担与租入资产所有权有关的全部风险和报酬，作出分析和判断。</w:t>
      </w:r>
    </w:p>
    <w:p>
      <w:pPr>
        <w:pStyle w:val="BodyText"/>
        <w:spacing w:line="295" w:lineRule="auto"/>
        <w:ind w:left="633" w:right="1121"/>
        <w:jc w:val="left"/>
      </w:pPr>
      <w:r>
        <w:rPr/>
        <w:t>（</w:t>
      </w:r>
      <w:r>
        <w:rPr>
          <w:rFonts w:ascii="Times New Roman" w:hAnsi="Times New Roman" w:cs="Times New Roman" w:eastAsia="Times New Roman" w:hint="default"/>
        </w:rPr>
        <w:t>2</w:t>
      </w:r>
      <w:r>
        <w:rPr/>
        <w:t>）坏账准备计提 </w:t>
      </w:r>
      <w:r>
        <w:rPr>
          <w:spacing w:val="-2"/>
        </w:rPr>
        <w:t>本公司根据应收款项的会计政策，采用备抵法核算坏账损失。应收账款减值是基于评估应收账款的可</w:t>
      </w:r>
    </w:p>
    <w:p>
      <w:pPr>
        <w:pStyle w:val="BodyText"/>
        <w:spacing w:line="314" w:lineRule="auto" w:before="35"/>
        <w:ind w:right="1130"/>
        <w:jc w:val="both"/>
      </w:pPr>
      <w:r>
        <w:rPr>
          <w:spacing w:val="-1"/>
        </w:rPr>
        <w:t>收回性。鉴定应收账款减值要求管理层的判断和估计。实际的结果与原先估计的差异将在估计被改变的期</w:t>
      </w:r>
      <w:r>
        <w:rPr>
          <w:spacing w:val="-80"/>
        </w:rPr>
        <w:t> </w:t>
      </w:r>
      <w:r>
        <w:rPr>
          <w:spacing w:val="-80"/>
        </w:rPr>
      </w:r>
      <w:r>
        <w:rPr/>
        <w:t>间影响应收账款的账面价值及应收账款坏账准备的计提或转回。</w:t>
      </w:r>
    </w:p>
    <w:p>
      <w:pPr>
        <w:pStyle w:val="BodyText"/>
        <w:spacing w:line="295" w:lineRule="auto"/>
        <w:ind w:left="633" w:right="1121"/>
        <w:jc w:val="left"/>
      </w:pPr>
      <w:r>
        <w:rPr/>
        <w:t>（</w:t>
      </w:r>
      <w:r>
        <w:rPr>
          <w:rFonts w:ascii="Times New Roman" w:hAnsi="Times New Roman" w:cs="Times New Roman" w:eastAsia="Times New Roman" w:hint="default"/>
        </w:rPr>
        <w:t>3</w:t>
      </w:r>
      <w:r>
        <w:rPr/>
        <w:t>）存货跌价准备 </w:t>
      </w:r>
      <w:r>
        <w:rPr>
          <w:spacing w:val="-2"/>
        </w:rPr>
        <w:t>本公司根据存货会计政策，按照成本与可变现净值孰低计量，对成本高于可变现净值及陈旧和滞销的</w:t>
      </w:r>
    </w:p>
    <w:p>
      <w:pPr>
        <w:pStyle w:val="BodyText"/>
        <w:spacing w:line="314" w:lineRule="auto" w:before="35"/>
        <w:ind w:right="1131"/>
        <w:jc w:val="both"/>
      </w:pPr>
      <w:r>
        <w:rPr>
          <w:spacing w:val="-1"/>
        </w:rPr>
        <w:t>存货，计提存货跌价准备。存货减值至可变现净值是基于评估存货的可售性及其可变现净值。鉴定存货减</w:t>
      </w:r>
      <w:r>
        <w:rPr>
          <w:spacing w:val="-83"/>
        </w:rPr>
        <w:t> </w:t>
      </w:r>
      <w:r>
        <w:rPr>
          <w:spacing w:val="-83"/>
        </w:rPr>
      </w:r>
      <w:r>
        <w:rPr>
          <w:spacing w:val="-1"/>
        </w:rPr>
        <w:t>值要求管理层在取得确凿证据，并且考虑持有存货的目的、资产负债表日后事项的影响等因素的基础上作</w:t>
      </w:r>
      <w:r>
        <w:rPr>
          <w:spacing w:val="-81"/>
        </w:rPr>
        <w:t> </w:t>
      </w:r>
      <w:r>
        <w:rPr>
          <w:spacing w:val="-81"/>
        </w:rPr>
      </w:r>
      <w:r>
        <w:rPr>
          <w:spacing w:val="-1"/>
        </w:rPr>
        <w:t>出判断和估计。实际的结果与原先估计的差异将在估计被改变的期间影响存货的账面价值及存货跌价准备</w:t>
      </w:r>
      <w:r>
        <w:rPr>
          <w:spacing w:val="-81"/>
        </w:rPr>
        <w:t> </w:t>
      </w:r>
      <w:r>
        <w:rPr>
          <w:spacing w:val="-81"/>
        </w:rPr>
      </w:r>
      <w:r>
        <w:rPr/>
        <w:t>的计提或转回。</w:t>
      </w:r>
    </w:p>
    <w:p>
      <w:pPr>
        <w:pStyle w:val="BodyText"/>
        <w:spacing w:line="297" w:lineRule="auto"/>
        <w:ind w:left="633" w:right="1121"/>
        <w:jc w:val="left"/>
      </w:pPr>
      <w:r>
        <w:rPr/>
        <w:t>（</w:t>
      </w:r>
      <w:r>
        <w:rPr>
          <w:rFonts w:ascii="Times New Roman" w:hAnsi="Times New Roman" w:cs="Times New Roman" w:eastAsia="Times New Roman" w:hint="default"/>
        </w:rPr>
        <w:t>4</w:t>
      </w:r>
      <w:r>
        <w:rPr/>
        <w:t>）长期资产减值准备 </w:t>
      </w:r>
      <w:r>
        <w:rPr>
          <w:spacing w:val="-2"/>
        </w:rPr>
        <w:t>本公司于资产负债表日对除金融资产之外的非流动资产判断是否存在可能发生减值的迹象。对使用寿</w:t>
      </w:r>
    </w:p>
    <w:p>
      <w:pPr>
        <w:pStyle w:val="BodyText"/>
        <w:spacing w:line="314" w:lineRule="auto" w:before="33"/>
        <w:ind w:right="1133"/>
        <w:jc w:val="both"/>
      </w:pPr>
      <w:r>
        <w:rPr>
          <w:spacing w:val="-1"/>
        </w:rPr>
        <w:t>命不确定的无形资产，除每年进行的减值测试外，当其存在减值迹象时，也进行减值测试。其他除金融资</w:t>
      </w:r>
      <w:r>
        <w:rPr>
          <w:spacing w:val="-86"/>
        </w:rPr>
        <w:t> </w:t>
      </w:r>
      <w:r>
        <w:rPr>
          <w:spacing w:val="-86"/>
        </w:rPr>
      </w:r>
      <w:r>
        <w:rPr/>
        <w:t>产之外的非流动资产，当存在迹象表明其账面金额不可收回时，进行减值测试。</w:t>
      </w:r>
    </w:p>
    <w:p>
      <w:pPr>
        <w:pStyle w:val="BodyText"/>
        <w:spacing w:line="314" w:lineRule="auto"/>
        <w:ind w:right="1132" w:firstLine="480"/>
        <w:jc w:val="both"/>
      </w:pPr>
      <w:r>
        <w:rPr>
          <w:spacing w:val="-2"/>
        </w:rPr>
        <w:t>当资产或资产组的账面价值高于可收回金额，即公允价值减去处置费用后的净额和预计未来现金流量</w:t>
      </w:r>
      <w:r>
        <w:rPr/>
        <w:t> 的现值中的较高者，表明发生了减值。</w:t>
      </w:r>
    </w:p>
    <w:p>
      <w:pPr>
        <w:pStyle w:val="BodyText"/>
        <w:spacing w:line="314" w:lineRule="auto"/>
        <w:ind w:right="1050" w:firstLine="480"/>
        <w:jc w:val="both"/>
      </w:pPr>
      <w:r>
        <w:rPr/>
        <w:t>公允价值减去处置费用后的净额，参考公平交易中类似资产的销售协议价格或可观察到的市场价格， 减去可直接归属于该资产处置的增量成本确定。</w:t>
      </w:r>
    </w:p>
    <w:p>
      <w:pPr>
        <w:pStyle w:val="BodyText"/>
        <w:spacing w:line="314" w:lineRule="auto"/>
        <w:ind w:left="154" w:right="1131" w:firstLine="480"/>
        <w:jc w:val="both"/>
      </w:pPr>
      <w:r>
        <w:rPr>
          <w:spacing w:val="-2"/>
        </w:rPr>
        <w:t>在预计未来现金流量现值时，需要对该资产（或资产组）的产量、售价、相关经营成本以及计算现值</w:t>
      </w:r>
      <w:r>
        <w:rPr/>
        <w:t> </w:t>
      </w:r>
      <w:r>
        <w:rPr>
          <w:spacing w:val="-1"/>
        </w:rPr>
        <w:t>时使用的折现率等作出重大判断。本公司在估计可收回金额时会采用所有能够获得的相关资料，包括根据</w:t>
      </w:r>
      <w:r>
        <w:rPr>
          <w:spacing w:val="-81"/>
        </w:rPr>
        <w:t> </w:t>
      </w:r>
      <w:r>
        <w:rPr>
          <w:spacing w:val="-81"/>
        </w:rPr>
      </w:r>
      <w:r>
        <w:rPr/>
        <w:t>合理和可支持的假设所作出有关产量、售价和相关经营成本的预测。</w:t>
      </w:r>
    </w:p>
    <w:p>
      <w:pPr>
        <w:pStyle w:val="BodyText"/>
        <w:spacing w:line="314" w:lineRule="auto"/>
        <w:ind w:right="1131" w:firstLine="480"/>
        <w:jc w:val="both"/>
      </w:pPr>
      <w:r>
        <w:rPr>
          <w:spacing w:val="-2"/>
        </w:rPr>
        <w:t>本公司至少每年测试商誉是否发生减值。这要求对分配了商誉的资产组或者资产组组合的未来现金流</w:t>
      </w:r>
      <w:r>
        <w:rPr/>
        <w:t> </w:t>
      </w:r>
      <w:r>
        <w:rPr>
          <w:spacing w:val="-1"/>
        </w:rPr>
        <w:t>量的现值进行预计。对未来现金流量的现值进行预计时，本公司需要预计未来资产组或者资产组组合产生</w:t>
      </w:r>
      <w:r>
        <w:rPr>
          <w:spacing w:val="-81"/>
        </w:rPr>
        <w:t> </w:t>
      </w:r>
      <w:r>
        <w:rPr>
          <w:spacing w:val="-81"/>
        </w:rPr>
      </w:r>
      <w:r>
        <w:rPr/>
        <w:t>的现金流量，同时选择恰当的折现率确定未来现金流量的现值。</w:t>
      </w:r>
    </w:p>
    <w:p>
      <w:pPr>
        <w:pStyle w:val="BodyText"/>
        <w:spacing w:line="295" w:lineRule="auto"/>
        <w:ind w:left="633" w:right="1121"/>
        <w:jc w:val="left"/>
      </w:pPr>
      <w:r>
        <w:rPr/>
        <w:t>（</w:t>
      </w:r>
      <w:r>
        <w:rPr>
          <w:rFonts w:ascii="Times New Roman" w:hAnsi="Times New Roman" w:cs="Times New Roman" w:eastAsia="Times New Roman" w:hint="default"/>
        </w:rPr>
        <w:t>5</w:t>
      </w:r>
      <w:r>
        <w:rPr/>
        <w:t>）折旧和摊销 </w:t>
      </w:r>
      <w:r>
        <w:rPr>
          <w:spacing w:val="-2"/>
        </w:rPr>
        <w:t>本公司对投资性房地产、固定资产和无形资产在考虑其残值后，在使用寿命内按直线法计提折旧和摊</w:t>
      </w:r>
    </w:p>
    <w:p>
      <w:pPr>
        <w:pStyle w:val="BodyText"/>
        <w:spacing w:line="314" w:lineRule="auto" w:before="35"/>
        <w:ind w:right="1131"/>
        <w:jc w:val="both"/>
      </w:pPr>
      <w:r>
        <w:rPr>
          <w:spacing w:val="-1"/>
        </w:rPr>
        <w:t>销。本公司定期复核使用寿命，以决定将计入每个报告期的折旧和摊销费用数额。使用寿命是本公司根据</w:t>
      </w:r>
      <w:r>
        <w:rPr>
          <w:spacing w:val="-83"/>
        </w:rPr>
        <w:t> </w:t>
      </w:r>
      <w:r>
        <w:rPr>
          <w:spacing w:val="-83"/>
        </w:rPr>
      </w:r>
      <w:r>
        <w:rPr>
          <w:spacing w:val="-1"/>
        </w:rPr>
        <w:t>对同类资产的以往经验并结合预期的技术更新而确定的。如果以前的估计发生重大变化，则会在未来期间</w:t>
      </w:r>
      <w:r>
        <w:rPr>
          <w:spacing w:val="-81"/>
        </w:rPr>
        <w:t> </w:t>
      </w:r>
      <w:r>
        <w:rPr>
          <w:spacing w:val="-81"/>
        </w:rPr>
      </w:r>
      <w:r>
        <w:rPr/>
        <w:t>对折旧和摊销费用进行调整。</w:t>
      </w:r>
    </w:p>
    <w:p>
      <w:pPr>
        <w:pStyle w:val="BodyText"/>
        <w:spacing w:line="295" w:lineRule="auto"/>
        <w:ind w:left="634" w:right="1120"/>
        <w:jc w:val="left"/>
      </w:pPr>
      <w:r>
        <w:rPr/>
        <w:t>（</w:t>
      </w:r>
      <w:r>
        <w:rPr>
          <w:rFonts w:ascii="Times New Roman" w:hAnsi="Times New Roman" w:cs="Times New Roman" w:eastAsia="Times New Roman" w:hint="default"/>
        </w:rPr>
        <w:t>6</w:t>
      </w:r>
      <w:r>
        <w:rPr/>
        <w:t>）递延所得税资产 </w:t>
      </w:r>
      <w:r>
        <w:rPr>
          <w:spacing w:val="-2"/>
        </w:rPr>
        <w:t>在很有可能有足够的应纳税利润来抵扣亏损的限度内，本公司就所有未利用的税务亏损确认递延所得</w:t>
      </w:r>
    </w:p>
    <w:p>
      <w:pPr>
        <w:spacing w:after="0" w:line="295" w:lineRule="auto"/>
        <w:jc w:val="left"/>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0"/>
        <w:jc w:val="left"/>
      </w:pPr>
      <w:r>
        <w:rPr>
          <w:spacing w:val="-1"/>
        </w:rPr>
        <w:t>税资产。这需要本公司管理层运用大量的判断来估计未来应纳税利润发生的时间和金额，结合纳税筹划策</w:t>
      </w:r>
      <w:r>
        <w:rPr>
          <w:spacing w:val="-81"/>
        </w:rPr>
        <w:t> </w:t>
      </w:r>
      <w:r>
        <w:rPr>
          <w:spacing w:val="-81"/>
        </w:rPr>
      </w:r>
      <w:r>
        <w:rPr/>
        <w:t>略，以决定应确认的递延所得税资产的金额。</w:t>
      </w:r>
    </w:p>
    <w:p>
      <w:pPr>
        <w:pStyle w:val="BodyText"/>
        <w:spacing w:line="295" w:lineRule="auto"/>
        <w:ind w:left="633" w:right="1121"/>
        <w:jc w:val="left"/>
      </w:pPr>
      <w:r>
        <w:rPr/>
        <w:t>（</w:t>
      </w:r>
      <w:r>
        <w:rPr>
          <w:rFonts w:ascii="Times New Roman" w:hAnsi="Times New Roman" w:cs="Times New Roman" w:eastAsia="Times New Roman" w:hint="default"/>
        </w:rPr>
        <w:t>7</w:t>
      </w:r>
      <w:r>
        <w:rPr/>
        <w:t>）所得税 </w:t>
      </w:r>
      <w:r>
        <w:rPr>
          <w:spacing w:val="-2"/>
        </w:rPr>
        <w:t>本公司在正常的经营活动中，有部分交易其最终的税务处理和计算存在一定的不确定性。部分项目是</w:t>
      </w:r>
    </w:p>
    <w:p>
      <w:pPr>
        <w:pStyle w:val="BodyText"/>
        <w:spacing w:line="314" w:lineRule="auto" w:before="36"/>
        <w:ind w:right="0"/>
        <w:jc w:val="left"/>
      </w:pPr>
      <w:r>
        <w:rPr>
          <w:spacing w:val="-1"/>
        </w:rPr>
        <w:t>否能够在税前列支需要税收主管机关的审批。如果这些税务事项的最终认定结果同最初估计的金额存在差</w:t>
      </w:r>
      <w:r>
        <w:rPr>
          <w:spacing w:val="-81"/>
        </w:rPr>
        <w:t> </w:t>
      </w:r>
      <w:r>
        <w:rPr>
          <w:spacing w:val="-81"/>
        </w:rPr>
      </w:r>
      <w:r>
        <w:rPr/>
        <w:t>异，则该差异将对其最终认定期间的当期所得税和递延所得税产生影响。</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六、税项" w:id="205"/>
      <w:bookmarkEnd w:id="20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主要税种及税率" w:id="206"/>
      <w:bookmarkEnd w:id="20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2777"/>
        <w:gridCol w:w="3615"/>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应税销售收入</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，出口产品享受国家规定出口退税政策</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应税营业收入</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教育费附加（含地方教育附加）</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税收优惠" w:id="207"/>
      <w:bookmarkEnd w:id="20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26"/>
          <w:szCs w:val="26"/>
        </w:rPr>
      </w:pPr>
    </w:p>
    <w:p>
      <w:pPr>
        <w:pStyle w:val="BodyText"/>
        <w:spacing w:line="295" w:lineRule="auto" w:before="0"/>
        <w:ind w:left="154" w:right="1131" w:firstLine="480"/>
        <w:jc w:val="both"/>
      </w:pPr>
      <w:r>
        <w:rPr>
          <w:spacing w:val="-2"/>
        </w:rPr>
        <w:t>（</w:t>
      </w:r>
      <w:r>
        <w:rPr>
          <w:rFonts w:ascii="Times New Roman" w:hAnsi="Times New Roman" w:cs="Times New Roman" w:eastAsia="Times New Roman" w:hint="default"/>
          <w:spacing w:val="-2"/>
        </w:rPr>
        <w:t>1</w:t>
      </w:r>
      <w:r>
        <w:rPr>
          <w:spacing w:val="-2"/>
        </w:rPr>
        <w:t>）根据财政部、国家税务总局财税【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5</w:t>
      </w:r>
      <w:r>
        <w:rPr>
          <w:spacing w:val="-2"/>
        </w:rPr>
        <w:t>号《关于金融企业贷款损失准备金企业所得税税前扣</w:t>
      </w:r>
      <w:r>
        <w:rPr/>
        <w:t> </w:t>
      </w:r>
      <w:r>
        <w:rPr>
          <w:spacing w:val="-1"/>
        </w:rPr>
        <w:t>除政策的通知》，准予当年税前扣除的贷款损失准备金＝本年末准予提取贷款损失准备金的贷款资产余额</w:t>
      </w:r>
    </w:p>
    <w:p>
      <w:pPr>
        <w:pStyle w:val="BodyText"/>
        <w:spacing w:line="240" w:lineRule="auto" w:before="35"/>
        <w:ind w:left="156" w:right="0"/>
        <w:jc w:val="left"/>
      </w:pPr>
      <w:r>
        <w:rPr>
          <w:rFonts w:ascii="Times New Roman" w:hAnsi="Times New Roman" w:cs="Times New Roman" w:eastAsia="Times New Roman" w:hint="default"/>
        </w:rPr>
        <w:t>×1%</w:t>
      </w:r>
      <w:r>
        <w:rPr/>
        <w:t>－截至上年末已在税前扣除的贷款损失准备金的余额。</w:t>
      </w:r>
    </w:p>
    <w:p>
      <w:pPr>
        <w:pStyle w:val="BodyText"/>
        <w:spacing w:line="300" w:lineRule="auto" w:before="68"/>
        <w:ind w:right="1110" w:firstLine="480"/>
        <w:jc w:val="both"/>
      </w:pPr>
      <w:r>
        <w:rPr/>
        <w:t>（</w:t>
      </w:r>
      <w:r>
        <w:rPr>
          <w:rFonts w:ascii="Times New Roman" w:hAnsi="Times New Roman" w:cs="Times New Roman" w:eastAsia="Times New Roman" w:hint="default"/>
        </w:rPr>
        <w:t>2</w:t>
      </w:r>
      <w:r>
        <w:rPr/>
        <w:t>）根据财政部、国家税务总局财税【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25</w:t>
      </w:r>
      <w:r>
        <w:rPr/>
        <w:t>号《关于中小企业担保机构有关准备金企业所得税 </w:t>
      </w:r>
      <w:r>
        <w:rPr>
          <w:spacing w:val="-2"/>
        </w:rPr>
        <w:t>税前扣除政策的通知》：符合条件的中小企业信用担保机构按照不超过当年年末担保责任余额</w:t>
      </w:r>
      <w:r>
        <w:rPr>
          <w:rFonts w:ascii="Times New Roman" w:hAnsi="Times New Roman" w:cs="Times New Roman" w:eastAsia="Times New Roman" w:hint="default"/>
          <w:spacing w:val="-2"/>
        </w:rPr>
        <w:t>1%</w:t>
      </w:r>
      <w:r>
        <w:rPr>
          <w:spacing w:val="-2"/>
        </w:rPr>
        <w:t>的比例计</w:t>
      </w:r>
      <w:r>
        <w:rPr/>
        <w:t> 提的担保赔偿准备，允许在企业所得税税前扣除，同时将上年度计提的担保赔偿准备余额转为当期收入。 按照不超过当年担保费收入</w:t>
      </w:r>
      <w:r>
        <w:rPr>
          <w:rFonts w:ascii="Times New Roman" w:hAnsi="Times New Roman" w:cs="Times New Roman" w:eastAsia="Times New Roman" w:hint="default"/>
        </w:rPr>
        <w:t>50%</w:t>
      </w:r>
      <w:r>
        <w:rPr/>
        <w:t>的比例计提的未到期责任准备，允许在企业所得税税前扣除，同时将上年</w:t>
      </w:r>
      <w:r>
        <w:rPr>
          <w:spacing w:val="-98"/>
        </w:rPr>
        <w:t> </w:t>
      </w:r>
      <w:r>
        <w:rPr>
          <w:spacing w:val="-98"/>
        </w:rPr>
      </w:r>
      <w:r>
        <w:rPr/>
        <w:t>度计提的未到期责任准备余额转为当期收入。</w:t>
      </w:r>
    </w:p>
    <w:p>
      <w:pPr>
        <w:pStyle w:val="BodyText"/>
        <w:spacing w:line="295" w:lineRule="auto" w:before="31"/>
        <w:ind w:right="1127" w:firstLine="480"/>
        <w:jc w:val="both"/>
      </w:pPr>
      <w:r>
        <w:rPr>
          <w:spacing w:val="-2"/>
        </w:rPr>
        <w:t>（</w:t>
      </w:r>
      <w:r>
        <w:rPr>
          <w:rFonts w:ascii="Times New Roman" w:hAnsi="Times New Roman" w:cs="Times New Roman" w:eastAsia="Times New Roman" w:hint="default"/>
          <w:spacing w:val="-2"/>
        </w:rPr>
        <w:t>3</w:t>
      </w:r>
      <w:r>
        <w:rPr>
          <w:spacing w:val="-2"/>
        </w:rPr>
        <w:t>）根据江苏省农村小额贷款组织试点工作领导小组办公室苏金融办发【</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5</w:t>
      </w:r>
      <w:r>
        <w:rPr>
          <w:spacing w:val="-2"/>
        </w:rPr>
        <w:t>号人民政府关于进</w:t>
      </w:r>
      <w:r>
        <w:rPr/>
        <w:t> 一步明确农村小额贷款公司税收政策的通知，所得税按</w:t>
      </w:r>
      <w:r>
        <w:rPr>
          <w:rFonts w:ascii="Times New Roman" w:hAnsi="Times New Roman" w:cs="Times New Roman" w:eastAsia="Times New Roman" w:hint="default"/>
        </w:rPr>
        <w:t>12.5%</w:t>
      </w:r>
      <w:r>
        <w:rPr/>
        <w:t>、营业税按</w:t>
      </w:r>
      <w:r>
        <w:rPr>
          <w:rFonts w:ascii="Times New Roman" w:hAnsi="Times New Roman" w:cs="Times New Roman" w:eastAsia="Times New Roman" w:hint="default"/>
        </w:rPr>
        <w:t>3%</w:t>
      </w:r>
      <w:r>
        <w:rPr/>
        <w:t>的税率予以征收。至报告日， </w:t>
      </w:r>
      <w:r>
        <w:rPr>
          <w:rFonts w:ascii="Times New Roman" w:hAnsi="Times New Roman" w:cs="Times New Roman" w:eastAsia="Times New Roman" w:hint="default"/>
        </w:rPr>
        <w:t>2014</w:t>
      </w:r>
      <w:r>
        <w:rPr/>
        <w:t>年度所得税减半征收优惠待报南通市地方税务局备案，</w:t>
      </w:r>
      <w:r>
        <w:rPr>
          <w:rFonts w:ascii="Times New Roman" w:hAnsi="Times New Roman" w:cs="Times New Roman" w:eastAsia="Times New Roman" w:hint="default"/>
        </w:rPr>
        <w:t>2014</w:t>
      </w:r>
      <w:r>
        <w:rPr/>
        <w:t>年度实际按</w:t>
      </w:r>
      <w:r>
        <w:rPr>
          <w:rFonts w:ascii="Times New Roman" w:hAnsi="Times New Roman" w:cs="Times New Roman" w:eastAsia="Times New Roman" w:hint="default"/>
        </w:rPr>
        <w:t>12.5%</w:t>
      </w:r>
      <w:r>
        <w:rPr/>
        <w:t>征收；营业税减免按</w:t>
      </w:r>
      <w:r>
        <w:rPr>
          <w:rFonts w:ascii="Times New Roman" w:hAnsi="Times New Roman" w:cs="Times New Roman" w:eastAsia="Times New Roman" w:hint="default"/>
        </w:rPr>
        <w:t>3% </w:t>
      </w:r>
      <w:r>
        <w:rPr/>
        <w:t>征收的优惠于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日经南通市地方税务局备案，取得通地税一【</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16380</w:t>
      </w:r>
      <w:r>
        <w:rPr/>
        <w:t>号告知书。</w:t>
      </w:r>
    </w:p>
    <w:p>
      <w:pPr>
        <w:spacing w:after="0" w:line="295"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3" w:right="7333" w:firstLine="0"/>
        <w:jc w:val="left"/>
        <w:rPr>
          <w:rFonts w:ascii="宋体" w:hAnsi="宋体" w:cs="宋体" w:eastAsia="宋体" w:hint="default"/>
          <w:sz w:val="21"/>
          <w:szCs w:val="21"/>
        </w:rPr>
      </w:pPr>
      <w:bookmarkStart w:name="3、其他" w:id="208"/>
      <w:bookmarkEnd w:id="20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09"/>
      <w:bookmarkEnd w:id="209"/>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0"/>
      <w:bookmarkEnd w:id="21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196,982.01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175,684.17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169,601,041.01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304,280,439.64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172,298,023.02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318,456,123.81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95" w:lineRule="auto" w:before="114"/>
        <w:ind w:right="0" w:firstLine="420"/>
        <w:jc w:val="left"/>
      </w:pPr>
      <w:r>
        <w:rPr>
          <w:spacing w:val="-1"/>
        </w:rPr>
        <w:t>其他货币资金</w:t>
      </w:r>
      <w:r>
        <w:rPr>
          <w:rFonts w:ascii="Times New Roman" w:hAnsi="Times New Roman" w:cs="Times New Roman" w:eastAsia="Times New Roman" w:hint="default"/>
          <w:spacing w:val="-1"/>
        </w:rPr>
        <w:t>2,500,000.00</w:t>
      </w:r>
      <w:r>
        <w:rPr>
          <w:spacing w:val="-1"/>
        </w:rPr>
        <w:t>元（</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14,000,000.00</w:t>
      </w:r>
      <w:r>
        <w:rPr>
          <w:spacing w:val="-1"/>
        </w:rPr>
        <w:t>元）为银行承兑汇票保证金存款。除此</w:t>
      </w:r>
      <w:r>
        <w:rPr/>
        <w:t> 之外，本公司无其他抵押、冻结等对变现有限制或存放境外、或存在潜在回收风险的款项。</w:t>
      </w:r>
    </w:p>
    <w:p>
      <w:pPr>
        <w:spacing w:line="240" w:lineRule="auto" w:before="12"/>
        <w:rPr>
          <w:rFonts w:ascii="宋体" w:hAnsi="宋体" w:cs="宋体" w:eastAsia="宋体" w:hint="default"/>
          <w:sz w:val="23"/>
          <w:szCs w:val="23"/>
        </w:rPr>
      </w:pPr>
    </w:p>
    <w:p>
      <w:pPr>
        <w:pStyle w:val="Heading5"/>
        <w:spacing w:line="240" w:lineRule="auto"/>
        <w:ind w:left="153" w:right="0"/>
        <w:jc w:val="left"/>
        <w:rPr>
          <w:b w:val="0"/>
          <w:bCs w:val="0"/>
        </w:rPr>
      </w:pPr>
      <w:bookmarkStart w:name="2、以公允价值计量且其变动计入当期损益的金融资产" w:id="211"/>
      <w:bookmarkEnd w:id="21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197,777.80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197,777.80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197,777.80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应收票据" w:id="212"/>
      <w:bookmarkEnd w:id="212"/>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票据分类列示" w:id="213"/>
      <w:bookmarkEnd w:id="21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应收账款" w:id="214"/>
      <w:bookmarkEnd w:id="214"/>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账款分类披露" w:id="215"/>
      <w:bookmarkEnd w:id="21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909"/>
        <w:gridCol w:w="836"/>
        <w:gridCol w:w="932"/>
      </w:tblGrid>
      <w:tr>
        <w:trPr>
          <w:trHeight w:val="40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9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909" w:type="dxa"/>
            <w:vMerge/>
            <w:tcBorders>
              <w:left w:val="single" w:sz="4" w:space="0" w:color="000000"/>
              <w:bottom w:val="nil" w:sz="6" w:space="0" w:color="auto"/>
              <w:right w:val="single" w:sz="4" w:space="0" w:color="000000"/>
            </w:tcBorders>
            <w:shd w:val="clear" w:color="auto" w:fill="D2D2D2"/>
          </w:tcPr>
          <w:p>
            <w:pPr/>
          </w:p>
        </w:tc>
        <w:tc>
          <w:tcPr>
            <w:tcW w:w="836"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9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62,951,8</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50.85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6,960,24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11.06%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55,991,60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7.02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71,208,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476.36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7,656,735.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10.75%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63,551,740.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63,101,8</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50.85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7,110,24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3.83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55,991,60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7.02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71,208,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476.36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90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7,656,735.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836"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63,551,740.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909"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909"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445"/>
            <w:col w:w="219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57,957,614.77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3,481,727.99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727,501.90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218,250.57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1,941,322.42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970,661.21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174,972.45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139,977.96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2,149,482.59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2,149,482.59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62,951,850.85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6,960,243.83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确定该组合依据的说明：无。 组合中，采用余额百分比法计提坏账准备的应收账款：</w:t>
      </w:r>
    </w:p>
    <w:p>
      <w:pPr>
        <w:spacing w:line="338" w:lineRule="auto" w:before="29"/>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pStyle w:val="BodyText"/>
        <w:spacing w:line="240" w:lineRule="auto" w:before="17"/>
        <w:ind w:left="633" w:right="0"/>
        <w:jc w:val="left"/>
      </w:pPr>
      <w:r>
        <w:rPr/>
        <w:t>单项金额虽不重大但单项计提坏账准备的应收账款</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40"/>
        <w:gridCol w:w="1862"/>
        <w:gridCol w:w="1842"/>
        <w:gridCol w:w="1632"/>
        <w:gridCol w:w="2165"/>
      </w:tblGrid>
      <w:tr>
        <w:trPr>
          <w:trHeight w:val="341"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464" w:right="0"/>
              <w:jc w:val="left"/>
              <w:rPr>
                <w:rFonts w:ascii="宋体" w:hAnsi="宋体" w:cs="宋体" w:eastAsia="宋体" w:hint="default"/>
                <w:sz w:val="20"/>
                <w:szCs w:val="20"/>
              </w:rPr>
            </w:pPr>
            <w:r>
              <w:rPr>
                <w:rFonts w:ascii="宋体" w:hAnsi="宋体" w:cs="宋体" w:eastAsia="宋体" w:hint="default"/>
                <w:sz w:val="20"/>
                <w:szCs w:val="20"/>
              </w:rPr>
              <w:t>应收账款内容</w:t>
            </w:r>
          </w:p>
        </w:tc>
        <w:tc>
          <w:tcPr>
            <w:tcW w:w="18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525"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6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计提比例</w:t>
            </w:r>
            <w:r>
              <w:rPr>
                <w:rFonts w:ascii="Times New Roman" w:hAnsi="Times New Roman" w:cs="Times New Roman" w:eastAsia="Times New Roman" w:hint="default"/>
                <w:sz w:val="20"/>
                <w:szCs w:val="20"/>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41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676" w:right="0"/>
              <w:jc w:val="left"/>
              <w:rPr>
                <w:rFonts w:ascii="宋体" w:hAnsi="宋体" w:cs="宋体" w:eastAsia="宋体" w:hint="default"/>
                <w:sz w:val="20"/>
                <w:szCs w:val="20"/>
              </w:rPr>
            </w:pPr>
            <w:r>
              <w:rPr>
                <w:rFonts w:ascii="宋体" w:hAnsi="宋体" w:cs="宋体" w:eastAsia="宋体" w:hint="default"/>
                <w:sz w:val="20"/>
                <w:szCs w:val="20"/>
              </w:rPr>
              <w:t>计提理由</w:t>
            </w:r>
          </w:p>
        </w:tc>
      </w:tr>
      <w:tr>
        <w:trPr>
          <w:trHeight w:val="343"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应收担保费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20"/>
                <w:szCs w:val="20"/>
              </w:rPr>
            </w:pPr>
            <w:r>
              <w:rPr>
                <w:rFonts w:ascii="Times New Roman"/>
                <w:spacing w:val="-1"/>
                <w:sz w:val="20"/>
              </w:rPr>
              <w:t>150,000.00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20"/>
                <w:szCs w:val="20"/>
              </w:rPr>
            </w:pPr>
            <w:r>
              <w:rPr>
                <w:rFonts w:ascii="Times New Roman"/>
                <w:spacing w:val="-1"/>
                <w:sz w:val="20"/>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20"/>
                <w:szCs w:val="20"/>
              </w:rPr>
            </w:pPr>
            <w:r>
              <w:rPr>
                <w:rFonts w:ascii="Times New Roman"/>
                <w:spacing w:val="-1"/>
                <w:sz w:val="20"/>
              </w:rPr>
              <w:t>150,000.00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87" w:right="0"/>
              <w:jc w:val="left"/>
              <w:rPr>
                <w:rFonts w:ascii="宋体" w:hAnsi="宋体" w:cs="宋体" w:eastAsia="宋体" w:hint="default"/>
                <w:sz w:val="20"/>
                <w:szCs w:val="20"/>
              </w:rPr>
            </w:pPr>
            <w:r>
              <w:rPr>
                <w:rFonts w:ascii="宋体" w:hAnsi="宋体" w:cs="宋体" w:eastAsia="宋体" w:hint="default"/>
                <w:w w:val="100"/>
                <w:sz w:val="20"/>
                <w:szCs w:val="20"/>
              </w:rPr>
              <w:t>注</w:t>
            </w:r>
          </w:p>
        </w:tc>
      </w:tr>
      <w:tr>
        <w:trPr>
          <w:trHeight w:val="342"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0"/>
                <w:sz w:val="20"/>
                <w:szCs w:val="20"/>
              </w:rPr>
              <w:t> </w:t>
            </w:r>
            <w:r>
              <w:rPr>
                <w:rFonts w:ascii="宋体" w:hAnsi="宋体" w:cs="宋体" w:eastAsia="宋体" w:hint="default"/>
                <w:sz w:val="20"/>
                <w:szCs w:val="20"/>
              </w:rPr>
              <w:t>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150,000.00</w:t>
            </w:r>
            <w:r>
              <w:rPr>
                <w:rFonts w:ascii="Times New Roman"/>
                <w:spacing w:val="-1"/>
                <w:sz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spacing w:val="-1"/>
                <w:sz w:val="20"/>
              </w:rPr>
              <w:t>150,000.00</w:t>
            </w:r>
            <w:r>
              <w:rPr>
                <w:rFonts w:ascii="Times New Roman"/>
                <w:spacing w:val="-1"/>
                <w:sz w:val="20"/>
              </w:rPr>
            </w:r>
          </w:p>
        </w:tc>
        <w:tc>
          <w:tcPr>
            <w:tcW w:w="216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5" w:lineRule="auto" w:before="9"/>
        <w:ind w:right="0" w:firstLine="420"/>
        <w:jc w:val="left"/>
      </w:pPr>
      <w:r>
        <w:rPr/>
        <w:t>注：本公司之子公司南通资丰小额贷款有限公司对于所有客户的应收担保费均未超过</w:t>
      </w:r>
      <w:r>
        <w:rPr>
          <w:rFonts w:ascii="Times New Roman" w:hAnsi="Times New Roman" w:cs="Times New Roman" w:eastAsia="Times New Roman" w:hint="default"/>
        </w:rPr>
        <w:t>100</w:t>
      </w:r>
      <w:r>
        <w:rPr/>
        <w:t>万元，考虑 到上述款项收回不确定性较大，按</w:t>
      </w:r>
      <w:r>
        <w:rPr>
          <w:rFonts w:ascii="Times New Roman" w:hAnsi="Times New Roman" w:cs="Times New Roman" w:eastAsia="Times New Roman" w:hint="default"/>
        </w:rPr>
        <w:t>100%</w:t>
      </w:r>
      <w:r>
        <w:rPr/>
        <w:t>计提坏账准备。</w:t>
      </w:r>
    </w:p>
    <w:p>
      <w:pPr>
        <w:spacing w:after="0" w:line="295"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2）本期计提、收回或转回的坏账准备情况" w:id="216"/>
      <w:bookmarkEnd w:id="21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79" w:top="1060" w:bottom="1160" w:left="980" w:right="0"/>
        </w:sectPr>
      </w:pPr>
    </w:p>
    <w:p>
      <w:pPr>
        <w:pStyle w:val="BodyText"/>
        <w:spacing w:line="240" w:lineRule="auto" w:before="35"/>
        <w:ind w:left="573" w:right="-14"/>
        <w:jc w:val="left"/>
      </w:pPr>
      <w:r>
        <w:rPr/>
        <w:t>本期计提坏账准备金额</w:t>
      </w:r>
      <w:r>
        <w:rPr>
          <w:spacing w:val="-54"/>
        </w:rPr>
        <w:t> </w:t>
      </w:r>
      <w:r>
        <w:rPr>
          <w:rFonts w:ascii="Times New Roman" w:hAnsi="Times New Roman" w:cs="Times New Roman" w:eastAsia="Times New Roman" w:hint="default"/>
        </w:rPr>
        <w:t>526,869.82</w:t>
      </w:r>
      <w:r>
        <w:rPr>
          <w:rFonts w:ascii="Times New Roman" w:hAnsi="Times New Roman" w:cs="Times New Roman" w:eastAsia="Times New Roman" w:hint="default"/>
          <w:spacing w:val="-2"/>
        </w:rPr>
        <w:t> </w:t>
      </w:r>
      <w:r>
        <w:rPr/>
        <w:t>元；本期收回或转回坏账准备金额</w:t>
      </w:r>
      <w:r>
        <w:rPr>
          <w:spacing w:val="-54"/>
        </w:rPr>
        <w:t> </w:t>
      </w:r>
      <w:r>
        <w:rPr>
          <w:rFonts w:ascii="Times New Roman" w:hAnsi="Times New Roman" w:cs="Times New Roman" w:eastAsia="Times New Roman" w:hint="default"/>
        </w:rPr>
        <w:t>1,067,906.24</w:t>
      </w:r>
      <w:r>
        <w:rPr>
          <w:rFonts w:ascii="Times New Roman" w:hAnsi="Times New Roman" w:cs="Times New Roman" w:eastAsia="Times New Roman" w:hint="default"/>
          <w:spacing w:val="-1"/>
        </w:rPr>
        <w:t> </w:t>
      </w:r>
      <w:r>
        <w:rPr/>
        <w:t>元。</w:t>
      </w:r>
    </w:p>
    <w:p>
      <w:pPr>
        <w:spacing w:before="86"/>
        <w:ind w:left="153" w:right="-14"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02" w:space="238"/>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上海沪凯中泰通讯科技有限公司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321,828.53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新疆胜华通信有限公司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561,828.53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按欠款方归集的期末余额前五吊的应收账款情况" w:id="217"/>
      <w:bookmarkEnd w:id="217"/>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5"/>
        <w:rPr>
          <w:rFonts w:ascii="宋体" w:hAnsi="宋体" w:cs="宋体" w:eastAsia="宋体" w:hint="default"/>
          <w:b/>
          <w:bCs/>
          <w:sz w:val="26"/>
          <w:szCs w:val="26"/>
        </w:rPr>
      </w:pPr>
    </w:p>
    <w:p>
      <w:pPr>
        <w:pStyle w:val="BodyText"/>
        <w:spacing w:line="295" w:lineRule="auto" w:before="0"/>
        <w:ind w:right="0" w:firstLine="480"/>
        <w:jc w:val="left"/>
      </w:pPr>
      <w:r>
        <w:rPr/>
        <w:t>本公司本年按欠款方归集的年末余额前五名应收账款汇总金额为</w:t>
      </w:r>
      <w:r>
        <w:rPr>
          <w:rFonts w:ascii="Times New Roman" w:hAnsi="Times New Roman" w:cs="Times New Roman" w:eastAsia="Times New Roman" w:hint="default"/>
        </w:rPr>
        <w:t>47,409,628.88</w:t>
      </w:r>
      <w:r>
        <w:rPr/>
        <w:t>元，占应收账款年 末余额合计数的比例为</w:t>
      </w:r>
      <w:r>
        <w:rPr>
          <w:rFonts w:ascii="Times New Roman" w:hAnsi="Times New Roman" w:cs="Times New Roman" w:eastAsia="Times New Roman" w:hint="default"/>
        </w:rPr>
        <w:t>75.31%</w:t>
      </w:r>
      <w:r>
        <w:rPr/>
        <w:t>。相应计提的坏账准备年末余额汇总金额为</w:t>
      </w:r>
      <w:r>
        <w:rPr>
          <w:rFonts w:ascii="Times New Roman" w:hAnsi="Times New Roman" w:cs="Times New Roman" w:eastAsia="Times New Roman" w:hint="default"/>
        </w:rPr>
        <w:t>4,669,638.30</w:t>
      </w:r>
      <w:r>
        <w:rPr/>
        <w:t>元。</w:t>
      </w:r>
    </w:p>
    <w:p>
      <w:pPr>
        <w:spacing w:line="240" w:lineRule="auto" w:before="4"/>
        <w:rPr>
          <w:rFonts w:ascii="宋体" w:hAnsi="宋体" w:cs="宋体" w:eastAsia="宋体" w:hint="default"/>
          <w:sz w:val="22"/>
          <w:szCs w:val="22"/>
        </w:rPr>
      </w:pPr>
    </w:p>
    <w:p>
      <w:pPr>
        <w:pStyle w:val="Heading5"/>
        <w:spacing w:line="240" w:lineRule="auto"/>
        <w:ind w:left="153" w:right="0"/>
        <w:jc w:val="left"/>
        <w:rPr>
          <w:b w:val="0"/>
          <w:bCs w:val="0"/>
        </w:rPr>
      </w:pPr>
      <w:bookmarkStart w:name="5、预付款项" w:id="218"/>
      <w:bookmarkEnd w:id="218"/>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预付款项按账龄列示" w:id="219"/>
      <w:bookmarkEnd w:id="21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4,536,913.01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13,708,024.88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72,321.76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68,971.22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30,132.28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483,386.27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746,501.08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273,520.58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5,385,868.13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14,533,902.95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年且金额重要的预付款项未及时结算原因的说明：无。</w:t>
      </w:r>
    </w:p>
    <w:p>
      <w:pPr>
        <w:spacing w:line="638" w:lineRule="exact" w:before="72"/>
        <w:ind w:left="574" w:right="0" w:hanging="420"/>
        <w:jc w:val="left"/>
        <w:rPr>
          <w:rFonts w:ascii="宋体" w:hAnsi="宋体" w:cs="宋体" w:eastAsia="宋体" w:hint="default"/>
          <w:sz w:val="21"/>
          <w:szCs w:val="21"/>
        </w:rPr>
      </w:pPr>
      <w:bookmarkStart w:name="（2）按预付对象归集的期末余额前五吊的预付款情况"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本公司按预付对象归集的年末余额前五名预付账款汇总金额为</w:t>
      </w:r>
      <w:r>
        <w:rPr>
          <w:rFonts w:ascii="Times New Roman" w:hAnsi="Times New Roman" w:cs="Times New Roman" w:eastAsia="Times New Roman" w:hint="default"/>
          <w:spacing w:val="-2"/>
          <w:sz w:val="21"/>
          <w:szCs w:val="21"/>
        </w:rPr>
        <w:t>5,188,257.11</w:t>
      </w:r>
      <w:r>
        <w:rPr>
          <w:rFonts w:ascii="宋体" w:hAnsi="宋体" w:cs="宋体" w:eastAsia="宋体" w:hint="default"/>
          <w:spacing w:val="-2"/>
          <w:sz w:val="21"/>
          <w:szCs w:val="21"/>
        </w:rPr>
        <w:t>元，占预付账款年末余额合</w:t>
      </w:r>
    </w:p>
    <w:p>
      <w:pPr>
        <w:pStyle w:val="BodyText"/>
        <w:spacing w:line="277" w:lineRule="exact" w:before="0"/>
        <w:ind w:right="0"/>
        <w:jc w:val="left"/>
      </w:pPr>
      <w:r>
        <w:rPr/>
        <w:t>计数的比例为</w:t>
      </w:r>
      <w:r>
        <w:rPr>
          <w:rFonts w:ascii="Times New Roman" w:hAnsi="Times New Roman" w:cs="Times New Roman" w:eastAsia="Times New Roman" w:hint="default"/>
        </w:rPr>
        <w:t>96.33%</w:t>
      </w:r>
      <w:r>
        <w:rPr/>
        <w:t>。</w:t>
      </w:r>
    </w:p>
    <w:p>
      <w:pPr>
        <w:spacing w:before="11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6、应收利息" w:id="221"/>
      <w:bookmarkEnd w:id="221"/>
      <w:r>
        <w:rPr>
          <w:b w:val="0"/>
          <w:bCs w:val="0"/>
        </w:rPr>
      </w:r>
      <w:r>
        <w:rPr>
          <w:rFonts w:ascii="Times New Roman" w:hAnsi="Times New Roman" w:cs="Times New Roman" w:eastAsia="Times New Roman" w:hint="default"/>
        </w:rPr>
        <w:t>6</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利息分类" w:id="222"/>
      <w:bookmarkEnd w:id="222"/>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spacing w:before="0"/>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发放贷款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1,050,504.72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432,952.09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1,050,504.72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432,952.09</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重要逾期利息" w:id="223"/>
      <w:bookmarkEnd w:id="223"/>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3"/>
        <w:gridCol w:w="1844"/>
        <w:gridCol w:w="1346"/>
        <w:gridCol w:w="1488"/>
        <w:gridCol w:w="2340"/>
      </w:tblGrid>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8"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7"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3"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杨志平</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104,139.97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陈志明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103,794.27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江苏成名钢构重工有限公司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85,338.96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293,273.20</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95" w:lineRule="auto" w:before="113"/>
        <w:ind w:left="574" w:right="6027"/>
        <w:jc w:val="left"/>
      </w:pPr>
      <w:r>
        <w:rPr/>
        <w:t>注</w:t>
      </w:r>
      <w:r>
        <w:rPr>
          <w:rFonts w:ascii="Times New Roman" w:hAnsi="Times New Roman" w:cs="Times New Roman" w:eastAsia="Times New Roman" w:hint="default"/>
        </w:rPr>
        <w:t>1</w:t>
      </w:r>
      <w:r>
        <w:rPr/>
        <w:t>：流动资金紧张，暂时无法归还。 注</w:t>
      </w:r>
      <w:r>
        <w:rPr>
          <w:rFonts w:ascii="Times New Roman" w:hAnsi="Times New Roman" w:cs="Times New Roman" w:eastAsia="Times New Roman" w:hint="default"/>
        </w:rPr>
        <w:t>2</w:t>
      </w:r>
      <w:r>
        <w:rPr/>
        <w:t>：因抵押物资产价值较大，预计可以收回。</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7、其他应收款" w:id="224"/>
      <w:bookmarkEnd w:id="224"/>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225"/>
      <w:bookmarkEnd w:id="22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2914"/>
        <w:gridCol w:w="1667"/>
        <w:gridCol w:w="1218"/>
        <w:gridCol w:w="1366"/>
        <w:gridCol w:w="1066"/>
        <w:gridCol w:w="1464"/>
      </w:tblGrid>
      <w:tr>
        <w:trPr>
          <w:trHeight w:val="407" w:hRule="exact"/>
        </w:trPr>
        <w:tc>
          <w:tcPr>
            <w:tcW w:w="291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781"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22" w:hRule="exact"/>
        </w:trPr>
        <w:tc>
          <w:tcPr>
            <w:tcW w:w="2914" w:type="dxa"/>
            <w:vMerge/>
            <w:tcBorders>
              <w:left w:val="single" w:sz="4" w:space="0" w:color="000000"/>
              <w:right w:val="single" w:sz="4" w:space="0" w:color="000000"/>
            </w:tcBorders>
            <w:shd w:val="clear" w:color="auto" w:fill="D9D9D9"/>
          </w:tcPr>
          <w:p>
            <w:pPr/>
          </w:p>
        </w:tc>
        <w:tc>
          <w:tcPr>
            <w:tcW w:w="288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4"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145" w:hRule="exact"/>
        </w:trPr>
        <w:tc>
          <w:tcPr>
            <w:tcW w:w="2914" w:type="dxa"/>
            <w:vMerge/>
            <w:tcBorders>
              <w:left w:val="single" w:sz="4" w:space="0" w:color="000000"/>
              <w:right w:val="single" w:sz="4" w:space="0" w:color="000000"/>
            </w:tcBorders>
            <w:shd w:val="clear" w:color="auto" w:fill="D9D9D9"/>
          </w:tcPr>
          <w:p>
            <w:pPr/>
          </w:p>
        </w:tc>
        <w:tc>
          <w:tcPr>
            <w:tcW w:w="166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3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pacing w:val="-12"/>
                <w:sz w:val="18"/>
                <w:szCs w:val="18"/>
              </w:rPr>
              <w:t>计提比例（</w:t>
            </w:r>
            <w:r>
              <w:rPr>
                <w:rFonts w:ascii="宋体" w:hAnsi="宋体" w:cs="宋体" w:eastAsia="宋体" w:hint="default"/>
                <w:spacing w:val="-12"/>
                <w:sz w:val="18"/>
                <w:szCs w:val="18"/>
              </w:rPr>
              <w:t>%</w:t>
            </w:r>
          </w:p>
        </w:tc>
        <w:tc>
          <w:tcPr>
            <w:tcW w:w="146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33" w:lineRule="exact"/>
              <w:ind w:left="3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62" w:hRule="exact"/>
        </w:trPr>
        <w:tc>
          <w:tcPr>
            <w:tcW w:w="2914" w:type="dxa"/>
            <w:vMerge/>
            <w:tcBorders>
              <w:left w:val="single" w:sz="4" w:space="0" w:color="000000"/>
              <w:bottom w:val="single" w:sz="4" w:space="0" w:color="000000"/>
              <w:right w:val="single" w:sz="4" w:space="0" w:color="000000"/>
            </w:tcBorders>
            <w:shd w:val="clear" w:color="auto" w:fill="D9D9D9"/>
          </w:tcPr>
          <w:p>
            <w:pPr/>
          </w:p>
        </w:tc>
        <w:tc>
          <w:tcPr>
            <w:tcW w:w="1667" w:type="dxa"/>
            <w:vMerge/>
            <w:tcBorders>
              <w:left w:val="single" w:sz="4" w:space="0" w:color="000000"/>
              <w:bottom w:val="single" w:sz="4" w:space="0" w:color="000000"/>
              <w:right w:val="single" w:sz="4" w:space="0" w:color="000000"/>
            </w:tcBorders>
            <w:shd w:val="clear" w:color="auto" w:fill="D9D9D9"/>
          </w:tcPr>
          <w:p>
            <w:pPr/>
          </w:p>
        </w:tc>
        <w:tc>
          <w:tcPr>
            <w:tcW w:w="1218" w:type="dxa"/>
            <w:vMerge/>
            <w:tcBorders>
              <w:left w:val="single" w:sz="4" w:space="0" w:color="000000"/>
              <w:bottom w:val="single" w:sz="4" w:space="0" w:color="000000"/>
              <w:right w:val="single" w:sz="4" w:space="0" w:color="000000"/>
            </w:tcBorders>
            <w:shd w:val="clear" w:color="auto" w:fill="D9D9D9"/>
          </w:tcPr>
          <w:p>
            <w:pPr/>
          </w:p>
        </w:tc>
        <w:tc>
          <w:tcPr>
            <w:tcW w:w="1366" w:type="dxa"/>
            <w:vMerge/>
            <w:tcBorders>
              <w:left w:val="single" w:sz="4" w:space="0" w:color="000000"/>
              <w:bottom w:val="single" w:sz="4" w:space="0" w:color="000000"/>
              <w:right w:val="single" w:sz="4" w:space="0" w:color="000000"/>
            </w:tcBorders>
            <w:shd w:val="clear" w:color="auto" w:fill="D9D9D9"/>
          </w:tcPr>
          <w:p>
            <w:pPr/>
          </w:p>
        </w:tc>
        <w:tc>
          <w:tcPr>
            <w:tcW w:w="1066" w:type="dxa"/>
            <w:vMerge/>
            <w:tcBorders>
              <w:left w:val="single" w:sz="4" w:space="0" w:color="000000"/>
              <w:bottom w:val="single" w:sz="4" w:space="0" w:color="000000"/>
              <w:right w:val="single" w:sz="4" w:space="0" w:color="000000"/>
            </w:tcBorders>
            <w:shd w:val="clear" w:color="auto" w:fill="D9D9D9"/>
          </w:tcPr>
          <w:p>
            <w:pPr/>
          </w:p>
        </w:tc>
        <w:tc>
          <w:tcPr>
            <w:tcW w:w="1464"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191"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63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5"/>
              <w:jc w:val="left"/>
              <w:rPr>
                <w:rFonts w:ascii="宋体" w:hAnsi="宋体" w:cs="宋体" w:eastAsia="宋体" w:hint="default"/>
                <w:sz w:val="18"/>
                <w:szCs w:val="18"/>
              </w:rPr>
            </w:pPr>
            <w:r>
              <w:rPr>
                <w:rFonts w:ascii="宋体" w:hAnsi="宋体" w:cs="宋体" w:eastAsia="宋体" w:hint="default"/>
                <w:spacing w:val="9"/>
                <w:sz w:val="18"/>
                <w:szCs w:val="18"/>
              </w:rPr>
              <w:t>单项金额重大并单独计提坏账准备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的其他应收款</w:t>
            </w:r>
          </w:p>
        </w:tc>
        <w:tc>
          <w:tcPr>
            <w:tcW w:w="1667"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Arial" w:hAnsi="Arial" w:cs="Arial" w:eastAsia="Arial" w:hint="default"/>
                <w:sz w:val="18"/>
                <w:szCs w:val="18"/>
              </w:rPr>
            </w:pPr>
            <w:r>
              <w:rPr>
                <w:rFonts w:ascii="Arial"/>
                <w:spacing w:val="-1"/>
                <w:sz w:val="18"/>
              </w:rPr>
              <w:t>1,868,331.57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72.33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Arial" w:hAnsi="Arial" w:cs="Arial" w:eastAsia="Arial" w:hint="default"/>
                <w:sz w:val="18"/>
                <w:szCs w:val="18"/>
              </w:rPr>
            </w:pPr>
            <w:r>
              <w:rPr>
                <w:rFonts w:ascii="Arial"/>
                <w:spacing w:val="-1"/>
                <w:sz w:val="18"/>
              </w:rPr>
              <w:t>1,868,331.57</w:t>
            </w:r>
          </w:p>
        </w:tc>
      </w:tr>
      <w:tr>
        <w:trPr>
          <w:trHeight w:val="71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2" w:right="179"/>
              <w:jc w:val="left"/>
              <w:rPr>
                <w:rFonts w:ascii="宋体" w:hAnsi="宋体" w:cs="宋体" w:eastAsia="宋体" w:hint="default"/>
                <w:sz w:val="18"/>
                <w:szCs w:val="18"/>
              </w:rPr>
            </w:pPr>
            <w:r>
              <w:rPr>
                <w:rFonts w:ascii="宋体" w:hAnsi="宋体" w:cs="宋体" w:eastAsia="宋体" w:hint="default"/>
                <w:sz w:val="18"/>
                <w:szCs w:val="18"/>
              </w:rPr>
              <w:t>按账龄分析法计提坏账的其他 应收款</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714,798.00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27.67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2"/>
                <w:sz w:val="18"/>
              </w:rPr>
              <w:t>152,411.88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83" w:right="0"/>
              <w:jc w:val="left"/>
              <w:rPr>
                <w:rFonts w:ascii="Arial" w:hAnsi="Arial" w:cs="Arial" w:eastAsia="Arial" w:hint="default"/>
                <w:sz w:val="18"/>
                <w:szCs w:val="18"/>
              </w:rPr>
            </w:pPr>
            <w:r>
              <w:rPr>
                <w:rFonts w:ascii="Arial"/>
                <w:sz w:val="18"/>
              </w:rPr>
              <w:t>21.32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562,386.12</w:t>
            </w:r>
          </w:p>
        </w:tc>
      </w:tr>
      <w:tr>
        <w:trPr>
          <w:trHeight w:val="40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按组合小计</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Arial" w:hAnsi="Arial" w:cs="Arial" w:eastAsia="Arial" w:hint="default"/>
                <w:sz w:val="18"/>
                <w:szCs w:val="18"/>
              </w:rPr>
            </w:pPr>
            <w:r>
              <w:rPr>
                <w:rFonts w:ascii="Arial"/>
                <w:spacing w:val="-1"/>
                <w:sz w:val="18"/>
              </w:rPr>
              <w:t>2,583,129.57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Arial" w:hAnsi="Arial" w:cs="Arial" w:eastAsia="Arial" w:hint="default"/>
                <w:sz w:val="18"/>
                <w:szCs w:val="18"/>
              </w:rPr>
            </w:pPr>
            <w:r>
              <w:rPr>
                <w:rFonts w:ascii="Arial"/>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Arial" w:hAnsi="Arial" w:cs="Arial" w:eastAsia="Arial" w:hint="default"/>
                <w:sz w:val="18"/>
                <w:szCs w:val="18"/>
              </w:rPr>
            </w:pPr>
            <w:r>
              <w:rPr>
                <w:rFonts w:ascii="Arial"/>
                <w:spacing w:val="-2"/>
                <w:sz w:val="18"/>
              </w:rPr>
              <w:t>152,411.88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Arial" w:hAnsi="Arial" w:cs="Arial" w:eastAsia="Arial" w:hint="default"/>
                <w:sz w:val="18"/>
                <w:szCs w:val="18"/>
              </w:rPr>
            </w:pPr>
            <w:r>
              <w:rPr>
                <w:rFonts w:ascii="Arial"/>
                <w:spacing w:val="-1"/>
                <w:sz w:val="18"/>
              </w:rPr>
              <w:t>2,430,717.69</w:t>
            </w:r>
          </w:p>
        </w:tc>
      </w:tr>
      <w:tr>
        <w:trPr>
          <w:trHeight w:val="71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6"/>
              <w:jc w:val="left"/>
              <w:rPr>
                <w:rFonts w:ascii="宋体" w:hAnsi="宋体" w:cs="宋体" w:eastAsia="宋体" w:hint="default"/>
                <w:sz w:val="18"/>
                <w:szCs w:val="18"/>
              </w:rPr>
            </w:pPr>
            <w:r>
              <w:rPr>
                <w:rFonts w:ascii="宋体" w:hAnsi="宋体" w:cs="宋体" w:eastAsia="宋体" w:hint="default"/>
                <w:spacing w:val="9"/>
                <w:sz w:val="18"/>
                <w:szCs w:val="18"/>
              </w:rPr>
              <w:t>单项金额不重大但单独计提坏账准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备的其他应收款</w:t>
            </w:r>
          </w:p>
        </w:tc>
        <w:tc>
          <w:tcPr>
            <w:tcW w:w="1667"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Arial" w:hAnsi="Arial" w:cs="Arial" w:eastAsia="Arial" w:hint="default"/>
                <w:sz w:val="18"/>
                <w:szCs w:val="18"/>
              </w:rPr>
            </w:pPr>
            <w:r>
              <w:rPr>
                <w:rFonts w:ascii="Arial"/>
                <w:b/>
                <w:spacing w:val="-1"/>
                <w:sz w:val="18"/>
              </w:rPr>
              <w:t>2,583,129.57</w:t>
            </w:r>
            <w:r>
              <w:rPr>
                <w:rFonts w:ascii="Arial"/>
                <w:spacing w:val="-1"/>
                <w:sz w:val="18"/>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7" w:right="0"/>
              <w:jc w:val="left"/>
              <w:rPr>
                <w:rFonts w:ascii="Arial" w:hAnsi="Arial" w:cs="Arial" w:eastAsia="Arial" w:hint="default"/>
                <w:sz w:val="18"/>
                <w:szCs w:val="18"/>
              </w:rPr>
            </w:pPr>
            <w:r>
              <w:rPr>
                <w:rFonts w:ascii="Arial"/>
                <w:b/>
                <w:sz w:val="18"/>
              </w:rPr>
              <w:t>100.00</w:t>
            </w:r>
            <w:r>
              <w:rPr>
                <w:rFonts w:ascii="Arial"/>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Arial" w:hAnsi="Arial" w:cs="Arial" w:eastAsia="Arial" w:hint="default"/>
                <w:sz w:val="18"/>
                <w:szCs w:val="18"/>
              </w:rPr>
            </w:pPr>
            <w:r>
              <w:rPr>
                <w:rFonts w:ascii="Arial"/>
                <w:b/>
                <w:spacing w:val="-2"/>
                <w:sz w:val="18"/>
              </w:rPr>
              <w:t>152,411.88</w:t>
            </w:r>
            <w:r>
              <w:rPr>
                <w:rFonts w:ascii="Arial"/>
                <w:spacing w:val="-2"/>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Arial" w:hAnsi="Arial" w:cs="Arial" w:eastAsia="Arial" w:hint="default"/>
                <w:sz w:val="18"/>
                <w:szCs w:val="18"/>
              </w:rPr>
            </w:pPr>
            <w:r>
              <w:rPr>
                <w:rFonts w:ascii="Arial"/>
                <w:b/>
                <w:spacing w:val="-1"/>
                <w:sz w:val="18"/>
              </w:rPr>
              <w:t>2,430,717.69</w:t>
            </w:r>
            <w:r>
              <w:rPr>
                <w:rFonts w:ascii="Arial"/>
                <w:spacing w:val="-1"/>
                <w:sz w:val="18"/>
              </w:rPr>
            </w:r>
          </w:p>
        </w:tc>
      </w:tr>
    </w:tbl>
    <w:p>
      <w:pPr>
        <w:pStyle w:val="Heading3"/>
        <w:spacing w:line="240" w:lineRule="auto" w:before="81"/>
        <w:ind w:left="634" w:right="0"/>
        <w:jc w:val="left"/>
      </w:pPr>
      <w:r>
        <w:rPr/>
        <w:t>续上表</w:t>
      </w:r>
    </w:p>
    <w:p>
      <w:pPr>
        <w:spacing w:line="240" w:lineRule="auto" w:before="7"/>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3218"/>
        <w:gridCol w:w="1820"/>
        <w:gridCol w:w="1061"/>
        <w:gridCol w:w="1215"/>
        <w:gridCol w:w="1081"/>
        <w:gridCol w:w="1273"/>
      </w:tblGrid>
      <w:tr>
        <w:trPr>
          <w:trHeight w:val="407" w:hRule="exact"/>
        </w:trPr>
        <w:tc>
          <w:tcPr>
            <w:tcW w:w="32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45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7" w:hRule="exact"/>
        </w:trPr>
        <w:tc>
          <w:tcPr>
            <w:tcW w:w="3218" w:type="dxa"/>
            <w:vMerge/>
            <w:tcBorders>
              <w:left w:val="single" w:sz="4" w:space="0" w:color="000000"/>
              <w:right w:val="single" w:sz="4" w:space="0" w:color="000000"/>
            </w:tcBorders>
            <w:shd w:val="clear" w:color="auto" w:fill="D9D9D9"/>
          </w:tcPr>
          <w:p>
            <w:pPr/>
          </w:p>
        </w:tc>
        <w:tc>
          <w:tcPr>
            <w:tcW w:w="2880" w:type="dxa"/>
            <w:gridSpan w:val="2"/>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96" w:type="dxa"/>
            <w:gridSpan w:val="2"/>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7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 w:hRule="exact"/>
        </w:trPr>
        <w:tc>
          <w:tcPr>
            <w:tcW w:w="3218" w:type="dxa"/>
            <w:vMerge/>
            <w:tcBorders>
              <w:left w:val="single" w:sz="4" w:space="0" w:color="000000"/>
              <w:right w:val="single" w:sz="4" w:space="0" w:color="000000"/>
            </w:tcBorders>
            <w:shd w:val="clear" w:color="auto" w:fill="D9D9D9"/>
          </w:tcPr>
          <w:p>
            <w:pPr/>
          </w:p>
        </w:tc>
        <w:tc>
          <w:tcPr>
            <w:tcW w:w="1820" w:type="dxa"/>
            <w:vMerge w:val="restart"/>
            <w:tcBorders>
              <w:top w:val="single" w:sz="4" w:space="0" w:color="FFFFFF"/>
              <w:left w:val="single" w:sz="4" w:space="0" w:color="000000"/>
              <w:right w:val="single" w:sz="4" w:space="0" w:color="000000"/>
            </w:tcBorders>
            <w:shd w:val="clear" w:color="auto" w:fill="D9D9D9"/>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val="restart"/>
            <w:tcBorders>
              <w:top w:val="single" w:sz="4" w:space="0" w:color="FFFFFF"/>
              <w:left w:val="single" w:sz="4" w:space="0" w:color="000000"/>
              <w:right w:val="single" w:sz="4" w:space="0" w:color="000000"/>
            </w:tcBorders>
            <w:shd w:val="clear" w:color="auto" w:fill="D9D9D9"/>
          </w:tcPr>
          <w:p>
            <w:pPr>
              <w:pStyle w:val="TableParagraph"/>
              <w:spacing w:line="240" w:lineRule="auto" w:before="53"/>
              <w:ind w:left="11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215" w:type="dxa"/>
            <w:vMerge w:val="restart"/>
            <w:tcBorders>
              <w:top w:val="single" w:sz="4" w:space="0" w:color="FFFFFF"/>
              <w:left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1" w:type="dxa"/>
            <w:vMerge w:val="restart"/>
            <w:tcBorders>
              <w:top w:val="single" w:sz="4" w:space="0" w:color="FFFFFF"/>
              <w:left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10"/>
                <w:sz w:val="18"/>
                <w:szCs w:val="18"/>
              </w:rPr>
              <w:t>计提比例（</w:t>
            </w:r>
            <w:r>
              <w:rPr>
                <w:rFonts w:ascii="宋体" w:hAnsi="宋体" w:cs="宋体" w:eastAsia="宋体" w:hint="default"/>
                <w:spacing w:val="-10"/>
                <w:sz w:val="18"/>
                <w:szCs w:val="18"/>
              </w:rPr>
              <w:t>%</w:t>
            </w:r>
          </w:p>
        </w:tc>
        <w:tc>
          <w:tcPr>
            <w:tcW w:w="1273" w:type="dxa"/>
            <w:vMerge/>
            <w:tcBorders>
              <w:left w:val="single" w:sz="4" w:space="0" w:color="000000"/>
              <w:bottom w:val="nil" w:sz="6" w:space="0" w:color="auto"/>
              <w:right w:val="single" w:sz="4" w:space="0" w:color="000000"/>
            </w:tcBorders>
            <w:shd w:val="clear" w:color="auto" w:fill="D9D9D9"/>
          </w:tcPr>
          <w:p>
            <w:pPr/>
          </w:p>
        </w:tc>
      </w:tr>
      <w:tr>
        <w:trPr>
          <w:trHeight w:val="305" w:hRule="exact"/>
        </w:trPr>
        <w:tc>
          <w:tcPr>
            <w:tcW w:w="3218" w:type="dxa"/>
            <w:vMerge/>
            <w:tcBorders>
              <w:left w:val="single" w:sz="4" w:space="0" w:color="000000"/>
              <w:bottom w:val="single" w:sz="4" w:space="0" w:color="000000"/>
              <w:right w:val="single" w:sz="4" w:space="0" w:color="000000"/>
            </w:tcBorders>
            <w:shd w:val="clear" w:color="auto" w:fill="D9D9D9"/>
          </w:tcPr>
          <w:p>
            <w:pPr/>
          </w:p>
        </w:tc>
        <w:tc>
          <w:tcPr>
            <w:tcW w:w="1820" w:type="dxa"/>
            <w:vMerge/>
            <w:tcBorders>
              <w:left w:val="single" w:sz="4" w:space="0" w:color="000000"/>
              <w:bottom w:val="single" w:sz="4" w:space="0" w:color="000000"/>
              <w:right w:val="single" w:sz="4" w:space="0" w:color="000000"/>
            </w:tcBorders>
            <w:shd w:val="clear" w:color="auto" w:fill="D9D9D9"/>
          </w:tcPr>
          <w:p>
            <w:pPr/>
          </w:p>
        </w:tc>
        <w:tc>
          <w:tcPr>
            <w:tcW w:w="1061" w:type="dxa"/>
            <w:vMerge/>
            <w:tcBorders>
              <w:left w:val="single" w:sz="4" w:space="0" w:color="000000"/>
              <w:bottom w:val="single" w:sz="4" w:space="0" w:color="000000"/>
              <w:right w:val="single" w:sz="4" w:space="0" w:color="000000"/>
            </w:tcBorders>
            <w:shd w:val="clear" w:color="auto" w:fill="D9D9D9"/>
          </w:tcPr>
          <w:p>
            <w:pPr/>
          </w:p>
        </w:tc>
        <w:tc>
          <w:tcPr>
            <w:tcW w:w="1215" w:type="dxa"/>
            <w:vMerge/>
            <w:tcBorders>
              <w:left w:val="single" w:sz="4" w:space="0" w:color="000000"/>
              <w:bottom w:val="single" w:sz="4" w:space="0" w:color="000000"/>
              <w:right w:val="single" w:sz="4" w:space="0" w:color="000000"/>
            </w:tcBorders>
            <w:shd w:val="clear" w:color="auto" w:fill="D9D9D9"/>
          </w:tcPr>
          <w:p>
            <w:pPr/>
          </w:p>
        </w:tc>
        <w:tc>
          <w:tcPr>
            <w:tcW w:w="1081" w:type="dxa"/>
            <w:vMerge/>
            <w:tcBorders>
              <w:left w:val="single" w:sz="4" w:space="0" w:color="000000"/>
              <w:bottom w:val="single" w:sz="4" w:space="0" w:color="000000"/>
              <w:right w:val="single" w:sz="4" w:space="0" w:color="000000"/>
            </w:tcBorders>
            <w:shd w:val="clear" w:color="auto" w:fill="D9D9D9"/>
          </w:tcPr>
          <w:p>
            <w:pPr/>
          </w:p>
        </w:tc>
        <w:tc>
          <w:tcPr>
            <w:tcW w:w="1273"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191"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635"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7"/>
              <w:jc w:val="left"/>
              <w:rPr>
                <w:rFonts w:ascii="宋体" w:hAnsi="宋体" w:cs="宋体" w:eastAsia="宋体" w:hint="default"/>
                <w:sz w:val="18"/>
                <w:szCs w:val="18"/>
              </w:rPr>
            </w:pPr>
            <w:r>
              <w:rPr>
                <w:rFonts w:ascii="宋体" w:hAnsi="宋体" w:cs="宋体" w:eastAsia="宋体" w:hint="default"/>
                <w:spacing w:val="5"/>
                <w:sz w:val="18"/>
                <w:szCs w:val="18"/>
              </w:rPr>
              <w:t>单项金额重大并单独计提坏账准备的其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他应收款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3219"/>
        <w:gridCol w:w="1820"/>
        <w:gridCol w:w="1061"/>
        <w:gridCol w:w="1215"/>
        <w:gridCol w:w="1081"/>
        <w:gridCol w:w="1273"/>
      </w:tblGrid>
      <w:tr>
        <w:trPr>
          <w:trHeight w:val="407" w:hRule="exact"/>
        </w:trPr>
        <w:tc>
          <w:tcPr>
            <w:tcW w:w="321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45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7" w:hRule="exact"/>
        </w:trPr>
        <w:tc>
          <w:tcPr>
            <w:tcW w:w="3219" w:type="dxa"/>
            <w:vMerge/>
            <w:tcBorders>
              <w:left w:val="single" w:sz="4" w:space="0" w:color="000000"/>
              <w:right w:val="single" w:sz="4" w:space="0" w:color="000000"/>
            </w:tcBorders>
            <w:shd w:val="clear" w:color="auto" w:fill="D9D9D9"/>
          </w:tcPr>
          <w:p>
            <w:pPr/>
          </w:p>
        </w:tc>
        <w:tc>
          <w:tcPr>
            <w:tcW w:w="2880" w:type="dxa"/>
            <w:gridSpan w:val="2"/>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96" w:type="dxa"/>
            <w:gridSpan w:val="2"/>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7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 w:hRule="exact"/>
        </w:trPr>
        <w:tc>
          <w:tcPr>
            <w:tcW w:w="3219" w:type="dxa"/>
            <w:vMerge/>
            <w:tcBorders>
              <w:left w:val="single" w:sz="4" w:space="0" w:color="000000"/>
              <w:right w:val="single" w:sz="4" w:space="0" w:color="000000"/>
            </w:tcBorders>
            <w:shd w:val="clear" w:color="auto" w:fill="D9D9D9"/>
          </w:tcPr>
          <w:p>
            <w:pPr/>
          </w:p>
        </w:tc>
        <w:tc>
          <w:tcPr>
            <w:tcW w:w="1820" w:type="dxa"/>
            <w:vMerge w:val="restart"/>
            <w:tcBorders>
              <w:top w:val="single" w:sz="4" w:space="0" w:color="FFFFFF"/>
              <w:left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val="restart"/>
            <w:tcBorders>
              <w:top w:val="single" w:sz="4" w:space="0" w:color="FFFFFF"/>
              <w:left w:val="single" w:sz="4" w:space="0" w:color="000000"/>
              <w:right w:val="single" w:sz="4" w:space="0" w:color="000000"/>
            </w:tcBorders>
            <w:shd w:val="clear" w:color="auto" w:fill="D9D9D9"/>
          </w:tcPr>
          <w:p>
            <w:pPr>
              <w:pStyle w:val="TableParagraph"/>
              <w:spacing w:line="240" w:lineRule="auto" w:before="52"/>
              <w:ind w:left="11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215" w:type="dxa"/>
            <w:vMerge w:val="restart"/>
            <w:tcBorders>
              <w:top w:val="single" w:sz="4" w:space="0" w:color="FFFFFF"/>
              <w:left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1" w:type="dxa"/>
            <w:vMerge w:val="restart"/>
            <w:tcBorders>
              <w:top w:val="single" w:sz="4" w:space="0" w:color="FFFFFF"/>
              <w:left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10"/>
                <w:sz w:val="18"/>
                <w:szCs w:val="18"/>
              </w:rPr>
              <w:t>计提比例（</w:t>
            </w:r>
            <w:r>
              <w:rPr>
                <w:rFonts w:ascii="宋体" w:hAnsi="宋体" w:cs="宋体" w:eastAsia="宋体" w:hint="default"/>
                <w:spacing w:val="-10"/>
                <w:sz w:val="18"/>
                <w:szCs w:val="18"/>
              </w:rPr>
              <w:t>%</w:t>
            </w:r>
          </w:p>
        </w:tc>
        <w:tc>
          <w:tcPr>
            <w:tcW w:w="1273" w:type="dxa"/>
            <w:vMerge/>
            <w:tcBorders>
              <w:left w:val="single" w:sz="4" w:space="0" w:color="000000"/>
              <w:bottom w:val="nil" w:sz="6" w:space="0" w:color="auto"/>
              <w:right w:val="single" w:sz="4" w:space="0" w:color="000000"/>
            </w:tcBorders>
            <w:shd w:val="clear" w:color="auto" w:fill="D9D9D9"/>
          </w:tcPr>
          <w:p>
            <w:pPr/>
          </w:p>
        </w:tc>
      </w:tr>
      <w:tr>
        <w:trPr>
          <w:trHeight w:val="305" w:hRule="exact"/>
        </w:trPr>
        <w:tc>
          <w:tcPr>
            <w:tcW w:w="3219" w:type="dxa"/>
            <w:vMerge/>
            <w:tcBorders>
              <w:left w:val="single" w:sz="4" w:space="0" w:color="000000"/>
              <w:bottom w:val="single" w:sz="4" w:space="0" w:color="000000"/>
              <w:right w:val="single" w:sz="4" w:space="0" w:color="000000"/>
            </w:tcBorders>
            <w:shd w:val="clear" w:color="auto" w:fill="D9D9D9"/>
          </w:tcPr>
          <w:p>
            <w:pPr/>
          </w:p>
        </w:tc>
        <w:tc>
          <w:tcPr>
            <w:tcW w:w="1820" w:type="dxa"/>
            <w:vMerge/>
            <w:tcBorders>
              <w:left w:val="single" w:sz="4" w:space="0" w:color="000000"/>
              <w:bottom w:val="single" w:sz="4" w:space="0" w:color="000000"/>
              <w:right w:val="single" w:sz="4" w:space="0" w:color="000000"/>
            </w:tcBorders>
            <w:shd w:val="clear" w:color="auto" w:fill="D9D9D9"/>
          </w:tcPr>
          <w:p>
            <w:pPr/>
          </w:p>
        </w:tc>
        <w:tc>
          <w:tcPr>
            <w:tcW w:w="1061" w:type="dxa"/>
            <w:vMerge/>
            <w:tcBorders>
              <w:left w:val="single" w:sz="4" w:space="0" w:color="000000"/>
              <w:bottom w:val="single" w:sz="4" w:space="0" w:color="000000"/>
              <w:right w:val="single" w:sz="4" w:space="0" w:color="000000"/>
            </w:tcBorders>
            <w:shd w:val="clear" w:color="auto" w:fill="D9D9D9"/>
          </w:tcPr>
          <w:p>
            <w:pPr/>
          </w:p>
        </w:tc>
        <w:tc>
          <w:tcPr>
            <w:tcW w:w="1215" w:type="dxa"/>
            <w:vMerge/>
            <w:tcBorders>
              <w:left w:val="single" w:sz="4" w:space="0" w:color="000000"/>
              <w:bottom w:val="single" w:sz="4" w:space="0" w:color="000000"/>
              <w:right w:val="single" w:sz="4" w:space="0" w:color="000000"/>
            </w:tcBorders>
            <w:shd w:val="clear" w:color="auto" w:fill="D9D9D9"/>
          </w:tcPr>
          <w:p>
            <w:pPr/>
          </w:p>
        </w:tc>
        <w:tc>
          <w:tcPr>
            <w:tcW w:w="1081" w:type="dxa"/>
            <w:vMerge/>
            <w:tcBorders>
              <w:left w:val="single" w:sz="4" w:space="0" w:color="000000"/>
              <w:bottom w:val="single" w:sz="4" w:space="0" w:color="000000"/>
              <w:right w:val="single" w:sz="4" w:space="0" w:color="000000"/>
            </w:tcBorders>
            <w:shd w:val="clear" w:color="auto" w:fill="D9D9D9"/>
          </w:tcPr>
          <w:p>
            <w:pPr/>
          </w:p>
        </w:tc>
        <w:tc>
          <w:tcPr>
            <w:tcW w:w="1273"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191"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634"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7"/>
              <w:jc w:val="left"/>
              <w:rPr>
                <w:rFonts w:ascii="宋体" w:hAnsi="宋体" w:cs="宋体" w:eastAsia="宋体" w:hint="default"/>
                <w:sz w:val="18"/>
                <w:szCs w:val="18"/>
              </w:rPr>
            </w:pPr>
            <w:r>
              <w:rPr>
                <w:rFonts w:ascii="宋体" w:hAnsi="宋体" w:cs="宋体" w:eastAsia="宋体" w:hint="default"/>
                <w:spacing w:val="5"/>
                <w:sz w:val="18"/>
                <w:szCs w:val="18"/>
              </w:rPr>
              <w:t>按信用风险特征组合计提坏账准备的其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他应收款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spacing w:val="-1"/>
                <w:sz w:val="18"/>
              </w:rPr>
              <w:t>4,586,417.21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Arial" w:hAnsi="Arial" w:cs="Arial" w:eastAsia="Arial" w:hint="default"/>
                <w:sz w:val="18"/>
                <w:szCs w:val="18"/>
              </w:rPr>
            </w:pPr>
            <w:r>
              <w:rPr>
                <w:rFonts w:ascii="Arial"/>
                <w:spacing w:val="-1"/>
                <w:sz w:val="18"/>
              </w:rPr>
              <w:t>326,284.42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7" w:right="0"/>
              <w:jc w:val="left"/>
              <w:rPr>
                <w:rFonts w:ascii="Arial" w:hAnsi="Arial" w:cs="Arial" w:eastAsia="Arial" w:hint="default"/>
                <w:sz w:val="18"/>
                <w:szCs w:val="18"/>
              </w:rPr>
            </w:pPr>
            <w:r>
              <w:rPr>
                <w:rFonts w:ascii="Arial"/>
                <w:sz w:val="18"/>
              </w:rPr>
              <w:t>7.11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sz w:val="18"/>
              </w:rPr>
              <w:t>4,260,132.79</w:t>
            </w:r>
          </w:p>
        </w:tc>
      </w:tr>
      <w:tr>
        <w:trPr>
          <w:trHeight w:val="634"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27"/>
              <w:jc w:val="left"/>
              <w:rPr>
                <w:rFonts w:ascii="宋体" w:hAnsi="宋体" w:cs="宋体" w:eastAsia="宋体" w:hint="default"/>
                <w:sz w:val="18"/>
                <w:szCs w:val="18"/>
              </w:rPr>
            </w:pPr>
            <w:r>
              <w:rPr>
                <w:rFonts w:ascii="宋体" w:hAnsi="宋体" w:cs="宋体" w:eastAsia="宋体" w:hint="default"/>
                <w:spacing w:val="5"/>
                <w:sz w:val="18"/>
                <w:szCs w:val="18"/>
              </w:rPr>
              <w:t>单项金额不重大但单独计提坏账准备的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其他应收款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Arial" w:hAnsi="Arial" w:cs="Arial" w:eastAsia="Arial" w:hint="default"/>
                <w:sz w:val="18"/>
                <w:szCs w:val="18"/>
              </w:rPr>
            </w:pPr>
            <w:r>
              <w:rPr>
                <w:rFonts w:ascii="Arial"/>
                <w:b/>
                <w:spacing w:val="-1"/>
                <w:sz w:val="18"/>
              </w:rPr>
              <w:t>4,586,417.21</w:t>
            </w:r>
            <w:r>
              <w:rPr>
                <w:rFonts w:ascii="Arial"/>
                <w:spacing w:val="-1"/>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w:hAnsi="Arial" w:cs="Arial" w:eastAsia="Arial" w:hint="default"/>
                <w:sz w:val="18"/>
                <w:szCs w:val="18"/>
              </w:rPr>
            </w:pPr>
            <w:r>
              <w:rPr>
                <w:rFonts w:ascii="Arial"/>
                <w:b/>
                <w:spacing w:val="-1"/>
                <w:sz w:val="18"/>
              </w:rPr>
              <w:t>100.00</w:t>
            </w:r>
            <w:r>
              <w:rPr>
                <w:rFonts w:ascii="Arial"/>
                <w:spacing w:val="-1"/>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Arial" w:hAnsi="Arial" w:cs="Arial" w:eastAsia="Arial" w:hint="default"/>
                <w:sz w:val="18"/>
                <w:szCs w:val="18"/>
              </w:rPr>
            </w:pPr>
            <w:r>
              <w:rPr>
                <w:rFonts w:ascii="Arial"/>
                <w:b/>
                <w:spacing w:val="-1"/>
                <w:sz w:val="18"/>
              </w:rPr>
              <w:t>326,284.42</w:t>
            </w:r>
            <w:r>
              <w:rPr>
                <w:rFonts w:ascii="Arial"/>
                <w:spacing w:val="-1"/>
                <w:sz w:val="18"/>
              </w:rPr>
            </w:r>
          </w:p>
        </w:tc>
        <w:tc>
          <w:tcPr>
            <w:tcW w:w="108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w:hAnsi="Arial" w:cs="Arial" w:eastAsia="Arial" w:hint="default"/>
                <w:sz w:val="18"/>
                <w:szCs w:val="18"/>
              </w:rPr>
            </w:pPr>
            <w:r>
              <w:rPr>
                <w:rFonts w:ascii="Arial"/>
                <w:b/>
                <w:spacing w:val="-1"/>
                <w:sz w:val="18"/>
              </w:rPr>
              <w:t>4,260,132.79</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265"/>
            <w:col w:w="219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274,698.00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16,481.88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30.66%</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714,798.00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152,411.88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本期计提、收回或转回的坏账准备情况" w:id="226"/>
      <w:bookmarkEnd w:id="2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35"/>
        <w:ind w:left="574" w:right="-15"/>
        <w:jc w:val="left"/>
      </w:pPr>
      <w:r>
        <w:rPr/>
        <w:t>本期计提坏账准备金额</w:t>
      </w:r>
      <w:r>
        <w:rPr>
          <w:spacing w:val="-54"/>
        </w:rPr>
        <w:t> </w:t>
      </w:r>
      <w:r>
        <w:rPr>
          <w:rFonts w:ascii="Times New Roman" w:hAnsi="Times New Roman" w:cs="Times New Roman" w:eastAsia="Times New Roman" w:hint="default"/>
        </w:rPr>
        <w:t>222,920.45</w:t>
      </w:r>
      <w:r>
        <w:rPr>
          <w:rFonts w:ascii="Times New Roman" w:hAnsi="Times New Roman" w:cs="Times New Roman" w:eastAsia="Times New Roman" w:hint="default"/>
          <w:spacing w:val="-1"/>
        </w:rPr>
        <w:t> </w:t>
      </w:r>
      <w:r>
        <w:rPr/>
        <w:t>元；本期收回或转回坏账准备金额</w:t>
      </w:r>
      <w:r>
        <w:rPr>
          <w:spacing w:val="-53"/>
        </w:rPr>
        <w:t> </w:t>
      </w:r>
      <w:r>
        <w:rPr>
          <w:rFonts w:ascii="Times New Roman" w:hAnsi="Times New Roman" w:cs="Times New Roman" w:eastAsia="Times New Roman" w:hint="default"/>
        </w:rPr>
        <w:t>395,259.27 </w:t>
      </w:r>
      <w:r>
        <w:rPr/>
        <w:t>元。</w:t>
      </w:r>
    </w:p>
    <w:p>
      <w:pPr>
        <w:spacing w:before="86"/>
        <w:ind w:left="153" w:right="-15"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347" w:space="393"/>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北斗食堂</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393,428.38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393,428.38</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3）其他应收款按款项性质分类情况" w:id="227"/>
      <w:bookmarkEnd w:id="227"/>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1,868,331.57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单位间往来款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714,798.00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4,586,417.21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2,583,129.57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4,586,417.21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按欠款方归集的期末余额前五吊的其他应收款情况" w:id="228"/>
      <w:bookmarkEnd w:id="228"/>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53"/>
        <w:gridCol w:w="1134"/>
        <w:gridCol w:w="1418"/>
        <w:gridCol w:w="1272"/>
        <w:gridCol w:w="1596"/>
        <w:gridCol w:w="1595"/>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1,868,331.57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南通盛昌再生资源有限公司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已到期定期存单利息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6,930.00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上海外高桥港区海关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南通宝厚纺织有限公司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67,698.00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4,061.88</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2,431,529.57</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124,991.88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8、存货" w:id="229"/>
      <w:bookmarkEnd w:id="229"/>
      <w:r>
        <w:rPr>
          <w:b w:val="0"/>
          <w:bCs w:val="0"/>
        </w:rPr>
      </w:r>
      <w:r>
        <w:rPr>
          <w:rFonts w:ascii="Times New Roman" w:hAnsi="Times New Roman" w:cs="Times New Roman" w:eastAsia="Times New Roman" w:hint="default"/>
        </w:rPr>
        <w:t>8</w:t>
      </w:r>
      <w:r>
        <w:rPr/>
        <w:t>、存货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存货分类" w:id="230"/>
      <w:bookmarkEnd w:id="23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16,270,818.86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3,005,737.88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13,265,080.98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22,286,311.09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4,466,878.28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17,819,432.81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29,047,686.02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29,047,686.02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18,997,099.05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18,997,099.05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24,479,162.15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2,866,282.04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21,612,880.11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26,626,290.22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1,323,673.23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25,302,616.99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390,388.81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390,388.81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69,797,667.03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5,872,019.92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63,925,647.11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68,300,089.17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5,790,551.51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62,509,537.66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存货跌价准备" w:id="231"/>
      <w:bookmarkEnd w:id="23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4,466,878.28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1,461,140.40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3,005,737.88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1,323,673.23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1,682,608.81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2,866,282.04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5,790,551.51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1,682,608.81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1,601,140.40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5,872,019.92</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存货跌价准备计提依据及本年转回或转销原因" w:id="232"/>
      <w:bookmarkEnd w:id="232"/>
      <w:r>
        <w:rPr>
          <w:b w:val="0"/>
          <w:bCs w:val="0"/>
        </w:rPr>
      </w:r>
      <w:r>
        <w:rPr/>
        <w:t>（</w:t>
      </w:r>
      <w:r>
        <w:rPr>
          <w:rFonts w:ascii="Times New Roman" w:hAnsi="Times New Roman" w:cs="Times New Roman" w:eastAsia="Times New Roman" w:hint="default"/>
        </w:rPr>
        <w:t>3</w:t>
      </w:r>
      <w:r>
        <w:rPr/>
        <w:t>）存货跌价准备计提依据及本年转回或转销原因</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02"/>
        <w:gridCol w:w="2585"/>
        <w:gridCol w:w="2395"/>
        <w:gridCol w:w="2817"/>
      </w:tblGrid>
      <w:tr>
        <w:trPr>
          <w:trHeight w:val="370" w:hRule="exact"/>
        </w:trPr>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8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370" w:hRule="exact"/>
        </w:trPr>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存货成本与可变现净值熟低</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center"/>
              <w:rPr>
                <w:rFonts w:ascii="宋体" w:hAnsi="宋体" w:cs="宋体" w:eastAsia="宋体" w:hint="default"/>
                <w:sz w:val="18"/>
                <w:szCs w:val="18"/>
              </w:rPr>
            </w:pPr>
            <w:r>
              <w:rPr>
                <w:rFonts w:ascii="宋体" w:hAnsi="宋体" w:cs="宋体" w:eastAsia="宋体" w:hint="default"/>
                <w:sz w:val="18"/>
                <w:szCs w:val="18"/>
              </w:rPr>
              <w:t>出售</w:t>
            </w:r>
          </w:p>
        </w:tc>
      </w:tr>
      <w:tr>
        <w:trPr>
          <w:trHeight w:val="37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存货成本与可变现净值熟低</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出售</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9、其他流动资产" w:id="233"/>
      <w:bookmarkEnd w:id="233"/>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23,476,741.70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20,060,445.95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43,976,741.70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20,060,445.95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0、 发放贷款和垫款" w:id="234"/>
      <w:bookmarkEnd w:id="234"/>
      <w:r>
        <w:rPr>
          <w:b w:val="0"/>
          <w:bCs w:val="0"/>
        </w:rPr>
      </w:r>
      <w:r>
        <w:rPr>
          <w:rFonts w:ascii="Times New Roman" w:hAnsi="Times New Roman" w:cs="Times New Roman" w:eastAsia="Times New Roman" w:hint="default"/>
        </w:rPr>
        <w:t>10</w:t>
      </w:r>
      <w:r>
        <w:rPr/>
        <w:t>、</w:t>
      </w:r>
      <w:r>
        <w:rPr>
          <w:spacing w:val="-2"/>
        </w:rPr>
        <w:t> </w:t>
      </w:r>
      <w:r>
        <w:rPr/>
        <w:t>发放贷款和垫款</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left="634" w:right="0"/>
        <w:jc w:val="left"/>
      </w:pPr>
      <w:r>
        <w:rPr/>
        <w:t>（</w:t>
      </w:r>
      <w:r>
        <w:rPr>
          <w:rFonts w:ascii="Times New Roman" w:hAnsi="Times New Roman" w:cs="Times New Roman" w:eastAsia="Times New Roman" w:hint="default"/>
        </w:rPr>
        <w:t>1</w:t>
      </w:r>
      <w:r>
        <w:rPr/>
        <w:t>）发放贷款和垫款按对象和期限分类</w:t>
      </w:r>
    </w:p>
    <w:tbl>
      <w:tblPr>
        <w:tblW w:w="0" w:type="auto"/>
        <w:jc w:val="left"/>
        <w:tblInd w:w="149" w:type="dxa"/>
        <w:tblLayout w:type="fixed"/>
        <w:tblCellMar>
          <w:top w:w="0" w:type="dxa"/>
          <w:left w:w="0" w:type="dxa"/>
          <w:bottom w:w="0" w:type="dxa"/>
          <w:right w:w="0" w:type="dxa"/>
        </w:tblCellMar>
        <w:tblLook w:val="01E0"/>
      </w:tblPr>
      <w:tblGrid>
        <w:gridCol w:w="3890"/>
        <w:gridCol w:w="2720"/>
        <w:gridCol w:w="2889"/>
      </w:tblGrid>
      <w:tr>
        <w:trPr>
          <w:trHeight w:val="426" w:hRule="exact"/>
        </w:trPr>
        <w:tc>
          <w:tcPr>
            <w:tcW w:w="38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项目分类</w:t>
            </w:r>
          </w:p>
        </w:tc>
        <w:tc>
          <w:tcPr>
            <w:tcW w:w="27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短期农户贷款</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109,548,175.91</w:t>
            </w: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18,732,155.08</w:t>
            </w:r>
          </w:p>
        </w:tc>
      </w:tr>
      <w:tr>
        <w:trPr>
          <w:trHeight w:val="427"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短期农业经济组织贷款</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15,550,000.00</w:t>
            </w: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27"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短期非农业贷款</w:t>
            </w:r>
          </w:p>
        </w:tc>
        <w:tc>
          <w:tcPr>
            <w:tcW w:w="2720" w:type="dxa"/>
            <w:tcBorders>
              <w:top w:val="single" w:sz="4" w:space="0" w:color="000000"/>
              <w:left w:val="single" w:sz="4" w:space="0" w:color="000000"/>
              <w:bottom w:val="single" w:sz="4" w:space="0" w:color="000000"/>
              <w:right w:val="single" w:sz="4" w:space="0" w:color="000000"/>
            </w:tcBorders>
          </w:tcPr>
          <w:p>
            <w:pP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452,309.24</w:t>
            </w:r>
          </w:p>
        </w:tc>
      </w:tr>
      <w:tr>
        <w:trPr>
          <w:trHeight w:val="427"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中长期农户贷款</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31,606,128.21</w:t>
            </w: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38,251,806.67</w:t>
            </w:r>
          </w:p>
        </w:tc>
      </w:tr>
      <w:tr>
        <w:trPr>
          <w:trHeight w:val="427"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中长期农业经济组织贷款</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1,400,000.00</w:t>
            </w: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2,010,000.00</w:t>
            </w:r>
          </w:p>
        </w:tc>
      </w:tr>
      <w:tr>
        <w:trPr>
          <w:trHeight w:val="426"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中长期非农业贷款</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9,650,000.00</w:t>
            </w: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9,171,752.29</w:t>
            </w:r>
          </w:p>
        </w:tc>
      </w:tr>
      <w:tr>
        <w:trPr>
          <w:trHeight w:val="427"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逾期农户贷款</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1,438,761.59</w:t>
            </w: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30,364,332.02</w:t>
            </w:r>
          </w:p>
        </w:tc>
      </w:tr>
      <w:tr>
        <w:trPr>
          <w:trHeight w:val="427"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逾期非农业贷款</w:t>
            </w:r>
          </w:p>
        </w:tc>
        <w:tc>
          <w:tcPr>
            <w:tcW w:w="2720" w:type="dxa"/>
            <w:tcBorders>
              <w:top w:val="single" w:sz="4" w:space="0" w:color="000000"/>
              <w:left w:val="single" w:sz="4" w:space="0" w:color="000000"/>
              <w:bottom w:val="single" w:sz="4" w:space="0" w:color="000000"/>
              <w:right w:val="single" w:sz="4" w:space="0" w:color="000000"/>
            </w:tcBorders>
          </w:tcPr>
          <w:p>
            <w:pP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429,377.91</w:t>
            </w:r>
          </w:p>
        </w:tc>
      </w:tr>
      <w:tr>
        <w:trPr>
          <w:trHeight w:val="427"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呆滞农户贷款</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10,287,034.39</w:t>
            </w: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462,512.64</w:t>
            </w:r>
          </w:p>
        </w:tc>
      </w:tr>
      <w:tr>
        <w:trPr>
          <w:trHeight w:val="427"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呆滞非农业贷款</w:t>
            </w:r>
          </w:p>
        </w:tc>
        <w:tc>
          <w:tcPr>
            <w:tcW w:w="2720" w:type="dxa"/>
            <w:tcBorders>
              <w:top w:val="single" w:sz="4" w:space="0" w:color="000000"/>
              <w:left w:val="single" w:sz="4" w:space="0" w:color="000000"/>
              <w:bottom w:val="single" w:sz="4" w:space="0" w:color="000000"/>
              <w:right w:val="single" w:sz="4" w:space="0" w:color="000000"/>
            </w:tcBorders>
          </w:tcPr>
          <w:p>
            <w:pP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500,819.14</w:t>
            </w:r>
          </w:p>
        </w:tc>
      </w:tr>
      <w:tr>
        <w:trPr>
          <w:trHeight w:val="427"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呆滞农业经济组织贷款</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4,400,000.00</w:t>
            </w:r>
          </w:p>
        </w:tc>
        <w:tc>
          <w:tcPr>
            <w:tcW w:w="2889"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呆账农户贷款</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154,295.84</w:t>
            </w: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75,838.76</w:t>
            </w:r>
          </w:p>
        </w:tc>
      </w:tr>
      <w:tr>
        <w:trPr>
          <w:trHeight w:val="427"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tabs>
                <w:tab w:pos="475" w:val="left" w:leader="none"/>
              </w:tabs>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184,034,395.94</w:t>
            </w: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111,450,903.75</w:t>
            </w:r>
          </w:p>
        </w:tc>
      </w:tr>
      <w:tr>
        <w:trPr>
          <w:trHeight w:val="427"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5,155,344.61</w:t>
            </w: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1,109,320.07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90"/>
        <w:gridCol w:w="2720"/>
        <w:gridCol w:w="2889"/>
      </w:tblGrid>
      <w:tr>
        <w:trPr>
          <w:trHeight w:val="427"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tabs>
                <w:tab w:pos="475" w:val="left" w:leader="none"/>
              </w:tabs>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81" w:right="0"/>
              <w:jc w:val="left"/>
              <w:rPr>
                <w:rFonts w:ascii="Times New Roman" w:hAnsi="Times New Roman" w:cs="Times New Roman" w:eastAsia="Times New Roman" w:hint="default"/>
                <w:sz w:val="18"/>
                <w:szCs w:val="18"/>
              </w:rPr>
            </w:pPr>
            <w:r>
              <w:rPr>
                <w:rFonts w:ascii="Times New Roman"/>
                <w:b/>
                <w:sz w:val="18"/>
              </w:rPr>
              <w:t>178,879,051.33</w:t>
            </w:r>
            <w:r>
              <w:rPr>
                <w:rFonts w:ascii="Times New Roman"/>
                <w:sz w:val="18"/>
              </w:rPr>
            </w:r>
          </w:p>
        </w:tc>
        <w:tc>
          <w:tcPr>
            <w:tcW w:w="2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749" w:right="0"/>
              <w:jc w:val="left"/>
              <w:rPr>
                <w:rFonts w:ascii="Times New Roman" w:hAnsi="Times New Roman" w:cs="Times New Roman" w:eastAsia="Times New Roman" w:hint="default"/>
                <w:sz w:val="18"/>
                <w:szCs w:val="18"/>
              </w:rPr>
            </w:pPr>
            <w:r>
              <w:rPr>
                <w:rFonts w:ascii="Times New Roman"/>
                <w:b/>
                <w:sz w:val="18"/>
              </w:rPr>
              <w:t>110,341,583.68</w:t>
            </w:r>
            <w:r>
              <w:rPr>
                <w:rFonts w:ascii="Times New Roman"/>
                <w:sz w:val="18"/>
              </w:rPr>
            </w:r>
          </w:p>
        </w:tc>
      </w:tr>
    </w:tbl>
    <w:p>
      <w:pPr>
        <w:pStyle w:val="Heading3"/>
        <w:spacing w:line="275" w:lineRule="exact"/>
        <w:ind w:left="514" w:right="0"/>
        <w:jc w:val="left"/>
      </w:pPr>
      <w:r>
        <w:rPr/>
        <w:t>（</w:t>
      </w:r>
      <w:r>
        <w:rPr>
          <w:rFonts w:ascii="宋体" w:hAnsi="宋体" w:cs="宋体" w:eastAsia="宋体" w:hint="default"/>
        </w:rPr>
        <w:t>2</w:t>
      </w:r>
      <w:r>
        <w:rPr/>
        <w:t>） 发放贷款和垫款按性质分类</w:t>
      </w:r>
    </w:p>
    <w:p>
      <w:pPr>
        <w:spacing w:line="240" w:lineRule="auto" w:before="1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855"/>
        <w:gridCol w:w="2711"/>
        <w:gridCol w:w="2933"/>
      </w:tblGrid>
      <w:tr>
        <w:trPr>
          <w:trHeight w:val="427" w:hRule="exact"/>
        </w:trPr>
        <w:tc>
          <w:tcPr>
            <w:tcW w:w="3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项目分类</w:t>
            </w:r>
          </w:p>
        </w:tc>
        <w:tc>
          <w:tcPr>
            <w:tcW w:w="27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28"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抵押贷款</w:t>
            </w:r>
          </w:p>
        </w:tc>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36,846,095.94</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22,228,698.55</w:t>
            </w:r>
          </w:p>
        </w:tc>
      </w:tr>
      <w:tr>
        <w:trPr>
          <w:trHeight w:val="427"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保证贷款</w:t>
            </w:r>
          </w:p>
        </w:tc>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147,188,300.00</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89,222,205.20</w:t>
            </w:r>
          </w:p>
        </w:tc>
      </w:tr>
      <w:tr>
        <w:trPr>
          <w:trHeight w:val="427"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tabs>
                <w:tab w:pos="475" w:val="left" w:leader="none"/>
              </w:tabs>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184,034,395.94</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111,450,903.75</w:t>
            </w:r>
          </w:p>
        </w:tc>
      </w:tr>
      <w:tr>
        <w:trPr>
          <w:trHeight w:val="426"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5,155,344.61</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1,109,320.07</w:t>
            </w:r>
          </w:p>
        </w:tc>
      </w:tr>
      <w:tr>
        <w:trPr>
          <w:trHeight w:val="428"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b/>
                <w:spacing w:val="-1"/>
                <w:sz w:val="18"/>
              </w:rPr>
              <w:t>178,879,051.33</w:t>
            </w:r>
            <w:r>
              <w:rPr>
                <w:rFonts w:ascii="Times New Roman"/>
                <w:spacing w:val="-1"/>
                <w:sz w:val="18"/>
              </w:rPr>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110,341,583.68</w:t>
            </w:r>
            <w:r>
              <w:rPr>
                <w:rFonts w:ascii="Times New Roman"/>
                <w:spacing w:val="-1"/>
                <w:sz w:val="18"/>
              </w:rPr>
            </w:r>
          </w:p>
        </w:tc>
      </w:tr>
    </w:tbl>
    <w:p>
      <w:pPr>
        <w:pStyle w:val="Heading3"/>
        <w:spacing w:line="293" w:lineRule="exact"/>
        <w:ind w:left="634" w:right="0"/>
        <w:jc w:val="left"/>
      </w:pPr>
      <w:r>
        <w:rPr/>
        <w:t>（</w:t>
      </w:r>
      <w:r>
        <w:rPr>
          <w:rFonts w:ascii="Times New Roman" w:hAnsi="Times New Roman" w:cs="Times New Roman" w:eastAsia="Times New Roman" w:hint="default"/>
        </w:rPr>
        <w:t>3</w:t>
      </w:r>
      <w:r>
        <w:rPr/>
        <w:t>）发放贷款和垫款按五级分类</w:t>
      </w:r>
    </w:p>
    <w:tbl>
      <w:tblPr>
        <w:tblW w:w="0" w:type="auto"/>
        <w:jc w:val="left"/>
        <w:tblInd w:w="149" w:type="dxa"/>
        <w:tblLayout w:type="fixed"/>
        <w:tblCellMar>
          <w:top w:w="0" w:type="dxa"/>
          <w:left w:w="0" w:type="dxa"/>
          <w:bottom w:w="0" w:type="dxa"/>
          <w:right w:w="0" w:type="dxa"/>
        </w:tblCellMar>
        <w:tblLook w:val="01E0"/>
      </w:tblPr>
      <w:tblGrid>
        <w:gridCol w:w="1979"/>
        <w:gridCol w:w="1931"/>
        <w:gridCol w:w="1816"/>
        <w:gridCol w:w="1725"/>
        <w:gridCol w:w="2048"/>
      </w:tblGrid>
      <w:tr>
        <w:trPr>
          <w:trHeight w:val="427" w:hRule="exact"/>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624" w:right="0"/>
              <w:jc w:val="left"/>
              <w:rPr>
                <w:rFonts w:ascii="宋体" w:hAnsi="宋体" w:cs="宋体" w:eastAsia="宋体" w:hint="default"/>
                <w:sz w:val="18"/>
                <w:szCs w:val="18"/>
              </w:rPr>
            </w:pPr>
            <w:r>
              <w:rPr>
                <w:rFonts w:ascii="宋体" w:hAnsi="宋体" w:cs="宋体" w:eastAsia="宋体" w:hint="default"/>
                <w:sz w:val="18"/>
                <w:szCs w:val="18"/>
              </w:rPr>
              <w:t>项目分类</w:t>
            </w:r>
          </w:p>
        </w:tc>
        <w:tc>
          <w:tcPr>
            <w:tcW w:w="374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77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27" w:hRule="exact"/>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600" w:right="0"/>
              <w:jc w:val="left"/>
              <w:rPr>
                <w:rFonts w:ascii="宋体" w:hAnsi="宋体" w:cs="宋体" w:eastAsia="宋体" w:hint="default"/>
                <w:sz w:val="18"/>
                <w:szCs w:val="18"/>
              </w:rPr>
            </w:pPr>
            <w:r>
              <w:rPr>
                <w:rFonts w:ascii="宋体" w:hAnsi="宋体" w:cs="宋体" w:eastAsia="宋体" w:hint="default"/>
                <w:sz w:val="18"/>
                <w:szCs w:val="18"/>
              </w:rPr>
              <w:t>贷款余额</w:t>
            </w:r>
          </w:p>
        </w:tc>
        <w:tc>
          <w:tcPr>
            <w:tcW w:w="1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贷款损失准备</w:t>
            </w:r>
          </w:p>
        </w:tc>
        <w:tc>
          <w:tcPr>
            <w:tcW w:w="1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496" w:right="0"/>
              <w:jc w:val="left"/>
              <w:rPr>
                <w:rFonts w:ascii="宋体" w:hAnsi="宋体" w:cs="宋体" w:eastAsia="宋体" w:hint="default"/>
                <w:sz w:val="18"/>
                <w:szCs w:val="18"/>
              </w:rPr>
            </w:pPr>
            <w:r>
              <w:rPr>
                <w:rFonts w:ascii="宋体" w:hAnsi="宋体" w:cs="宋体" w:eastAsia="宋体" w:hint="default"/>
                <w:sz w:val="18"/>
                <w:szCs w:val="18"/>
              </w:rPr>
              <w:t>贷款余额</w:t>
            </w:r>
          </w:p>
        </w:tc>
        <w:tc>
          <w:tcPr>
            <w:tcW w:w="20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480" w:right="0"/>
              <w:jc w:val="left"/>
              <w:rPr>
                <w:rFonts w:ascii="宋体" w:hAnsi="宋体" w:cs="宋体" w:eastAsia="宋体" w:hint="default"/>
                <w:sz w:val="18"/>
                <w:szCs w:val="18"/>
              </w:rPr>
            </w:pPr>
            <w:r>
              <w:rPr>
                <w:rFonts w:ascii="宋体" w:hAnsi="宋体" w:cs="宋体" w:eastAsia="宋体" w:hint="default"/>
                <w:sz w:val="18"/>
                <w:szCs w:val="18"/>
              </w:rPr>
              <w:t>贷款损失准备</w:t>
            </w:r>
          </w:p>
        </w:tc>
      </w:tr>
      <w:tr>
        <w:trPr>
          <w:trHeight w:val="427"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正常贷款</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167,754,304.12</w:t>
            </w:r>
          </w:p>
        </w:tc>
        <w:tc>
          <w:tcPr>
            <w:tcW w:w="1816"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79,618,023.28</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关注贷款</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1,474,232.89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29,484.66</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30,450,497.72</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609,009.95</w:t>
            </w:r>
          </w:p>
        </w:tc>
      </w:tr>
      <w:tr>
        <w:trPr>
          <w:trHeight w:val="427"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次级贷款</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9,416,869.73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2,354,217.43</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915,202.55</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228,800.64</w:t>
            </w:r>
          </w:p>
        </w:tc>
      </w:tr>
      <w:tr>
        <w:trPr>
          <w:trHeight w:val="427"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可疑贷款</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5,234,693.36</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2,617,346.68</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391,341.44</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195,670.72</w:t>
            </w:r>
          </w:p>
        </w:tc>
      </w:tr>
      <w:tr>
        <w:trPr>
          <w:trHeight w:val="426"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损失贷款</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154,295.84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154,295.84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75,838.76</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75,838.76</w:t>
            </w:r>
          </w:p>
        </w:tc>
      </w:tr>
      <w:tr>
        <w:trPr>
          <w:trHeight w:val="428"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tabs>
                <w:tab w:pos="475" w:val="left" w:leader="none"/>
              </w:tabs>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184,034,395.94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5,155,344.61</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111,450,903.75</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1,109,320.07</w:t>
            </w:r>
          </w:p>
        </w:tc>
      </w:tr>
      <w:tr>
        <w:trPr>
          <w:trHeight w:val="427"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178,879,051.33</w:t>
            </w:r>
            <w:r>
              <w:rPr>
                <w:rFonts w:ascii="Times New Roman"/>
                <w:spacing w:val="-1"/>
                <w:sz w:val="18"/>
              </w:rPr>
            </w:r>
          </w:p>
        </w:tc>
        <w:tc>
          <w:tcPr>
            <w:tcW w:w="3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110,341,583.68</w:t>
            </w:r>
            <w:r>
              <w:rPr>
                <w:rFonts w:ascii="Times New Roman"/>
                <w:spacing w:val="-1"/>
                <w:sz w:val="18"/>
              </w:rPr>
            </w:r>
          </w:p>
        </w:tc>
      </w:tr>
    </w:tbl>
    <w:p>
      <w:pPr>
        <w:spacing w:line="240" w:lineRule="auto" w:before="8"/>
        <w:rPr>
          <w:rFonts w:ascii="宋体" w:hAnsi="宋体" w:cs="宋体" w:eastAsia="宋体" w:hint="default"/>
          <w:sz w:val="20"/>
          <w:szCs w:val="20"/>
        </w:rPr>
      </w:pPr>
    </w:p>
    <w:p>
      <w:pPr>
        <w:pStyle w:val="Heading5"/>
        <w:spacing w:line="240" w:lineRule="auto" w:before="35"/>
        <w:ind w:right="0"/>
        <w:jc w:val="left"/>
        <w:rPr>
          <w:b w:val="0"/>
          <w:bCs w:val="0"/>
        </w:rPr>
      </w:pPr>
      <w:bookmarkStart w:name="11、长期股权投资" w:id="235"/>
      <w:bookmarkEnd w:id="235"/>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南通世川 服装有限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2,725,792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35,490.75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2,761,283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2,725,792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35,490.75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2,761,283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2,725,792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35,490.75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2,761,283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506" w:lineRule="auto" w:before="35"/>
        <w:ind w:right="7590"/>
        <w:jc w:val="left"/>
        <w:rPr>
          <w:b w:val="0"/>
          <w:bCs w:val="0"/>
        </w:rPr>
      </w:pPr>
      <w:bookmarkStart w:name="12、投资性房地产" w:id="236"/>
      <w:bookmarkEnd w:id="236"/>
      <w:r>
        <w:rPr>
          <w:b w:val="0"/>
          <w:bCs w:val="0"/>
        </w:rPr>
      </w:r>
      <w:r>
        <w:rPr>
          <w:rFonts w:ascii="Times New Roman" w:hAnsi="Times New Roman" w:cs="Times New Roman" w:eastAsia="Times New Roman" w:hint="default"/>
        </w:rPr>
        <w:t>12</w:t>
      </w:r>
      <w:r>
        <w:rPr/>
        <w:t>、投资性房地产</w:t>
      </w:r>
      <w:r>
        <w:rPr>
          <w:w w:val="99"/>
        </w:rPr>
        <w:t> </w:t>
      </w:r>
      <w:bookmarkStart w:name="采用成本计量模式的投资性房地产" w:id="237"/>
      <w:bookmarkEnd w:id="237"/>
      <w:r>
        <w:rPr/>
        <w:t>采</w:t>
      </w:r>
      <w:r>
        <w:rPr/>
        <w:t>用成本计量模式的投资性房地产</w:t>
      </w:r>
      <w:r>
        <w:rPr>
          <w:b w:val="0"/>
          <w:bCs w:val="0"/>
        </w:rPr>
      </w:r>
    </w:p>
    <w:p>
      <w:pPr>
        <w:spacing w:before="13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39"/>
        <w:gridCol w:w="1571"/>
        <w:gridCol w:w="1700"/>
        <w:gridCol w:w="1559"/>
        <w:gridCol w:w="1490"/>
      </w:tblGrid>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15,592,294.40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15,592,294.40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2,680,000.00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2,680,000.00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12,912,294.40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12,912,294.40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9,851,762.10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9,851,762.10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233,285.44</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233,285.44</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233,285.44</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233,285.44</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975,527.07</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975,527.07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975,527.07</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975,527.07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9,109,520.47</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9,109,520.47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3,802,773.93</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3,802,773.93</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5,740,532.30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5,740,532.30</w:t>
            </w:r>
          </w:p>
        </w:tc>
      </w:tr>
    </w:tbl>
    <w:p>
      <w:pPr>
        <w:pStyle w:val="BodyText"/>
        <w:spacing w:line="273" w:lineRule="auto" w:before="26"/>
        <w:ind w:left="154" w:right="1118" w:firstLine="420"/>
        <w:jc w:val="left"/>
      </w:pPr>
      <w:r>
        <w:rPr>
          <w:spacing w:val="-1"/>
        </w:rPr>
        <w:t>注：本公司原对外出租之开发区房地产本期部分由子公司三友环保科技承租，故将其转为自用固定资</w:t>
      </w:r>
      <w:r>
        <w:rPr/>
        <w:t> 产列示。</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left"/>
        <w:rPr>
          <w:b w:val="0"/>
          <w:bCs w:val="0"/>
        </w:rPr>
      </w:pPr>
      <w:bookmarkStart w:name="13、固定资产" w:id="238"/>
      <w:bookmarkEnd w:id="238"/>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固定资产情况" w:id="239"/>
      <w:bookmarkEnd w:id="23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129,857,597.96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181,409,473.90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9,306,261.95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15,528,480.98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3,911,820.65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340,013,635.44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2,759,651.07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948,703.34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222,263.94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1,159,007.41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575,917.79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5,665,543.55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5,606.15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21,246,275.82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534,338.39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2,641,374.35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422,372.08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24,849,966.79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132,611,642.88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161,111,901.42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8,994,187.50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14,046,114.04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4,065,366.36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320,829,212.20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41,307,440.55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57,064,443.61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7,150,434.59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9,954,917.06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2,986,511.05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118,463,746.86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6,514,698.04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6,042,162.18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546,006.40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1,528,063.99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156,584.32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14,787,514.93</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14,726.65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17,262,635.15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451,821.19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2,291,445.09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237,374.69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20,258,002.77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47,807,411.94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45,843,970.64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7,244,619.80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9,191,535.96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2,905,720.68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112,993,259.02</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86,997,595.05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23,632.51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87,021,227.56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12,866,891.14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12,866,891.14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1,405,965.08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1,405,965.08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98,458,521.11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23,632.51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98,482,153.62</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84,804,230.94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16,809,409.67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1,725,935.19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4,854,578.08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1,159,645.68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109,353,799.56</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88,550,157.41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37,347,435.24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2,132,194.85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5,573,563.92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925,309.60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134,528,661.02</w:t>
            </w:r>
          </w:p>
        </w:tc>
      </w:tr>
    </w:tbl>
    <w:p>
      <w:pPr>
        <w:spacing w:before="51"/>
        <w:ind w:left="514" w:right="0" w:firstLine="0"/>
        <w:jc w:val="left"/>
        <w:rPr>
          <w:rFonts w:ascii="宋体" w:hAnsi="宋体" w:cs="宋体" w:eastAsia="宋体" w:hint="default"/>
          <w:sz w:val="18"/>
          <w:szCs w:val="18"/>
        </w:rPr>
      </w:pPr>
      <w:r>
        <w:rPr>
          <w:rFonts w:ascii="宋体" w:hAnsi="宋体" w:cs="宋体" w:eastAsia="宋体" w:hint="default"/>
          <w:sz w:val="18"/>
          <w:szCs w:val="18"/>
        </w:rPr>
        <w:t>本年增加数中含投资性房地产转入原值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268.00 </w:t>
      </w:r>
      <w:r>
        <w:rPr>
          <w:rFonts w:ascii="宋体" w:hAnsi="宋体" w:cs="宋体" w:eastAsia="宋体" w:hint="default"/>
          <w:sz w:val="18"/>
          <w:szCs w:val="18"/>
        </w:rPr>
        <w:t>万元。</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暂时闲置的固定资产情况" w:id="240"/>
      <w:bookmarkEnd w:id="24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10,529,195.12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6,043,973.90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4,485,221.22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4,266,307.24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3,523,882.09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507,425.15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458,720.00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412,848.00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501,142.80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450,798.12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50,344.68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312,961.00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281,664.90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31,296.10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16,068,326.16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10,713,167.01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5,120,159.15</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71" w:lineRule="exact" w:before="0"/>
        <w:ind w:left="553" w:right="0"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6"/>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：子公司江苏北斗拟进行清算，其占用的房产暂时闲置。</w:t>
      </w:r>
    </w:p>
    <w:p>
      <w:pPr>
        <w:spacing w:after="0" w:line="271" w:lineRule="exact"/>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spacing w:line="271" w:lineRule="auto" w:before="38"/>
        <w:ind w:left="153" w:right="1122" w:firstLine="399"/>
        <w:jc w:val="left"/>
        <w:rPr>
          <w:rFonts w:ascii="宋体" w:hAnsi="宋体" w:cs="宋体" w:eastAsia="宋体" w:hint="default"/>
          <w:sz w:val="20"/>
          <w:szCs w:val="20"/>
        </w:rPr>
      </w:pPr>
      <w:bookmarkStart w:name="注2：原子公司纽恩朊装停产被本公司吸收合并后的资产暂时闲置以及子公司江苏北斗的设" w:id="241"/>
      <w:bookmarkEnd w:id="241"/>
      <w:r>
        <w:rPr/>
      </w:r>
      <w:r>
        <w:rPr>
          <w:rFonts w:ascii="宋体" w:hAnsi="宋体" w:cs="宋体" w:eastAsia="宋体" w:hint="default"/>
          <w:sz w:val="20"/>
          <w:szCs w:val="20"/>
        </w:rPr>
        <w:t>注</w:t>
      </w:r>
      <w:r>
        <w:rPr>
          <w:rFonts w:ascii="宋体" w:hAnsi="宋体" w:cs="宋体" w:eastAsia="宋体" w:hint="default"/>
          <w:spacing w:val="32"/>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：原子公司纽恩服装停产被本公司吸收合并后的资产暂时闲置以及子公司江苏北斗的设备因拟清算暂</w:t>
      </w:r>
      <w:r>
        <w:rPr>
          <w:rFonts w:ascii="宋体" w:hAnsi="宋体" w:cs="宋体" w:eastAsia="宋体" w:hint="default"/>
          <w:w w:val="100"/>
          <w:sz w:val="20"/>
          <w:szCs w:val="20"/>
        </w:rPr>
        <w:t> </w:t>
      </w:r>
      <w:r>
        <w:rPr>
          <w:rFonts w:ascii="宋体" w:hAnsi="宋体" w:cs="宋体" w:eastAsia="宋体" w:hint="default"/>
          <w:sz w:val="20"/>
          <w:szCs w:val="20"/>
        </w:rPr>
        <w:t>时闲置。</w:t>
      </w:r>
    </w:p>
    <w:p>
      <w:pPr>
        <w:spacing w:line="240" w:lineRule="auto" w:before="2"/>
        <w:rPr>
          <w:rFonts w:ascii="宋体" w:hAnsi="宋体" w:cs="宋体" w:eastAsia="宋体" w:hint="default"/>
          <w:sz w:val="24"/>
          <w:szCs w:val="24"/>
        </w:rPr>
      </w:pPr>
    </w:p>
    <w:p>
      <w:pPr>
        <w:pStyle w:val="Heading5"/>
        <w:spacing w:line="240" w:lineRule="auto"/>
        <w:ind w:left="153" w:right="0"/>
        <w:jc w:val="left"/>
        <w:rPr>
          <w:b w:val="0"/>
          <w:bCs w:val="0"/>
        </w:rPr>
      </w:pPr>
      <w:bookmarkStart w:name="（3）未办妥产权证书的固定资产情况" w:id="242"/>
      <w:bookmarkEnd w:id="242"/>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4,287,362.52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租入土地使用权，未办理规划许可</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4,287,362.52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2" w:lineRule="auto" w:before="9"/>
        <w:ind w:right="1129"/>
        <w:jc w:val="both"/>
      </w:pPr>
      <w:r>
        <w:rPr>
          <w:rFonts w:ascii="宋体" w:hAnsi="宋体" w:cs="宋体" w:eastAsia="宋体" w:hint="default"/>
          <w:b/>
          <w:bCs/>
          <w:spacing w:val="-1"/>
        </w:rPr>
        <w:t>（</w:t>
      </w:r>
      <w:r>
        <w:rPr>
          <w:rFonts w:ascii="宋体" w:hAnsi="宋体" w:cs="宋体" w:eastAsia="宋体" w:hint="default"/>
          <w:b/>
          <w:bCs/>
          <w:spacing w:val="-1"/>
        </w:rPr>
        <w:t>4</w:t>
      </w:r>
      <w:r>
        <w:rPr>
          <w:rFonts w:ascii="宋体" w:hAnsi="宋体" w:cs="宋体" w:eastAsia="宋体" w:hint="default"/>
          <w:b/>
          <w:bCs/>
          <w:spacing w:val="-1"/>
        </w:rPr>
        <w:t>）</w:t>
      </w:r>
      <w:r>
        <w:rPr>
          <w:spacing w:val="-1"/>
        </w:rPr>
        <w:t>本公司子公司江苏三友环保能源科技有限公司实施的“工业化集成控制固废裂解生产线”于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32"/>
        </w:rPr>
        <w:t> </w:t>
      </w:r>
      <w:r>
        <w:rPr>
          <w:spacing w:val="-1"/>
        </w:rPr>
        <w:t>月正式投入使用，因上述生产线设备连续运行时的稳定性和处理能力还存在一定的问题以及因市场接受度</w:t>
      </w:r>
      <w:r>
        <w:rPr>
          <w:spacing w:val="-81"/>
        </w:rPr>
        <w:t> </w:t>
      </w:r>
      <w:r>
        <w:rPr>
          <w:spacing w:val="-81"/>
        </w:rPr>
      </w:r>
      <w:r>
        <w:rPr>
          <w:spacing w:val="-1"/>
        </w:rPr>
        <w:t>和价格因素导致炭黑产品滞销等因素，江苏三友环保能源科技有限公司目前的生产经营状况与项目投资时</w:t>
      </w:r>
      <w:r>
        <w:rPr>
          <w:spacing w:val="-81"/>
        </w:rPr>
        <w:t> </w:t>
      </w:r>
      <w:r>
        <w:rPr>
          <w:spacing w:val="-81"/>
        </w:rPr>
      </w:r>
      <w:r>
        <w:rPr/>
        <w:t>的预计存在较大的差异。江苏三友环保能源科技有限公司于</w:t>
      </w:r>
      <w:r>
        <w:rPr>
          <w:rFonts w:ascii="Times New Roman" w:hAnsi="Times New Roman" w:cs="Times New Roman" w:eastAsia="Times New Roman" w:hint="default"/>
        </w:rPr>
        <w:t>2013</w:t>
      </w:r>
      <w:r>
        <w:rPr/>
        <w:t>年度对四条</w:t>
      </w:r>
      <w:r>
        <w:rPr>
          <w:rFonts w:ascii="Times New Roman" w:hAnsi="Times New Roman" w:cs="Times New Roman" w:eastAsia="Times New Roman" w:hint="default"/>
        </w:rPr>
        <w:t>“</w:t>
      </w:r>
      <w:r>
        <w:rPr/>
        <w:t>工业化集成控制固废低温热</w:t>
      </w:r>
      <w:r>
        <w:rPr>
          <w:spacing w:val="-19"/>
        </w:rPr>
        <w:t> </w:t>
      </w:r>
      <w:r>
        <w:rPr>
          <w:spacing w:val="-19"/>
        </w:rPr>
      </w:r>
      <w:r>
        <w:rPr>
          <w:spacing w:val="-1"/>
        </w:rPr>
        <w:t>解生产线成套设备</w:t>
      </w:r>
      <w:r>
        <w:rPr>
          <w:rFonts w:ascii="Times New Roman" w:hAnsi="Times New Roman" w:cs="Times New Roman" w:eastAsia="Times New Roman" w:hint="default"/>
          <w:spacing w:val="-1"/>
        </w:rPr>
        <w:t>”</w:t>
      </w:r>
      <w:r>
        <w:rPr>
          <w:spacing w:val="-1"/>
        </w:rPr>
        <w:t>计提资产减值准备</w:t>
      </w:r>
      <w:r>
        <w:rPr>
          <w:rFonts w:ascii="Times New Roman" w:hAnsi="Times New Roman" w:cs="Times New Roman" w:eastAsia="Times New Roman" w:hint="default"/>
          <w:spacing w:val="-1"/>
        </w:rPr>
        <w:t>8,493.42</w:t>
      </w:r>
      <w:r>
        <w:rPr>
          <w:spacing w:val="-1"/>
        </w:rPr>
        <w:t>万元。</w:t>
      </w:r>
      <w:r>
        <w:rPr>
          <w:rFonts w:ascii="Times New Roman" w:hAnsi="Times New Roman" w:cs="Times New Roman" w:eastAsia="Times New Roman" w:hint="default"/>
          <w:spacing w:val="-1"/>
        </w:rPr>
        <w:t>2014</w:t>
      </w:r>
      <w:r>
        <w:rPr>
          <w:spacing w:val="-1"/>
        </w:rPr>
        <w:t>年年度该生线仅上半年进行了小量生产，</w:t>
      </w:r>
      <w:r>
        <w:rPr>
          <w:rFonts w:ascii="Times New Roman" w:hAnsi="Times New Roman" w:cs="Times New Roman" w:eastAsia="Times New Roman" w:hint="default"/>
          <w:spacing w:val="-1"/>
        </w:rPr>
        <w:t>2014</w:t>
      </w:r>
      <w:r>
        <w:rPr>
          <w:spacing w:val="-1"/>
        </w:rPr>
        <w:t>年</w:t>
      </w:r>
      <w:r>
        <w:rPr>
          <w:spacing w:val="-62"/>
        </w:rPr>
        <w:t> </w:t>
      </w:r>
      <w:r>
        <w:rPr>
          <w:rFonts w:ascii="Times New Roman" w:hAnsi="Times New Roman" w:cs="Times New Roman" w:eastAsia="Times New Roman" w:hint="default"/>
          <w:spacing w:val="-1"/>
        </w:rPr>
        <w:t>7</w:t>
      </w:r>
      <w:r>
        <w:rPr>
          <w:spacing w:val="-1"/>
        </w:rPr>
        <w:t>月起全部停产，根据该生产线之状况及资产评估结果，能源公司将该生产线补提资产减值损失</w:t>
      </w:r>
      <w:r>
        <w:rPr>
          <w:rFonts w:ascii="Times New Roman" w:hAnsi="Times New Roman" w:cs="Times New Roman" w:eastAsia="Times New Roman" w:hint="default"/>
          <w:spacing w:val="-1"/>
        </w:rPr>
        <w:t>1,286.69</w:t>
      </w:r>
      <w:r>
        <w:rPr>
          <w:spacing w:val="-1"/>
        </w:rPr>
        <w:t>万</w:t>
      </w:r>
      <w:r>
        <w:rPr>
          <w:spacing w:val="-78"/>
        </w:rPr>
        <w:t> </w:t>
      </w:r>
      <w:r>
        <w:rPr/>
        <w:t>元。</w:t>
      </w:r>
    </w:p>
    <w:p>
      <w:pPr>
        <w:spacing w:line="240" w:lineRule="auto" w:before="6"/>
        <w:rPr>
          <w:rFonts w:ascii="宋体" w:hAnsi="宋体" w:cs="宋体" w:eastAsia="宋体" w:hint="default"/>
          <w:sz w:val="23"/>
          <w:szCs w:val="23"/>
        </w:rPr>
      </w:pPr>
    </w:p>
    <w:p>
      <w:pPr>
        <w:pStyle w:val="Heading5"/>
        <w:spacing w:line="240" w:lineRule="auto"/>
        <w:ind w:right="0"/>
        <w:jc w:val="both"/>
        <w:rPr>
          <w:b w:val="0"/>
          <w:bCs w:val="0"/>
        </w:rPr>
      </w:pPr>
      <w:bookmarkStart w:name="14、无形资产" w:id="243"/>
      <w:bookmarkEnd w:id="243"/>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无形资产情况" w:id="244"/>
      <w:bookmarkEnd w:id="24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40,613,620.85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43,723,620.85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40,613,620.85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43,223,620.85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4,432,556.08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7,042,556.08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830,438.88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830,438.88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5,262,994.96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7,872,994.96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35,350,625.89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35,350,625.89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36,181,064.77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8" w:right="0"/>
              <w:jc w:val="left"/>
              <w:rPr>
                <w:rFonts w:ascii="Times New Roman" w:hAnsi="Times New Roman" w:cs="Times New Roman" w:eastAsia="Times New Roman" w:hint="default"/>
                <w:sz w:val="18"/>
                <w:szCs w:val="18"/>
              </w:rPr>
            </w:pPr>
            <w:r>
              <w:rPr>
                <w:rFonts w:ascii="Times New Roman"/>
                <w:sz w:val="18"/>
              </w:rPr>
              <w:t>500,000.00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36,681,064.77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15、商誉" w:id="245"/>
      <w:bookmarkEnd w:id="245"/>
      <w:r>
        <w:rPr>
          <w:b w:val="0"/>
          <w:bCs w:val="0"/>
        </w:rPr>
      </w: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商誉账面原值" w:id="246"/>
      <w:bookmarkEnd w:id="24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1134"/>
        <w:gridCol w:w="1417"/>
        <w:gridCol w:w="709"/>
        <w:gridCol w:w="993"/>
        <w:gridCol w:w="833"/>
        <w:gridCol w:w="1367"/>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34,837.46</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34,837.46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江苏三友集团南通色织有限公司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208,148.33</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208,148.33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242,985.79</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242,985.79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商誉减值准备" w:id="247"/>
      <w:bookmarkEnd w:id="24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1134"/>
        <w:gridCol w:w="1417"/>
        <w:gridCol w:w="709"/>
        <w:gridCol w:w="993"/>
        <w:gridCol w:w="833"/>
        <w:gridCol w:w="1367"/>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34,837.46</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34,837.46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江苏三友集团南通色织有限公司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208,148.33</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208,148.33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242,985.79</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242,985.79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6、长期待摊费用" w:id="248"/>
      <w:bookmarkEnd w:id="248"/>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租入固定资产改良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1,546,965.22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5,815,148.62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1,352,183.50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6,009,930.34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103,461.24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103,461.24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1,650,426.46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5,815,148.62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1,455,644.74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6,009,930.34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7、递延所得税资产/递延所得税负债" w:id="249"/>
      <w:bookmarkEnd w:id="249"/>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未经抵销的递延所得税资产" w:id="250"/>
      <w:bookmarkEnd w:id="25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7,716,244.69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1,926,950.72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3,473,047.39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908,969.79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担保赔偿准备金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241,374.00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60,343.50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472,115.00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59,014.38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7,957,618.69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1,987,294.22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3,945,162.39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967,984.17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未经抵销的递延所得税负债" w:id="251"/>
      <w:bookmarkEnd w:id="25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197,777.80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49,444.45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贷款损失准备税前扣除</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202,966.77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50,093.07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以抵销后净额列示的递延所得税资产或负债" w:id="252"/>
      <w:bookmarkEnd w:id="25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1,987,294.22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967,984.17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50,093.07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未确认递延所得税资产明细" w:id="253"/>
      <w:bookmarkEnd w:id="25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107,071,615.20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98,674,057.93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46,684,612.54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32,115,769.18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153,756,227.74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130,789,827.11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未确认递延所得税资产的可抵扣亏损将于以下年度到期" w:id="254"/>
      <w:bookmarkEnd w:id="25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854,062.48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5,730,158.43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5,730,158.43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10,308,506.77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10,308,506.77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15,223,041.50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15,223,041.50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15,422,905.84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46,684,612.54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32,115,769.18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18、短期借款" w:id="255"/>
      <w:bookmarkEnd w:id="255"/>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短期借款分类" w:id="256"/>
      <w:bookmarkEnd w:id="25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114"/>
        <w:ind w:left="574" w:right="0"/>
        <w:jc w:val="left"/>
      </w:pPr>
      <w:r>
        <w:rPr/>
        <w:t>短期借款均由母公司南通友谊实业有限公司担保，具体详见附注十、</w:t>
      </w:r>
      <w:r>
        <w:rPr>
          <w:rFonts w:ascii="Times New Roman" w:hAnsi="Times New Roman" w:cs="Times New Roman" w:eastAsia="Times New Roman" w:hint="default"/>
        </w:rPr>
        <w:t>5</w:t>
      </w:r>
      <w:r>
        <w:rPr/>
        <w:t>（</w:t>
      </w:r>
      <w:r>
        <w:rPr>
          <w:rFonts w:ascii="Times New Roman" w:hAnsi="Times New Roman" w:cs="Times New Roman" w:eastAsia="Times New Roman" w:hint="default"/>
        </w:rPr>
        <w:t>3</w:t>
      </w:r>
      <w:r>
        <w:rPr/>
        <w:t>）“关联担保情况”。</w:t>
      </w:r>
    </w:p>
    <w:p>
      <w:pPr>
        <w:pStyle w:val="Heading5"/>
        <w:spacing w:line="240" w:lineRule="auto" w:before="68"/>
        <w:ind w:right="0"/>
        <w:jc w:val="left"/>
        <w:rPr>
          <w:b w:val="0"/>
          <w:bCs w:val="0"/>
        </w:rPr>
      </w:pPr>
      <w:r>
        <w:rPr/>
        <w:t>（</w:t>
      </w:r>
      <w:r>
        <w:rPr>
          <w:rFonts w:ascii="Times New Roman" w:hAnsi="Times New Roman" w:cs="Times New Roman" w:eastAsia="Times New Roman" w:hint="default"/>
        </w:rPr>
        <w:t>2</w:t>
      </w:r>
      <w:r>
        <w:rPr/>
        <w:t>）短期借款中无已逾期未偿还的情况。</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9、应付票据" w:id="257"/>
      <w:bookmarkEnd w:id="257"/>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0、应付账款" w:id="258"/>
      <w:bookmarkEnd w:id="258"/>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付账款列示" w:id="259"/>
      <w:bookmarkEnd w:id="25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49,090,566.16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39,536,054.99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491,768.47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6,177,594.58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3,641,614.96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5,768,018.03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4,087,715.74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539,937.55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57,311,665.33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52,021,605.15</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应付账款" w:id="260"/>
      <w:bookmarkEnd w:id="26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南通盛昌再生资源有限公司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2,028,278.00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子公司能源环保公司未结清款项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常州煜尚通讯器材有限公司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1,411,494.87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子公司江苏北斗未结清款项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南通化学危险品运输有限公司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633,981.60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子公司能源环保公司未结清款项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南通科能再生资源有限公司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598,970.00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子公司能源环保公司未结清款项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江苏贯通电气科技公司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500,968.20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子公司江苏北斗未结清款项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5,173,692.67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1、预收款项" w:id="261"/>
      <w:bookmarkEnd w:id="261"/>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预收款项列示" w:id="262"/>
      <w:bookmarkEnd w:id="26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3,115,370.84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5,620,573.92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567,633.32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26,727.22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15,601.91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43,987.48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3,157,904.64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6,232,978.25</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2、应付职工薪酬" w:id="263"/>
      <w:bookmarkEnd w:id="263"/>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付职工薪酬列示" w:id="264"/>
      <w:bookmarkEnd w:id="26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713"/>
        <w:gridCol w:w="1489"/>
        <w:gridCol w:w="1914"/>
        <w:gridCol w:w="1914"/>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17,339,186.30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86,262,335.48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82,750,499.84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20,851,021.94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702,849.60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6,932,411.85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6,939,450.35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695,811.10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18,042,035.90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93,194,747.33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89,689,950.19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21,546,833.04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短期薪酬列示" w:id="265"/>
      <w:bookmarkEnd w:id="26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1571"/>
        <w:gridCol w:w="1631"/>
        <w:gridCol w:w="1914"/>
        <w:gridCol w:w="1914"/>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7,007,513.58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69,060,858.93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65,119,000.05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10,949,372.46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8,989,873.79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7,140,093.14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8,232,533.08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7,897,433.85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364,897.40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4,806,309.19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4,813,039.61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358,166.98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295,177.70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3,771,282.13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3,770,855.35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295,604.48</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52,396.90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808,208.75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815,295.05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45,310.60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41"/>
        <w:gridCol w:w="1571"/>
        <w:gridCol w:w="1631"/>
        <w:gridCol w:w="1914"/>
        <w:gridCol w:w="1914"/>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17,322.80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226,818.31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226,889.21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17,251.90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4,587,276.56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4,348,646.56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238,630.00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976,901.53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667,797.66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237,280.54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1,407,418.65</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17,339,186.30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86,262,335.48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82,750,499.84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20,851,021.94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设定提存计划列示" w:id="266"/>
      <w:bookmarkEnd w:id="26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656,442.90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6,448,186.54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6,454,919.54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649,709.90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46,406.70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484,225.31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484,530.81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46,101.20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702,849.60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6,932,411.85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6,939,450.35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695,811.10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04" w:lineRule="auto" w:before="114"/>
        <w:ind w:left="154" w:right="1131" w:firstLine="420"/>
        <w:jc w:val="both"/>
      </w:pPr>
      <w:r>
        <w:rPr>
          <w:spacing w:val="-1"/>
        </w:rPr>
        <w:t>本公司按规定参加由政府机构设立的养老保险、失业保险计划，根据该等计划，本公司分别按南通市</w:t>
      </w:r>
      <w:r>
        <w:rPr/>
        <w:t> </w:t>
      </w:r>
      <w:r>
        <w:rPr>
          <w:spacing w:val="-2"/>
        </w:rPr>
        <w:t>政府有关部门核定的养老保险基数的</w:t>
      </w:r>
      <w:r>
        <w:rPr>
          <w:rFonts w:ascii="Times New Roman" w:hAnsi="Times New Roman" w:cs="Times New Roman" w:eastAsia="Times New Roman" w:hint="default"/>
          <w:spacing w:val="-2"/>
        </w:rPr>
        <w:t>20%</w:t>
      </w:r>
      <w:r>
        <w:rPr>
          <w:spacing w:val="-2"/>
        </w:rPr>
        <w:t>及</w:t>
      </w:r>
      <w:r>
        <w:rPr>
          <w:rFonts w:ascii="Times New Roman" w:hAnsi="Times New Roman" w:cs="Times New Roman" w:eastAsia="Times New Roman" w:hint="default"/>
          <w:spacing w:val="-2"/>
        </w:rPr>
        <w:t>2%</w:t>
      </w:r>
      <w:r>
        <w:rPr>
          <w:spacing w:val="-2"/>
        </w:rPr>
        <w:t>每月向该等计划缴存费用。除上述每月缴存费用外，本公司</w:t>
      </w:r>
      <w:r>
        <w:rPr>
          <w:spacing w:val="-70"/>
        </w:rPr>
        <w:t> </w:t>
      </w:r>
      <w:r>
        <w:rPr>
          <w:spacing w:val="-70"/>
        </w:rPr>
      </w:r>
      <w:r>
        <w:rPr/>
        <w:t>不再承担进一步支付义务。相应的支出于发生时计入当期损益或相关资产的成本。</w:t>
      </w:r>
    </w:p>
    <w:p>
      <w:pPr>
        <w:spacing w:line="240" w:lineRule="auto" w:before="4"/>
        <w:rPr>
          <w:rFonts w:ascii="宋体" w:hAnsi="宋体" w:cs="宋体" w:eastAsia="宋体" w:hint="default"/>
          <w:sz w:val="23"/>
          <w:szCs w:val="23"/>
        </w:rPr>
      </w:pPr>
    </w:p>
    <w:p>
      <w:pPr>
        <w:pStyle w:val="Heading5"/>
        <w:spacing w:line="240" w:lineRule="auto"/>
        <w:ind w:left="153" w:right="0"/>
        <w:jc w:val="left"/>
        <w:rPr>
          <w:b w:val="0"/>
          <w:bCs w:val="0"/>
        </w:rPr>
      </w:pPr>
      <w:bookmarkStart w:name="23、应交税费" w:id="267"/>
      <w:bookmarkEnd w:id="267"/>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645,653.31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1,052,016.47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266,883.93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120,715.67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6,544,288.95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6,171,735.19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1,574.73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312,144.78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848,154.67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200,391.01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294,719.36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215,558.05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598,422.23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10,444.09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16,977.35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274,607.28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272,408.79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17,586.62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19,803.25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8,488,025.78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9,396,527.71</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4、应付利息" w:id="268"/>
      <w:bookmarkEnd w:id="268"/>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5,299.33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5,299.33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5、其他应付款" w:id="269"/>
      <w:bookmarkEnd w:id="269"/>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按款项性质列示其他应付款" w:id="270"/>
      <w:bookmarkEnd w:id="27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12,683,422.55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17,113,422.55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4,528,997.32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3,833,509.25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17,820,519.87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21,555,031.80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其他应付款" w:id="271"/>
      <w:bookmarkEnd w:id="27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上海金匙环保科技股份有限公司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子公司设备质保金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南通寅龙设备有限公司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子公司未结算清工程设备款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南通万通建设工程有限公司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子公司未结算清工程设备款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上海华诚建筑工程有限公司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子公司未结算清工程设备款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南通开发区财政局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未结算清土地款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江苏东开电气有限公司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子公司未结算清工程设备款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12,670,800.00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6、 担保业务准备金" w:id="272"/>
      <w:bookmarkEnd w:id="272"/>
      <w:r>
        <w:rPr>
          <w:b w:val="0"/>
          <w:bCs w:val="0"/>
        </w:rPr>
      </w:r>
      <w:r>
        <w:rPr>
          <w:rFonts w:ascii="Times New Roman" w:hAnsi="Times New Roman" w:cs="Times New Roman" w:eastAsia="Times New Roman" w:hint="default"/>
        </w:rPr>
        <w:t>26</w:t>
      </w:r>
      <w:r>
        <w:rPr/>
        <w:t>、</w:t>
      </w:r>
      <w:r>
        <w:rPr>
          <w:spacing w:val="-2"/>
        </w:rPr>
        <w:t> </w:t>
      </w:r>
      <w:r>
        <w:rPr/>
        <w:t>担保业务准备金</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48"/>
        <w:gridCol w:w="1830"/>
        <w:gridCol w:w="1920"/>
        <w:gridCol w:w="1701"/>
        <w:gridCol w:w="1700"/>
      </w:tblGrid>
      <w:tr>
        <w:trPr>
          <w:trHeight w:val="389" w:hRule="exact"/>
        </w:trPr>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989"/>
              <w:jc w:val="right"/>
              <w:rPr>
                <w:rFonts w:ascii="宋体" w:hAnsi="宋体" w:cs="宋体" w:eastAsia="宋体" w:hint="default"/>
                <w:sz w:val="18"/>
                <w:szCs w:val="18"/>
              </w:rPr>
            </w:pPr>
            <w:r>
              <w:rPr>
                <w:rFonts w:ascii="宋体" w:hAnsi="宋体" w:cs="宋体" w:eastAsia="宋体" w:hint="default"/>
                <w:sz w:val="18"/>
                <w:szCs w:val="18"/>
              </w:rPr>
              <w:t>项目</w:t>
            </w:r>
          </w:p>
        </w:tc>
        <w:tc>
          <w:tcPr>
            <w:tcW w:w="18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9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389"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担保赔偿准备</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18"/>
                <w:szCs w:val="18"/>
              </w:rPr>
            </w:pPr>
            <w:r>
              <w:rPr>
                <w:rFonts w:ascii="Times New Roman"/>
                <w:sz w:val="18"/>
              </w:rPr>
              <w:t>713,489.00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18"/>
                <w:szCs w:val="18"/>
              </w:rPr>
            </w:pPr>
            <w:r>
              <w:rPr>
                <w:rFonts w:ascii="Times New Roman"/>
                <w:sz w:val="18"/>
              </w:rPr>
              <w:t>175,250.00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z w:val="18"/>
              </w:rPr>
              <w:t>888,739.00</w:t>
            </w:r>
          </w:p>
        </w:tc>
      </w:tr>
      <w:tr>
        <w:trPr>
          <w:trHeight w:val="389"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未到期责任准备</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18"/>
                <w:szCs w:val="18"/>
              </w:rPr>
            </w:pPr>
            <w:r>
              <w:rPr>
                <w:rFonts w:ascii="Times New Roman"/>
                <w:sz w:val="18"/>
              </w:rPr>
              <w:t>136,806.50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18"/>
                <w:szCs w:val="18"/>
              </w:rPr>
            </w:pPr>
            <w:r>
              <w:rPr>
                <w:rFonts w:ascii="Times New Roman"/>
                <w:sz w:val="18"/>
              </w:rPr>
              <w:t>145,000.00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18"/>
                <w:szCs w:val="18"/>
              </w:rPr>
            </w:pPr>
            <w:r>
              <w:rPr>
                <w:rFonts w:ascii="Times New Roman"/>
                <w:sz w:val="18"/>
              </w:rPr>
              <w:t>136,806.50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z w:val="18"/>
              </w:rPr>
              <w:t>145,000.00</w:t>
            </w:r>
          </w:p>
        </w:tc>
      </w:tr>
      <w:tr>
        <w:trPr>
          <w:trHeight w:val="389"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9"/>
              <w:jc w:val="right"/>
              <w:rPr>
                <w:rFonts w:ascii="宋体" w:hAnsi="宋体" w:cs="宋体" w:eastAsia="宋体" w:hint="default"/>
                <w:sz w:val="18"/>
                <w:szCs w:val="18"/>
              </w:rPr>
            </w:pPr>
            <w:r>
              <w:rPr>
                <w:rFonts w:ascii="宋体" w:hAnsi="宋体" w:cs="宋体" w:eastAsia="宋体" w:hint="default"/>
                <w:sz w:val="18"/>
                <w:szCs w:val="18"/>
              </w:rPr>
              <w:t>合计</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Times New Roman" w:hAnsi="Times New Roman" w:cs="Times New Roman" w:eastAsia="Times New Roman" w:hint="default"/>
                <w:sz w:val="18"/>
                <w:szCs w:val="18"/>
              </w:rPr>
            </w:pPr>
            <w:r>
              <w:rPr>
                <w:rFonts w:ascii="Times New Roman"/>
                <w:b/>
                <w:sz w:val="18"/>
              </w:rPr>
              <w:t>850,295.50</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Times New Roman" w:hAnsi="Times New Roman" w:cs="Times New Roman" w:eastAsia="Times New Roman" w:hint="default"/>
                <w:sz w:val="18"/>
                <w:szCs w:val="18"/>
              </w:rPr>
            </w:pPr>
            <w:r>
              <w:rPr>
                <w:rFonts w:ascii="Times New Roman"/>
                <w:b/>
                <w:sz w:val="18"/>
              </w:rPr>
              <w:t>320,250.00</w:t>
            </w:r>
            <w:r>
              <w:rPr>
                <w:rFonts w:ascii="Times New Roman"/>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Times New Roman" w:hAnsi="Times New Roman" w:cs="Times New Roman" w:eastAsia="Times New Roman" w:hint="default"/>
                <w:sz w:val="18"/>
                <w:szCs w:val="18"/>
              </w:rPr>
            </w:pPr>
            <w:r>
              <w:rPr>
                <w:rFonts w:ascii="Times New Roman"/>
                <w:b/>
                <w:sz w:val="18"/>
              </w:rPr>
              <w:t>136,806.50</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Times New Roman" w:hAnsi="Times New Roman" w:cs="Times New Roman" w:eastAsia="Times New Roman" w:hint="default"/>
                <w:sz w:val="18"/>
                <w:szCs w:val="18"/>
              </w:rPr>
            </w:pPr>
            <w:r>
              <w:rPr>
                <w:rFonts w:ascii="Times New Roman"/>
                <w:b/>
                <w:spacing w:val="-1"/>
                <w:sz w:val="18"/>
              </w:rPr>
              <w:t>1,033,739.00</w:t>
            </w:r>
            <w:r>
              <w:rPr>
                <w:rFonts w:ascii="Times New Roman"/>
                <w:spacing w:val="-1"/>
                <w:sz w:val="18"/>
              </w:rPr>
            </w:r>
          </w:p>
        </w:tc>
      </w:tr>
    </w:tbl>
    <w:p>
      <w:pPr>
        <w:spacing w:line="240" w:lineRule="auto" w:before="3"/>
        <w:rPr>
          <w:rFonts w:ascii="宋体" w:hAnsi="宋体" w:cs="宋体" w:eastAsia="宋体" w:hint="default"/>
          <w:b/>
          <w:bCs/>
          <w:sz w:val="19"/>
          <w:szCs w:val="19"/>
        </w:rPr>
      </w:pPr>
    </w:p>
    <w:p>
      <w:pPr>
        <w:pStyle w:val="Heading5"/>
        <w:spacing w:line="240" w:lineRule="auto" w:before="35"/>
        <w:ind w:right="0"/>
        <w:jc w:val="left"/>
        <w:rPr>
          <w:b w:val="0"/>
          <w:bCs w:val="0"/>
        </w:rPr>
      </w:pPr>
      <w:bookmarkStart w:name="27、一年内到期的非流动负债" w:id="273"/>
      <w:bookmarkEnd w:id="273"/>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8、长期借款" w:id="274"/>
      <w:bookmarkEnd w:id="274"/>
      <w:r>
        <w:rPr>
          <w:b w:val="0"/>
          <w:bCs w:val="0"/>
        </w:rPr>
      </w:r>
      <w:r>
        <w:rPr>
          <w:rFonts w:ascii="Times New Roman" w:hAnsi="Times New Roman" w:cs="Times New Roman" w:eastAsia="Times New Roman" w:hint="default"/>
        </w:rPr>
        <w:t>28</w:t>
      </w:r>
      <w:r>
        <w:rPr/>
        <w:t>、长期借款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长期借款分类" w:id="275"/>
      <w:bookmarkEnd w:id="27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一年内到期的长期借款（附注六、</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240" w:lineRule="auto" w:before="114"/>
        <w:ind w:left="154" w:right="0"/>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w:t>
      </w:r>
      <w:r>
        <w:rPr/>
        <w:t>本公司的长期借款均由关联方担保，有关担保情况详见本附注十、</w:t>
      </w:r>
      <w:r>
        <w:rPr>
          <w:rFonts w:ascii="Times New Roman" w:hAnsi="Times New Roman" w:cs="Times New Roman" w:eastAsia="Times New Roman" w:hint="default"/>
        </w:rPr>
        <w:t>5</w:t>
      </w:r>
      <w:r>
        <w:rPr/>
        <w:t>（</w:t>
      </w:r>
      <w:r>
        <w:rPr>
          <w:rFonts w:ascii="Times New Roman" w:hAnsi="Times New Roman" w:cs="Times New Roman" w:eastAsia="Times New Roman" w:hint="default"/>
        </w:rPr>
        <w:t>3</w:t>
      </w:r>
      <w:r>
        <w:rPr/>
        <w:t>）“关联担保情况”。</w:t>
      </w:r>
    </w:p>
    <w:p>
      <w:pPr>
        <w:spacing w:line="240" w:lineRule="auto" w:before="5"/>
        <w:rPr>
          <w:rFonts w:ascii="宋体" w:hAnsi="宋体" w:cs="宋体" w:eastAsia="宋体" w:hint="default"/>
          <w:sz w:val="26"/>
          <w:szCs w:val="26"/>
        </w:rPr>
      </w:pPr>
    </w:p>
    <w:p>
      <w:pPr>
        <w:pStyle w:val="Heading5"/>
        <w:spacing w:line="240" w:lineRule="auto"/>
        <w:ind w:left="153" w:right="0"/>
        <w:jc w:val="left"/>
        <w:rPr>
          <w:b w:val="0"/>
          <w:bCs w:val="0"/>
        </w:rPr>
      </w:pPr>
      <w:bookmarkStart w:name="29、长期应付职工薪酬" w:id="276"/>
      <w:bookmarkEnd w:id="276"/>
      <w:r>
        <w:rPr>
          <w:b w:val="0"/>
          <w:bCs w:val="0"/>
        </w:rPr>
      </w:r>
      <w:r>
        <w:rPr>
          <w:rFonts w:ascii="Times New Roman" w:hAnsi="Times New Roman" w:cs="Times New Roman" w:eastAsia="Times New Roman" w:hint="default"/>
        </w:rPr>
        <w:t>29</w:t>
      </w:r>
      <w:r>
        <w:rPr/>
        <w:t>、长期应付职工薪酬</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因解除劳动关系给予的补偿</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1,096,900.00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1,168,300.00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1,096,900.00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1,168,300.00</w:t>
            </w:r>
          </w:p>
        </w:tc>
      </w:tr>
    </w:tbl>
    <w:p>
      <w:pPr>
        <w:pStyle w:val="BodyText"/>
        <w:spacing w:line="307" w:lineRule="auto" w:before="9"/>
        <w:ind w:right="1131" w:firstLine="470"/>
        <w:jc w:val="both"/>
      </w:pPr>
      <w:r>
        <w:rPr>
          <w:spacing w:val="2"/>
        </w:rPr>
        <w:t>因解除劳动关系给予的补偿余额为公司子公司</w:t>
      </w:r>
      <w:r>
        <w:rPr>
          <w:rFonts w:ascii="Times New Roman" w:hAnsi="Times New Roman" w:cs="Times New Roman" w:eastAsia="Times New Roman" w:hint="default"/>
          <w:spacing w:val="2"/>
        </w:rPr>
        <w:t>——</w:t>
      </w:r>
      <w:r>
        <w:rPr>
          <w:spacing w:val="2"/>
        </w:rPr>
        <w:t>江苏三友集团南通色织有限公司录用南通市色织</w:t>
      </w:r>
      <w:r>
        <w:rPr/>
        <w:t> </w:t>
      </w:r>
      <w:r>
        <w:rPr>
          <w:spacing w:val="-1"/>
        </w:rPr>
        <w:t>二厂部分职工的补偿金及生活费，如江苏三友集团南通色织有限公司与原色织二厂职工终止劳动关系，补</w:t>
      </w:r>
      <w:r>
        <w:rPr>
          <w:spacing w:val="-81"/>
        </w:rPr>
        <w:t> </w:t>
      </w:r>
      <w:r>
        <w:rPr>
          <w:spacing w:val="-81"/>
        </w:rPr>
      </w:r>
      <w:r>
        <w:rPr>
          <w:spacing w:val="-1"/>
        </w:rPr>
        <w:t>偿金及生活费按有关标准一次性发给本人，如录用原色织二厂人员在江苏三友集团南通色织有限公司就业</w:t>
      </w:r>
      <w:r>
        <w:rPr>
          <w:spacing w:val="-81"/>
        </w:rPr>
        <w:t> </w:t>
      </w:r>
      <w:r>
        <w:rPr>
          <w:spacing w:val="-81"/>
        </w:rPr>
      </w:r>
      <w:r>
        <w:rPr/>
        <w:t>至退休，由江苏三友集团南通色织有限公司办理退休手续。</w:t>
      </w:r>
    </w:p>
    <w:p>
      <w:pPr>
        <w:spacing w:line="240" w:lineRule="auto" w:before="1"/>
        <w:rPr>
          <w:rFonts w:ascii="宋体" w:hAnsi="宋体" w:cs="宋体" w:eastAsia="宋体" w:hint="default"/>
          <w:sz w:val="23"/>
          <w:szCs w:val="23"/>
        </w:rPr>
      </w:pPr>
    </w:p>
    <w:p>
      <w:pPr>
        <w:pStyle w:val="Heading5"/>
        <w:spacing w:line="240" w:lineRule="auto"/>
        <w:ind w:left="153" w:right="0"/>
        <w:jc w:val="left"/>
        <w:rPr>
          <w:b w:val="0"/>
          <w:bCs w:val="0"/>
        </w:rPr>
      </w:pPr>
      <w:bookmarkStart w:name="30、专项应付款" w:id="277"/>
      <w:bookmarkEnd w:id="277"/>
      <w:r>
        <w:rPr>
          <w:b w:val="0"/>
          <w:bCs w:val="0"/>
        </w:rPr>
      </w:r>
      <w:r>
        <w:rPr>
          <w:rFonts w:ascii="Times New Roman" w:hAnsi="Times New Roman" w:cs="Times New Roman" w:eastAsia="Times New Roman" w:hint="default"/>
        </w:rPr>
        <w:t>30</w:t>
      </w:r>
      <w:r>
        <w:rPr/>
        <w:t>、专项应付款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95" w:lineRule="auto" w:before="9"/>
        <w:ind w:left="154" w:right="0" w:firstLine="420"/>
        <w:jc w:val="left"/>
      </w:pPr>
      <w:r>
        <w:rPr>
          <w:spacing w:val="-2"/>
        </w:rPr>
        <w:t>本公司原子公司南京北斗导航有限公司本期收到科技专项拨款</w:t>
      </w:r>
      <w:r>
        <w:rPr>
          <w:rFonts w:ascii="Times New Roman" w:hAnsi="Times New Roman" w:cs="Times New Roman" w:eastAsia="Times New Roman" w:hint="default"/>
          <w:spacing w:val="-2"/>
        </w:rPr>
        <w:t>500,000.00</w:t>
      </w:r>
      <w:r>
        <w:rPr>
          <w:spacing w:val="-2"/>
        </w:rPr>
        <w:t>元，本期因处置了该公司</w:t>
      </w:r>
      <w:r>
        <w:rPr/>
        <w:t> 而减少专项应付款</w:t>
      </w:r>
      <w:r>
        <w:rPr>
          <w:rFonts w:ascii="Times New Roman" w:hAnsi="Times New Roman" w:cs="Times New Roman" w:eastAsia="Times New Roman" w:hint="default"/>
        </w:rPr>
        <w:t>1,000,000.00</w:t>
      </w:r>
      <w:r>
        <w:rPr/>
        <w:t>元。</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31、递延收益" w:id="278"/>
      <w:bookmarkEnd w:id="278"/>
      <w:r>
        <w:rPr>
          <w:b w:val="0"/>
          <w:bCs w:val="0"/>
        </w:rPr>
      </w:r>
      <w:r>
        <w:rPr>
          <w:rFonts w:ascii="Times New Roman" w:hAnsi="Times New Roman" w:cs="Times New Roman" w:eastAsia="Times New Roman" w:hint="default"/>
        </w:rPr>
        <w:t>31</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基础设施建设拨款</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 w:right="0"/>
              <w:jc w:val="center"/>
              <w:rPr>
                <w:rFonts w:ascii="Times New Roman" w:hAnsi="Times New Roman" w:cs="Times New Roman" w:eastAsia="Times New Roman" w:hint="default"/>
                <w:sz w:val="18"/>
                <w:szCs w:val="18"/>
              </w:rPr>
            </w:pPr>
            <w:r>
              <w:rPr>
                <w:rFonts w:ascii="Times New Roman"/>
                <w:sz w:val="18"/>
              </w:rPr>
              <w:t>17,400,000.00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16,530,000.00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 w:right="0"/>
              <w:jc w:val="center"/>
              <w:rPr>
                <w:rFonts w:ascii="Times New Roman" w:hAnsi="Times New Roman" w:cs="Times New Roman" w:eastAsia="Times New Roman" w:hint="default"/>
                <w:sz w:val="18"/>
                <w:szCs w:val="18"/>
              </w:rPr>
            </w:pPr>
            <w:r>
              <w:rPr>
                <w:rFonts w:ascii="Times New Roman"/>
                <w:sz w:val="18"/>
              </w:rPr>
              <w:t>17,400,000.00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16,530,000.00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2、股本" w:id="279"/>
      <w:bookmarkEnd w:id="279"/>
      <w:r>
        <w:rPr>
          <w:b w:val="0"/>
          <w:bCs w:val="0"/>
        </w:rPr>
      </w:r>
      <w:r>
        <w:rPr>
          <w:rFonts w:ascii="Times New Roman" w:hAnsi="Times New Roman" w:cs="Times New Roman" w:eastAsia="Times New Roman" w:hint="default"/>
        </w:rPr>
        <w:t>32</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224,250,000.00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224,250,000.00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3、资本公积" w:id="280"/>
      <w:bookmarkEnd w:id="280"/>
      <w:r>
        <w:rPr>
          <w:b w:val="0"/>
          <w:bCs w:val="0"/>
        </w:rPr>
      </w:r>
      <w:r>
        <w:rPr>
          <w:rFonts w:ascii="Times New Roman" w:hAnsi="Times New Roman" w:cs="Times New Roman" w:eastAsia="Times New Roman" w:hint="default"/>
        </w:rPr>
        <w:t>33</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141,585.17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141,585.17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634,676.97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634,676.97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634,676.97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141,585.17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776,262.14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before="82"/>
        <w:ind w:left="484" w:right="0" w:firstLine="0"/>
        <w:jc w:val="left"/>
        <w:rPr>
          <w:rFonts w:ascii="宋体" w:hAnsi="宋体" w:cs="宋体" w:eastAsia="宋体" w:hint="default"/>
          <w:sz w:val="22"/>
          <w:szCs w:val="22"/>
        </w:rPr>
      </w:pPr>
      <w:r>
        <w:rPr>
          <w:rFonts w:ascii="宋体" w:hAnsi="宋体" w:cs="宋体" w:eastAsia="宋体" w:hint="default"/>
          <w:sz w:val="22"/>
          <w:szCs w:val="22"/>
        </w:rPr>
        <w:t>本期收购子公司南通三明时装有限公司股权形成资本溢价</w:t>
      </w:r>
      <w:r>
        <w:rPr>
          <w:rFonts w:ascii="Times New Roman" w:hAnsi="Times New Roman" w:cs="Times New Roman" w:eastAsia="Times New Roman" w:hint="default"/>
          <w:sz w:val="22"/>
          <w:szCs w:val="22"/>
        </w:rPr>
        <w:t>141,585.17</w:t>
      </w:r>
      <w:r>
        <w:rPr>
          <w:rFonts w:ascii="宋体" w:hAnsi="宋体" w:cs="宋体" w:eastAsia="宋体" w:hint="default"/>
          <w:sz w:val="22"/>
          <w:szCs w:val="22"/>
        </w:rPr>
        <w:t>元。</w:t>
      </w:r>
    </w:p>
    <w:p>
      <w:pPr>
        <w:spacing w:line="240" w:lineRule="auto" w:before="3"/>
        <w:rPr>
          <w:rFonts w:ascii="宋体" w:hAnsi="宋体" w:cs="宋体" w:eastAsia="宋体" w:hint="default"/>
          <w:sz w:val="24"/>
          <w:szCs w:val="24"/>
        </w:rPr>
      </w:pPr>
    </w:p>
    <w:p>
      <w:pPr>
        <w:pStyle w:val="Heading5"/>
        <w:spacing w:line="240" w:lineRule="auto"/>
        <w:ind w:left="153" w:right="0"/>
        <w:jc w:val="left"/>
        <w:rPr>
          <w:b w:val="0"/>
          <w:bCs w:val="0"/>
        </w:rPr>
      </w:pPr>
      <w:bookmarkStart w:name="34、盈余公积" w:id="281"/>
      <w:bookmarkEnd w:id="281"/>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34,729,103.56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329,659.11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35,058,762.67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42,753,340.45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494,488.66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43,247,829.11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193,307.16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193,307.16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193,307.16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193,307.16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77,869,058.33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824,147.77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78,693,206.10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113"/>
        <w:ind w:left="574" w:right="0"/>
        <w:jc w:val="left"/>
      </w:pPr>
      <w:r>
        <w:rPr/>
        <w:t>根据公司法、章程的规定，本公司按净利润的</w:t>
      </w:r>
      <w:r>
        <w:rPr>
          <w:rFonts w:ascii="Times New Roman" w:hAnsi="Times New Roman" w:cs="Times New Roman" w:eastAsia="Times New Roman" w:hint="default"/>
        </w:rPr>
        <w:t>10%</w:t>
      </w:r>
      <w:r>
        <w:rPr/>
        <w:t>提取法定盈余公积金，法定盈余公积累计额为本公</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6"/>
          <w:szCs w:val="26"/>
        </w:rPr>
      </w:pPr>
    </w:p>
    <w:p>
      <w:pPr>
        <w:pStyle w:val="BodyText"/>
        <w:spacing w:line="295" w:lineRule="auto" w:before="35"/>
        <w:ind w:left="573" w:right="1128" w:hanging="420"/>
        <w:jc w:val="left"/>
      </w:pPr>
      <w:r>
        <w:rPr/>
        <w:t>司注册资本</w:t>
      </w:r>
      <w:r>
        <w:rPr>
          <w:rFonts w:ascii="Times New Roman" w:hAnsi="Times New Roman" w:cs="Times New Roman" w:eastAsia="Times New Roman" w:hint="default"/>
        </w:rPr>
        <w:t>50%</w:t>
      </w:r>
      <w:r>
        <w:rPr/>
        <w:t>以上的，可不再提取。 本公司在提取法定盈余公积金后，按</w:t>
      </w:r>
      <w:r>
        <w:rPr>
          <w:rFonts w:ascii="Times New Roman" w:hAnsi="Times New Roman" w:cs="Times New Roman" w:eastAsia="Times New Roman" w:hint="default"/>
        </w:rPr>
        <w:t>15%</w:t>
      </w:r>
      <w:r>
        <w:rPr/>
        <w:t>计提任意盈余公积金。经批准，任意盈余公积金可用于弥补</w:t>
      </w:r>
    </w:p>
    <w:p>
      <w:pPr>
        <w:pStyle w:val="BodyText"/>
        <w:spacing w:line="240" w:lineRule="auto" w:before="14"/>
        <w:ind w:right="0"/>
        <w:jc w:val="left"/>
      </w:pPr>
      <w:r>
        <w:rPr/>
        <w:t>以前年度亏损或增加股本。</w:t>
      </w:r>
    </w:p>
    <w:p>
      <w:pPr>
        <w:spacing w:line="240" w:lineRule="auto" w:before="8"/>
        <w:rPr>
          <w:rFonts w:ascii="宋体" w:hAnsi="宋体" w:cs="宋体" w:eastAsia="宋体" w:hint="default"/>
          <w:sz w:val="27"/>
          <w:szCs w:val="27"/>
        </w:rPr>
      </w:pPr>
    </w:p>
    <w:p>
      <w:pPr>
        <w:pStyle w:val="Heading5"/>
        <w:spacing w:line="240" w:lineRule="auto"/>
        <w:ind w:left="153" w:right="0"/>
        <w:jc w:val="left"/>
        <w:rPr>
          <w:b w:val="0"/>
          <w:bCs w:val="0"/>
        </w:rPr>
      </w:pPr>
      <w:bookmarkStart w:name="35、 一般风险准备" w:id="282"/>
      <w:bookmarkEnd w:id="282"/>
      <w:r>
        <w:rPr>
          <w:b w:val="0"/>
          <w:bCs w:val="0"/>
        </w:rPr>
      </w:r>
      <w:r>
        <w:rPr>
          <w:rFonts w:ascii="Times New Roman" w:hAnsi="Times New Roman" w:cs="Times New Roman" w:eastAsia="Times New Roman" w:hint="default"/>
        </w:rPr>
        <w:t>35</w:t>
      </w:r>
      <w:r>
        <w:rPr/>
        <w:t>、</w:t>
      </w:r>
      <w:r>
        <w:rPr>
          <w:spacing w:val="-2"/>
        </w:rPr>
        <w:t> </w:t>
      </w:r>
      <w:r>
        <w:rPr/>
        <w:t>一般风险准备</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468"/>
        <w:gridCol w:w="1726"/>
        <w:gridCol w:w="1554"/>
        <w:gridCol w:w="1756"/>
        <w:gridCol w:w="1996"/>
      </w:tblGrid>
      <w:tr>
        <w:trPr>
          <w:trHeight w:val="354" w:hRule="exact"/>
        </w:trPr>
        <w:tc>
          <w:tcPr>
            <w:tcW w:w="24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049"/>
              <w:jc w:val="right"/>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5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371" w:hRule="exact"/>
        </w:trPr>
        <w:tc>
          <w:tcPr>
            <w:tcW w:w="24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一般风险准备金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1,003,058.14</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1,112,163.70</w:t>
            </w:r>
          </w:p>
        </w:tc>
        <w:tc>
          <w:tcPr>
            <w:tcW w:w="1756"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2,115,221.84</w:t>
            </w:r>
          </w:p>
        </w:tc>
      </w:tr>
      <w:tr>
        <w:trPr>
          <w:trHeight w:val="370"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49"/>
              <w:jc w:val="righ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pacing w:val="-1"/>
                <w:sz w:val="18"/>
              </w:rPr>
              <w:t>1,003,058.14</w:t>
            </w:r>
            <w:r>
              <w:rPr>
                <w:rFonts w:ascii="Times New Roman"/>
                <w:spacing w:val="-1"/>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b/>
                <w:spacing w:val="-1"/>
                <w:sz w:val="18"/>
              </w:rPr>
              <w:t>1,112,163.70</w:t>
            </w:r>
            <w:r>
              <w:rPr>
                <w:rFonts w:ascii="Times New Roman"/>
                <w:spacing w:val="-1"/>
                <w:sz w:val="18"/>
              </w:rPr>
            </w:r>
          </w:p>
        </w:tc>
        <w:tc>
          <w:tcPr>
            <w:tcW w:w="1756"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pacing w:val="-1"/>
                <w:sz w:val="18"/>
              </w:rPr>
              <w:t>2,115,221.84</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5"/>
        <w:spacing w:line="240" w:lineRule="auto" w:before="35"/>
        <w:ind w:right="0"/>
        <w:jc w:val="left"/>
        <w:rPr>
          <w:b w:val="0"/>
          <w:bCs w:val="0"/>
        </w:rPr>
      </w:pPr>
      <w:bookmarkStart w:name="36、未分配利润" w:id="283"/>
      <w:bookmarkEnd w:id="283"/>
      <w:r>
        <w:rPr>
          <w:b w:val="0"/>
          <w:bCs w:val="0"/>
        </w:rPr>
      </w:r>
      <w:r>
        <w:rPr>
          <w:rFonts w:ascii="Times New Roman" w:hAnsi="Times New Roman" w:cs="Times New Roman" w:eastAsia="Times New Roman" w:hint="default"/>
        </w:rPr>
        <w:t>36</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45,100,692.47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110,554,963.19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7,483,458.22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45,100,692.47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118,038,421.41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49,513,142.68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-6,234,721.90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329,659.11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494,488.66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1,112,163.70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235,058.85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11,212,500.00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44,850,000.00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溢价收购子公司的少数股权</w:t>
            </w:r>
          </w:p>
        </w:tc>
        <w:tc>
          <w:tcPr>
            <w:tcW w:w="2936"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79,733.12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同一控制企业合并</w:t>
            </w:r>
          </w:p>
        </w:tc>
        <w:tc>
          <w:tcPr>
            <w:tcW w:w="2936"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21,538,215.07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81,465,023.68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45,100,692.47</w:t>
            </w:r>
          </w:p>
        </w:tc>
      </w:tr>
    </w:tbl>
    <w:p>
      <w:pPr>
        <w:spacing w:before="51"/>
        <w:ind w:left="0" w:right="1142" w:firstLine="0"/>
        <w:jc w:val="righ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年度向全体股东派发现金股利，每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元，按照已发行股份数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224,250,000.00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股计算，共计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11,212,500.00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7、营业收入和营业成本" w:id="284"/>
      <w:bookmarkEnd w:id="284"/>
      <w:r>
        <w:rPr>
          <w:b w:val="0"/>
          <w:bCs w:val="0"/>
        </w:rPr>
      </w:r>
      <w:r>
        <w:rPr>
          <w:rFonts w:ascii="Times New Roman" w:hAnsi="Times New Roman" w:cs="Times New Roman" w:eastAsia="Times New Roman" w:hint="default"/>
        </w:rPr>
        <w:t>37</w:t>
      </w:r>
      <w:r>
        <w:rPr/>
        <w:t>、营业收入和营业成本</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690,462,793.26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554,426,800.30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753,800,194.21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623,290,206.91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5,545,728.79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1,949,031.82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4,900,221.39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974,023.98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696,008,522.05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556,375,832.12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758,700,415.60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624,264,230.89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38、 利息收入" w:id="285"/>
      <w:bookmarkEnd w:id="285"/>
      <w:r>
        <w:rPr>
          <w:b w:val="0"/>
          <w:bCs w:val="0"/>
        </w:rPr>
      </w:r>
      <w:r>
        <w:rPr>
          <w:rFonts w:ascii="Times New Roman" w:hAnsi="Times New Roman" w:cs="Times New Roman" w:eastAsia="Times New Roman" w:hint="default"/>
        </w:rPr>
        <w:t>38</w:t>
      </w:r>
      <w:r>
        <w:rPr/>
        <w:t>、</w:t>
      </w:r>
      <w:r>
        <w:rPr>
          <w:spacing w:val="-3"/>
        </w:rPr>
        <w:t> </w:t>
      </w:r>
      <w:r>
        <w:rPr/>
        <w:t>利息收入</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282"/>
        <w:gridCol w:w="2807"/>
        <w:gridCol w:w="2551"/>
      </w:tblGrid>
      <w:tr>
        <w:trPr>
          <w:trHeight w:val="332" w:hRule="exact"/>
        </w:trPr>
        <w:tc>
          <w:tcPr>
            <w:tcW w:w="4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954"/>
              <w:jc w:val="right"/>
              <w:rPr>
                <w:rFonts w:ascii="宋体" w:hAnsi="宋体" w:cs="宋体" w:eastAsia="宋体" w:hint="default"/>
                <w:sz w:val="18"/>
                <w:szCs w:val="18"/>
              </w:rPr>
            </w:pPr>
            <w:r>
              <w:rPr>
                <w:rFonts w:ascii="宋体" w:hAnsi="宋体" w:cs="宋体" w:eastAsia="宋体" w:hint="default"/>
                <w:sz w:val="18"/>
                <w:szCs w:val="18"/>
              </w:rPr>
              <w:t>项目</w:t>
            </w:r>
          </w:p>
        </w:tc>
        <w:tc>
          <w:tcPr>
            <w:tcW w:w="2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819"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7"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 w:right="0"/>
              <w:jc w:val="left"/>
              <w:rPr>
                <w:rFonts w:ascii="宋体" w:hAnsi="宋体" w:cs="宋体" w:eastAsia="宋体" w:hint="default"/>
                <w:sz w:val="18"/>
                <w:szCs w:val="18"/>
              </w:rPr>
            </w:pPr>
            <w:r>
              <w:rPr>
                <w:rFonts w:ascii="宋体" w:hAnsi="宋体" w:cs="宋体" w:eastAsia="宋体" w:hint="default"/>
                <w:sz w:val="18"/>
                <w:szCs w:val="18"/>
              </w:rPr>
              <w:t>贷款利息收入</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8"/>
                <w:szCs w:val="18"/>
              </w:rPr>
            </w:pPr>
            <w:r>
              <w:rPr>
                <w:rFonts w:ascii="Times New Roman"/>
                <w:spacing w:val="-1"/>
                <w:sz w:val="18"/>
              </w:rPr>
              <w:t>19,700,503.71</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right"/>
              <w:rPr>
                <w:rFonts w:ascii="Times New Roman" w:hAnsi="Times New Roman" w:cs="Times New Roman" w:eastAsia="Times New Roman" w:hint="default"/>
                <w:sz w:val="18"/>
                <w:szCs w:val="18"/>
              </w:rPr>
            </w:pPr>
            <w:r>
              <w:rPr>
                <w:rFonts w:ascii="Times New Roman"/>
                <w:spacing w:val="-1"/>
                <w:sz w:val="18"/>
              </w:rPr>
              <w:t>9,912,016.65</w:t>
            </w:r>
          </w:p>
        </w:tc>
      </w:tr>
      <w:tr>
        <w:trPr>
          <w:trHeight w:val="34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16,547.60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172,251.66</w:t>
            </w:r>
          </w:p>
        </w:tc>
      </w:tr>
      <w:tr>
        <w:trPr>
          <w:trHeight w:val="34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54"/>
              <w:jc w:val="right"/>
              <w:rPr>
                <w:rFonts w:ascii="宋体" w:hAnsi="宋体" w:cs="宋体" w:eastAsia="宋体" w:hint="default"/>
                <w:sz w:val="18"/>
                <w:szCs w:val="18"/>
              </w:rPr>
            </w:pPr>
            <w:r>
              <w:rPr>
                <w:rFonts w:ascii="宋体" w:hAnsi="宋体" w:cs="宋体" w:eastAsia="宋体" w:hint="default"/>
                <w:sz w:val="18"/>
                <w:szCs w:val="18"/>
              </w:rPr>
              <w:t>合计</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19,717,051.31</w:t>
            </w:r>
            <w:r>
              <w:rPr>
                <w:rFonts w:ascii="Times New Roman"/>
                <w:spacing w:val="-1"/>
                <w:sz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10,084,268.31</w:t>
            </w:r>
            <w:r>
              <w:rPr>
                <w:rFonts w:ascii="Times New Roman"/>
                <w:spacing w:val="-1"/>
                <w:sz w:val="18"/>
              </w:rPr>
            </w:r>
          </w:p>
        </w:tc>
      </w:tr>
    </w:tbl>
    <w:p>
      <w:pPr>
        <w:spacing w:line="240" w:lineRule="auto" w:before="9"/>
        <w:rPr>
          <w:rFonts w:ascii="宋体" w:hAnsi="宋体" w:cs="宋体" w:eastAsia="宋体" w:hint="default"/>
          <w:b/>
          <w:bCs/>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39</w:t>
      </w:r>
      <w:r>
        <w:rPr/>
        <w:t>、担保费收入</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282"/>
        <w:gridCol w:w="2807"/>
        <w:gridCol w:w="2551"/>
      </w:tblGrid>
      <w:tr>
        <w:trPr>
          <w:trHeight w:val="342" w:hRule="exact"/>
        </w:trPr>
        <w:tc>
          <w:tcPr>
            <w:tcW w:w="4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954"/>
              <w:jc w:val="right"/>
              <w:rPr>
                <w:rFonts w:ascii="宋体" w:hAnsi="宋体" w:cs="宋体" w:eastAsia="宋体" w:hint="default"/>
                <w:sz w:val="18"/>
                <w:szCs w:val="18"/>
              </w:rPr>
            </w:pPr>
            <w:r>
              <w:rPr>
                <w:rFonts w:ascii="宋体" w:hAnsi="宋体" w:cs="宋体" w:eastAsia="宋体" w:hint="default"/>
                <w:sz w:val="18"/>
                <w:szCs w:val="18"/>
              </w:rPr>
              <w:t>项目</w:t>
            </w:r>
          </w:p>
        </w:tc>
        <w:tc>
          <w:tcPr>
            <w:tcW w:w="2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819"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担保费收入</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290,000.00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273,613.00</w:t>
            </w:r>
          </w:p>
        </w:tc>
      </w:tr>
      <w:tr>
        <w:trPr>
          <w:trHeight w:val="34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减：未到期责任准备</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8,193.50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17,648.00</w:t>
            </w:r>
          </w:p>
        </w:tc>
      </w:tr>
      <w:tr>
        <w:trPr>
          <w:trHeight w:val="34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54"/>
              <w:jc w:val="right"/>
              <w:rPr>
                <w:rFonts w:ascii="宋体" w:hAnsi="宋体" w:cs="宋体" w:eastAsia="宋体" w:hint="default"/>
                <w:sz w:val="18"/>
                <w:szCs w:val="18"/>
              </w:rPr>
            </w:pPr>
            <w:r>
              <w:rPr>
                <w:rFonts w:ascii="宋体" w:hAnsi="宋体" w:cs="宋体" w:eastAsia="宋体" w:hint="default"/>
                <w:sz w:val="18"/>
                <w:szCs w:val="18"/>
              </w:rPr>
              <w:t>合计</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281,806.50</w:t>
            </w:r>
            <w:r>
              <w:rPr>
                <w:rFonts w:ascii="Times New Roman"/>
                <w:sz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255,965.00</w:t>
            </w:r>
            <w:r>
              <w:rPr>
                <w:rFonts w:ascii="Times New Roman"/>
                <w:spacing w:val="-1"/>
                <w:sz w:val="18"/>
              </w:rPr>
            </w:r>
          </w:p>
        </w:tc>
      </w:tr>
    </w:tbl>
    <w:p>
      <w:pPr>
        <w:spacing w:line="240" w:lineRule="auto" w:before="9"/>
        <w:rPr>
          <w:rFonts w:ascii="宋体" w:hAnsi="宋体" w:cs="宋体" w:eastAsia="宋体" w:hint="default"/>
          <w:b/>
          <w:bCs/>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40</w:t>
      </w:r>
      <w:r>
        <w:rPr/>
        <w:t>、手续费及佣金收入</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282"/>
        <w:gridCol w:w="2807"/>
        <w:gridCol w:w="2551"/>
      </w:tblGrid>
      <w:tr>
        <w:trPr>
          <w:trHeight w:val="341" w:hRule="exact"/>
        </w:trPr>
        <w:tc>
          <w:tcPr>
            <w:tcW w:w="4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954"/>
              <w:jc w:val="right"/>
              <w:rPr>
                <w:rFonts w:ascii="宋体" w:hAnsi="宋体" w:cs="宋体" w:eastAsia="宋体" w:hint="default"/>
                <w:sz w:val="18"/>
                <w:szCs w:val="18"/>
              </w:rPr>
            </w:pPr>
            <w:r>
              <w:rPr>
                <w:rFonts w:ascii="宋体" w:hAnsi="宋体" w:cs="宋体" w:eastAsia="宋体" w:hint="default"/>
                <w:sz w:val="18"/>
                <w:szCs w:val="18"/>
              </w:rPr>
              <w:t>项目</w:t>
            </w:r>
          </w:p>
        </w:tc>
        <w:tc>
          <w:tcPr>
            <w:tcW w:w="2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819"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车辆保险代理收入</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52,854.75</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7"/>
              <w:jc w:val="right"/>
              <w:rPr>
                <w:rFonts w:ascii="Times New Roman" w:hAnsi="Times New Roman" w:cs="Times New Roman" w:eastAsia="Times New Roman" w:hint="default"/>
                <w:sz w:val="18"/>
                <w:szCs w:val="18"/>
              </w:rPr>
            </w:pPr>
            <w:r>
              <w:rPr>
                <w:rFonts w:ascii="Times New Roman"/>
                <w:sz w:val="18"/>
              </w:rPr>
              <w:t>192,692.06</w:t>
            </w:r>
          </w:p>
        </w:tc>
      </w:tr>
      <w:tr>
        <w:trPr>
          <w:trHeight w:val="34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54"/>
              <w:jc w:val="right"/>
              <w:rPr>
                <w:rFonts w:ascii="宋体" w:hAnsi="宋体" w:cs="宋体" w:eastAsia="宋体" w:hint="default"/>
                <w:sz w:val="18"/>
                <w:szCs w:val="18"/>
              </w:rPr>
            </w:pPr>
            <w:r>
              <w:rPr>
                <w:rFonts w:ascii="宋体" w:hAnsi="宋体" w:cs="宋体" w:eastAsia="宋体" w:hint="default"/>
                <w:sz w:val="18"/>
                <w:szCs w:val="18"/>
              </w:rPr>
              <w:t>合计</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z w:val="18"/>
              </w:rPr>
              <w:t>52,854.75</w:t>
            </w:r>
            <w:r>
              <w:rPr>
                <w:rFonts w:ascii="Times New Roman"/>
                <w:sz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7"/>
              <w:jc w:val="right"/>
              <w:rPr>
                <w:rFonts w:ascii="Times New Roman" w:hAnsi="Times New Roman" w:cs="Times New Roman" w:eastAsia="Times New Roman" w:hint="default"/>
                <w:sz w:val="18"/>
                <w:szCs w:val="18"/>
              </w:rPr>
            </w:pPr>
            <w:r>
              <w:rPr>
                <w:rFonts w:ascii="Times New Roman"/>
                <w:sz w:val="18"/>
              </w:rPr>
              <w:t>1</w:t>
            </w:r>
            <w:r>
              <w:rPr>
                <w:rFonts w:ascii="Times New Roman"/>
                <w:b/>
                <w:sz w:val="18"/>
              </w:rPr>
              <w:t>92,692.06</w:t>
            </w:r>
            <w:r>
              <w:rPr>
                <w:rFonts w:ascii="Times New Roman"/>
                <w:sz w:val="18"/>
              </w:rPr>
            </w:r>
          </w:p>
        </w:tc>
      </w:tr>
    </w:tbl>
    <w:p>
      <w:pPr>
        <w:spacing w:line="240" w:lineRule="auto" w:before="9"/>
        <w:rPr>
          <w:rFonts w:ascii="宋体" w:hAnsi="宋体" w:cs="宋体" w:eastAsia="宋体" w:hint="default"/>
          <w:b/>
          <w:bCs/>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41</w:t>
      </w:r>
      <w:r>
        <w:rPr/>
        <w:t>、手续费及佣金支出</w:t>
      </w:r>
      <w:r>
        <w:rPr>
          <w:b w:val="0"/>
          <w:bCs w:val="0"/>
        </w:rPr>
      </w:r>
    </w:p>
    <w:p>
      <w:pPr>
        <w:spacing w:line="240" w:lineRule="auto" w:before="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282"/>
        <w:gridCol w:w="2807"/>
        <w:gridCol w:w="2551"/>
      </w:tblGrid>
      <w:tr>
        <w:trPr>
          <w:trHeight w:val="342" w:hRule="exact"/>
        </w:trPr>
        <w:tc>
          <w:tcPr>
            <w:tcW w:w="4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955"/>
              <w:jc w:val="right"/>
              <w:rPr>
                <w:rFonts w:ascii="宋体" w:hAnsi="宋体" w:cs="宋体" w:eastAsia="宋体" w:hint="default"/>
                <w:sz w:val="18"/>
                <w:szCs w:val="18"/>
              </w:rPr>
            </w:pPr>
            <w:r>
              <w:rPr>
                <w:rFonts w:ascii="宋体" w:hAnsi="宋体" w:cs="宋体" w:eastAsia="宋体" w:hint="default"/>
                <w:sz w:val="18"/>
                <w:szCs w:val="18"/>
              </w:rPr>
              <w:t>项目</w:t>
            </w:r>
          </w:p>
        </w:tc>
        <w:tc>
          <w:tcPr>
            <w:tcW w:w="2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819"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3,788.10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1,677.61</w:t>
            </w:r>
          </w:p>
        </w:tc>
      </w:tr>
      <w:tr>
        <w:trPr>
          <w:trHeight w:val="34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55"/>
              <w:jc w:val="right"/>
              <w:rPr>
                <w:rFonts w:ascii="宋体" w:hAnsi="宋体" w:cs="宋体" w:eastAsia="宋体" w:hint="default"/>
                <w:sz w:val="18"/>
                <w:szCs w:val="18"/>
              </w:rPr>
            </w:pPr>
            <w:r>
              <w:rPr>
                <w:rFonts w:ascii="宋体" w:hAnsi="宋体" w:cs="宋体" w:eastAsia="宋体" w:hint="default"/>
                <w:sz w:val="18"/>
                <w:szCs w:val="18"/>
              </w:rPr>
              <w:t>合计</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3,788.10</w:t>
            </w:r>
            <w:r>
              <w:rPr>
                <w:rFonts w:ascii="Times New Roman"/>
                <w:sz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z w:val="18"/>
              </w:rPr>
              <w:t>1,677.61</w:t>
            </w:r>
            <w:r>
              <w:rPr>
                <w:rFonts w:ascii="Times New Roman"/>
                <w:sz w:val="18"/>
              </w:rPr>
            </w:r>
          </w:p>
        </w:tc>
      </w:tr>
    </w:tbl>
    <w:p>
      <w:pPr>
        <w:spacing w:line="240" w:lineRule="auto" w:before="9"/>
        <w:rPr>
          <w:rFonts w:ascii="宋体" w:hAnsi="宋体" w:cs="宋体" w:eastAsia="宋体" w:hint="default"/>
          <w:b/>
          <w:bCs/>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42</w:t>
      </w:r>
      <w:r>
        <w:rPr/>
        <w:t>、提取担保赔偿准备金</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282"/>
        <w:gridCol w:w="2807"/>
        <w:gridCol w:w="2551"/>
      </w:tblGrid>
      <w:tr>
        <w:trPr>
          <w:trHeight w:val="342" w:hRule="exact"/>
        </w:trPr>
        <w:tc>
          <w:tcPr>
            <w:tcW w:w="4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954"/>
              <w:jc w:val="right"/>
              <w:rPr>
                <w:rFonts w:ascii="宋体" w:hAnsi="宋体" w:cs="宋体" w:eastAsia="宋体" w:hint="default"/>
                <w:sz w:val="18"/>
                <w:szCs w:val="18"/>
              </w:rPr>
            </w:pPr>
            <w:r>
              <w:rPr>
                <w:rFonts w:ascii="宋体" w:hAnsi="宋体" w:cs="宋体" w:eastAsia="宋体" w:hint="default"/>
                <w:sz w:val="18"/>
                <w:szCs w:val="18"/>
              </w:rPr>
              <w:t>项目</w:t>
            </w:r>
          </w:p>
        </w:tc>
        <w:tc>
          <w:tcPr>
            <w:tcW w:w="2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819"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担保赔偿准备金</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175,250.00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241,374.00</w:t>
            </w:r>
          </w:p>
        </w:tc>
      </w:tr>
      <w:tr>
        <w:trPr>
          <w:trHeight w:val="34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54"/>
              <w:jc w:val="right"/>
              <w:rPr>
                <w:rFonts w:ascii="宋体" w:hAnsi="宋体" w:cs="宋体" w:eastAsia="宋体" w:hint="default"/>
                <w:sz w:val="18"/>
                <w:szCs w:val="18"/>
              </w:rPr>
            </w:pPr>
            <w:r>
              <w:rPr>
                <w:rFonts w:ascii="宋体" w:hAnsi="宋体" w:cs="宋体" w:eastAsia="宋体" w:hint="default"/>
                <w:sz w:val="18"/>
                <w:szCs w:val="18"/>
              </w:rPr>
              <w:t>合计</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175,250.00</w:t>
            </w:r>
            <w:r>
              <w:rPr>
                <w:rFonts w:ascii="Times New Roman"/>
                <w:sz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241,374.00</w:t>
            </w:r>
            <w:r>
              <w:rPr>
                <w:rFonts w:ascii="Times New Roman"/>
                <w:spacing w:val="-1"/>
                <w:sz w:val="18"/>
              </w:rPr>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43、营业税金及附加" w:id="286"/>
      <w:bookmarkEnd w:id="286"/>
      <w:r>
        <w:rPr>
          <w:b w:val="0"/>
          <w:bCs w:val="0"/>
        </w:rPr>
      </w:r>
      <w:r>
        <w:rPr>
          <w:rFonts w:ascii="Times New Roman" w:hAnsi="Times New Roman" w:cs="Times New Roman" w:eastAsia="Times New Roman" w:hint="default"/>
        </w:rPr>
        <w:t>43</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958,344.83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400,781.05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2,822,652.73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2,413,594.43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2,013,021.38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1,716,374.06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5,794,018.94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4,530,749.54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t>各项营业税金及附加的计缴标准详见附注五、税项。</w:t>
      </w:r>
    </w:p>
    <w:p>
      <w:pPr>
        <w:spacing w:line="240" w:lineRule="auto" w:before="11"/>
        <w:rPr>
          <w:rFonts w:ascii="宋体" w:hAnsi="宋体" w:cs="宋体" w:eastAsia="宋体" w:hint="default"/>
          <w:sz w:val="25"/>
          <w:szCs w:val="25"/>
        </w:rPr>
      </w:pPr>
    </w:p>
    <w:p>
      <w:pPr>
        <w:pStyle w:val="Heading5"/>
        <w:spacing w:line="240" w:lineRule="auto"/>
        <w:ind w:left="153" w:right="0"/>
        <w:jc w:val="left"/>
        <w:rPr>
          <w:b w:val="0"/>
          <w:bCs w:val="0"/>
        </w:rPr>
      </w:pPr>
      <w:bookmarkStart w:name="44、销售费用" w:id="287"/>
      <w:bookmarkEnd w:id="287"/>
      <w:r>
        <w:rPr>
          <w:b w:val="0"/>
          <w:bCs w:val="0"/>
        </w:rPr>
      </w:r>
      <w:r>
        <w:rPr>
          <w:rFonts w:ascii="Times New Roman" w:hAnsi="Times New Roman" w:cs="Times New Roman" w:eastAsia="Times New Roman" w:hint="default"/>
        </w:rPr>
        <w:t>44</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714,301.68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1,112,005.84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8,506,574.30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7,712,258.51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1,569,561.98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2,017,774.39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10,790,437.96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10,842,038.74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5、管理费用" w:id="288"/>
      <w:bookmarkEnd w:id="288"/>
      <w:r>
        <w:rPr>
          <w:b w:val="0"/>
          <w:bCs w:val="0"/>
        </w:rPr>
      </w:r>
      <w:r>
        <w:rPr>
          <w:rFonts w:ascii="Times New Roman" w:hAnsi="Times New Roman" w:cs="Times New Roman" w:eastAsia="Times New Roman" w:hint="default"/>
        </w:rPr>
        <w:t>45</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20,436,317.21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20,690,533.40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3,779,949.77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3,816,635.88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7,640,859.30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7,557,534.24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各项摊销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2,096,205.34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860,754.49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5,252,174.02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651,430.19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2,673,454.61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1,965,447.87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1,635,063.02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2,472,886.97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6,666,726.51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5,993,109.47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50,180,749.78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44,008,332.51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6、财务费用" w:id="289"/>
      <w:bookmarkEnd w:id="289"/>
      <w:r>
        <w:rPr>
          <w:b w:val="0"/>
          <w:bCs w:val="0"/>
        </w:rPr>
      </w:r>
      <w:r>
        <w:rPr>
          <w:rFonts w:ascii="Times New Roman" w:hAnsi="Times New Roman" w:cs="Times New Roman" w:eastAsia="Times New Roman" w:hint="default"/>
        </w:rPr>
        <w:t>46</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11,301,301.67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3,255,174.84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2,318,547.92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1,734,974.73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-1,263,698.30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9,501,823.35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379,153.81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526,932.44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8,098,209.26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11,548,955.90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7、资产减值损失" w:id="290"/>
      <w:bookmarkEnd w:id="290"/>
      <w:r>
        <w:rPr>
          <w:b w:val="0"/>
          <w:bCs w:val="0"/>
        </w:rPr>
      </w:r>
      <w:r>
        <w:rPr>
          <w:rFonts w:ascii="Times New Roman" w:hAnsi="Times New Roman" w:cs="Times New Roman" w:eastAsia="Times New Roman" w:hint="default"/>
        </w:rPr>
        <w:t>47</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-713,375.24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-574,940.30</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1,682,608.81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5,538,860.21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12,866,891.14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86,554,188.51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4,046,024.54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886,351.76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17,882,149.25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92,404,460.18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8、公允价值变动收益" w:id="291"/>
      <w:bookmarkEnd w:id="291"/>
      <w:r>
        <w:rPr>
          <w:b w:val="0"/>
          <w:bCs w:val="0"/>
        </w:rPr>
      </w:r>
      <w:r>
        <w:rPr>
          <w:rFonts w:ascii="Times New Roman" w:hAnsi="Times New Roman" w:cs="Times New Roman" w:eastAsia="Times New Roman" w:hint="default"/>
        </w:rPr>
        <w:t>48</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14"/>
        <w:gridCol w:w="2564"/>
        <w:gridCol w:w="2480"/>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1"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-197,777.80</w:t>
            </w:r>
            <w:r>
              <w:rPr>
                <w:rFonts w:ascii="Times New Roman"/>
                <w:sz w:val="18"/>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197,777.80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-197,777.80</w:t>
            </w:r>
            <w:r>
              <w:rPr>
                <w:rFonts w:ascii="Times New Roman"/>
                <w:sz w:val="18"/>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197,777.80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9、投资收益" w:id="292"/>
      <w:bookmarkEnd w:id="292"/>
      <w:r>
        <w:rPr>
          <w:b w:val="0"/>
          <w:bCs w:val="0"/>
        </w:rPr>
      </w:r>
      <w:r>
        <w:rPr>
          <w:rFonts w:ascii="Times New Roman" w:hAnsi="Times New Roman" w:cs="Times New Roman" w:eastAsia="Times New Roman" w:hint="default"/>
        </w:rPr>
        <w:t>49</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35,490.75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-21,413.46</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440,445.98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-366,000.00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1,520,821.91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1,630,758.64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-21,413.46</w:t>
            </w:r>
            <w:r>
              <w:rPr>
                <w:rFonts w:ascii="Times New Roman"/>
                <w:sz w:val="18"/>
              </w:rPr>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0、营业外收入" w:id="293"/>
      <w:bookmarkEnd w:id="293"/>
      <w:r>
        <w:rPr>
          <w:b w:val="0"/>
          <w:bCs w:val="0"/>
        </w:rPr>
      </w:r>
      <w:r>
        <w:rPr>
          <w:rFonts w:ascii="Times New Roman" w:hAnsi="Times New Roman" w:cs="Times New Roman" w:eastAsia="Times New Roman" w:hint="default"/>
        </w:rPr>
        <w:t>50</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161"/>
        <w:gridCol w:w="262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326,319.17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31,311.27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326,319.17</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326,319.17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31,311.27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326,319.17</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1,305,017.18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1,305,017.18</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955,830.87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142,865.77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955,830.87</w:t>
            </w: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2,587,167.22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317,177.04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2,587,167.22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政府零星补助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395,017.18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妇联扶持基金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递延收益结转</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1,305,017.18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143,000.00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1、营业外支出" w:id="294"/>
      <w:bookmarkEnd w:id="294"/>
      <w:r>
        <w:rPr>
          <w:b w:val="0"/>
          <w:bCs w:val="0"/>
        </w:rPr>
      </w:r>
      <w:r>
        <w:rPr>
          <w:rFonts w:ascii="Times New Roman" w:hAnsi="Times New Roman" w:cs="Times New Roman" w:eastAsia="Times New Roman" w:hint="default"/>
        </w:rPr>
        <w:t>51</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161"/>
        <w:gridCol w:w="262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2,136,797.33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63,963.81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2,136,797.33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2,136,797.33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63,963.81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2,136,797.33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106,600.00</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294,800.18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213,522.16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294,800.18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658,143.33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755,793.81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1,024,143.33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3,089,740.84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1,139,879.78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3,455,740.84</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52、所得税费用" w:id="295"/>
      <w:bookmarkEnd w:id="295"/>
      <w:r>
        <w:rPr>
          <w:b w:val="0"/>
          <w:bCs w:val="0"/>
        </w:rPr>
      </w:r>
      <w:r>
        <w:rPr>
          <w:rFonts w:ascii="Times New Roman" w:hAnsi="Times New Roman" w:cs="Times New Roman" w:eastAsia="Times New Roman" w:hint="default"/>
        </w:rPr>
        <w:t>52</w:t>
      </w:r>
      <w:r>
        <w:rPr/>
        <w:t>、所得税费用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所得税费用表" w:id="296"/>
      <w:bookmarkEnd w:id="29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23,698,987.78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21,469,942.65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-1,069,453.42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4,444,722.84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22,629,534.36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25,914,665.49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会计利润与所得税费用调整过程" w:id="297"/>
      <w:bookmarkEnd w:id="29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648"/>
        <w:gridCol w:w="3909"/>
      </w:tblGrid>
      <w:tr>
        <w:trPr>
          <w:trHeight w:val="403"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67,723,015.87</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16,930,753.97</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-1,658,597.17</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229,198.20</w:t>
            </w:r>
          </w:p>
        </w:tc>
      </w:tr>
      <w:tr>
        <w:trPr>
          <w:trHeight w:val="403"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7,128,179.36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659"/>
        <w:gridCol w:w="3909"/>
      </w:tblGrid>
      <w:tr>
        <w:trPr>
          <w:trHeight w:val="402"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22,629,534.36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3、 基本每股收益和稀释每股收益" w:id="298"/>
      <w:bookmarkEnd w:id="298"/>
      <w:r>
        <w:rPr>
          <w:b w:val="0"/>
          <w:bCs w:val="0"/>
        </w:rPr>
      </w:r>
      <w:r>
        <w:rPr>
          <w:rFonts w:ascii="Times New Roman" w:hAnsi="Times New Roman" w:cs="Times New Roman" w:eastAsia="Times New Roman" w:hint="default"/>
        </w:rPr>
        <w:t>53</w:t>
      </w:r>
      <w:r>
        <w:rPr/>
        <w:t>、</w:t>
      </w:r>
      <w:r>
        <w:rPr>
          <w:spacing w:val="-4"/>
        </w:rPr>
        <w:t> </w:t>
      </w:r>
      <w:r>
        <w:rPr/>
        <w:t>基本每股收益和稀释每股收益</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0"/>
        <w:jc w:val="left"/>
      </w:pPr>
      <w:r>
        <w:rPr/>
        <w:t>（</w:t>
      </w:r>
      <w:r>
        <w:rPr>
          <w:rFonts w:ascii="Times New Roman" w:hAnsi="Times New Roman" w:cs="Times New Roman" w:eastAsia="Times New Roman" w:hint="default"/>
        </w:rPr>
        <w:t>1</w:t>
      </w:r>
      <w:r>
        <w:rPr/>
        <w:t>）各期基本每股收益和稀释每股收益金额列示</w:t>
      </w:r>
    </w:p>
    <w:tbl>
      <w:tblPr>
        <w:tblW w:w="0" w:type="auto"/>
        <w:jc w:val="left"/>
        <w:tblInd w:w="149" w:type="dxa"/>
        <w:tblLayout w:type="fixed"/>
        <w:tblCellMar>
          <w:top w:w="0" w:type="dxa"/>
          <w:left w:w="0" w:type="dxa"/>
          <w:bottom w:w="0" w:type="dxa"/>
          <w:right w:w="0" w:type="dxa"/>
        </w:tblCellMar>
        <w:tblLook w:val="01E0"/>
      </w:tblPr>
      <w:tblGrid>
        <w:gridCol w:w="4254"/>
        <w:gridCol w:w="1134"/>
        <w:gridCol w:w="1277"/>
        <w:gridCol w:w="1416"/>
        <w:gridCol w:w="1418"/>
      </w:tblGrid>
      <w:tr>
        <w:trPr>
          <w:trHeight w:val="342" w:hRule="exact"/>
        </w:trPr>
        <w:tc>
          <w:tcPr>
            <w:tcW w:w="425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1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50"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2" w:hRule="exact"/>
        </w:trPr>
        <w:tc>
          <w:tcPr>
            <w:tcW w:w="4254" w:type="dxa"/>
            <w:vMerge/>
            <w:tcBorders>
              <w:left w:val="single" w:sz="4" w:space="0" w:color="000000"/>
              <w:bottom w:val="single" w:sz="4" w:space="0" w:color="000000"/>
              <w:right w:val="single" w:sz="4" w:space="0" w:color="000000"/>
            </w:tcBorders>
            <w:shd w:val="clear" w:color="auto" w:fill="D9D9D9"/>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20"/>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6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6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4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r>
      <w:tr>
        <w:trPr>
          <w:trHeight w:val="34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r>
    </w:tbl>
    <w:p>
      <w:pPr>
        <w:pStyle w:val="Heading3"/>
        <w:spacing w:line="312" w:lineRule="exact"/>
        <w:ind w:left="634" w:right="0"/>
        <w:jc w:val="left"/>
      </w:pPr>
      <w:r>
        <w:rPr/>
        <w:t>（</w:t>
      </w:r>
      <w:r>
        <w:rPr>
          <w:rFonts w:ascii="Times New Roman" w:hAnsi="Times New Roman" w:cs="Times New Roman" w:eastAsia="Times New Roman" w:hint="default"/>
        </w:rPr>
        <w:t>2</w:t>
      </w:r>
      <w:r>
        <w:rPr/>
        <w:t>）每股收益和稀释每股收益的计算过程</w:t>
      </w:r>
    </w:p>
    <w:tbl>
      <w:tblPr>
        <w:tblW w:w="0" w:type="auto"/>
        <w:jc w:val="left"/>
        <w:tblInd w:w="149" w:type="dxa"/>
        <w:tblLayout w:type="fixed"/>
        <w:tblCellMar>
          <w:top w:w="0" w:type="dxa"/>
          <w:left w:w="0" w:type="dxa"/>
          <w:bottom w:w="0" w:type="dxa"/>
          <w:right w:w="0" w:type="dxa"/>
        </w:tblCellMar>
        <w:tblLook w:val="01E0"/>
      </w:tblPr>
      <w:tblGrid>
        <w:gridCol w:w="5104"/>
        <w:gridCol w:w="1700"/>
        <w:gridCol w:w="1419"/>
        <w:gridCol w:w="1276"/>
      </w:tblGrid>
      <w:tr>
        <w:trPr>
          <w:trHeight w:val="341" w:hRule="exact"/>
        </w:trPr>
        <w:tc>
          <w:tcPr>
            <w:tcW w:w="680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P1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49,513,142.68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-6,234,721.90</w:t>
            </w: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报告期归属于公司普通股股东的非经常性损益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w w:val="95"/>
                <w:sz w:val="18"/>
              </w:rPr>
              <w:t>-936,677.21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3,226,138.92</w:t>
            </w: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报告期扣除非经常性损益后归属于公司普通股股东的净利润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P2=P1-F</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50,449,819.89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-9,460,860.82</w:t>
            </w: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P3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稀释事项对扣除非经常性损益后归属于公司普通股股东的净利润</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的影响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P4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S0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224,250,000.00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224,250,000.00</w:t>
            </w: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S1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Si</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增加股份下一月份起至报告期期末的月份数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Mi</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Sj</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Mj</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Sk</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M0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S=S0+S1+Si*Mi/M0-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Sj*Mj/M0-Sk</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224,250,000.00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224,250,000.00</w:t>
            </w:r>
          </w:p>
        </w:tc>
      </w:tr>
      <w:tr>
        <w:trPr>
          <w:trHeight w:val="654"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加：假定稀释性潜在普通股转换为已发行普通股而增加的普通股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加权平均数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X1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X2=S+X1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224,250,000.00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224,250,000.00</w:t>
            </w: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Y1=P1/S</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0.22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Y2=P2/S</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0.22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Y3=</w:t>
            </w:r>
            <w:r>
              <w:rPr>
                <w:rFonts w:ascii="宋体" w:hAnsi="宋体" w:cs="宋体" w:eastAsia="宋体" w:hint="default"/>
                <w:sz w:val="18"/>
                <w:szCs w:val="18"/>
              </w:rPr>
              <w:t>（</w:t>
            </w:r>
            <w:r>
              <w:rPr>
                <w:rFonts w:ascii="Times New Roman" w:hAnsi="Times New Roman" w:cs="Times New Roman" w:eastAsia="Times New Roman" w:hint="default"/>
                <w:sz w:val="18"/>
                <w:szCs w:val="18"/>
              </w:rPr>
              <w:t>P1</w:t>
            </w:r>
            <w:r>
              <w:rPr>
                <w:rFonts w:ascii="宋体" w:hAnsi="宋体" w:cs="宋体" w:eastAsia="宋体" w:hint="default"/>
                <w:sz w:val="18"/>
                <w:szCs w:val="18"/>
              </w:rPr>
              <w:t>＋</w:t>
            </w:r>
            <w:r>
              <w:rPr>
                <w:rFonts w:ascii="Times New Roman" w:hAnsi="Times New Roman" w:cs="Times New Roman" w:eastAsia="Times New Roman" w:hint="default"/>
                <w:sz w:val="18"/>
                <w:szCs w:val="18"/>
              </w:rPr>
              <w:t>P3</w:t>
            </w:r>
            <w:r>
              <w:rPr>
                <w:rFonts w:ascii="宋体" w:hAnsi="宋体" w:cs="宋体" w:eastAsia="宋体" w:hint="default"/>
                <w:sz w:val="18"/>
                <w:szCs w:val="18"/>
              </w:rPr>
              <w:t>）</w:t>
            </w:r>
            <w:r>
              <w:rPr>
                <w:rFonts w:ascii="Times New Roman" w:hAnsi="Times New Roman" w:cs="Times New Roman" w:eastAsia="Times New Roman" w:hint="default"/>
                <w:sz w:val="18"/>
                <w:szCs w:val="18"/>
              </w:rPr>
              <w:t>/X2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0.22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r>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Y4=</w:t>
            </w:r>
            <w:r>
              <w:rPr>
                <w:rFonts w:ascii="宋体" w:hAnsi="宋体" w:cs="宋体" w:eastAsia="宋体" w:hint="default"/>
                <w:sz w:val="18"/>
                <w:szCs w:val="18"/>
              </w:rPr>
              <w:t>（</w:t>
            </w:r>
            <w:r>
              <w:rPr>
                <w:rFonts w:ascii="Times New Roman" w:hAnsi="Times New Roman" w:cs="Times New Roman" w:eastAsia="Times New Roman" w:hint="default"/>
                <w:sz w:val="18"/>
                <w:szCs w:val="18"/>
              </w:rPr>
              <w:t>P2</w:t>
            </w:r>
            <w:r>
              <w:rPr>
                <w:rFonts w:ascii="宋体" w:hAnsi="宋体" w:cs="宋体" w:eastAsia="宋体" w:hint="default"/>
                <w:sz w:val="18"/>
                <w:szCs w:val="18"/>
              </w:rPr>
              <w:t>＋</w:t>
            </w:r>
            <w:r>
              <w:rPr>
                <w:rFonts w:ascii="Times New Roman" w:hAnsi="Times New Roman" w:cs="Times New Roman" w:eastAsia="Times New Roman" w:hint="default"/>
                <w:sz w:val="18"/>
                <w:szCs w:val="18"/>
              </w:rPr>
              <w:t>P4</w:t>
            </w:r>
            <w:r>
              <w:rPr>
                <w:rFonts w:ascii="宋体" w:hAnsi="宋体" w:cs="宋体" w:eastAsia="宋体" w:hint="default"/>
                <w:sz w:val="18"/>
                <w:szCs w:val="18"/>
              </w:rPr>
              <w:t>）</w:t>
            </w:r>
            <w:r>
              <w:rPr>
                <w:rFonts w:ascii="Times New Roman" w:hAnsi="Times New Roman" w:cs="Times New Roman" w:eastAsia="Times New Roman" w:hint="default"/>
                <w:sz w:val="18"/>
                <w:szCs w:val="18"/>
              </w:rPr>
              <w:t>/X2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0.22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54、现金流量表项目" w:id="299"/>
      <w:bookmarkEnd w:id="299"/>
      <w:r>
        <w:rPr>
          <w:b w:val="0"/>
          <w:bCs w:val="0"/>
        </w:rPr>
      </w:r>
      <w:r>
        <w:rPr>
          <w:rFonts w:ascii="Times New Roman" w:hAnsi="Times New Roman" w:cs="Times New Roman" w:eastAsia="Times New Roman" w:hint="default"/>
        </w:rPr>
        <w:t>54</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收到的其他与经营活动有关的现金" w:id="300"/>
      <w:bookmarkEnd w:id="30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收到银行存款利息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2,318,547.92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1,734,974.73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2,157,361.60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1,655,567.83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899,435.48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426,317.39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质押的定期存单到期取款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1,951,172.06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1,167,136.47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132,853.99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29,752,834.45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4,833,533.02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支付的其他与经营活动有关的现金" w:id="301"/>
      <w:bookmarkEnd w:id="30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各项销售管理费用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28,288,926.23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20,487,047.23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2,492,126.45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1,654,844.01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各项营业外支出及其他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463,472.76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642,338.08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374,491.98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定期存单质押</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57,719,017.42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32,784,229.32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收到的其他与投资活动有关的现金" w:id="302"/>
      <w:bookmarkEnd w:id="30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理财产品及收益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51,520,821.91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52,020,821.91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326.320007pt;margin-top:579.909973pt;width:111.8pt;height:20.8pt;mso-position-horizontal-relative:page;mso-position-vertical-relative:page;z-index:-844096" coordorigin="6526,11598" coordsize="2236,416">
            <v:group style="position:absolute;left:6538;top:11610;width:2;height:393" coordorigin="6538,11610" coordsize="2,393">
              <v:shape style="position:absolute;left:6538;top:11610;width:2;height:393" coordorigin="6538,11610" coordsize="0,393" path="m6538,11610l6538,12002e" filled="false" stroked="true" strokeweight="1.140pt" strokecolor="#ffffff">
                <v:path arrowok="t"/>
              </v:shape>
            </v:group>
            <v:group style="position:absolute;left:6549;top:11610;width:2214;height:393" coordorigin="6549,11610" coordsize="2214,393">
              <v:shape style="position:absolute;left:6549;top:11610;width:2214;height:393" coordorigin="6549,11610" coordsize="2214,393" path="m6549,12002l8762,12002,8762,11610,6549,11610,6549,12002xe" filled="true" fillcolor="#ffffff" stroked="false">
                <v:path arrowok="t"/>
                <v:fill type="solid"/>
              </v:shape>
            </v:group>
            <w10:wrap type="none"/>
          </v:group>
        </w:pict>
      </w:r>
    </w:p>
    <w:p>
      <w:pPr>
        <w:pStyle w:val="Heading5"/>
        <w:spacing w:line="240" w:lineRule="auto" w:before="35"/>
        <w:ind w:left="153" w:right="0"/>
        <w:jc w:val="left"/>
        <w:rPr>
          <w:b w:val="0"/>
          <w:bCs w:val="0"/>
        </w:rPr>
      </w:pPr>
      <w:bookmarkStart w:name="（4）支付的其他与投资活动有关的现金" w:id="303"/>
      <w:bookmarkEnd w:id="30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3,872,998.00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366,000.00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74,738,998.00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支付的其他与筹资活动有关的现金" w:id="304"/>
      <w:bookmarkEnd w:id="304"/>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收购子公司少数股权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11,591,258.00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11,591,258.00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5、现金流量表补充资料" w:id="305"/>
      <w:bookmarkEnd w:id="305"/>
      <w:r>
        <w:rPr>
          <w:b w:val="0"/>
          <w:bCs w:val="0"/>
        </w:rPr>
      </w:r>
      <w:r>
        <w:rPr>
          <w:rFonts w:ascii="Times New Roman" w:hAnsi="Times New Roman" w:cs="Times New Roman" w:eastAsia="Times New Roman" w:hint="default"/>
        </w:rPr>
        <w:t>55</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现金流量表补充资料" w:id="306"/>
      <w:bookmarkEnd w:id="30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2280"/>
        <w:gridCol w:w="1913"/>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45,093,481.51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-45,169,482.29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17,882,149.25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92,404,460.18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14,129,958.48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14,831,348.48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830,438.88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821,226.75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1,455,644.74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440,413.74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处置固定资产、无形资产和其他长期资产的损失（收益以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tabs>
                <w:tab w:pos="1289" w:val="left" w:leader="none"/>
              </w:tabs>
              <w:spacing w:line="240" w:lineRule="auto" w:before="51"/>
              <w:ind w:left="-123"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1,810,478.16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32,652.54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197,777.80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197,777.80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10,091,140.87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11,675,528.15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-1,630,758.64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21,413.46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-1,019,310.05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4,453,549.00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-50,093.07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-8,826.16</w:t>
            </w:r>
            <w:r>
              <w:rPr>
                <w:rFonts w:ascii="Times New Roman"/>
                <w:sz w:val="18"/>
              </w:rPr>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-3,098,718.26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4,754,045.01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-17,666,481.34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-45,567,629.46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-37,309,762.12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-12,726,136.55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365"/>
        <w:gridCol w:w="2280"/>
        <w:gridCol w:w="1913"/>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-870,000.00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29,845,946.21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26,160,340.65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9"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9"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169,798,023.02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294,456,123.81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294,456,123.81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311,843,554.43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-124,658,100.79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-17,387,430.62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本期收到的处置子公司的现金净额" w:id="307"/>
      <w:bookmarkEnd w:id="307"/>
      <w:r>
        <w:rPr>
          <w:b w:val="0"/>
          <w:bCs w:val="0"/>
        </w:rPr>
      </w: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南京北斗导航有限公司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4,149.62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南京北斗导航有限公司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4,149.62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995,850.38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现金和现金等价物的构成" w:id="308"/>
      <w:bookmarkEnd w:id="308"/>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169,798,023.02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294,456,123.81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196,982.01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171,223.94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169,601,041.01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294,284,899.87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169,798,023.02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294,456,123.81</w:t>
            </w:r>
          </w:p>
        </w:tc>
      </w:tr>
    </w:tbl>
    <w:p>
      <w:pPr>
        <w:spacing w:line="240" w:lineRule="auto" w:before="1"/>
        <w:rPr>
          <w:rFonts w:ascii="宋体" w:hAnsi="宋体" w:cs="宋体" w:eastAsia="宋体" w:hint="default"/>
          <w:sz w:val="26"/>
          <w:szCs w:val="26"/>
        </w:rPr>
      </w:pPr>
    </w:p>
    <w:p>
      <w:pPr>
        <w:pStyle w:val="Heading5"/>
        <w:spacing w:line="240" w:lineRule="auto" w:before="35"/>
        <w:ind w:right="0"/>
        <w:jc w:val="left"/>
        <w:rPr>
          <w:b w:val="0"/>
          <w:bCs w:val="0"/>
        </w:rPr>
      </w:pPr>
      <w:r>
        <w:rPr/>
        <w:t>（</w:t>
      </w:r>
      <w:r>
        <w:rPr>
          <w:rFonts w:ascii="宋体" w:hAnsi="宋体" w:cs="宋体" w:eastAsia="宋体" w:hint="default"/>
        </w:rPr>
        <w:t>4</w:t>
      </w:r>
      <w:r>
        <w:rPr/>
        <w:t>）货币资金与现金和现金等价物的关系</w:t>
      </w:r>
      <w:r>
        <w:rPr>
          <w:b w:val="0"/>
          <w:bCs w:val="0"/>
        </w:rPr>
      </w:r>
    </w:p>
    <w:p>
      <w:pPr>
        <w:spacing w:line="240" w:lineRule="auto" w:before="11"/>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5353"/>
        <w:gridCol w:w="2162"/>
        <w:gridCol w:w="1985"/>
      </w:tblGrid>
      <w:tr>
        <w:trPr>
          <w:trHeight w:val="342" w:hRule="exact"/>
        </w:trPr>
        <w:tc>
          <w:tcPr>
            <w:tcW w:w="53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40" w:right="0"/>
              <w:jc w:val="left"/>
              <w:rPr>
                <w:rFonts w:ascii="宋体" w:hAnsi="宋体" w:cs="宋体" w:eastAsia="宋体" w:hint="default"/>
                <w:sz w:val="18"/>
                <w:szCs w:val="18"/>
              </w:rPr>
            </w:pPr>
            <w:r>
              <w:rPr>
                <w:rFonts w:ascii="宋体" w:hAnsi="宋体" w:cs="宋体" w:eastAsia="宋体" w:hint="default"/>
                <w:sz w:val="18"/>
                <w:szCs w:val="18"/>
              </w:rPr>
              <w:t>列示于现金流量表的现金及现金等价物</w:t>
            </w:r>
          </w:p>
        </w:tc>
        <w:tc>
          <w:tcPr>
            <w:tcW w:w="2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1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2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①期末货币资金</w:t>
            </w:r>
            <w:r>
              <w:rPr>
                <w:rFonts w:ascii="宋体" w:hAnsi="宋体" w:cs="宋体" w:eastAsia="宋体" w:hint="default"/>
                <w:sz w:val="18"/>
                <w:szCs w:val="18"/>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9"/>
              <w:jc w:val="right"/>
              <w:rPr>
                <w:rFonts w:ascii="Times New Roman" w:hAnsi="Times New Roman" w:cs="Times New Roman" w:eastAsia="Times New Roman" w:hint="default"/>
                <w:sz w:val="18"/>
                <w:szCs w:val="18"/>
              </w:rPr>
            </w:pPr>
            <w:r>
              <w:rPr>
                <w:rFonts w:ascii="Times New Roman"/>
                <w:b/>
                <w:spacing w:val="-1"/>
                <w:sz w:val="18"/>
              </w:rPr>
              <w:t>172,298,023.02</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8"/>
              <w:jc w:val="right"/>
              <w:rPr>
                <w:rFonts w:ascii="Times New Roman" w:hAnsi="Times New Roman" w:cs="Times New Roman" w:eastAsia="Times New Roman" w:hint="default"/>
                <w:sz w:val="18"/>
                <w:szCs w:val="18"/>
              </w:rPr>
            </w:pPr>
            <w:r>
              <w:rPr>
                <w:rFonts w:ascii="Times New Roman"/>
                <w:b/>
                <w:spacing w:val="-1"/>
                <w:sz w:val="18"/>
              </w:rPr>
              <w:t>318,456,123.81</w:t>
            </w:r>
            <w:r>
              <w:rPr>
                <w:rFonts w:ascii="Times New Roman"/>
                <w:spacing w:val="-1"/>
                <w:sz w:val="18"/>
              </w:rPr>
            </w:r>
          </w:p>
        </w:tc>
      </w:tr>
      <w:tr>
        <w:trPr>
          <w:trHeight w:val="34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减：使用受到限制的存款</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2,500,000.00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34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3" w:right="0"/>
              <w:jc w:val="left"/>
              <w:rPr>
                <w:rFonts w:ascii="宋体" w:hAnsi="宋体" w:cs="宋体" w:eastAsia="宋体" w:hint="default"/>
                <w:sz w:val="18"/>
                <w:szCs w:val="18"/>
              </w:rPr>
            </w:pPr>
            <w:r>
              <w:rPr>
                <w:rFonts w:ascii="宋体" w:hAnsi="宋体" w:cs="宋体" w:eastAsia="宋体" w:hint="default"/>
                <w:sz w:val="18"/>
                <w:szCs w:val="18"/>
              </w:rPr>
              <w:t>加：持有期限不超过三个月的国债投资</w:t>
            </w:r>
          </w:p>
        </w:tc>
        <w:tc>
          <w:tcPr>
            <w:tcW w:w="216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②期末现金及现金等价物余额</w:t>
            </w:r>
            <w:r>
              <w:rPr>
                <w:rFonts w:ascii="宋体" w:hAnsi="宋体" w:cs="宋体" w:eastAsia="宋体" w:hint="default"/>
                <w:sz w:val="18"/>
                <w:szCs w:val="18"/>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b/>
                <w:spacing w:val="-1"/>
                <w:sz w:val="18"/>
              </w:rPr>
              <w:t>169,798,023.02</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8"/>
              <w:jc w:val="right"/>
              <w:rPr>
                <w:rFonts w:ascii="Times New Roman" w:hAnsi="Times New Roman" w:cs="Times New Roman" w:eastAsia="Times New Roman" w:hint="default"/>
                <w:sz w:val="18"/>
                <w:szCs w:val="18"/>
              </w:rPr>
            </w:pPr>
            <w:r>
              <w:rPr>
                <w:rFonts w:ascii="Times New Roman"/>
                <w:b/>
                <w:spacing w:val="-1"/>
                <w:sz w:val="18"/>
              </w:rPr>
              <w:t>294,456,123.81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5353"/>
        <w:gridCol w:w="2162"/>
        <w:gridCol w:w="1985"/>
      </w:tblGrid>
      <w:tr>
        <w:trPr>
          <w:trHeight w:val="34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7" w:right="0"/>
              <w:jc w:val="left"/>
              <w:rPr>
                <w:rFonts w:ascii="宋体" w:hAnsi="宋体" w:cs="宋体" w:eastAsia="宋体" w:hint="default"/>
                <w:sz w:val="18"/>
                <w:szCs w:val="18"/>
              </w:rPr>
            </w:pPr>
            <w:r>
              <w:rPr>
                <w:rFonts w:ascii="宋体" w:hAnsi="宋体" w:cs="宋体" w:eastAsia="宋体" w:hint="default"/>
                <w:sz w:val="18"/>
                <w:szCs w:val="18"/>
              </w:rPr>
              <w:t>减：年初现金及现金等价物余额</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294,456,123.81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311,843,554.43</w:t>
            </w:r>
          </w:p>
        </w:tc>
      </w:tr>
      <w:tr>
        <w:trPr>
          <w:trHeight w:val="34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③现金及现金等价物净增加</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（减少）额</w:t>
            </w:r>
            <w:r>
              <w:rPr>
                <w:rFonts w:ascii="宋体" w:hAnsi="宋体" w:cs="宋体" w:eastAsia="宋体" w:hint="default"/>
                <w:sz w:val="18"/>
                <w:szCs w:val="18"/>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b/>
                <w:spacing w:val="-1"/>
                <w:sz w:val="18"/>
              </w:rPr>
              <w:t>-124,658,100.79</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8"/>
              <w:jc w:val="right"/>
              <w:rPr>
                <w:rFonts w:ascii="Times New Roman" w:hAnsi="Times New Roman" w:cs="Times New Roman" w:eastAsia="Times New Roman" w:hint="default"/>
                <w:sz w:val="18"/>
                <w:szCs w:val="18"/>
              </w:rPr>
            </w:pPr>
            <w:r>
              <w:rPr>
                <w:rFonts w:ascii="Times New Roman"/>
                <w:b/>
                <w:spacing w:val="-1"/>
                <w:sz w:val="18"/>
              </w:rPr>
              <w:t>-17,387,430.62</w:t>
            </w:r>
            <w:r>
              <w:rPr>
                <w:rFonts w:ascii="Times New Roman"/>
                <w:spacing w:val="-1"/>
                <w:sz w:val="18"/>
              </w:rPr>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56、所有者权益变动表项目注释" w:id="309"/>
      <w:bookmarkEnd w:id="309"/>
      <w:r>
        <w:rPr>
          <w:b w:val="0"/>
          <w:bCs w:val="0"/>
        </w:rPr>
      </w:r>
      <w:r>
        <w:rPr>
          <w:rFonts w:ascii="Times New Roman" w:hAnsi="Times New Roman" w:cs="Times New Roman" w:eastAsia="Times New Roman" w:hint="default"/>
        </w:rPr>
        <w:t>56</w:t>
      </w:r>
      <w:r>
        <w:rPr/>
        <w:t>、所有者权益变动表项目注释</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7"/>
        <w:gridCol w:w="2146"/>
        <w:gridCol w:w="4536"/>
      </w:tblGrid>
      <w:tr>
        <w:trPr>
          <w:trHeight w:val="331" w:hRule="exact"/>
        </w:trPr>
        <w:tc>
          <w:tcPr>
            <w:tcW w:w="28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6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内容</w:t>
            </w:r>
          </w:p>
        </w:tc>
      </w:tr>
      <w:tr>
        <w:trPr>
          <w:trHeight w:val="353" w:hRule="exact"/>
        </w:trPr>
        <w:tc>
          <w:tcPr>
            <w:tcW w:w="28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14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5"/>
              <w:ind w:left="1321" w:right="0"/>
              <w:jc w:val="left"/>
              <w:rPr>
                <w:rFonts w:ascii="Times New Roman" w:hAnsi="Times New Roman" w:cs="Times New Roman" w:eastAsia="Times New Roman" w:hint="default"/>
                <w:sz w:val="18"/>
                <w:szCs w:val="18"/>
              </w:rPr>
            </w:pPr>
            <w:r>
              <w:rPr>
                <w:rFonts w:ascii="Times New Roman"/>
                <w:sz w:val="18"/>
              </w:rPr>
              <w:t>141,585.17</w:t>
            </w:r>
          </w:p>
        </w:tc>
        <w:tc>
          <w:tcPr>
            <w:tcW w:w="453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收购子公司少数股权产生的资本溢价</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7、所有权或使用权受到限制的资产" w:id="310"/>
      <w:bookmarkEnd w:id="310"/>
      <w:r>
        <w:rPr>
          <w:b w:val="0"/>
          <w:bCs w:val="0"/>
        </w:rPr>
      </w:r>
      <w:r>
        <w:rPr>
          <w:rFonts w:ascii="Times New Roman" w:hAnsi="Times New Roman" w:cs="Times New Roman" w:eastAsia="Times New Roman" w:hint="default"/>
        </w:rPr>
        <w:t>57</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2769"/>
        <w:gridCol w:w="3472"/>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承兑汇票保证金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3,422,987.50</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承兑汇票抵押物</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11,821,053.21</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承兑汇票抵押物</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929,527.99</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租入土地使用权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6,381,009.94</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租入土地使用权</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25,054,578.64</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58、外币货币性项目" w:id="311"/>
      <w:bookmarkEnd w:id="311"/>
      <w:r>
        <w:rPr>
          <w:b w:val="0"/>
          <w:bCs w:val="0"/>
        </w:rPr>
      </w:r>
      <w:r>
        <w:rPr>
          <w:rFonts w:ascii="Times New Roman" w:hAnsi="Times New Roman" w:cs="Times New Roman" w:eastAsia="Times New Roman" w:hint="default"/>
        </w:rPr>
        <w:t>58</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1,492,549.30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9,132,909.16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2,395,685.00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0.05137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123,055.89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7,131,855.83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43,639,825.83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335,160.00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2,056,843.40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2,482,250.62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15,194,724.01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5,616,807.60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0.05137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288,541.02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384,257.30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2,350,793.75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八、合并范围的变更" w:id="312"/>
      <w:bookmarkEnd w:id="312"/>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处置子公司" w:id="313"/>
      <w:bookmarkEnd w:id="313"/>
      <w:r>
        <w:rPr>
          <w:b w:val="0"/>
          <w:bCs w:val="0"/>
        </w:rPr>
      </w:r>
      <w:r>
        <w:rPr/>
        <w:t>处置子公司</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南京三 友北斗 导航工 程研究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66.67%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8"/>
              <w:jc w:val="left"/>
              <w:rPr>
                <w:rFonts w:ascii="宋体" w:hAnsi="宋体" w:cs="宋体" w:eastAsia="宋体" w:hint="default"/>
                <w:sz w:val="18"/>
                <w:szCs w:val="18"/>
              </w:rPr>
            </w:pPr>
            <w:r>
              <w:rPr>
                <w:rFonts w:ascii="宋体" w:hAnsi="宋体" w:cs="宋体" w:eastAsia="宋体" w:hint="default"/>
                <w:sz w:val="18"/>
                <w:szCs w:val="18"/>
              </w:rPr>
              <w:t>股权转 让协议、 工商变 更资料</w:t>
            </w:r>
          </w:p>
        </w:tc>
        <w:tc>
          <w:tcPr>
            <w:tcW w:w="7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440,445.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九、在其他主体中的权益" w:id="314"/>
      <w:bookmarkEnd w:id="314"/>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在子公司中的权益" w:id="315"/>
      <w:bookmarkEnd w:id="31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企业集团的构成" w:id="316"/>
      <w:bookmarkEnd w:id="31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710"/>
        <w:gridCol w:w="709"/>
        <w:gridCol w:w="1984"/>
        <w:gridCol w:w="710"/>
        <w:gridCol w:w="692"/>
        <w:gridCol w:w="1366"/>
      </w:tblGrid>
      <w:tr>
        <w:trPr>
          <w:trHeight w:val="402" w:hRule="exact"/>
        </w:trPr>
        <w:tc>
          <w:tcPr>
            <w:tcW w:w="3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9" w:right="78" w:hanging="90"/>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402"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可再生能源循环使用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南通三友信息科技发展有限公司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电子产品研发销售等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江苏北斗科技有限公司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卫星应用设备生产销售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南通市港闸区资丰农村小额贷款有限公司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金融类业务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服装加工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99.96%</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402"/>
        <w:gridCol w:w="710"/>
        <w:gridCol w:w="709"/>
        <w:gridCol w:w="1984"/>
        <w:gridCol w:w="710"/>
        <w:gridCol w:w="692"/>
        <w:gridCol w:w="1366"/>
      </w:tblGrid>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环保材料生产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江苏三友集团南通色织有限公司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服装面料生产销售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重要的非全资子公司" w:id="317"/>
      <w:bookmarkEnd w:id="31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2"/>
        <w:gridCol w:w="1844"/>
        <w:gridCol w:w="1418"/>
        <w:gridCol w:w="1701"/>
        <w:gridCol w:w="1206"/>
      </w:tblGrid>
      <w:tr>
        <w:trPr>
          <w:trHeight w:val="76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253" w:right="73" w:hanging="180"/>
              <w:jc w:val="left"/>
              <w:rPr>
                <w:rFonts w:ascii="宋体" w:hAnsi="宋体" w:cs="宋体" w:eastAsia="宋体" w:hint="default"/>
                <w:sz w:val="18"/>
                <w:szCs w:val="18"/>
              </w:rPr>
            </w:pPr>
            <w:r>
              <w:rPr>
                <w:rFonts w:ascii="宋体" w:hAnsi="宋体" w:cs="宋体" w:eastAsia="宋体" w:hint="default"/>
                <w:sz w:val="18"/>
                <w:szCs w:val="18"/>
              </w:rPr>
              <w:t>本期归属于少数 股东的损益</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395" w:right="34" w:hanging="361"/>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237" w:right="56" w:hanging="180"/>
              <w:jc w:val="left"/>
              <w:rPr>
                <w:rFonts w:ascii="宋体" w:hAnsi="宋体" w:cs="宋体" w:eastAsia="宋体" w:hint="default"/>
                <w:sz w:val="18"/>
                <w:szCs w:val="18"/>
              </w:rPr>
            </w:pPr>
            <w:r>
              <w:rPr>
                <w:rFonts w:ascii="宋体" w:hAnsi="宋体" w:cs="宋体" w:eastAsia="宋体" w:hint="default"/>
                <w:sz w:val="18"/>
                <w:szCs w:val="18"/>
              </w:rPr>
              <w:t>期末少数股东 权益余额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-10,496,257.27</w:t>
            </w:r>
          </w:p>
        </w:tc>
        <w:tc>
          <w:tcPr>
            <w:tcW w:w="1701"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5,451,836.68</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南通市港闸区资丰农村小额贷款有限公司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3,507,482.10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51,587,122.28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重要非全资子公司的主要财务信息" w:id="318"/>
      <w:bookmarkEnd w:id="31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江苏三 友环保 能源科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27,873,6</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49.06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87,389,2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17.39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115,262,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866.45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63,103,2</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74.74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38,530,0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101,633,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274.74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34,699,1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85.20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106,263,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362.32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140,962,</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547.52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61,692,3</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12.64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39,400,0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101,092,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312.64</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南通市 港闸区 资丰农 村小额 贷款有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1,370,67</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7.30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179,868,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387.55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181,239,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064.85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2,271,25</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9.15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52,271,2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59.15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121,809,</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164.58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161,392.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121,970,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557.33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1,770,80</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8.27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648.62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1,771,45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6.89</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江苏三友环 保能源科技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111,025.64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-26,240,643.1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-26,240,643.1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-4,282,169.48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1,700,034.24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-103,361,830.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-103,361,830.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-1,535,733.54</w:t>
            </w:r>
          </w:p>
        </w:tc>
      </w:tr>
      <w:tr>
        <w:trPr>
          <w:trHeight w:val="98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南通市港闸 区资丰农村 小额贷款有</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20,051,712.5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2" w:right="0"/>
              <w:jc w:val="center"/>
              <w:rPr>
                <w:rFonts w:ascii="Times New Roman" w:hAnsi="Times New Roman" w:cs="Times New Roman" w:eastAsia="Times New Roman" w:hint="default"/>
                <w:sz w:val="18"/>
                <w:szCs w:val="18"/>
              </w:rPr>
            </w:pPr>
            <w:r>
              <w:rPr>
                <w:rFonts w:ascii="Times New Roman"/>
                <w:sz w:val="18"/>
              </w:rPr>
              <w:t>8,768,705.26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8" w:right="0"/>
              <w:jc w:val="left"/>
              <w:rPr>
                <w:rFonts w:ascii="Times New Roman" w:hAnsi="Times New Roman" w:cs="Times New Roman" w:eastAsia="Times New Roman" w:hint="default"/>
                <w:sz w:val="18"/>
                <w:szCs w:val="18"/>
              </w:rPr>
            </w:pPr>
            <w:r>
              <w:rPr>
                <w:rFonts w:ascii="Times New Roman"/>
                <w:sz w:val="18"/>
              </w:rPr>
              <w:t>8,768,705.26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-50,462,816.8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10,532,925.3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1" w:right="0"/>
              <w:jc w:val="center"/>
              <w:rPr>
                <w:rFonts w:ascii="Times New Roman" w:hAnsi="Times New Roman" w:cs="Times New Roman" w:eastAsia="Times New Roman" w:hint="default"/>
                <w:sz w:val="18"/>
                <w:szCs w:val="18"/>
              </w:rPr>
            </w:pPr>
            <w:r>
              <w:rPr>
                <w:rFonts w:ascii="Times New Roman"/>
                <w:sz w:val="18"/>
              </w:rPr>
              <w:t>6,296,671.26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5" w:right="0"/>
              <w:jc w:val="left"/>
              <w:rPr>
                <w:rFonts w:ascii="Times New Roman" w:hAnsi="Times New Roman" w:cs="Times New Roman" w:eastAsia="Times New Roman" w:hint="default"/>
                <w:sz w:val="18"/>
                <w:szCs w:val="18"/>
              </w:rPr>
            </w:pPr>
            <w:r>
              <w:rPr>
                <w:rFonts w:ascii="Times New Roman"/>
                <w:sz w:val="18"/>
              </w:rPr>
              <w:t>6,296,671.26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-45,681,462.6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在合营安排或联营企业中的权益" w:id="319"/>
      <w:bookmarkEnd w:id="319"/>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本公司无重要的合营企业或联营企业" w:id="320"/>
      <w:bookmarkEnd w:id="320"/>
      <w:r>
        <w:rPr>
          <w:b w:val="0"/>
          <w:bCs w:val="0"/>
        </w:rPr>
      </w:r>
      <w:r>
        <w:rPr/>
        <w:t>（</w:t>
      </w:r>
      <w:r>
        <w:rPr>
          <w:rFonts w:ascii="Times New Roman" w:hAnsi="Times New Roman" w:cs="Times New Roman" w:eastAsia="Times New Roman" w:hint="default"/>
        </w:rPr>
        <w:t>1</w:t>
      </w:r>
      <w:r>
        <w:rPr/>
        <w:t>）本公司无重要的合营企业或联营企业</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上重要的合营企业和联营企业的汇总财务信息" w:id="321"/>
      <w:bookmarkEnd w:id="321"/>
      <w:r>
        <w:rPr>
          <w:b w:val="0"/>
          <w:bCs w:val="0"/>
        </w:rPr>
      </w: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2,761,283.73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2,725,792.98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35,490.75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-21,413.46</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35,490.75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-21,413.46</w:t>
            </w:r>
            <w:r>
              <w:rPr>
                <w:rFonts w:ascii="Times New Roman"/>
                <w:sz w:val="18"/>
              </w:rPr>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十、与金融工具相关的风险" w:id="322"/>
      <w:bookmarkEnd w:id="322"/>
      <w:r>
        <w:rPr>
          <w:b w:val="0"/>
          <w:bCs w:val="0"/>
        </w:rPr>
      </w:r>
      <w:r>
        <w:rPr/>
        <w:t>十、与金融工具相关的风险</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131" w:firstLine="480"/>
        <w:jc w:val="both"/>
      </w:pPr>
      <w:r>
        <w:rPr>
          <w:spacing w:val="-2"/>
        </w:rPr>
        <w:t>本公司的主要金融工具包括应收款项、应付款项等，各项金融工具的详细情况说明见本附注六相关项</w:t>
      </w:r>
      <w:r>
        <w:rPr/>
        <w:t> </w:t>
      </w:r>
      <w:r>
        <w:rPr>
          <w:spacing w:val="-1"/>
        </w:rPr>
        <w:t>目。与这些金融工具有关的风险，以及本公司为降低这些风险所采取的风险管理政策如下所述。本公司管</w:t>
      </w:r>
      <w:r>
        <w:rPr>
          <w:spacing w:val="-83"/>
        </w:rPr>
        <w:t> </w:t>
      </w:r>
      <w:r>
        <w:rPr>
          <w:spacing w:val="-83"/>
        </w:rPr>
      </w:r>
      <w:r>
        <w:rPr/>
        <w:t>理层对这些风险敞口进行管理和监控以确保将上述风险控制在限定的范围之内。</w:t>
      </w:r>
    </w:p>
    <w:p>
      <w:pPr>
        <w:pStyle w:val="BodyText"/>
        <w:spacing w:line="314" w:lineRule="auto"/>
        <w:ind w:right="1033" w:firstLine="480"/>
        <w:jc w:val="left"/>
      </w:pPr>
      <w:r>
        <w:rPr/>
        <w:t>本公司采用敏感性分析技术分析风险变量的合理、可能变化对当期损益或股东权益可能产生的影响。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BodyText"/>
        <w:spacing w:line="314" w:lineRule="auto"/>
        <w:ind w:left="633" w:right="1121"/>
        <w:jc w:val="left"/>
      </w:pPr>
      <w:r>
        <w:rPr/>
        <w:t>风险管理目标和政策： </w:t>
      </w:r>
      <w:r>
        <w:rPr>
          <w:spacing w:val="-2"/>
        </w:rPr>
        <w:t>本公司从事风险管理的目标是在风险和收益之间取得适当的平衡，将风险对本公司经营业绩的负面影</w:t>
      </w:r>
    </w:p>
    <w:p>
      <w:pPr>
        <w:pStyle w:val="BodyText"/>
        <w:spacing w:line="314" w:lineRule="auto"/>
        <w:ind w:right="1130"/>
        <w:jc w:val="both"/>
      </w:pPr>
      <w:r>
        <w:rPr>
          <w:spacing w:val="-1"/>
        </w:rPr>
        <w:t>响降低到最低水平，使股东及其其他权益投资者的利益最大化。基于该风险管理目标，本公司风险管理的</w:t>
      </w:r>
      <w:r>
        <w:rPr>
          <w:spacing w:val="-83"/>
        </w:rPr>
        <w:t> </w:t>
      </w:r>
      <w:r>
        <w:rPr>
          <w:spacing w:val="-83"/>
        </w:rPr>
      </w:r>
      <w:r>
        <w:rPr>
          <w:spacing w:val="-1"/>
        </w:rPr>
        <w:t>基本策略是确定和分析本公司所面临的各种风险，建立适当的风险承受底线和进行风险管理，并及时可靠</w:t>
      </w:r>
      <w:r>
        <w:rPr>
          <w:spacing w:val="-80"/>
        </w:rPr>
        <w:t> </w:t>
      </w:r>
      <w:r>
        <w:rPr>
          <w:spacing w:val="-80"/>
        </w:rPr>
      </w:r>
      <w:r>
        <w:rPr/>
        <w:t>地对各种风险进行监督，将风险控制在限定的范围之内。</w:t>
      </w:r>
    </w:p>
    <w:p>
      <w:pPr>
        <w:pStyle w:val="Heading5"/>
        <w:spacing w:line="240" w:lineRule="auto" w:before="19"/>
        <w:ind w:left="636" w:right="0"/>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295" w:lineRule="auto" w:before="68"/>
        <w:ind w:left="634" w:right="1128"/>
        <w:jc w:val="left"/>
      </w:pPr>
      <w:r>
        <w:rPr/>
        <w:t>（</w:t>
      </w:r>
      <w:r>
        <w:rPr>
          <w:rFonts w:ascii="Times New Roman" w:hAnsi="Times New Roman" w:cs="Times New Roman" w:eastAsia="Times New Roman" w:hint="default"/>
        </w:rPr>
        <w:t>1</w:t>
      </w:r>
      <w:r>
        <w:rPr/>
        <w:t>）外汇风险 </w:t>
      </w:r>
      <w:r>
        <w:rPr>
          <w:spacing w:val="-2"/>
        </w:rPr>
        <w:t>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日，除下表所述资产或负债为美元或日元余额外，本公司的资产及负债均为人民币余</w:t>
      </w:r>
    </w:p>
    <w:p>
      <w:pPr>
        <w:pStyle w:val="BodyText"/>
        <w:spacing w:line="240" w:lineRule="auto" w:before="14"/>
        <w:ind w:left="154" w:right="0"/>
        <w:jc w:val="both"/>
      </w:pPr>
      <w:r>
        <w:rPr/>
        <w:t>额。该等外币余额的资产和负债产生的外汇风险可能对本公司的经营业绩产生影响。</w:t>
      </w:r>
    </w:p>
    <w:p>
      <w:pPr>
        <w:spacing w:line="240" w:lineRule="auto" w:before="8"/>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652"/>
        <w:gridCol w:w="3141"/>
        <w:gridCol w:w="2848"/>
      </w:tblGrid>
      <w:tr>
        <w:trPr>
          <w:trHeight w:val="342" w:hRule="exact"/>
        </w:trPr>
        <w:tc>
          <w:tcPr>
            <w:tcW w:w="3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9,255,965.05</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152,952,763.85</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43,639,825.83</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28,598,587.93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652"/>
        <w:gridCol w:w="3141"/>
        <w:gridCol w:w="2848"/>
      </w:tblGrid>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2,056,843.40</w:t>
            </w:r>
          </w:p>
        </w:tc>
        <w:tc>
          <w:tcPr>
            <w:tcW w:w="284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15,483,265.03</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11,059,991.87</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2,350,793.75</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2,635,031.04</w:t>
            </w:r>
          </w:p>
        </w:tc>
      </w:tr>
    </w:tbl>
    <w:p>
      <w:pPr>
        <w:pStyle w:val="BodyText"/>
        <w:spacing w:line="314" w:lineRule="auto" w:before="9"/>
        <w:ind w:left="154" w:right="1132" w:firstLine="480"/>
        <w:jc w:val="both"/>
      </w:pPr>
      <w:r>
        <w:rPr>
          <w:spacing w:val="-2"/>
        </w:rPr>
        <w:t>为规避汇率风险，公司主要采取以下措施：通过积极调整生产结构和产品结构，提高劳动生产率和产</w:t>
      </w:r>
      <w:r>
        <w:rPr/>
        <w:t> </w:t>
      </w:r>
      <w:r>
        <w:rPr>
          <w:spacing w:val="-1"/>
        </w:rPr>
        <w:t>品附加值，争取更大的利润空间；合理利用结汇规则并择机开展远期结汇业务，力求结汇利益最大化；加</w:t>
      </w:r>
      <w:r>
        <w:rPr>
          <w:spacing w:val="-85"/>
        </w:rPr>
        <w:t> </w:t>
      </w:r>
      <w:r>
        <w:rPr>
          <w:spacing w:val="-85"/>
        </w:rPr>
      </w:r>
      <w:r>
        <w:rPr>
          <w:spacing w:val="-1"/>
        </w:rPr>
        <w:t>快资金回笼速度，及时结汇，加快资金的周转率；充分依靠公司的竞争优势，发挥议价能力，接单过程中</w:t>
      </w:r>
      <w:r>
        <w:rPr>
          <w:spacing w:val="-83"/>
        </w:rPr>
        <w:t> </w:t>
      </w:r>
      <w:r>
        <w:rPr>
          <w:spacing w:val="-83"/>
        </w:rPr>
      </w:r>
      <w:r>
        <w:rPr/>
        <w:t>全面考虑人民币的升值预期，在出口合同中附加相关条款，减少和转嫁部分汇率波动风险。</w:t>
      </w:r>
    </w:p>
    <w:p>
      <w:pPr>
        <w:pStyle w:val="BodyText"/>
        <w:spacing w:line="295" w:lineRule="auto"/>
        <w:ind w:left="154" w:right="1128" w:firstLine="480"/>
        <w:jc w:val="left"/>
      </w:pPr>
      <w:r>
        <w:rPr>
          <w:spacing w:val="-2"/>
        </w:rPr>
        <w:t>公司第四届董事会第十七次会议审议同意在一定业务规模（不超过</w:t>
      </w:r>
      <w:r>
        <w:rPr>
          <w:rFonts w:ascii="Times New Roman" w:hAnsi="Times New Roman" w:cs="Times New Roman" w:eastAsia="Times New Roman" w:hint="default"/>
          <w:spacing w:val="-2"/>
        </w:rPr>
        <w:t>3000</w:t>
      </w:r>
      <w:r>
        <w:rPr>
          <w:spacing w:val="-2"/>
        </w:rPr>
        <w:t>万美元）和业务期限内（</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日）开展远期结汇业务。本公司密切关注汇率变动对本公司外汇风险的影响，本 期提前终止了远期外汇合同。</w:t>
      </w:r>
    </w:p>
    <w:p>
      <w:pPr>
        <w:pStyle w:val="BodyText"/>
        <w:spacing w:line="295" w:lineRule="auto" w:before="35"/>
        <w:ind w:left="634" w:right="0"/>
        <w:jc w:val="left"/>
      </w:pPr>
      <w:r>
        <w:rPr/>
        <w:t>（</w:t>
      </w:r>
      <w:r>
        <w:rPr>
          <w:rFonts w:ascii="Times New Roman" w:hAnsi="Times New Roman" w:cs="Times New Roman" w:eastAsia="Times New Roman" w:hint="default"/>
        </w:rPr>
        <w:t>2</w:t>
      </w:r>
      <w:r>
        <w:rPr/>
        <w:t>）利率风险 本公司因利率变动引起金融工具现金流量变动的风险主要与浮动利率银行借款</w:t>
      </w:r>
      <w:r>
        <w:rPr>
          <w:rFonts w:ascii="Times New Roman" w:hAnsi="Times New Roman" w:cs="Times New Roman" w:eastAsia="Times New Roman" w:hint="default"/>
        </w:rPr>
        <w:t>(</w:t>
      </w:r>
      <w:r>
        <w:rPr/>
        <w:t>详见本附注六、</w:t>
      </w:r>
      <w:r>
        <w:rPr>
          <w:rFonts w:ascii="Times New Roman" w:hAnsi="Times New Roman" w:cs="Times New Roman" w:eastAsia="Times New Roman" w:hint="default"/>
        </w:rPr>
        <w:t>19</w:t>
      </w:r>
      <w:r>
        <w:rPr/>
        <w:t>及</w:t>
      </w:r>
    </w:p>
    <w:p>
      <w:pPr>
        <w:pStyle w:val="BodyText"/>
        <w:spacing w:line="304" w:lineRule="auto" w:before="14"/>
        <w:ind w:left="634" w:right="5432" w:hanging="480"/>
        <w:jc w:val="left"/>
      </w:pPr>
      <w:r>
        <w:rPr/>
        <w:t>六、</w:t>
      </w:r>
      <w:r>
        <w:rPr>
          <w:rFonts w:ascii="Times New Roman" w:hAnsi="Times New Roman" w:cs="Times New Roman" w:eastAsia="Times New Roman" w:hint="default"/>
        </w:rPr>
        <w:t>28)</w:t>
      </w:r>
      <w:r>
        <w:rPr/>
        <w:t>有关。本公司的政策是保持这些借款的浮动利率。 利率风险敏感性分析： 利率风险敏感性分析基于下述假设：</w:t>
      </w:r>
    </w:p>
    <w:p>
      <w:pPr>
        <w:pStyle w:val="BodyText"/>
        <w:spacing w:line="240" w:lineRule="auto" w:before="27"/>
        <w:ind w:left="694" w:right="0"/>
        <w:jc w:val="left"/>
      </w:pPr>
      <w:r>
        <w:rPr/>
        <w:t>·</w:t>
      </w:r>
      <w:r>
        <w:rPr>
          <w:spacing w:val="45"/>
        </w:rPr>
        <w:t> </w:t>
      </w:r>
      <w:r>
        <w:rPr/>
        <w:t>市场利率变化影响可变利率金融工具的利息收入或费用；</w:t>
      </w:r>
    </w:p>
    <w:p>
      <w:pPr>
        <w:pStyle w:val="BodyText"/>
        <w:spacing w:line="240" w:lineRule="auto" w:before="84"/>
        <w:ind w:left="694" w:right="0"/>
        <w:jc w:val="left"/>
      </w:pPr>
      <w:r>
        <w:rPr/>
        <w:t>·</w:t>
      </w:r>
      <w:r>
        <w:rPr>
          <w:spacing w:val="45"/>
        </w:rPr>
        <w:t> </w:t>
      </w:r>
      <w:r>
        <w:rPr/>
        <w:t>对于以公允价值计量的固定利率金融工具，市场利率变化仅仅影响其利息收入或费用；</w:t>
      </w:r>
    </w:p>
    <w:p>
      <w:pPr>
        <w:pStyle w:val="BodyText"/>
        <w:spacing w:line="314" w:lineRule="auto" w:before="84"/>
        <w:ind w:left="1054" w:right="1111" w:hanging="360"/>
        <w:jc w:val="left"/>
      </w:pPr>
      <w:r>
        <w:rPr/>
        <w:t>·</w:t>
      </w:r>
      <w:r>
        <w:rPr>
          <w:spacing w:val="-34"/>
        </w:rPr>
        <w:t> </w:t>
      </w:r>
      <w:r>
        <w:rPr/>
        <w:t>对于指定为套期工具的衍生金融工具，市场利率变化影响其公允价值，并且所有利率套期预计都</w:t>
      </w:r>
      <w:r>
        <w:rPr/>
        <w:t> 是高度有效的；</w:t>
      </w:r>
    </w:p>
    <w:p>
      <w:pPr>
        <w:pStyle w:val="BodyText"/>
        <w:spacing w:line="314" w:lineRule="auto"/>
        <w:ind w:left="1054" w:right="1139" w:hanging="360"/>
        <w:jc w:val="left"/>
      </w:pPr>
      <w:r>
        <w:rPr/>
        <w:t>·</w:t>
      </w:r>
      <w:r>
        <w:rPr>
          <w:spacing w:val="66"/>
        </w:rPr>
        <w:t> </w:t>
      </w:r>
      <w:r>
        <w:rPr>
          <w:spacing w:val="2"/>
        </w:rPr>
        <w:t>以资产负债表日市场利率采用现金流量折现法计算衍生金融工具及其他金融资产和负债的公允</w:t>
      </w:r>
      <w:r>
        <w:rPr>
          <w:spacing w:val="-103"/>
        </w:rPr>
        <w:t> </w:t>
      </w:r>
      <w:r>
        <w:rPr>
          <w:spacing w:val="-103"/>
        </w:rPr>
      </w:r>
      <w:r>
        <w:rPr/>
        <w:t>价值变化。</w:t>
      </w:r>
    </w:p>
    <w:p>
      <w:pPr>
        <w:pStyle w:val="BodyText"/>
        <w:spacing w:line="314" w:lineRule="auto"/>
        <w:ind w:left="154" w:right="1120" w:firstLine="480"/>
        <w:jc w:val="left"/>
      </w:pPr>
      <w:r>
        <w:rPr>
          <w:spacing w:val="-2"/>
        </w:rPr>
        <w:t>在上述假设的基础上，在其他变量不变的情况下，利率可能发生的合理变动对当期损益和股东权益的</w:t>
      </w:r>
      <w:r>
        <w:rPr/>
        <w:t> 税前影响如下：</w:t>
      </w:r>
    </w:p>
    <w:tbl>
      <w:tblPr>
        <w:tblW w:w="0" w:type="auto"/>
        <w:jc w:val="left"/>
        <w:tblInd w:w="149" w:type="dxa"/>
        <w:tblLayout w:type="fixed"/>
        <w:tblCellMar>
          <w:top w:w="0" w:type="dxa"/>
          <w:left w:w="0" w:type="dxa"/>
          <w:bottom w:w="0" w:type="dxa"/>
          <w:right w:w="0" w:type="dxa"/>
        </w:tblCellMar>
        <w:tblLook w:val="01E0"/>
      </w:tblPr>
      <w:tblGrid>
        <w:gridCol w:w="1528"/>
        <w:gridCol w:w="1134"/>
        <w:gridCol w:w="1559"/>
        <w:gridCol w:w="1985"/>
        <w:gridCol w:w="1450"/>
        <w:gridCol w:w="1985"/>
      </w:tblGrid>
      <w:tr>
        <w:trPr>
          <w:trHeight w:val="342" w:hRule="exact"/>
        </w:trPr>
        <w:tc>
          <w:tcPr>
            <w:tcW w:w="15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43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42" w:hRule="exact"/>
        </w:trPr>
        <w:tc>
          <w:tcPr>
            <w:tcW w:w="1528" w:type="dxa"/>
            <w:vMerge/>
            <w:tcBorders>
              <w:left w:val="single" w:sz="4" w:space="0" w:color="000000"/>
              <w:bottom w:val="single" w:sz="4" w:space="0" w:color="000000"/>
              <w:right w:val="single" w:sz="4" w:space="0" w:color="000000"/>
            </w:tcBorders>
            <w:shd w:val="clear" w:color="auto" w:fill="D9D9D9"/>
          </w:tcPr>
          <w:p>
            <w:pPr/>
          </w:p>
        </w:tc>
        <w:tc>
          <w:tcPr>
            <w:tcW w:w="1134" w:type="dxa"/>
            <w:vMerge/>
            <w:tcBorders>
              <w:left w:val="single" w:sz="4" w:space="0" w:color="000000"/>
              <w:bottom w:val="single" w:sz="4" w:space="0" w:color="000000"/>
              <w:right w:val="single" w:sz="4" w:space="0" w:color="000000"/>
            </w:tcBorders>
            <w:shd w:val="clear" w:color="auto" w:fill="D9D9D9"/>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33"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67"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4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80"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66"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4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长、短期借款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-1,144,375.00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-1,056,375.00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-983,750.00</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-687,750.00</w:t>
            </w:r>
            <w:r>
              <w:rPr>
                <w:rFonts w:ascii="Times New Roman"/>
                <w:sz w:val="18"/>
              </w:rPr>
            </w:r>
          </w:p>
        </w:tc>
      </w:tr>
      <w:tr>
        <w:trPr>
          <w:trHeight w:val="34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187,500.00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187,500.00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w w:val="95"/>
                <w:sz w:val="18"/>
              </w:rPr>
              <w:t>-956,875.00</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w w:val="95"/>
                <w:sz w:val="18"/>
              </w:rPr>
              <w:t>-868,875.00</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w w:val="95"/>
                <w:sz w:val="18"/>
              </w:rPr>
              <w:t>-983,750.00</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w w:val="95"/>
                <w:sz w:val="18"/>
              </w:rPr>
              <w:t>-687,750.00</w:t>
            </w:r>
            <w:r>
              <w:rPr>
                <w:rFonts w:ascii="Times New Roman"/>
                <w:sz w:val="18"/>
              </w:rPr>
            </w:r>
          </w:p>
        </w:tc>
      </w:tr>
    </w:tbl>
    <w:p>
      <w:pPr>
        <w:pStyle w:val="BodyText"/>
        <w:spacing w:line="295" w:lineRule="auto"/>
        <w:ind w:left="633" w:right="1118" w:firstLine="2"/>
        <w:jc w:val="left"/>
      </w:pP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b/>
          <w:bCs/>
          <w:w w:val="99"/>
        </w:rPr>
        <w:t> </w:t>
      </w:r>
      <w:r>
        <w:rPr>
          <w:spacing w:val="2"/>
        </w:rPr>
        <w:t>可能引起本公司财务损失的最大信用风险敞口主要来自于合同另一方未能履行义务而导致本公司金</w:t>
      </w:r>
    </w:p>
    <w:p>
      <w:pPr>
        <w:pStyle w:val="BodyText"/>
        <w:spacing w:line="314" w:lineRule="auto" w:before="35"/>
        <w:ind w:right="0"/>
        <w:jc w:val="left"/>
      </w:pPr>
      <w:r>
        <w:rPr>
          <w:spacing w:val="-1"/>
        </w:rPr>
        <w:t>融资产产生的损失，本公司主要为对外出口业务，采用信用证结算，因此，本公司管理层认为本公司所承</w:t>
      </w:r>
      <w:r>
        <w:rPr>
          <w:spacing w:val="-86"/>
        </w:rPr>
        <w:t> </w:t>
      </w:r>
      <w:r>
        <w:rPr>
          <w:spacing w:val="-86"/>
        </w:rPr>
      </w:r>
      <w:r>
        <w:rPr/>
        <w:t>担的信用风险较低。</w:t>
      </w:r>
    </w:p>
    <w:p>
      <w:pPr>
        <w:pStyle w:val="BodyText"/>
        <w:spacing w:line="240" w:lineRule="auto"/>
        <w:ind w:left="634" w:right="0"/>
        <w:jc w:val="left"/>
      </w:pPr>
      <w:r>
        <w:rPr/>
        <w:t>本公司无已逾期未计提减值的金融资产。</w:t>
      </w:r>
    </w:p>
    <w:p>
      <w:pPr>
        <w:pStyle w:val="BodyText"/>
        <w:spacing w:line="295" w:lineRule="auto" w:before="84"/>
        <w:ind w:left="634" w:right="1120" w:firstLine="2"/>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管理流动风险时，本公司保持管理层认为充分的现金及现金等价物并对其进行监控，以满足本公司经</w:t>
      </w:r>
    </w:p>
    <w:p>
      <w:pPr>
        <w:pStyle w:val="BodyText"/>
        <w:spacing w:line="240" w:lineRule="auto" w:before="36"/>
        <w:ind w:left="154" w:right="0"/>
        <w:jc w:val="left"/>
      </w:pPr>
      <w:r>
        <w:rPr>
          <w:spacing w:val="-3"/>
        </w:rPr>
        <w:t>营需要，并降低现金流量波动的影响。本公司管理层对银行借款的使用情况进行监控并确保遵守借款协议。</w:t>
      </w:r>
    </w:p>
    <w:p>
      <w:pPr>
        <w:spacing w:line="240" w:lineRule="auto" w:before="7"/>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317"/>
        <w:gridCol w:w="1554"/>
        <w:gridCol w:w="1583"/>
        <w:gridCol w:w="1718"/>
        <w:gridCol w:w="1626"/>
        <w:gridCol w:w="1842"/>
      </w:tblGrid>
      <w:tr>
        <w:trPr>
          <w:trHeight w:val="341" w:hRule="exact"/>
        </w:trPr>
        <w:tc>
          <w:tcPr>
            <w:tcW w:w="13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6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3"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03" w:right="0"/>
              <w:jc w:val="left"/>
              <w:rPr>
                <w:rFonts w:ascii="Times New Roman" w:hAnsi="Times New Roman" w:cs="Times New Roman" w:eastAsia="Times New Roman" w:hint="default"/>
                <w:sz w:val="18"/>
                <w:szCs w:val="18"/>
              </w:rPr>
            </w:pPr>
            <w:r>
              <w:rPr>
                <w:rFonts w:ascii="Times New Roman"/>
                <w:sz w:val="18"/>
              </w:rPr>
              <w:t>49,090,566.16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58" w:right="0"/>
              <w:jc w:val="left"/>
              <w:rPr>
                <w:rFonts w:ascii="Times New Roman" w:hAnsi="Times New Roman" w:cs="Times New Roman" w:eastAsia="Times New Roman" w:hint="default"/>
                <w:sz w:val="18"/>
                <w:szCs w:val="18"/>
              </w:rPr>
            </w:pPr>
            <w:r>
              <w:rPr>
                <w:rFonts w:ascii="Times New Roman"/>
                <w:sz w:val="18"/>
              </w:rPr>
              <w:t>491,768.47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59" w:right="0"/>
              <w:jc w:val="left"/>
              <w:rPr>
                <w:rFonts w:ascii="Times New Roman" w:hAnsi="Times New Roman" w:cs="Times New Roman" w:eastAsia="Times New Roman" w:hint="default"/>
                <w:sz w:val="18"/>
                <w:szCs w:val="18"/>
              </w:rPr>
            </w:pPr>
            <w:r>
              <w:rPr>
                <w:rFonts w:ascii="Times New Roman"/>
                <w:sz w:val="18"/>
              </w:rPr>
              <w:t>3,641,614.96</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66" w:right="0"/>
              <w:jc w:val="left"/>
              <w:rPr>
                <w:rFonts w:ascii="Times New Roman" w:hAnsi="Times New Roman" w:cs="Times New Roman" w:eastAsia="Times New Roman" w:hint="default"/>
                <w:sz w:val="18"/>
                <w:szCs w:val="18"/>
              </w:rPr>
            </w:pPr>
            <w:r>
              <w:rPr>
                <w:rFonts w:ascii="Times New Roman"/>
                <w:sz w:val="18"/>
              </w:rPr>
              <w:t>4,087,715.74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92" w:right="0"/>
              <w:jc w:val="left"/>
              <w:rPr>
                <w:rFonts w:ascii="Times New Roman" w:hAnsi="Times New Roman" w:cs="Times New Roman" w:eastAsia="Times New Roman" w:hint="default"/>
                <w:sz w:val="18"/>
                <w:szCs w:val="18"/>
              </w:rPr>
            </w:pPr>
            <w:r>
              <w:rPr>
                <w:rFonts w:ascii="Times New Roman"/>
                <w:sz w:val="18"/>
              </w:rPr>
              <w:t>57,311,665.33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17"/>
        <w:gridCol w:w="1554"/>
        <w:gridCol w:w="1583"/>
        <w:gridCol w:w="1718"/>
        <w:gridCol w:w="1626"/>
        <w:gridCol w:w="1842"/>
      </w:tblGrid>
      <w:tr>
        <w:trPr>
          <w:trHeight w:val="342"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3,115,370.84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204.67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26,727.22</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15,601.91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3,157,904.64</w:t>
            </w:r>
          </w:p>
        </w:tc>
      </w:tr>
      <w:tr>
        <w:trPr>
          <w:trHeight w:val="342"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1,769,065.27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9,513,474.08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3,203,543.49</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3,334,437.03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17,820,519.87</w:t>
            </w:r>
          </w:p>
        </w:tc>
      </w:tr>
      <w:tr>
        <w:trPr>
          <w:trHeight w:val="342"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53,975,002.27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10,005,447.22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6,871,885.67</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7,437,754.68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78,290,089.84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一、关联方及关联交易" w:id="323"/>
      <w:bookmarkEnd w:id="323"/>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本企业的母公司情况" w:id="324"/>
      <w:bookmarkEnd w:id="32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85"/>
        <w:gridCol w:w="1205"/>
        <w:gridCol w:w="1594"/>
        <w:gridCol w:w="1594"/>
        <w:gridCol w:w="1595"/>
        <w:gridCol w:w="1595"/>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12,800.00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7" w:right="0"/>
              <w:jc w:val="left"/>
              <w:rPr>
                <w:rFonts w:ascii="Times New Roman" w:hAnsi="Times New Roman" w:cs="Times New Roman" w:eastAsia="Times New Roman" w:hint="default"/>
                <w:sz w:val="18"/>
                <w:szCs w:val="18"/>
              </w:rPr>
            </w:pPr>
            <w:r>
              <w:rPr>
                <w:rFonts w:ascii="Times New Roman"/>
                <w:sz w:val="18"/>
              </w:rPr>
              <w:t>27.40%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6" w:right="0"/>
              <w:jc w:val="left"/>
              <w:rPr>
                <w:rFonts w:ascii="Times New Roman" w:hAnsi="Times New Roman" w:cs="Times New Roman" w:eastAsia="Times New Roman" w:hint="default"/>
                <w:sz w:val="18"/>
                <w:szCs w:val="18"/>
              </w:rPr>
            </w:pPr>
            <w:r>
              <w:rPr>
                <w:rFonts w:ascii="Times New Roman"/>
                <w:sz w:val="18"/>
              </w:rPr>
              <w:t>27.40%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本企业最终控制方是陆尔穗。</w:t>
      </w:r>
    </w:p>
    <w:p>
      <w:pPr>
        <w:spacing w:line="240" w:lineRule="auto" w:before="10"/>
        <w:rPr>
          <w:rFonts w:ascii="宋体" w:hAnsi="宋体" w:cs="宋体" w:eastAsia="宋体" w:hint="default"/>
          <w:sz w:val="26"/>
          <w:szCs w:val="26"/>
        </w:rPr>
      </w:pPr>
    </w:p>
    <w:p>
      <w:pPr>
        <w:spacing w:line="547" w:lineRule="auto" w:before="0"/>
        <w:ind w:left="154" w:right="4033" w:firstLine="0"/>
        <w:jc w:val="left"/>
        <w:rPr>
          <w:rFonts w:ascii="宋体" w:hAnsi="宋体" w:cs="宋体" w:eastAsia="宋体" w:hint="default"/>
          <w:sz w:val="21"/>
          <w:szCs w:val="21"/>
        </w:rPr>
      </w:pPr>
      <w:bookmarkStart w:name="2、本企业的子公司情况" w:id="325"/>
      <w:bookmarkEnd w:id="3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326"/>
      <w:bookmarkEnd w:id="32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40" w:lineRule="auto" w:before="5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本企业重要的合营或联营企业详见附注八、</w:t>
      </w:r>
      <w:r>
        <w:rPr>
          <w:rFonts w:ascii="Times New Roman" w:hAnsi="Times New Roman" w:cs="Times New Roman" w:eastAsia="Times New Roman" w:hint="default"/>
          <w:sz w:val="18"/>
          <w:szCs w:val="18"/>
        </w:rPr>
        <w:t>2</w:t>
      </w:r>
      <w:r>
        <w:rPr>
          <w:rFonts w:ascii="宋体" w:hAnsi="宋体" w:cs="宋体" w:eastAsia="宋体" w:hint="default"/>
          <w:sz w:val="18"/>
          <w:szCs w:val="18"/>
        </w:rPr>
        <w:t>、在合营安排或联营企业中的权益。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4"/>
        <w:gridCol w:w="5315"/>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2"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5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南通世川时装有限公司</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其他关联方情况" w:id="327"/>
      <w:bookmarkEnd w:id="32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54"/>
        <w:gridCol w:w="5315"/>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2"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南通新城集团有限公司</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南通三友文化娱乐发展有限公司</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同一控股股东</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南通新城旧机动车鉴定评估有限公司</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南通新城集团汽车销售服务有限公司</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南通新城丰瑞汽车销售服务有限公司</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海门新城汽车销售服务有限公司</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海门新城汽车销售服务有限公司</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南通业勤水利电力建设工程有限公司</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江苏新海花实业有限公司</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陆尔东</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实际控制人近亲属</w:t>
            </w:r>
          </w:p>
        </w:tc>
      </w:tr>
      <w:tr>
        <w:trPr>
          <w:trHeight w:val="71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上海金匙环保科技股份有限公司</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子公司少数股东，以设备作价向江苏三友环保能源科技有限公司出 资，出资比例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r>
    </w:tbl>
    <w:p>
      <w:pPr>
        <w:spacing w:after="0" w:line="316"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5"/>
        <w:ind w:left="153" w:right="0"/>
        <w:jc w:val="left"/>
        <w:rPr>
          <w:b w:val="0"/>
          <w:bCs w:val="0"/>
        </w:rPr>
      </w:pPr>
      <w:bookmarkStart w:name="5、关联交易情况" w:id="328"/>
      <w:bookmarkEnd w:id="32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购销商品、提供和接受劳务的关联交易" w:id="329"/>
      <w:bookmarkEnd w:id="32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1844"/>
        <w:gridCol w:w="1954"/>
        <w:gridCol w:w="2652"/>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南通世川时装有限公司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接受加工劳务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6,199,579.49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7,440,431.62</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南通三友文化娱乐发展有限公司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提供会务服务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157,700.00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南通新城集团有限公司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购车及维修</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841,900.00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海花集团有限公司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954"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5,999.99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南通新城旧机动车鉴定评估有限公司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954"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1,729.00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1844"/>
        <w:gridCol w:w="1954"/>
        <w:gridCol w:w="2652"/>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南通新城丰瑞汽车销售服务有限公司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销售导航</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5" w:right="0"/>
              <w:jc w:val="left"/>
              <w:rPr>
                <w:rFonts w:ascii="Times New Roman" w:hAnsi="Times New Roman" w:cs="Times New Roman" w:eastAsia="Times New Roman" w:hint="default"/>
                <w:sz w:val="18"/>
                <w:szCs w:val="18"/>
              </w:rPr>
            </w:pPr>
            <w:r>
              <w:rPr>
                <w:rFonts w:ascii="Times New Roman"/>
                <w:sz w:val="18"/>
              </w:rPr>
              <w:t>4,858,378.39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1,572,844.36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南通新城集团有限公司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954"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172,100.00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南通新城集团汽车销售服务有限公司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954"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海门新城汽车销售服务有限公司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954"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29,251.33</w:t>
            </w:r>
          </w:p>
        </w:tc>
      </w:tr>
    </w:tbl>
    <w:p>
      <w:pPr>
        <w:spacing w:line="360" w:lineRule="auto" w:before="51"/>
        <w:ind w:left="513" w:right="3420" w:hanging="36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 本期与南通新城丰瑞汽车销售服务有限公司发生交易金额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4,858,378.39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元为不含税金额。</w:t>
      </w:r>
    </w:p>
    <w:p>
      <w:pPr>
        <w:spacing w:line="240" w:lineRule="auto" w:before="1"/>
        <w:rPr>
          <w:rFonts w:ascii="宋体" w:hAnsi="宋体" w:cs="宋体" w:eastAsia="宋体" w:hint="default"/>
          <w:sz w:val="18"/>
          <w:szCs w:val="18"/>
        </w:rPr>
      </w:pPr>
    </w:p>
    <w:p>
      <w:pPr>
        <w:pStyle w:val="Heading5"/>
        <w:spacing w:line="240" w:lineRule="auto"/>
        <w:ind w:left="153" w:right="0"/>
        <w:jc w:val="left"/>
        <w:rPr>
          <w:b w:val="0"/>
          <w:bCs w:val="0"/>
        </w:rPr>
      </w:pPr>
      <w:bookmarkStart w:name="（2）关联租赁情况" w:id="330"/>
      <w:bookmarkEnd w:id="330"/>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346,000.00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346,000.00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577,888.70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577,888.70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1,143,870.00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1,143,870.00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pStyle w:val="BodyText"/>
        <w:spacing w:line="273" w:lineRule="auto" w:before="90"/>
        <w:ind w:right="0" w:firstLine="420"/>
        <w:jc w:val="left"/>
      </w:pPr>
      <w:r>
        <w:rPr>
          <w:spacing w:val="-1"/>
        </w:rPr>
        <w:t>本公司子公司南通市港闸区资丰农村小额贷款有限公司作为承租人，向南通新城集团有限公司租赁办</w:t>
      </w:r>
      <w:r>
        <w:rPr/>
        <w:t> 公经营场所，至</w:t>
      </w:r>
      <w:r>
        <w:rPr>
          <w:rFonts w:ascii="Times New Roman" w:hAnsi="Times New Roman" w:cs="Times New Roman" w:eastAsia="Times New Roman" w:hint="default"/>
        </w:rPr>
        <w:t>2014</w:t>
      </w:r>
      <w:r>
        <w:rPr/>
        <w:t>年末，免收取房租。</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3）关联担保情况" w:id="331"/>
      <w:bookmarkEnd w:id="331"/>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276"/>
        <w:gridCol w:w="1843"/>
        <w:gridCol w:w="1702"/>
        <w:gridCol w:w="1914"/>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江苏北斗科技有限公司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276"/>
        <w:gridCol w:w="1843"/>
        <w:gridCol w:w="1702"/>
        <w:gridCol w:w="1914"/>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关联方资金拆借" w:id="332"/>
      <w:bookmarkEnd w:id="332"/>
      <w:r>
        <w:rPr>
          <w:b w:val="0"/>
          <w:bCs w:val="0"/>
        </w:rPr>
      </w:r>
      <w:r>
        <w:rPr/>
        <w:t>（</w:t>
      </w:r>
      <w:r>
        <w:rPr>
          <w:rFonts w:ascii="Times New Roman" w:hAnsi="Times New Roman" w:cs="Times New Roman" w:eastAsia="Times New Roman" w:hint="default"/>
        </w:rPr>
        <w:t>4</w:t>
      </w:r>
      <w:r>
        <w:rPr/>
        <w:t>）关联方资金拆借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2"/>
        <w:gridCol w:w="1276"/>
        <w:gridCol w:w="1843"/>
        <w:gridCol w:w="1702"/>
        <w:gridCol w:w="1348"/>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南通市港闸区资丰农村小额贷款有限公司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南通市港闸区资丰农村小额贷款有限公司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陆尔东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关联方应收应付款项" w:id="333"/>
      <w:bookmarkEnd w:id="33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项目：无" w:id="334"/>
      <w:bookmarkEnd w:id="334"/>
      <w:r>
        <w:rPr>
          <w:b w:val="0"/>
          <w:bCs w:val="0"/>
        </w:rPr>
      </w:r>
      <w:r>
        <w:rPr/>
        <w:t>（</w:t>
      </w:r>
      <w:r>
        <w:rPr>
          <w:rFonts w:ascii="Times New Roman" w:hAnsi="Times New Roman" w:cs="Times New Roman" w:eastAsia="Times New Roman" w:hint="default"/>
        </w:rPr>
        <w:t>1</w:t>
      </w:r>
      <w:r>
        <w:rPr/>
        <w:t>）应收项目：无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应付项目" w:id="335"/>
      <w:bookmarkEnd w:id="33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1985"/>
        <w:gridCol w:w="1842"/>
        <w:gridCol w:w="1630"/>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南通新城集团有限公司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28,009.00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江苏新海花实业有限公司（海花集团有限公司）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5,999.99</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12"/>
        <w:gridCol w:w="1985"/>
        <w:gridCol w:w="1842"/>
        <w:gridCol w:w="1630"/>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南通新城旧机动车鉴定评估有限公司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1,729.00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35,737.99</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上海金匙环保科技股份有限公司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二、承诺及或有事项" w:id="336"/>
      <w:bookmarkEnd w:id="336"/>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重要承诺事项" w:id="337"/>
      <w:bookmarkEnd w:id="33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314" w:lineRule="auto" w:before="114"/>
        <w:ind w:left="154" w:right="0" w:firstLine="420"/>
        <w:jc w:val="left"/>
      </w:pPr>
      <w:r>
        <w:rPr>
          <w:spacing w:val="-1"/>
        </w:rPr>
        <w:t>本公司之子公司南通市港闸区资丰农村小额贷款有限公司经营担保业务，为其他单位或个人提供债务</w:t>
      </w:r>
      <w:r>
        <w:rPr/>
        <w:t> 担保余额</w:t>
      </w:r>
      <w:r>
        <w:rPr>
          <w:rFonts w:ascii="Times New Roman" w:hAnsi="Times New Roman" w:cs="Times New Roman" w:eastAsia="Times New Roman" w:hint="default"/>
        </w:rPr>
        <w:t>14,974,789.24</w:t>
      </w:r>
      <w:r>
        <w:rPr/>
        <w:t>元。</w:t>
      </w:r>
    </w:p>
    <w:p>
      <w:pPr>
        <w:spacing w:line="240" w:lineRule="auto" w:before="11"/>
        <w:rPr>
          <w:rFonts w:ascii="宋体" w:hAnsi="宋体" w:cs="宋体" w:eastAsia="宋体" w:hint="default"/>
          <w:sz w:val="20"/>
          <w:szCs w:val="20"/>
        </w:rPr>
      </w:pPr>
    </w:p>
    <w:p>
      <w:pPr>
        <w:pStyle w:val="Heading5"/>
        <w:spacing w:line="240" w:lineRule="auto"/>
        <w:ind w:left="153" w:right="0"/>
        <w:jc w:val="left"/>
        <w:rPr>
          <w:b w:val="0"/>
          <w:bCs w:val="0"/>
        </w:rPr>
      </w:pPr>
      <w:bookmarkStart w:name="2、或有事项" w:id="338"/>
      <w:bookmarkEnd w:id="338"/>
      <w:r>
        <w:rPr>
          <w:b w:val="0"/>
          <w:bCs w:val="0"/>
        </w:rPr>
      </w:r>
      <w:r>
        <w:rPr>
          <w:rFonts w:ascii="Times New Roman" w:hAnsi="Times New Roman" w:cs="Times New Roman" w:eastAsia="Times New Roman" w:hint="default"/>
        </w:rPr>
        <w:t>2</w:t>
      </w:r>
      <w:r>
        <w:rPr/>
        <w:t>、或有事项</w:t>
      </w:r>
      <w:r>
        <w:rPr>
          <w:b w:val="0"/>
          <w:bCs w:val="0"/>
        </w:rPr>
      </w:r>
    </w:p>
    <w:p>
      <w:pPr>
        <w:spacing w:line="690" w:lineRule="exact" w:before="15"/>
        <w:ind w:left="573" w:right="0" w:hanging="420"/>
        <w:jc w:val="left"/>
        <w:rPr>
          <w:rFonts w:ascii="宋体" w:hAnsi="宋体" w:cs="宋体" w:eastAsia="宋体" w:hint="default"/>
          <w:sz w:val="21"/>
          <w:szCs w:val="21"/>
        </w:rPr>
      </w:pPr>
      <w:bookmarkStart w:name="（1）资产负债表日存在的重要或有事项"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pacing w:val="-1"/>
          <w:sz w:val="21"/>
          <w:szCs w:val="21"/>
        </w:rPr>
        <w:t>截至</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日，除上述事项外，本公司不存在其他应披露的承诺及未决诉讼、对外担保等或有</w:t>
      </w:r>
    </w:p>
    <w:p>
      <w:pPr>
        <w:pStyle w:val="BodyText"/>
        <w:spacing w:line="240" w:lineRule="auto" w:before="84"/>
        <w:ind w:left="154" w:right="0"/>
        <w:jc w:val="left"/>
      </w:pPr>
      <w:r>
        <w:rPr/>
        <w:t>事项。</w:t>
      </w:r>
    </w:p>
    <w:p>
      <w:pPr>
        <w:spacing w:line="240" w:lineRule="auto" w:before="0"/>
        <w:rPr>
          <w:rFonts w:ascii="宋体" w:hAnsi="宋体" w:cs="宋体" w:eastAsia="宋体" w:hint="default"/>
          <w:sz w:val="20"/>
          <w:szCs w:val="20"/>
        </w:rPr>
      </w:pPr>
    </w:p>
    <w:p>
      <w:pPr>
        <w:pStyle w:val="Heading5"/>
        <w:spacing w:line="240" w:lineRule="auto" w:before="155"/>
        <w:ind w:right="0"/>
        <w:jc w:val="left"/>
        <w:rPr>
          <w:b w:val="0"/>
          <w:bCs w:val="0"/>
        </w:rPr>
      </w:pPr>
      <w:bookmarkStart w:name="（2）公司没有需要披露的重要或有事项，也应予以说明" w:id="340"/>
      <w:bookmarkEnd w:id="34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5"/>
        <w:rPr>
          <w:rFonts w:ascii="宋体" w:hAnsi="宋体" w:cs="宋体" w:eastAsia="宋体" w:hint="default"/>
          <w:b/>
          <w:bCs/>
          <w:sz w:val="25"/>
          <w:szCs w:val="25"/>
        </w:rPr>
      </w:pPr>
    </w:p>
    <w:p>
      <w:pPr>
        <w:spacing w:before="0"/>
        <w:ind w:left="553" w:right="0" w:firstLine="0"/>
        <w:jc w:val="left"/>
        <w:rPr>
          <w:rFonts w:ascii="宋体" w:hAnsi="宋体" w:cs="宋体" w:eastAsia="宋体" w:hint="default"/>
          <w:sz w:val="20"/>
          <w:szCs w:val="20"/>
        </w:rPr>
      </w:pPr>
      <w:r>
        <w:rPr>
          <w:rFonts w:ascii="宋体" w:hAnsi="宋体" w:cs="宋体" w:eastAsia="宋体" w:hint="default"/>
          <w:sz w:val="20"/>
          <w:szCs w:val="20"/>
        </w:rPr>
        <w:t>公司不存在需要披露的重要或有事项。</w:t>
      </w:r>
    </w:p>
    <w:p>
      <w:pPr>
        <w:spacing w:line="240" w:lineRule="auto" w:before="3"/>
        <w:rPr>
          <w:rFonts w:ascii="宋体" w:hAnsi="宋体" w:cs="宋体" w:eastAsia="宋体" w:hint="default"/>
          <w:sz w:val="24"/>
          <w:szCs w:val="24"/>
        </w:rPr>
      </w:pPr>
    </w:p>
    <w:p>
      <w:pPr>
        <w:pStyle w:val="Heading2"/>
        <w:spacing w:line="240" w:lineRule="auto"/>
        <w:ind w:left="154" w:right="0"/>
        <w:jc w:val="left"/>
        <w:rPr>
          <w:b w:val="0"/>
          <w:bCs w:val="0"/>
        </w:rPr>
      </w:pPr>
      <w:bookmarkStart w:name="十三、资产负债表日后事项" w:id="341"/>
      <w:bookmarkEnd w:id="341"/>
      <w:r>
        <w:rPr>
          <w:b w:val="0"/>
          <w:bCs w:val="0"/>
        </w:rPr>
      </w:r>
      <w:r>
        <w:rPr/>
        <w:t>十三、资产负债表日后事项</w:t>
      </w:r>
      <w:r>
        <w:rPr>
          <w:b w:val="0"/>
          <w:bCs w:val="0"/>
        </w:rPr>
      </w:r>
    </w:p>
    <w:p>
      <w:pPr>
        <w:spacing w:line="240" w:lineRule="auto" w:before="6"/>
        <w:rPr>
          <w:rFonts w:ascii="宋体" w:hAnsi="宋体" w:cs="宋体" w:eastAsia="宋体" w:hint="default"/>
          <w:b/>
          <w:bCs/>
          <w:sz w:val="26"/>
          <w:szCs w:val="26"/>
        </w:rPr>
      </w:pPr>
    </w:p>
    <w:p>
      <w:pPr>
        <w:pStyle w:val="BodyText"/>
        <w:spacing w:line="295" w:lineRule="auto" w:before="0"/>
        <w:ind w:right="0" w:firstLine="480"/>
        <w:jc w:val="left"/>
      </w:pPr>
      <w:r>
        <w:rPr>
          <w:rFonts w:ascii="Times New Roman" w:hAnsi="Times New Roman" w:cs="Times New Roman" w:eastAsia="Times New Roman" w:hint="default"/>
          <w:spacing w:val="-4"/>
        </w:rPr>
        <w:t>1</w:t>
      </w:r>
      <w:r>
        <w:rPr>
          <w:spacing w:val="-4"/>
        </w:rPr>
        <w:t>、根据本公司第五届董事会十七次会议于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26</w:t>
      </w:r>
      <w:r>
        <w:rPr>
          <w:spacing w:val="-4"/>
        </w:rPr>
        <w:t>日审议通过的《公司</w:t>
      </w:r>
      <w:r>
        <w:rPr>
          <w:rFonts w:ascii="Times New Roman" w:hAnsi="Times New Roman" w:cs="Times New Roman" w:eastAsia="Times New Roman" w:hint="default"/>
          <w:spacing w:val="-4"/>
        </w:rPr>
        <w:t>2014</w:t>
      </w:r>
      <w:r>
        <w:rPr>
          <w:spacing w:val="-4"/>
        </w:rPr>
        <w:t>年度利润分配预案》，</w:t>
      </w:r>
      <w:r>
        <w:rPr/>
        <w:t> 本公司决定以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224,250,000 </w:t>
      </w:r>
      <w:r>
        <w:rPr/>
        <w:t>股为基数，拟向全体股东每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t>股派发现金股利</w:t>
      </w:r>
      <w:r>
        <w:rPr>
          <w:rFonts w:ascii="Times New Roman" w:hAnsi="Times New Roman" w:cs="Times New Roman" w:eastAsia="Times New Roman" w:hint="default"/>
        </w:rPr>
        <w:t>0.20 </w:t>
      </w:r>
      <w:r>
        <w:rPr/>
        <w:t>元（含税），共计</w:t>
      </w:r>
      <w:r>
        <w:rPr>
          <w:rFonts w:ascii="Times New Roman" w:hAnsi="Times New Roman" w:cs="Times New Roman" w:eastAsia="Times New Roman" w:hint="default"/>
        </w:rPr>
        <w:t>4,485,000.00</w:t>
      </w:r>
      <w:r>
        <w:rPr/>
        <w:t>元，</w:t>
      </w:r>
      <w:r>
        <w:rPr>
          <w:rFonts w:ascii="Times New Roman" w:hAnsi="Times New Roman" w:cs="Times New Roman" w:eastAsia="Times New Roman" w:hint="default"/>
        </w:rPr>
        <w:t>2014</w:t>
      </w:r>
      <w:r>
        <w:rPr/>
        <w:t>年度不送红股，不以公积金转增股本。上述利润分配预案尚待公司 股东大会批准。</w:t>
      </w:r>
    </w:p>
    <w:p>
      <w:pPr>
        <w:pStyle w:val="BodyText"/>
        <w:spacing w:line="295" w:lineRule="auto" w:before="35"/>
        <w:ind w:right="0" w:firstLine="60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日，本公司与南通新城集团永兴汽车销售服务有限公司（以下简称</w:t>
      </w:r>
      <w:r>
        <w:rPr>
          <w:rFonts w:ascii="Times New Roman" w:hAnsi="Times New Roman" w:cs="Times New Roman" w:eastAsia="Times New Roman" w:hint="default"/>
          <w:spacing w:val="-2"/>
        </w:rPr>
        <w:t>“</w:t>
      </w:r>
      <w:r>
        <w:rPr>
          <w:spacing w:val="-2"/>
        </w:rPr>
        <w:t>新城永兴公司</w:t>
      </w:r>
      <w:r>
        <w:rPr>
          <w:rFonts w:ascii="Times New Roman" w:hAnsi="Times New Roman" w:cs="Times New Roman" w:eastAsia="Times New Roman" w:hint="default"/>
          <w:spacing w:val="-2"/>
        </w:rPr>
        <w:t>”</w:t>
      </w:r>
      <w:r>
        <w:rPr>
          <w:spacing w:val="-2"/>
        </w:rPr>
        <w:t>）</w:t>
      </w:r>
      <w:r>
        <w:rPr/>
        <w:t> 在南通市签订了《股权转让协议》（以下简称</w:t>
      </w:r>
      <w:r>
        <w:rPr>
          <w:rFonts w:ascii="Times New Roman" w:hAnsi="Times New Roman" w:cs="Times New Roman" w:eastAsia="Times New Roman" w:hint="default"/>
        </w:rPr>
        <w:t>“</w:t>
      </w:r>
      <w:r>
        <w:rPr/>
        <w:t>《协议》</w:t>
      </w:r>
      <w:r>
        <w:rPr>
          <w:rFonts w:ascii="Times New Roman" w:hAnsi="Times New Roman" w:cs="Times New Roman" w:eastAsia="Times New Roman" w:hint="default"/>
        </w:rPr>
        <w:t>”</w:t>
      </w:r>
      <w:r>
        <w:rPr/>
        <w:t>），将公司持有的南通三友信息科技发展有限公 </w:t>
      </w:r>
      <w:r>
        <w:rPr>
          <w:spacing w:val="-6"/>
        </w:rPr>
        <w:t>司（以下简称“三友信息公司”）</w:t>
      </w:r>
      <w:r>
        <w:rPr>
          <w:rFonts w:ascii="Times New Roman" w:hAnsi="Times New Roman" w:cs="Times New Roman" w:eastAsia="Times New Roman" w:hint="default"/>
          <w:spacing w:val="-6"/>
        </w:rPr>
        <w:t>500</w:t>
      </w:r>
      <w:r>
        <w:rPr>
          <w:spacing w:val="-6"/>
        </w:rPr>
        <w:t>万元出资的股权（占信息公司注册资本的</w:t>
      </w:r>
      <w:r>
        <w:rPr>
          <w:rFonts w:ascii="Times New Roman" w:hAnsi="Times New Roman" w:cs="Times New Roman" w:eastAsia="Times New Roman" w:hint="default"/>
          <w:spacing w:val="-6"/>
        </w:rPr>
        <w:t>100%</w:t>
      </w:r>
      <w:r>
        <w:rPr>
          <w:spacing w:val="-6"/>
        </w:rPr>
        <w:t>，以下简称</w:t>
      </w:r>
      <w:r>
        <w:rPr>
          <w:rFonts w:ascii="Times New Roman" w:hAnsi="Times New Roman" w:cs="Times New Roman" w:eastAsia="Times New Roman" w:hint="default"/>
          <w:spacing w:val="-6"/>
        </w:rPr>
        <w:t>“</w:t>
      </w:r>
      <w:r>
        <w:rPr>
          <w:spacing w:val="-6"/>
        </w:rPr>
        <w:t>标的股权</w:t>
      </w:r>
      <w:r>
        <w:rPr>
          <w:rFonts w:ascii="Times New Roman" w:hAnsi="Times New Roman" w:cs="Times New Roman" w:eastAsia="Times New Roman" w:hint="default"/>
          <w:spacing w:val="-6"/>
        </w:rPr>
        <w:t>”</w:t>
      </w:r>
      <w:r>
        <w:rPr>
          <w:spacing w:val="-6"/>
        </w:rPr>
        <w:t>）</w:t>
      </w:r>
      <w:r>
        <w:rPr>
          <w:spacing w:val="-75"/>
        </w:rPr>
        <w:t> </w:t>
      </w:r>
      <w:r>
        <w:rPr>
          <w:spacing w:val="-2"/>
        </w:rPr>
        <w:t>以人民币</w:t>
      </w:r>
      <w:r>
        <w:rPr>
          <w:rFonts w:ascii="Times New Roman" w:hAnsi="Times New Roman" w:cs="Times New Roman" w:eastAsia="Times New Roman" w:hint="default"/>
          <w:spacing w:val="-2"/>
        </w:rPr>
        <w:t>542.79</w:t>
      </w:r>
      <w:r>
        <w:rPr>
          <w:spacing w:val="-2"/>
        </w:rPr>
        <w:t>万元的价格转让给新城永兴公司。本次交易已经公司董事会批准，至报告日交易尚未完成。</w:t>
      </w:r>
    </w:p>
    <w:p>
      <w:pPr>
        <w:pStyle w:val="BodyText"/>
        <w:spacing w:line="240" w:lineRule="auto" w:before="14"/>
        <w:ind w:left="634" w:right="0"/>
        <w:jc w:val="left"/>
      </w:pPr>
      <w:r>
        <w:rPr/>
        <w:t>除上述事项外，本公司无需要披露的资产负债表日后事项。</w:t>
      </w:r>
    </w:p>
    <w:p>
      <w:pPr>
        <w:spacing w:line="240" w:lineRule="auto" w:before="11"/>
        <w:rPr>
          <w:rFonts w:ascii="宋体" w:hAnsi="宋体" w:cs="宋体" w:eastAsia="宋体" w:hint="default"/>
          <w:sz w:val="25"/>
          <w:szCs w:val="25"/>
        </w:rPr>
      </w:pPr>
    </w:p>
    <w:p>
      <w:pPr>
        <w:pStyle w:val="Heading2"/>
        <w:spacing w:line="240" w:lineRule="auto"/>
        <w:ind w:left="154" w:right="0"/>
        <w:jc w:val="left"/>
        <w:rPr>
          <w:b w:val="0"/>
          <w:bCs w:val="0"/>
        </w:rPr>
      </w:pPr>
      <w:bookmarkStart w:name="十四、其他重要事项" w:id="342"/>
      <w:bookmarkEnd w:id="342"/>
      <w:r>
        <w:rPr>
          <w:b w:val="0"/>
          <w:bCs w:val="0"/>
        </w:rPr>
      </w:r>
      <w:r>
        <w:rPr/>
        <w:t>十四、其他重要事项</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left="636" w:right="0"/>
        <w:jc w:val="left"/>
        <w:rPr>
          <w:b w:val="0"/>
          <w:bCs w:val="0"/>
        </w:rPr>
      </w:pPr>
      <w:r>
        <w:rPr>
          <w:rFonts w:ascii="Times New Roman" w:hAnsi="Times New Roman" w:cs="Times New Roman" w:eastAsia="Times New Roman" w:hint="default"/>
        </w:rPr>
        <w:t>1</w:t>
      </w:r>
      <w:r>
        <w:rPr/>
        <w:t>、资产重组事项</w:t>
      </w:r>
      <w:r>
        <w:rPr>
          <w:b w:val="0"/>
          <w:bCs w:val="0"/>
        </w:rPr>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b/>
          <w:bCs/>
          <w:sz w:val="26"/>
          <w:szCs w:val="26"/>
        </w:rPr>
      </w:pPr>
    </w:p>
    <w:p>
      <w:pPr>
        <w:pStyle w:val="BodyText"/>
        <w:spacing w:line="309" w:lineRule="auto" w:before="35"/>
        <w:ind w:left="154" w:right="1131" w:firstLine="48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日，公司召开第五届董事会第十五次会议审议通过了《关于筹划重大资产重组事项的议</w:t>
      </w:r>
      <w:r>
        <w:rPr/>
        <w:t> </w:t>
      </w:r>
      <w:r>
        <w:rPr>
          <w:spacing w:val="-1"/>
        </w:rPr>
        <w:t>案》，至报告日，公司、交易各方会同独立财务顾问、法律顾问、审计机构、评估机构等各中介机构仍在</w:t>
      </w:r>
      <w:r>
        <w:rPr>
          <w:spacing w:val="-85"/>
        </w:rPr>
        <w:t> </w:t>
      </w:r>
      <w:r>
        <w:rPr>
          <w:spacing w:val="-85"/>
        </w:rPr>
      </w:r>
      <w:r>
        <w:rPr>
          <w:spacing w:val="-1"/>
        </w:rPr>
        <w:t>积极开展本次重大资产重组所涉及的方案论证、尽职调查、审计评估、专项核查等各项工作。与此次重组</w:t>
      </w:r>
      <w:r>
        <w:rPr>
          <w:spacing w:val="-86"/>
        </w:rPr>
        <w:t> </w:t>
      </w:r>
      <w:r>
        <w:rPr>
          <w:spacing w:val="-86"/>
        </w:rPr>
      </w:r>
      <w:r>
        <w:rPr>
          <w:spacing w:val="-1"/>
        </w:rPr>
        <w:t>相关的包括重大资产重组预案（或报告书）在内的各类文件正在有序准备，此次重组的各项工作仍在积极</w:t>
      </w:r>
      <w:r>
        <w:rPr>
          <w:spacing w:val="-83"/>
        </w:rPr>
        <w:t> </w:t>
      </w:r>
      <w:r>
        <w:rPr>
          <w:spacing w:val="-83"/>
        </w:rPr>
      </w:r>
      <w:r>
        <w:rPr/>
        <w:t>推进之中。公司董事会将在相关工作完成后，召开会议审议本次重大资产重组的相关议案。</w:t>
      </w:r>
    </w:p>
    <w:p>
      <w:pPr>
        <w:pStyle w:val="BodyText"/>
        <w:spacing w:line="295" w:lineRule="auto" w:before="23"/>
        <w:ind w:left="633" w:right="0" w:hanging="6"/>
        <w:jc w:val="left"/>
      </w:pPr>
      <w:r>
        <w:rPr>
          <w:rFonts w:ascii="Times New Roman" w:hAnsi="Times New Roman" w:cs="Times New Roman" w:eastAsia="Times New Roman" w:hint="default"/>
          <w:b/>
          <w:bCs/>
        </w:rPr>
        <w:t>2</w:t>
      </w:r>
      <w:r>
        <w:rPr>
          <w:rFonts w:ascii="宋体" w:hAnsi="宋体" w:cs="宋体" w:eastAsia="宋体" w:hint="default"/>
          <w:b/>
          <w:bCs/>
        </w:rPr>
        <w:t>、募集资金情况</w:t>
      </w:r>
      <w:r>
        <w:rPr>
          <w:rFonts w:ascii="宋体" w:hAnsi="宋体" w:cs="宋体" w:eastAsia="宋体" w:hint="default"/>
          <w:b/>
          <w:bCs/>
          <w:w w:val="99"/>
        </w:rPr>
        <w:t> </w:t>
      </w:r>
      <w:r>
        <w:rPr>
          <w:spacing w:val="-2"/>
        </w:rPr>
        <w:t>经公司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18</w:t>
      </w:r>
      <w:r>
        <w:rPr>
          <w:spacing w:val="-2"/>
        </w:rPr>
        <w:t>日第四次临时股东大会批准，公司终止实施募投项目，公司将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日止募</w:t>
      </w:r>
    </w:p>
    <w:p>
      <w:pPr>
        <w:pStyle w:val="BodyText"/>
        <w:spacing w:line="240" w:lineRule="auto" w:before="14"/>
        <w:ind w:right="0"/>
        <w:jc w:val="left"/>
      </w:pPr>
      <w:r>
        <w:rPr/>
        <w:t>集资金余额</w:t>
      </w:r>
      <w:r>
        <w:rPr>
          <w:rFonts w:ascii="Times New Roman" w:hAnsi="Times New Roman" w:cs="Times New Roman" w:eastAsia="Times New Roman" w:hint="default"/>
        </w:rPr>
        <w:t>2,060.70</w:t>
      </w:r>
      <w:r>
        <w:rPr/>
        <w:t>万元（包含利息收入）全部变更为永久补充流动资金。</w:t>
      </w:r>
    </w:p>
    <w:p>
      <w:pPr>
        <w:pStyle w:val="BodyText"/>
        <w:spacing w:line="295" w:lineRule="auto" w:before="68"/>
        <w:ind w:left="634" w:right="1119" w:firstLine="2"/>
        <w:jc w:val="left"/>
      </w:pPr>
      <w:r>
        <w:rPr>
          <w:rFonts w:ascii="Times New Roman" w:hAnsi="Times New Roman" w:cs="Times New Roman" w:eastAsia="Times New Roman" w:hint="default"/>
          <w:b/>
          <w:bCs/>
        </w:rPr>
        <w:t>3</w:t>
      </w:r>
      <w:r>
        <w:rPr>
          <w:rFonts w:ascii="宋体" w:hAnsi="宋体" w:cs="宋体" w:eastAsia="宋体" w:hint="default"/>
          <w:b/>
          <w:bCs/>
        </w:rPr>
        <w:t>、大股东股权质押</w:t>
      </w:r>
      <w:r>
        <w:rPr>
          <w:rFonts w:ascii="宋体" w:hAnsi="宋体" w:cs="宋体" w:eastAsia="宋体" w:hint="default"/>
          <w:b/>
          <w:bCs/>
          <w:w w:val="99"/>
        </w:rPr>
        <w:t> </w:t>
      </w:r>
      <w:r>
        <w:rPr/>
        <w:t>南通友谊实业有限公司共持有本公司无限售条件的流通股</w:t>
      </w:r>
      <w:r>
        <w:rPr>
          <w:rFonts w:ascii="Times New Roman" w:hAnsi="Times New Roman" w:cs="Times New Roman" w:eastAsia="Times New Roman" w:hint="default"/>
        </w:rPr>
        <w:t>6,144.45</w:t>
      </w:r>
      <w:r>
        <w:rPr/>
        <w:t>万股，占公司总股本的</w:t>
      </w:r>
      <w:r>
        <w:rPr>
          <w:rFonts w:ascii="Times New Roman" w:hAnsi="Times New Roman" w:cs="Times New Roman" w:eastAsia="Times New Roman" w:hint="default"/>
        </w:rPr>
        <w:t>27.40%</w:t>
      </w:r>
      <w:r>
        <w:rPr/>
        <w:t>，截</w:t>
      </w:r>
    </w:p>
    <w:p>
      <w:pPr>
        <w:pStyle w:val="BodyText"/>
        <w:spacing w:line="295" w:lineRule="auto" w:before="14"/>
        <w:ind w:right="1023"/>
        <w:jc w:val="left"/>
      </w:pPr>
      <w:r>
        <w:rPr/>
        <w:t>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日，南通友谊实业有限公司所持有的本公司股份质押</w:t>
      </w:r>
      <w:r>
        <w:rPr>
          <w:rFonts w:ascii="Times New Roman" w:hAnsi="Times New Roman" w:cs="Times New Roman" w:eastAsia="Times New Roman" w:hint="default"/>
        </w:rPr>
        <w:t>6,100</w:t>
      </w:r>
      <w:r>
        <w:rPr/>
        <w:t>万股，占公司总股本的</w:t>
      </w:r>
      <w:r>
        <w:rPr>
          <w:rFonts w:ascii="Times New Roman" w:hAnsi="Times New Roman" w:cs="Times New Roman" w:eastAsia="Times New Roman" w:hint="default"/>
        </w:rPr>
        <w:t>27.20%</w:t>
      </w:r>
      <w:r>
        <w:rPr/>
        <w:t>。 其中：</w:t>
      </w:r>
      <w:r>
        <w:rPr>
          <w:spacing w:val="-22"/>
        </w:rPr>
        <w:t> </w:t>
      </w:r>
      <w:r>
        <w:rPr>
          <w:rFonts w:ascii="Times New Roman" w:hAnsi="Times New Roman" w:cs="Times New Roman" w:eastAsia="Times New Roman" w:hint="default"/>
        </w:rPr>
        <w:t>4,500</w:t>
      </w:r>
      <w:r>
        <w:rPr/>
        <w:t>万股质押给中江国际信托股份有限公司，</w:t>
      </w:r>
      <w:r>
        <w:rPr>
          <w:rFonts w:ascii="Times New Roman" w:hAnsi="Times New Roman" w:cs="Times New Roman" w:eastAsia="Times New Roman" w:hint="default"/>
        </w:rPr>
        <w:t>1,600</w:t>
      </w:r>
      <w:r>
        <w:rPr/>
        <w:t>万股质押给江苏银行股份有限公司南通静海支 行。</w:t>
      </w:r>
    </w:p>
    <w:p>
      <w:pPr>
        <w:spacing w:line="295" w:lineRule="auto" w:before="35"/>
        <w:ind w:left="63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、江苏北斗拟破产清算情况</w:t>
      </w:r>
      <w:r>
        <w:rPr>
          <w:rFonts w:ascii="宋体" w:hAnsi="宋体" w:cs="宋体" w:eastAsia="宋体" w:hint="default"/>
          <w:b/>
          <w:bCs/>
          <w:w w:val="99"/>
          <w:sz w:val="21"/>
          <w:szCs w:val="21"/>
        </w:rPr>
        <w:t> </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日召开了第五届董事会第十二次会议，审议通过了《关于控股子公司江苏北斗科</w:t>
      </w:r>
    </w:p>
    <w:p>
      <w:pPr>
        <w:pStyle w:val="BodyText"/>
        <w:spacing w:line="314" w:lineRule="auto" w:before="14"/>
        <w:ind w:left="154" w:right="1131"/>
        <w:jc w:val="both"/>
      </w:pPr>
      <w:r>
        <w:rPr>
          <w:spacing w:val="-1"/>
        </w:rPr>
        <w:t>技有限公司拟进行破产清算的议案》，受本公司资产重组事项的影响，江苏北斗科技有限公司尚未进入破</w:t>
      </w:r>
      <w:r>
        <w:rPr>
          <w:spacing w:val="-83"/>
        </w:rPr>
        <w:t> </w:t>
      </w:r>
      <w:r>
        <w:rPr>
          <w:spacing w:val="-83"/>
        </w:rPr>
      </w:r>
      <w:r>
        <w:rPr/>
        <w:t>产清算程序，目前江苏北斗科技有限公司已停业。</w:t>
      </w:r>
    </w:p>
    <w:p>
      <w:pPr>
        <w:pStyle w:val="BodyText"/>
        <w:spacing w:line="295" w:lineRule="auto"/>
        <w:ind w:left="634" w:right="1118" w:firstLine="2"/>
        <w:jc w:val="left"/>
      </w:pPr>
      <w:r>
        <w:rPr>
          <w:rFonts w:ascii="Times New Roman" w:hAnsi="Times New Roman" w:cs="Times New Roman" w:eastAsia="Times New Roman" w:hint="default"/>
          <w:b/>
          <w:bCs/>
        </w:rPr>
        <w:t>5</w:t>
      </w:r>
      <w:r>
        <w:rPr>
          <w:rFonts w:ascii="宋体" w:hAnsi="宋体" w:cs="宋体" w:eastAsia="宋体" w:hint="default"/>
          <w:b/>
          <w:bCs/>
        </w:rPr>
        <w:t>、诉讼事项</w:t>
      </w:r>
      <w:r>
        <w:rPr>
          <w:rFonts w:ascii="宋体" w:hAnsi="宋体" w:cs="宋体" w:eastAsia="宋体" w:hint="default"/>
          <w:b/>
          <w:bCs/>
          <w:w w:val="99"/>
        </w:rPr>
        <w:t> </w:t>
      </w:r>
      <w:r>
        <w:rPr/>
        <w:t>本公司子公司江苏环保能源科技有限公司于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月起诉上海金匙环保科技股份有限公司未适当履</w:t>
      </w:r>
    </w:p>
    <w:p>
      <w:pPr>
        <w:pStyle w:val="BodyText"/>
        <w:spacing w:line="300" w:lineRule="auto" w:before="15"/>
        <w:ind w:right="1129"/>
        <w:jc w:val="both"/>
      </w:pPr>
      <w:r>
        <w:rPr>
          <w:spacing w:val="-1"/>
        </w:rPr>
        <w:t>行《工业化集成控制固废低温热解生产线设备购销合同》中的义务，向南通市中级人民法院提起诉讼，诉</w:t>
      </w:r>
      <w:r>
        <w:rPr>
          <w:spacing w:val="-85"/>
        </w:rPr>
        <w:t> </w:t>
      </w:r>
      <w:r>
        <w:rPr>
          <w:spacing w:val="-85"/>
        </w:rPr>
      </w:r>
      <w:r>
        <w:rPr/>
        <w:t>讼请求：</w:t>
      </w:r>
      <w:r>
        <w:rPr>
          <w:rFonts w:ascii="Times New Roman" w:hAnsi="Times New Roman" w:cs="Times New Roman" w:eastAsia="Times New Roman" w:hint="default"/>
        </w:rPr>
        <w:t>1</w:t>
      </w:r>
      <w:r>
        <w:rPr/>
        <w:t>）解除原、被告于</w:t>
      </w:r>
      <w:r>
        <w:rPr>
          <w:rFonts w:ascii="Times New Roman" w:hAnsi="Times New Roman" w:cs="Times New Roman" w:eastAsia="Times New Roman" w:hint="default"/>
        </w:rPr>
        <w:t>2010</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42"/>
        </w:rPr>
        <w:t> </w:t>
      </w:r>
      <w:r>
        <w:rPr/>
        <w:t>月</w:t>
      </w:r>
      <w:r>
        <w:rPr>
          <w:rFonts w:ascii="Times New Roman" w:hAnsi="Times New Roman" w:cs="Times New Roman" w:eastAsia="Times New Roman" w:hint="default"/>
        </w:rPr>
        <w:t>22</w:t>
      </w:r>
      <w:r>
        <w:rPr>
          <w:rFonts w:ascii="Times New Roman" w:hAnsi="Times New Roman" w:cs="Times New Roman" w:eastAsia="Times New Roman" w:hint="default"/>
          <w:spacing w:val="41"/>
        </w:rPr>
        <w:t> </w:t>
      </w:r>
      <w:r>
        <w:rPr/>
        <w:t>日签订的《工业化集成控制固废低温热解生产线设备购销合</w:t>
      </w:r>
      <w:r>
        <w:rPr>
          <w:spacing w:val="-103"/>
        </w:rPr>
        <w:t> </w:t>
      </w:r>
      <w:r>
        <w:rPr>
          <w:spacing w:val="-103"/>
        </w:rPr>
      </w:r>
      <w:r>
        <w:rPr/>
        <w:t>同》；</w:t>
      </w:r>
      <w:r>
        <w:rPr>
          <w:rFonts w:ascii="Times New Roman" w:hAnsi="Times New Roman" w:cs="Times New Roman" w:eastAsia="Times New Roman" w:hint="default"/>
        </w:rPr>
        <w:t>2</w:t>
      </w:r>
      <w:r>
        <w:rPr/>
        <w:t>）被告返还原告设备购买款人民币</w:t>
      </w:r>
      <w:r>
        <w:rPr>
          <w:rFonts w:ascii="Times New Roman" w:hAnsi="Times New Roman" w:cs="Times New Roman" w:eastAsia="Times New Roman" w:hint="default"/>
        </w:rPr>
        <w:t>5,700 </w:t>
      </w:r>
      <w:r>
        <w:rPr/>
        <w:t>万元（大写：伍仟柒佰万元整）；</w:t>
      </w:r>
      <w:r>
        <w:rPr>
          <w:rFonts w:ascii="Times New Roman" w:hAnsi="Times New Roman" w:cs="Times New Roman" w:eastAsia="Times New Roman" w:hint="default"/>
        </w:rPr>
        <w:t>3</w:t>
      </w:r>
      <w:r>
        <w:rPr/>
        <w:t>）被告赔偿原告损失</w:t>
      </w:r>
      <w:r>
        <w:rPr>
          <w:spacing w:val="-83"/>
        </w:rPr>
        <w:t> </w:t>
      </w:r>
      <w:r>
        <w:rPr/>
        <w:t>人民币</w:t>
      </w:r>
      <w:r>
        <w:rPr>
          <w:rFonts w:ascii="Times New Roman" w:hAnsi="Times New Roman" w:cs="Times New Roman" w:eastAsia="Times New Roman" w:hint="default"/>
        </w:rPr>
        <w:t>1,348 </w:t>
      </w:r>
      <w:r>
        <w:rPr/>
        <w:t>万元（大写：壹仟叁佰肆拾捌万元整）。南通市中级人民法院裁定，冻结被告上海金匙银行</w:t>
      </w:r>
      <w:r>
        <w:rPr>
          <w:spacing w:val="-84"/>
        </w:rPr>
        <w:t> </w:t>
      </w:r>
      <w:r>
        <w:rPr/>
        <w:t>存款</w:t>
      </w:r>
      <w:r>
        <w:rPr>
          <w:rFonts w:ascii="Times New Roman" w:hAnsi="Times New Roman" w:cs="Times New Roman" w:eastAsia="Times New Roman" w:hint="default"/>
        </w:rPr>
        <w:t>7,200</w:t>
      </w:r>
      <w:r>
        <w:rPr>
          <w:rFonts w:ascii="Times New Roman" w:hAnsi="Times New Roman" w:cs="Times New Roman" w:eastAsia="Times New Roman" w:hint="default"/>
          <w:spacing w:val="30"/>
        </w:rPr>
        <w:t> </w:t>
      </w:r>
      <w:r>
        <w:rPr/>
        <w:t>万元，或查封、扣押其相应价值的其他财产、权益。</w:t>
      </w:r>
    </w:p>
    <w:p>
      <w:pPr>
        <w:pStyle w:val="BodyText"/>
        <w:spacing w:line="304" w:lineRule="auto" w:before="10"/>
        <w:ind w:right="1015" w:firstLine="480"/>
        <w:jc w:val="left"/>
      </w:pPr>
      <w:r>
        <w:rPr>
          <w:spacing w:val="-4"/>
        </w:rPr>
        <w:t>江苏环保能源科技有限公司于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8</w:t>
      </w:r>
      <w:r>
        <w:rPr>
          <w:spacing w:val="-4"/>
        </w:rPr>
        <w:t>日收到《江苏省南通市中级人民法院应诉通知书（反诉）》，</w:t>
      </w:r>
      <w:r>
        <w:rPr/>
        <w:t> 上海金匙环保科技股份有限公司因与江苏环保能源科技有限公司买卖合同纠纷一案提起反诉，诉讼请求： </w:t>
      </w:r>
      <w:r>
        <w:rPr>
          <w:rFonts w:ascii="Times New Roman" w:hAnsi="Times New Roman" w:cs="Times New Roman" w:eastAsia="Times New Roman" w:hint="default"/>
        </w:rPr>
        <w:t>1</w:t>
      </w:r>
      <w:r>
        <w:rPr/>
        <w:t>）反诉被告支付反诉原告合同尾款人民币</w:t>
      </w:r>
      <w:r>
        <w:rPr>
          <w:rFonts w:ascii="Times New Roman" w:hAnsi="Times New Roman" w:cs="Times New Roman" w:eastAsia="Times New Roman" w:hint="default"/>
        </w:rPr>
        <w:t>300</w:t>
      </w:r>
      <w:r>
        <w:rPr/>
        <w:t>万元（大写：叁佰万元整）；</w:t>
      </w:r>
      <w:r>
        <w:rPr>
          <w:rFonts w:ascii="Times New Roman" w:hAnsi="Times New Roman" w:cs="Times New Roman" w:eastAsia="Times New Roman" w:hint="default"/>
        </w:rPr>
        <w:t>2</w:t>
      </w:r>
      <w:r>
        <w:rPr/>
        <w:t>）反诉被告支付反诉原告自</w:t>
      </w:r>
    </w:p>
    <w:p>
      <w:pPr>
        <w:pStyle w:val="BodyText"/>
        <w:spacing w:line="295" w:lineRule="auto" w:before="5"/>
        <w:ind w:left="489" w:right="2563" w:hanging="336"/>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日至合同尾款付清之日的违约金（起诉时暂时计算违约金计</w:t>
      </w:r>
      <w:r>
        <w:rPr>
          <w:rFonts w:ascii="Times New Roman" w:hAnsi="Times New Roman" w:cs="Times New Roman" w:eastAsia="Times New Roman" w:hint="default"/>
        </w:rPr>
        <w:t>8,280,000</w:t>
      </w:r>
      <w:r>
        <w:rPr/>
        <w:t>元）。 目前上述诉讼事项尚在审理过程中，无法预计对公司本期及后期利润的影响。</w:t>
      </w:r>
    </w:p>
    <w:p>
      <w:pPr>
        <w:spacing w:line="240" w:lineRule="auto" w:before="2"/>
        <w:rPr>
          <w:rFonts w:ascii="宋体" w:hAnsi="宋体" w:cs="宋体" w:eastAsia="宋体" w:hint="default"/>
          <w:sz w:val="22"/>
          <w:szCs w:val="22"/>
        </w:rPr>
      </w:pPr>
    </w:p>
    <w:p>
      <w:pPr>
        <w:pStyle w:val="Heading2"/>
        <w:spacing w:line="240" w:lineRule="auto"/>
        <w:ind w:right="0"/>
        <w:jc w:val="both"/>
        <w:rPr>
          <w:b w:val="0"/>
          <w:bCs w:val="0"/>
        </w:rPr>
      </w:pPr>
      <w:bookmarkStart w:name="十五、母公司财务报表主要项目注释" w:id="343"/>
      <w:bookmarkEnd w:id="343"/>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both"/>
        <w:rPr>
          <w:b w:val="0"/>
          <w:bCs w:val="0"/>
        </w:rPr>
      </w:pPr>
      <w:bookmarkStart w:name="1、应收账款" w:id="344"/>
      <w:bookmarkEnd w:id="344"/>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both"/>
        <w:rPr>
          <w:b w:val="0"/>
          <w:bCs w:val="0"/>
        </w:rPr>
      </w:pPr>
      <w:bookmarkStart w:name="（1）应收账款分类披露" w:id="345"/>
      <w:bookmarkEnd w:id="34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7" w:hanging="182"/>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43,304,9</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19.00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2,617,09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40,687,82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50,932,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943.20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3,074,776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47,858,166.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43,304,9</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19.00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2,617,09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6.04%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40,687,82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3.86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50,932,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943.20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3,074,776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47,858,166.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40" w:right="0"/>
        </w:sectPr>
      </w:pPr>
    </w:p>
    <w:p>
      <w:pPr>
        <w:spacing w:before="51"/>
        <w:ind w:left="19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9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9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9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40" w:right="0"/>
          <w:cols w:num="2" w:equalWidth="0">
            <w:col w:w="4335" w:space="4495"/>
            <w:col w:w="2140"/>
          </w:cols>
        </w:sectPr>
      </w:pPr>
    </w:p>
    <w:p>
      <w:pPr>
        <w:spacing w:line="240" w:lineRule="auto" w:before="0"/>
        <w:rPr>
          <w:rFonts w:ascii="宋体" w:hAnsi="宋体" w:cs="宋体" w:eastAsia="宋体" w:hint="default"/>
          <w:sz w:val="8"/>
          <w:szCs w:val="8"/>
        </w:rPr>
      </w:pPr>
    </w:p>
    <w:tbl>
      <w:tblPr>
        <w:tblW w:w="0" w:type="auto"/>
        <w:jc w:val="left"/>
        <w:tblInd w:w="20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43,283,962.28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2,596,951.63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956.72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43,304,919.00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2,617,095.14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6.04%</w:t>
            </w:r>
          </w:p>
        </w:tc>
      </w:tr>
    </w:tbl>
    <w:p>
      <w:pPr>
        <w:spacing w:before="51"/>
        <w:ind w:left="19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9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2"/>
        <w:rPr>
          <w:rFonts w:ascii="宋体" w:hAnsi="宋体" w:cs="宋体" w:eastAsia="宋体" w:hint="default"/>
          <w:sz w:val="20"/>
          <w:szCs w:val="20"/>
        </w:rPr>
      </w:pPr>
    </w:p>
    <w:p>
      <w:pPr>
        <w:pStyle w:val="Heading5"/>
        <w:spacing w:line="240" w:lineRule="auto"/>
        <w:ind w:left="193" w:right="0"/>
        <w:jc w:val="left"/>
        <w:rPr>
          <w:b w:val="0"/>
          <w:bCs w:val="0"/>
        </w:rPr>
      </w:pPr>
      <w:bookmarkStart w:name="（2）按欠款方归集的期末余额前五吊的应收账款情况" w:id="346"/>
      <w:bookmarkEnd w:id="346"/>
      <w:r>
        <w:rPr>
          <w:b w:val="0"/>
          <w:bCs w:val="0"/>
        </w:rPr>
      </w:r>
      <w:r>
        <w:rPr/>
        <w:t>（</w:t>
      </w:r>
      <w:r>
        <w:rPr>
          <w:rFonts w:ascii="Times New Roman" w:hAnsi="Times New Roman" w:cs="Times New Roman" w:eastAsia="Times New Roman" w:hint="default"/>
        </w:rPr>
        <w:t>2</w:t>
      </w:r>
      <w:r>
        <w:rPr/>
        <w:t>）按欠款方归集的期末余额前五名的应收账款情况</w:t>
      </w:r>
      <w:r>
        <w:rPr>
          <w:b w:val="0"/>
          <w:bCs w:val="0"/>
        </w:rPr>
      </w:r>
    </w:p>
    <w:p>
      <w:pPr>
        <w:spacing w:line="240" w:lineRule="auto" w:before="6"/>
        <w:rPr>
          <w:rFonts w:ascii="宋体" w:hAnsi="宋体" w:cs="宋体" w:eastAsia="宋体" w:hint="default"/>
          <w:b/>
          <w:bCs/>
          <w:sz w:val="26"/>
          <w:szCs w:val="26"/>
        </w:rPr>
      </w:pPr>
    </w:p>
    <w:p>
      <w:pPr>
        <w:pStyle w:val="BodyText"/>
        <w:spacing w:line="295" w:lineRule="auto" w:before="0"/>
        <w:ind w:left="194" w:right="0" w:firstLine="48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日按欠款方归集的前五名应收账款汇总金额</w:t>
      </w:r>
      <w:r>
        <w:rPr>
          <w:rFonts w:ascii="Times New Roman" w:hAnsi="Times New Roman" w:cs="Times New Roman" w:eastAsia="Times New Roman" w:hint="default"/>
        </w:rPr>
        <w:t>43,040,864.32</w:t>
      </w:r>
      <w:r>
        <w:rPr/>
        <w:t>元，占应收账款余额合计 数的比例</w:t>
      </w:r>
      <w:r>
        <w:rPr>
          <w:rFonts w:ascii="Times New Roman" w:hAnsi="Times New Roman" w:cs="Times New Roman" w:eastAsia="Times New Roman" w:hint="default"/>
        </w:rPr>
        <w:t>99.39%</w:t>
      </w:r>
      <w:r>
        <w:rPr/>
        <w:t>。</w:t>
      </w:r>
    </w:p>
    <w:p>
      <w:pPr>
        <w:spacing w:line="240" w:lineRule="auto" w:before="4"/>
        <w:rPr>
          <w:rFonts w:ascii="宋体" w:hAnsi="宋体" w:cs="宋体" w:eastAsia="宋体" w:hint="default"/>
          <w:sz w:val="22"/>
          <w:szCs w:val="22"/>
        </w:rPr>
      </w:pPr>
    </w:p>
    <w:p>
      <w:pPr>
        <w:pStyle w:val="Heading5"/>
        <w:spacing w:line="240" w:lineRule="auto"/>
        <w:ind w:left="194" w:right="0"/>
        <w:jc w:val="left"/>
        <w:rPr>
          <w:b w:val="0"/>
          <w:bCs w:val="0"/>
        </w:rPr>
      </w:pPr>
      <w:bookmarkStart w:name="2、其他应收款" w:id="347"/>
      <w:bookmarkEnd w:id="34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94" w:right="0"/>
        <w:jc w:val="left"/>
        <w:rPr>
          <w:b w:val="0"/>
          <w:bCs w:val="0"/>
        </w:rPr>
      </w:pPr>
      <w:bookmarkStart w:name="（1）其他应收款分类披露" w:id="348"/>
      <w:bookmarkEnd w:id="34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4140"/>
        <w:gridCol w:w="1276"/>
        <w:gridCol w:w="851"/>
        <w:gridCol w:w="1132"/>
        <w:gridCol w:w="1134"/>
        <w:gridCol w:w="1278"/>
      </w:tblGrid>
      <w:tr>
        <w:trPr>
          <w:trHeight w:val="407" w:hRule="exact"/>
        </w:trPr>
        <w:tc>
          <w:tcPr>
            <w:tcW w:w="41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07" w:hRule="exact"/>
        </w:trPr>
        <w:tc>
          <w:tcPr>
            <w:tcW w:w="4140" w:type="dxa"/>
            <w:vMerge/>
            <w:tcBorders>
              <w:left w:val="single" w:sz="4" w:space="0" w:color="000000"/>
              <w:right w:val="single" w:sz="4" w:space="0" w:color="000000"/>
            </w:tcBorders>
            <w:shd w:val="clear" w:color="auto" w:fill="D9D9D9"/>
          </w:tcPr>
          <w:p>
            <w:pPr/>
          </w:p>
        </w:tc>
        <w:tc>
          <w:tcPr>
            <w:tcW w:w="2126" w:type="dxa"/>
            <w:gridSpan w:val="2"/>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5"/>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66" w:type="dxa"/>
            <w:gridSpan w:val="2"/>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7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 w:hRule="exact"/>
        </w:trPr>
        <w:tc>
          <w:tcPr>
            <w:tcW w:w="4140" w:type="dxa"/>
            <w:vMerge/>
            <w:tcBorders>
              <w:left w:val="single" w:sz="4" w:space="0" w:color="000000"/>
              <w:right w:val="single" w:sz="4" w:space="0" w:color="000000"/>
            </w:tcBorders>
            <w:shd w:val="clear" w:color="auto" w:fill="D9D9D9"/>
          </w:tcPr>
          <w:p>
            <w:pPr/>
          </w:p>
        </w:tc>
        <w:tc>
          <w:tcPr>
            <w:tcW w:w="1276" w:type="dxa"/>
            <w:vMerge w:val="restart"/>
            <w:tcBorders>
              <w:top w:val="single" w:sz="4" w:space="0" w:color="FFFFFF"/>
              <w:left w:val="single" w:sz="4" w:space="0" w:color="000000"/>
              <w:right w:val="single" w:sz="4" w:space="0" w:color="000000"/>
            </w:tcBorders>
            <w:shd w:val="clear" w:color="auto" w:fill="D9D9D9"/>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FFFFFF"/>
              <w:left w:val="single" w:sz="4" w:space="0" w:color="000000"/>
              <w:right w:val="single" w:sz="4" w:space="0" w:color="000000"/>
            </w:tcBorders>
            <w:shd w:val="clear" w:color="auto" w:fill="D9D9D9"/>
          </w:tcPr>
          <w:p>
            <w:pPr>
              <w:pStyle w:val="TableParagraph"/>
              <w:spacing w:line="240" w:lineRule="auto" w:before="52"/>
              <w:ind w:left="22"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132" w:type="dxa"/>
            <w:vMerge w:val="restart"/>
            <w:tcBorders>
              <w:top w:val="single" w:sz="4" w:space="0" w:color="FFFFFF"/>
              <w:left w:val="single" w:sz="4" w:space="0" w:color="000000"/>
              <w:right w:val="single" w:sz="4" w:space="0" w:color="000000"/>
            </w:tcBorders>
            <w:shd w:val="clear" w:color="auto" w:fill="D9D9D9"/>
          </w:tcPr>
          <w:p>
            <w:pPr>
              <w:pStyle w:val="TableParagraph"/>
              <w:tabs>
                <w:tab w:pos="380" w:val="left" w:leader="none"/>
              </w:tabs>
              <w:spacing w:line="240" w:lineRule="auto" w:before="52"/>
              <w:ind w:left="-129" w:right="0"/>
              <w:jc w:val="left"/>
              <w:rPr>
                <w:rFonts w:ascii="宋体" w:hAnsi="宋体" w:cs="宋体" w:eastAsia="宋体" w:hint="default"/>
                <w:sz w:val="18"/>
                <w:szCs w:val="18"/>
              </w:rPr>
            </w:pPr>
            <w:r>
              <w:rPr>
                <w:rFonts w:ascii="宋体" w:hAnsi="宋体" w:cs="宋体" w:eastAsia="宋体" w:hint="default"/>
                <w:sz w:val="18"/>
                <w:szCs w:val="18"/>
              </w:rPr>
              <w:t>）</w:t>
              <w:tab/>
              <w:t>金额</w:t>
            </w:r>
          </w:p>
        </w:tc>
        <w:tc>
          <w:tcPr>
            <w:tcW w:w="1134" w:type="dxa"/>
            <w:vMerge w:val="restart"/>
            <w:tcBorders>
              <w:top w:val="single" w:sz="4" w:space="0" w:color="FFFFFF"/>
              <w:left w:val="single" w:sz="4" w:space="0" w:color="000000"/>
              <w:right w:val="single" w:sz="4" w:space="0" w:color="000000"/>
            </w:tcBorders>
            <w:shd w:val="clear" w:color="auto" w:fill="D9D9D9"/>
          </w:tcPr>
          <w:p>
            <w:pPr>
              <w:pStyle w:val="TableParagraph"/>
              <w:spacing w:line="240" w:lineRule="auto" w:before="52"/>
              <w:ind w:left="23" w:right="0"/>
              <w:jc w:val="left"/>
              <w:rPr>
                <w:rFonts w:ascii="Arial" w:hAnsi="Arial" w:cs="Arial" w:eastAsia="Arial" w:hint="default"/>
                <w:sz w:val="18"/>
                <w:szCs w:val="18"/>
              </w:rPr>
            </w:pPr>
            <w:r>
              <w:rPr>
                <w:rFonts w:ascii="宋体" w:hAnsi="宋体" w:cs="宋体" w:eastAsia="宋体" w:hint="default"/>
                <w:spacing w:val="-12"/>
                <w:sz w:val="18"/>
                <w:szCs w:val="18"/>
              </w:rPr>
              <w:t>计提比例（</w:t>
            </w:r>
            <w:r>
              <w:rPr>
                <w:rFonts w:ascii="Arial" w:hAnsi="Arial" w:cs="Arial" w:eastAsia="Arial" w:hint="default"/>
                <w:spacing w:val="-12"/>
                <w:sz w:val="18"/>
                <w:szCs w:val="18"/>
              </w:rPr>
              <w:t>%</w:t>
            </w:r>
          </w:p>
        </w:tc>
        <w:tc>
          <w:tcPr>
            <w:tcW w:w="1278" w:type="dxa"/>
            <w:vMerge/>
            <w:tcBorders>
              <w:left w:val="single" w:sz="4" w:space="0" w:color="000000"/>
              <w:bottom w:val="nil" w:sz="6" w:space="0" w:color="auto"/>
              <w:right w:val="single" w:sz="4" w:space="0" w:color="000000"/>
            </w:tcBorders>
            <w:shd w:val="clear" w:color="auto" w:fill="D9D9D9"/>
          </w:tcPr>
          <w:p>
            <w:pPr/>
          </w:p>
        </w:tc>
      </w:tr>
      <w:tr>
        <w:trPr>
          <w:trHeight w:val="305" w:hRule="exact"/>
        </w:trPr>
        <w:tc>
          <w:tcPr>
            <w:tcW w:w="4140" w:type="dxa"/>
            <w:vMerge/>
            <w:tcBorders>
              <w:left w:val="single" w:sz="4" w:space="0" w:color="000000"/>
              <w:bottom w:val="single" w:sz="4" w:space="0" w:color="000000"/>
              <w:right w:val="single" w:sz="4" w:space="0" w:color="000000"/>
            </w:tcBorders>
            <w:shd w:val="clear" w:color="auto" w:fill="D9D9D9"/>
          </w:tcPr>
          <w:p>
            <w:pPr/>
          </w:p>
        </w:tc>
        <w:tc>
          <w:tcPr>
            <w:tcW w:w="1276" w:type="dxa"/>
            <w:vMerge/>
            <w:tcBorders>
              <w:left w:val="single" w:sz="4" w:space="0" w:color="000000"/>
              <w:bottom w:val="single" w:sz="4" w:space="0" w:color="000000"/>
              <w:right w:val="single" w:sz="4" w:space="0" w:color="000000"/>
            </w:tcBorders>
            <w:shd w:val="clear" w:color="auto" w:fill="D9D9D9"/>
          </w:tcPr>
          <w:p>
            <w:pPr/>
          </w:p>
        </w:tc>
        <w:tc>
          <w:tcPr>
            <w:tcW w:w="851" w:type="dxa"/>
            <w:vMerge/>
            <w:tcBorders>
              <w:left w:val="single" w:sz="4" w:space="0" w:color="000000"/>
              <w:bottom w:val="single" w:sz="4" w:space="0" w:color="000000"/>
              <w:right w:val="single" w:sz="4" w:space="0" w:color="000000"/>
            </w:tcBorders>
            <w:shd w:val="clear" w:color="auto" w:fill="D9D9D9"/>
          </w:tcPr>
          <w:p>
            <w:pPr/>
          </w:p>
        </w:tc>
        <w:tc>
          <w:tcPr>
            <w:tcW w:w="1132" w:type="dxa"/>
            <w:vMerge/>
            <w:tcBorders>
              <w:left w:val="single" w:sz="4" w:space="0" w:color="000000"/>
              <w:bottom w:val="single" w:sz="4" w:space="0" w:color="000000"/>
              <w:right w:val="single" w:sz="4" w:space="0" w:color="000000"/>
            </w:tcBorders>
            <w:shd w:val="clear" w:color="auto" w:fill="D9D9D9"/>
          </w:tcPr>
          <w:p>
            <w:pPr/>
          </w:p>
        </w:tc>
        <w:tc>
          <w:tcPr>
            <w:tcW w:w="1134" w:type="dxa"/>
            <w:vMerge/>
            <w:tcBorders>
              <w:left w:val="single" w:sz="4" w:space="0" w:color="000000"/>
              <w:bottom w:val="single" w:sz="4" w:space="0" w:color="000000"/>
              <w:right w:val="single" w:sz="4" w:space="0" w:color="000000"/>
            </w:tcBorders>
            <w:shd w:val="clear" w:color="auto" w:fill="D9D9D9"/>
          </w:tcPr>
          <w:p>
            <w:pPr/>
          </w:p>
        </w:tc>
        <w:tc>
          <w:tcPr>
            <w:tcW w:w="1278"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192"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单项金额重大并单独计提坏账准备的其他应收款</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center"/>
              <w:rPr>
                <w:rFonts w:ascii="Arial" w:hAnsi="Arial" w:cs="Arial" w:eastAsia="Arial" w:hint="default"/>
                <w:sz w:val="18"/>
                <w:szCs w:val="18"/>
              </w:rPr>
            </w:pPr>
            <w:r>
              <w:rPr>
                <w:rFonts w:ascii="Arial"/>
                <w:sz w:val="18"/>
              </w:rPr>
              <w:t>1,868,331.57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3.84</w:t>
            </w:r>
          </w:p>
        </w:tc>
        <w:tc>
          <w:tcPr>
            <w:tcW w:w="113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Arial" w:hAnsi="Arial" w:cs="Arial" w:eastAsia="Arial" w:hint="default"/>
                <w:sz w:val="18"/>
                <w:szCs w:val="18"/>
              </w:rPr>
            </w:pPr>
            <w:r>
              <w:rPr>
                <w:rFonts w:ascii="Arial"/>
                <w:sz w:val="18"/>
              </w:rPr>
              <w:t>46,780,000.00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96.16</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Arial" w:hAnsi="Arial" w:cs="Arial" w:eastAsia="Arial" w:hint="default"/>
                <w:sz w:val="18"/>
                <w:szCs w:val="18"/>
              </w:rPr>
            </w:pPr>
            <w:r>
              <w:rPr>
                <w:rFonts w:ascii="Arial"/>
                <w:sz w:val="18"/>
              </w:rPr>
              <w:t>2,806,800.00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 w:right="0"/>
              <w:jc w:val="left"/>
              <w:rPr>
                <w:rFonts w:ascii="Arial" w:hAnsi="Arial" w:cs="Arial" w:eastAsia="Arial" w:hint="default"/>
                <w:sz w:val="18"/>
                <w:szCs w:val="18"/>
              </w:rPr>
            </w:pPr>
            <w:r>
              <w:rPr>
                <w:rFonts w:ascii="Arial"/>
                <w:sz w:val="18"/>
              </w:rPr>
              <w:t>45,841,531.57</w:t>
            </w:r>
          </w:p>
        </w:tc>
      </w:tr>
    </w:tbl>
    <w:p>
      <w:pPr>
        <w:spacing w:after="0" w:line="240" w:lineRule="auto"/>
        <w:jc w:val="left"/>
        <w:rPr>
          <w:rFonts w:ascii="Arial" w:hAnsi="Arial" w:cs="Arial" w:eastAsia="Arial" w:hint="default"/>
          <w:sz w:val="18"/>
          <w:szCs w:val="18"/>
        </w:rPr>
        <w:sectPr>
          <w:type w:val="continuous"/>
          <w:pgSz w:w="11910" w:h="16840"/>
          <w:pgMar w:top="1060" w:bottom="1160" w:left="940" w:right="0"/>
        </w:sectPr>
      </w:pPr>
    </w:p>
    <w:p>
      <w:pPr>
        <w:spacing w:line="240" w:lineRule="auto" w:before="6"/>
        <w:rPr>
          <w:rFonts w:ascii="宋体" w:hAnsi="宋体" w:cs="宋体" w:eastAsia="宋体" w:hint="default"/>
          <w:b/>
          <w:bCs/>
          <w:sz w:val="28"/>
          <w:szCs w:val="28"/>
        </w:rPr>
      </w:pPr>
    </w:p>
    <w:tbl>
      <w:tblPr>
        <w:tblW w:w="0" w:type="auto"/>
        <w:jc w:val="left"/>
        <w:tblInd w:w="103" w:type="dxa"/>
        <w:tblLayout w:type="fixed"/>
        <w:tblCellMar>
          <w:top w:w="0" w:type="dxa"/>
          <w:left w:w="0" w:type="dxa"/>
          <w:bottom w:w="0" w:type="dxa"/>
          <w:right w:w="0" w:type="dxa"/>
        </w:tblCellMar>
        <w:tblLook w:val="01E0"/>
      </w:tblPr>
      <w:tblGrid>
        <w:gridCol w:w="4140"/>
        <w:gridCol w:w="1276"/>
        <w:gridCol w:w="851"/>
        <w:gridCol w:w="1132"/>
        <w:gridCol w:w="1134"/>
        <w:gridCol w:w="1278"/>
      </w:tblGrid>
      <w:tr>
        <w:trPr>
          <w:trHeight w:val="40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8" w:right="0"/>
              <w:jc w:val="center"/>
              <w:rPr>
                <w:rFonts w:ascii="Arial" w:hAnsi="Arial" w:cs="Arial" w:eastAsia="Arial" w:hint="default"/>
                <w:sz w:val="18"/>
                <w:szCs w:val="18"/>
              </w:rPr>
            </w:pPr>
            <w:r>
              <w:rPr>
                <w:rFonts w:ascii="Arial"/>
                <w:sz w:val="18"/>
              </w:rPr>
              <w:t>48,648,331.57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100.00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center"/>
              <w:rPr>
                <w:rFonts w:ascii="Arial" w:hAnsi="Arial" w:cs="Arial" w:eastAsia="Arial" w:hint="default"/>
                <w:sz w:val="18"/>
                <w:szCs w:val="18"/>
              </w:rPr>
            </w:pPr>
            <w:r>
              <w:rPr>
                <w:rFonts w:ascii="Arial"/>
                <w:sz w:val="18"/>
              </w:rPr>
              <w:t>2,806,800.00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center"/>
              <w:rPr>
                <w:rFonts w:ascii="Arial" w:hAnsi="Arial" w:cs="Arial" w:eastAsia="Arial" w:hint="default"/>
                <w:sz w:val="18"/>
                <w:szCs w:val="18"/>
              </w:rPr>
            </w:pPr>
            <w:r>
              <w:rPr>
                <w:rFonts w:ascii="Arial"/>
                <w:sz w:val="18"/>
              </w:rPr>
              <w:t>45,841,531.57</w:t>
            </w:r>
          </w:p>
        </w:tc>
      </w:tr>
      <w:tr>
        <w:trPr>
          <w:trHeight w:val="40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2"/>
              <w:jc w:val="center"/>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8" w:right="0"/>
              <w:jc w:val="center"/>
              <w:rPr>
                <w:rFonts w:ascii="Arial" w:hAnsi="Arial" w:cs="Arial" w:eastAsia="Arial" w:hint="default"/>
                <w:sz w:val="18"/>
                <w:szCs w:val="18"/>
              </w:rPr>
            </w:pPr>
            <w:r>
              <w:rPr>
                <w:rFonts w:ascii="Arial"/>
                <w:b/>
                <w:sz w:val="18"/>
              </w:rPr>
              <w:t>48,648,331.57</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w:hAnsi="Arial" w:cs="Arial" w:eastAsia="Arial" w:hint="default"/>
                <w:sz w:val="18"/>
                <w:szCs w:val="18"/>
              </w:rPr>
            </w:pPr>
            <w:r>
              <w:rPr>
                <w:rFonts w:ascii="Arial"/>
                <w:b/>
                <w:spacing w:val="-1"/>
                <w:sz w:val="18"/>
              </w:rPr>
              <w:t>100.00</w:t>
            </w:r>
            <w:r>
              <w:rPr>
                <w:rFonts w:ascii="Arial"/>
                <w:spacing w:val="-1"/>
                <w:sz w:val="18"/>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Arial" w:hAnsi="Arial" w:cs="Arial" w:eastAsia="Arial" w:hint="default"/>
                <w:sz w:val="18"/>
                <w:szCs w:val="18"/>
              </w:rPr>
            </w:pPr>
            <w:r>
              <w:rPr>
                <w:rFonts w:ascii="Arial"/>
                <w:b/>
                <w:sz w:val="18"/>
              </w:rPr>
              <w:t>2,806,800.00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Arial" w:hAnsi="Arial" w:cs="Arial" w:eastAsia="Arial" w:hint="default"/>
                <w:sz w:val="18"/>
                <w:szCs w:val="18"/>
              </w:rPr>
            </w:pPr>
            <w:r>
              <w:rPr>
                <w:rFonts w:ascii="Arial"/>
                <w:b/>
                <w:sz w:val="18"/>
              </w:rPr>
              <w:t>45,841,531.57</w:t>
            </w:r>
            <w:r>
              <w:rPr>
                <w:rFonts w:ascii="Arial"/>
                <w:sz w:val="18"/>
              </w:rPr>
            </w:r>
          </w:p>
        </w:tc>
      </w:tr>
    </w:tbl>
    <w:p>
      <w:pPr>
        <w:spacing w:line="240" w:lineRule="auto" w:before="3"/>
        <w:rPr>
          <w:rFonts w:ascii="宋体" w:hAnsi="宋体" w:cs="宋体" w:eastAsia="宋体" w:hint="default"/>
          <w:b/>
          <w:bCs/>
          <w:sz w:val="6"/>
          <w:szCs w:val="6"/>
        </w:rPr>
      </w:pPr>
    </w:p>
    <w:p>
      <w:pPr>
        <w:pStyle w:val="BodyText"/>
        <w:spacing w:line="240" w:lineRule="auto" w:before="35"/>
        <w:ind w:left="614" w:right="0"/>
        <w:jc w:val="left"/>
      </w:pPr>
      <w:r>
        <w:rPr/>
        <w:t>续上表</w:t>
      </w:r>
    </w:p>
    <w:p>
      <w:pPr>
        <w:spacing w:line="240" w:lineRule="auto" w:before="11"/>
        <w:rPr>
          <w:rFonts w:ascii="宋体" w:hAnsi="宋体" w:cs="宋体" w:eastAsia="宋体" w:hint="default"/>
          <w:sz w:val="6"/>
          <w:szCs w:val="6"/>
        </w:rPr>
      </w:pPr>
    </w:p>
    <w:tbl>
      <w:tblPr>
        <w:tblW w:w="0" w:type="auto"/>
        <w:jc w:val="left"/>
        <w:tblInd w:w="161" w:type="dxa"/>
        <w:tblLayout w:type="fixed"/>
        <w:tblCellMar>
          <w:top w:w="0" w:type="dxa"/>
          <w:left w:w="0" w:type="dxa"/>
          <w:bottom w:w="0" w:type="dxa"/>
          <w:right w:w="0" w:type="dxa"/>
        </w:tblCellMar>
        <w:tblLook w:val="01E0"/>
      </w:tblPr>
      <w:tblGrid>
        <w:gridCol w:w="4140"/>
        <w:gridCol w:w="1559"/>
        <w:gridCol w:w="853"/>
        <w:gridCol w:w="851"/>
        <w:gridCol w:w="1136"/>
        <w:gridCol w:w="1156"/>
      </w:tblGrid>
      <w:tr>
        <w:trPr>
          <w:trHeight w:val="407" w:hRule="exact"/>
        </w:trPr>
        <w:tc>
          <w:tcPr>
            <w:tcW w:w="41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5555"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7" w:hRule="exact"/>
        </w:trPr>
        <w:tc>
          <w:tcPr>
            <w:tcW w:w="4140" w:type="dxa"/>
            <w:vMerge/>
            <w:tcBorders>
              <w:left w:val="single" w:sz="4" w:space="0" w:color="000000"/>
              <w:right w:val="single" w:sz="4" w:space="0" w:color="000000"/>
            </w:tcBorders>
            <w:shd w:val="clear" w:color="auto" w:fill="D9D9D9"/>
          </w:tcPr>
          <w:p>
            <w:pPr/>
          </w:p>
        </w:tc>
        <w:tc>
          <w:tcPr>
            <w:tcW w:w="241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4140" w:type="dxa"/>
            <w:vMerge/>
            <w:tcBorders>
              <w:left w:val="single" w:sz="4" w:space="0" w:color="000000"/>
              <w:bottom w:val="single" w:sz="4" w:space="0" w:color="000000"/>
              <w:right w:val="single" w:sz="4" w:space="0" w:color="000000"/>
            </w:tcBorders>
            <w:shd w:val="clear" w:color="auto" w:fill="D9D9D9"/>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22"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13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 </w:t>
            </w:r>
            <w:r>
              <w:rPr>
                <w:rFonts w:ascii="宋体" w:hAnsi="宋体" w:cs="宋体" w:eastAsia="宋体" w:hint="default"/>
                <w:sz w:val="18"/>
                <w:szCs w:val="18"/>
              </w:rPr>
              <w:t>金额</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156" w:type="dxa"/>
            <w:vMerge/>
            <w:tcBorders>
              <w:left w:val="single" w:sz="4" w:space="0" w:color="000000"/>
              <w:bottom w:val="single" w:sz="4" w:space="0" w:color="000000"/>
              <w:right w:val="single" w:sz="4" w:space="0" w:color="000000"/>
            </w:tcBorders>
            <w:shd w:val="clear" w:color="auto" w:fill="D9D9D9"/>
          </w:tcPr>
          <w:p>
            <w:pPr/>
          </w:p>
        </w:tc>
      </w:tr>
      <w:tr>
        <w:trPr>
          <w:trHeight w:val="40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52,400.00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95"/>
                <w:sz w:val="18"/>
              </w:rPr>
              <w:t>100</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3,144.00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6.00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49,256.00</w:t>
            </w:r>
          </w:p>
        </w:tc>
      </w:tr>
      <w:tr>
        <w:trPr>
          <w:trHeight w:val="40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Arial" w:hAnsi="Arial" w:cs="Arial" w:eastAsia="Arial" w:hint="default"/>
                <w:sz w:val="18"/>
                <w:szCs w:val="18"/>
              </w:rPr>
            </w:pPr>
            <w:r>
              <w:rPr>
                <w:rFonts w:ascii="Arial"/>
                <w:b/>
                <w:spacing w:val="-1"/>
                <w:sz w:val="18"/>
              </w:rPr>
              <w:t>52,400.00</w:t>
            </w:r>
            <w:r>
              <w:rPr>
                <w:rFonts w:ascii="Arial"/>
                <w:spacing w:val="-1"/>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3"/>
              <w:jc w:val="right"/>
              <w:rPr>
                <w:rFonts w:ascii="Arial" w:hAnsi="Arial" w:cs="Arial" w:eastAsia="Arial" w:hint="default"/>
                <w:sz w:val="18"/>
                <w:szCs w:val="18"/>
              </w:rPr>
            </w:pPr>
            <w:r>
              <w:rPr>
                <w:rFonts w:ascii="Arial"/>
                <w:b/>
                <w:spacing w:val="-1"/>
                <w:w w:val="95"/>
                <w:sz w:val="18"/>
              </w:rPr>
              <w:t>100</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Arial" w:hAnsi="Arial" w:cs="Arial" w:eastAsia="Arial" w:hint="default"/>
                <w:sz w:val="18"/>
                <w:szCs w:val="18"/>
              </w:rPr>
            </w:pPr>
            <w:r>
              <w:rPr>
                <w:rFonts w:ascii="Arial"/>
                <w:b/>
                <w:spacing w:val="-1"/>
                <w:sz w:val="18"/>
              </w:rPr>
              <w:t>3,144.00</w:t>
            </w:r>
            <w:r>
              <w:rPr>
                <w:rFonts w:ascii="Arial"/>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Arial" w:hAnsi="Arial" w:cs="Arial" w:eastAsia="Arial" w:hint="default"/>
                <w:sz w:val="18"/>
                <w:szCs w:val="18"/>
              </w:rPr>
            </w:pPr>
            <w:r>
              <w:rPr>
                <w:rFonts w:ascii="Arial"/>
                <w:b/>
                <w:spacing w:val="-1"/>
                <w:sz w:val="18"/>
              </w:rPr>
              <w:t>49,256.00</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747" w:footer="979" w:top="1060" w:bottom="1160" w:left="940" w:right="0"/>
        </w:sectPr>
      </w:pPr>
    </w:p>
    <w:p>
      <w:pPr>
        <w:spacing w:before="51"/>
        <w:ind w:left="19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9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9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9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40" w:right="0"/>
          <w:cols w:num="2" w:equalWidth="0">
            <w:col w:w="4515" w:space="4315"/>
            <w:col w:w="2140"/>
          </w:cols>
        </w:sectPr>
      </w:pPr>
    </w:p>
    <w:p>
      <w:pPr>
        <w:spacing w:line="240" w:lineRule="auto" w:before="0"/>
        <w:rPr>
          <w:rFonts w:ascii="宋体" w:hAnsi="宋体" w:cs="宋体" w:eastAsia="宋体" w:hint="default"/>
          <w:sz w:val="8"/>
          <w:szCs w:val="8"/>
        </w:rPr>
      </w:pPr>
    </w:p>
    <w:tbl>
      <w:tblPr>
        <w:tblW w:w="0" w:type="auto"/>
        <w:jc w:val="left"/>
        <w:tblInd w:w="20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2,806,800.00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2,806,800.00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r>
    </w:tbl>
    <w:p>
      <w:pPr>
        <w:spacing w:line="357" w:lineRule="auto" w:before="51"/>
        <w:ind w:left="19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9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93" w:right="0"/>
        <w:jc w:val="left"/>
        <w:rPr>
          <w:b w:val="0"/>
          <w:bCs w:val="0"/>
        </w:rPr>
      </w:pPr>
      <w:bookmarkStart w:name="（2）其他应收款按款项性质分类情况" w:id="349"/>
      <w:bookmarkEnd w:id="349"/>
      <w:r>
        <w:rPr>
          <w:b w:val="0"/>
          <w:bCs w:val="0"/>
        </w:rPr>
      </w: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1,868,331.57</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46,730,000.00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其他单位单往来款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48,648,331.57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4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3）按欠款方归集的期末余额前五吊的其他应收款情况" w:id="350"/>
      <w:bookmarkEnd w:id="350"/>
      <w:r>
        <w:rPr>
          <w:b w:val="0"/>
          <w:bCs w:val="0"/>
        </w:rPr>
      </w: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418"/>
        <w:gridCol w:w="1134"/>
        <w:gridCol w:w="1094"/>
        <w:gridCol w:w="1614"/>
        <w:gridCol w:w="1615"/>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46,730,000.00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1,868,331.57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程勤</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钱书剑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48,648,331.57</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长期股权投资" w:id="351"/>
      <w:bookmarkEnd w:id="35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1274"/>
        <w:gridCol w:w="1276"/>
        <w:gridCol w:w="1277"/>
        <w:gridCol w:w="1276"/>
        <w:gridCol w:w="1134"/>
        <w:gridCol w:w="1207"/>
      </w:tblGrid>
      <w:tr>
        <w:trPr>
          <w:trHeight w:val="206" w:hRule="exact"/>
        </w:trPr>
        <w:tc>
          <w:tcPr>
            <w:tcW w:w="2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vMerge/>
            <w:tcBorders>
              <w:left w:val="single" w:sz="4" w:space="0" w:color="000000"/>
              <w:bottom w:val="single" w:sz="4" w:space="0" w:color="000000"/>
              <w:right w:val="single" w:sz="4" w:space="0" w:color="000000"/>
            </w:tcBorders>
            <w:shd w:val="clear" w:color="auto" w:fill="D2D2D2"/>
          </w:tcPr>
          <w:p>
            <w:pPr/>
          </w:p>
        </w:tc>
        <w:tc>
          <w:tcPr>
            <w:tcW w:w="361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128"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274,316,606.79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100,000,000.00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174,316,606.79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262,725,348.79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70,637,859.07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192,087,489.72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2,761,283.73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2,761,283.73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2,725,792.98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2,725,792.98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277,077,890.52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100,000,000.00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177,077,890.52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265,451,141.77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70,637,859.07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194,813,282.70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对子公司投资" w:id="352"/>
      <w:bookmarkEnd w:id="35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1276"/>
        <w:gridCol w:w="1134"/>
        <w:gridCol w:w="851"/>
        <w:gridCol w:w="1276"/>
        <w:gridCol w:w="1134"/>
        <w:gridCol w:w="1202"/>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5" w:right="55"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29,362,140.93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江苏北斗科技有限公司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9,028,162.75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11,591,258.00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20,619,420.75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4,019,301.77</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4,019,301.77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江苏三友集团南通色织有限公司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54,880,084.27</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54,880,084.27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南通三友信息科技发展有限公司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南通市港闸区资丰农村小额贷款 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84,797,800.00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84,797,800.00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262,725,348.79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11,591,258.00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274,316,606.79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29,362,140.93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对联营、合营企业投资" w:id="353"/>
      <w:bookmarkEnd w:id="35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425"/>
        <w:gridCol w:w="426"/>
        <w:gridCol w:w="850"/>
        <w:gridCol w:w="709"/>
        <w:gridCol w:w="568"/>
        <w:gridCol w:w="850"/>
        <w:gridCol w:w="710"/>
        <w:gridCol w:w="284"/>
        <w:gridCol w:w="1134"/>
        <w:gridCol w:w="641"/>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2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6"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 w:right="2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7"/>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7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7"/>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6"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南通世川服装有限公司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2,725,792.98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35,490.75</w:t>
            </w: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2,761,283.73</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2,725,792.98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35,490.75</w:t>
            </w: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2,761,283.73</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2,725,792.98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35,490.75</w:t>
            </w: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2,761,283.73</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其他说明" w:id="354"/>
      <w:bookmarkEnd w:id="35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before="0"/>
        <w:ind w:right="1128" w:firstLine="441"/>
        <w:jc w:val="both"/>
      </w:pPr>
      <w:r>
        <w:rPr>
          <w:spacing w:val="3"/>
        </w:rPr>
        <w:t>因子公司江苏三友环保能源科技有限公司实施的“工业化集成控制固废裂解生产线”的生产经营状</w:t>
      </w:r>
      <w:r>
        <w:rPr>
          <w:spacing w:val="4"/>
        </w:rPr>
        <w:t> </w:t>
      </w:r>
      <w:r>
        <w:rPr/>
        <w:t>况与项目投资时的预计存在较大的差异。江苏三友环保能源科技有限公司于</w:t>
      </w:r>
      <w:r>
        <w:rPr>
          <w:rFonts w:ascii="Times New Roman" w:hAnsi="Times New Roman" w:cs="Times New Roman" w:eastAsia="Times New Roman" w:hint="default"/>
        </w:rPr>
        <w:t>2013</w:t>
      </w:r>
      <w:r>
        <w:rPr/>
        <w:t>年度对四条</w:t>
      </w:r>
      <w:r>
        <w:rPr>
          <w:rFonts w:ascii="Times New Roman" w:hAnsi="Times New Roman" w:cs="Times New Roman" w:eastAsia="Times New Roman" w:hint="default"/>
        </w:rPr>
        <w:t>“</w:t>
      </w:r>
      <w:r>
        <w:rPr/>
        <w:t>工业化集成</w:t>
      </w:r>
      <w:r>
        <w:rPr>
          <w:spacing w:val="-15"/>
        </w:rPr>
        <w:t> </w:t>
      </w:r>
      <w:r>
        <w:rPr>
          <w:spacing w:val="-1"/>
        </w:rPr>
        <w:t>控制固废低温热解生产线成套设备</w:t>
      </w:r>
      <w:r>
        <w:rPr>
          <w:rFonts w:ascii="Times New Roman" w:hAnsi="Times New Roman" w:cs="Times New Roman" w:eastAsia="Times New Roman" w:hint="default"/>
          <w:spacing w:val="-1"/>
        </w:rPr>
        <w:t>”</w:t>
      </w:r>
      <w:r>
        <w:rPr>
          <w:spacing w:val="-1"/>
        </w:rPr>
        <w:t>计提资产减值准备</w:t>
      </w:r>
      <w:r>
        <w:rPr>
          <w:rFonts w:ascii="Times New Roman" w:hAnsi="Times New Roman" w:cs="Times New Roman" w:eastAsia="Times New Roman" w:hint="default"/>
          <w:spacing w:val="-1"/>
        </w:rPr>
        <w:t>8,493.42</w:t>
      </w:r>
      <w:r>
        <w:rPr>
          <w:spacing w:val="-1"/>
        </w:rPr>
        <w:t>万元，</w:t>
      </w:r>
      <w:r>
        <w:rPr>
          <w:rFonts w:ascii="Times New Roman" w:hAnsi="Times New Roman" w:cs="Times New Roman" w:eastAsia="Times New Roman" w:hint="default"/>
          <w:spacing w:val="-1"/>
        </w:rPr>
        <w:t>2014</w:t>
      </w:r>
      <w:r>
        <w:rPr>
          <w:spacing w:val="-1"/>
        </w:rPr>
        <w:t>年将该生产线补提资产减值损失</w:t>
      </w:r>
      <w:r>
        <w:rPr>
          <w:spacing w:val="-66"/>
        </w:rPr>
        <w:t> </w:t>
      </w:r>
      <w:r>
        <w:rPr>
          <w:spacing w:val="-66"/>
        </w:rPr>
      </w:r>
      <w:r>
        <w:rPr>
          <w:rFonts w:ascii="Times New Roman" w:hAnsi="Times New Roman" w:cs="Times New Roman" w:eastAsia="Times New Roman" w:hint="default"/>
          <w:spacing w:val="-1"/>
        </w:rPr>
        <w:t>1,286.69</w:t>
      </w:r>
      <w:r>
        <w:rPr>
          <w:spacing w:val="-1"/>
        </w:rPr>
        <w:t>万元。根据该公司目前的资产状况，本公司对该公司长期投资</w:t>
      </w:r>
      <w:r>
        <w:rPr>
          <w:rFonts w:ascii="Times New Roman" w:hAnsi="Times New Roman" w:cs="Times New Roman" w:eastAsia="Times New Roman" w:hint="default"/>
          <w:spacing w:val="-1"/>
        </w:rPr>
        <w:t>2014</w:t>
      </w:r>
      <w:r>
        <w:rPr>
          <w:spacing w:val="-1"/>
        </w:rPr>
        <w:t>年计提资产减值损失</w:t>
      </w:r>
      <w:r>
        <w:rPr>
          <w:rFonts w:ascii="Times New Roman" w:hAnsi="Times New Roman" w:cs="Times New Roman" w:eastAsia="Times New Roman" w:hint="default"/>
          <w:spacing w:val="-1"/>
        </w:rPr>
        <w:t>2,936.21</w:t>
      </w:r>
      <w:r>
        <w:rPr>
          <w:spacing w:val="-1"/>
        </w:rPr>
        <w:t>万</w:t>
      </w:r>
      <w:r>
        <w:rPr>
          <w:spacing w:val="-73"/>
        </w:rPr>
        <w:t> </w:t>
      </w:r>
      <w:r>
        <w:rPr/>
        <w:t>元，累计计提减值</w:t>
      </w:r>
      <w:r>
        <w:rPr>
          <w:rFonts w:ascii="Times New Roman" w:hAnsi="Times New Roman" w:cs="Times New Roman" w:eastAsia="Times New Roman" w:hint="default"/>
        </w:rPr>
        <w:t>8,500.00</w:t>
      </w:r>
      <w:r>
        <w:rPr/>
        <w:t>万元。</w:t>
      </w:r>
    </w:p>
    <w:p>
      <w:pPr>
        <w:spacing w:line="240" w:lineRule="auto" w:before="12"/>
        <w:rPr>
          <w:rFonts w:ascii="宋体" w:hAnsi="宋体" w:cs="宋体" w:eastAsia="宋体" w:hint="default"/>
          <w:sz w:val="21"/>
          <w:szCs w:val="21"/>
        </w:rPr>
      </w:pPr>
    </w:p>
    <w:p>
      <w:pPr>
        <w:pStyle w:val="Heading5"/>
        <w:spacing w:line="240" w:lineRule="auto"/>
        <w:ind w:left="153" w:right="0"/>
        <w:jc w:val="left"/>
        <w:rPr>
          <w:b w:val="0"/>
          <w:bCs w:val="0"/>
        </w:rPr>
      </w:pPr>
      <w:bookmarkStart w:name="4、营业收入和营业成本" w:id="355"/>
      <w:bookmarkEnd w:id="35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552,635,532.26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436,077,989.70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583,221,054.39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471,823,745.43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6,782,961.01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741,565.90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2,345,205.55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353,977.32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559,418,493.27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436,819,555.60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585,566,259.94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472,177,722.75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投资收益" w:id="356"/>
      <w:bookmarkEnd w:id="35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932"/>
        <w:gridCol w:w="1996"/>
        <w:gridCol w:w="1631"/>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742,859.44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909,261.20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35,490.75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-21,413.46</w:t>
            </w:r>
            <w:r>
              <w:rPr>
                <w:rFonts w:ascii="Times New Roman"/>
                <w:sz w:val="18"/>
              </w:rPr>
            </w:r>
          </w:p>
        </w:tc>
      </w:tr>
      <w:tr>
        <w:trPr>
          <w:trHeight w:val="401"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以公允价值计量且其变动计入当期损益的金融资产在持有期间的投资收益</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197,777.80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处置以公允价值计量且其变动计入当期损益的金融资产取得的投资收益</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-563,777.80</w:t>
            </w:r>
            <w:r>
              <w:rPr>
                <w:rFonts w:ascii="Times New Roman"/>
                <w:sz w:val="18"/>
              </w:rPr>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1,520,821.91</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1,933,172.10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887,847.74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补充资料" w:id="357"/>
      <w:bookmarkEnd w:id="357"/>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当期非经常性损益明细表" w:id="358"/>
      <w:bookmarkEnd w:id="35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215"/>
        <w:gridCol w:w="1854"/>
        <w:gridCol w:w="1489"/>
      </w:tblGrid>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-1,810,478.16</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 量享受的政府补助除外）</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1,769,435.48</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1,520,821.91</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 易性金融负债产生的公允价值变动损益，以及处置交易性金融资产、交易性金 融负债和可供出售金融资产取得的投资收益</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-563,777.80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-461,530.94</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422,470.71</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-931,323.01</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w w:val="95"/>
                <w:sz w:val="18"/>
              </w:rPr>
              <w:t>-936,677.21</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净资产收益率及每股收益" w:id="359"/>
      <w:bookmarkEnd w:id="35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385"/>
        <w:gridCol w:w="1346"/>
        <w:gridCol w:w="1913"/>
        <w:gridCol w:w="1913"/>
      </w:tblGrid>
      <w:tr>
        <w:trPr>
          <w:trHeight w:val="206" w:hRule="exact"/>
        </w:trPr>
        <w:tc>
          <w:tcPr>
            <w:tcW w:w="43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98" w:right="36"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43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46"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4385" w:type="dxa"/>
            <w:vMerge/>
            <w:tcBorders>
              <w:left w:val="single" w:sz="4" w:space="0" w:color="000000"/>
              <w:bottom w:val="nil" w:sz="6" w:space="0" w:color="auto"/>
              <w:right w:val="single" w:sz="4" w:space="0" w:color="000000"/>
            </w:tcBorders>
            <w:shd w:val="clear" w:color="auto" w:fill="D2D2D2"/>
          </w:tcPr>
          <w:p>
            <w:pPr/>
          </w:p>
        </w:tc>
        <w:tc>
          <w:tcPr>
            <w:tcW w:w="1346"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3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46" w:type="dxa"/>
            <w:tcBorders>
              <w:top w:val="single" w:sz="18" w:space="0" w:color="D2D2D2"/>
              <w:left w:val="single" w:sz="13" w:space="0" w:color="D2D2D2"/>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13.42%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4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3、会计政策变更相关补充资料" w:id="360"/>
      <w:bookmarkEnd w:id="360"/>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8"/>
        <w:gridCol w:w="1702"/>
        <w:gridCol w:w="1559"/>
        <w:gridCol w:w="1629"/>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1713"/>
        <w:gridCol w:w="1559"/>
        <w:gridCol w:w="1630"/>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319,637,380.91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318,456,123.81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172,298,023.02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197,777.80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3,395,000.00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91,149,527.64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63,551,740.39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55,991,607.02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10,442,351.40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14,533,902.95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5,385,868.13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1,879.21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432,952.09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1,050,504.72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811,747.71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4,260,132.79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2,430,717.69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72,802,442.88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62,509,537.66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63,925,647.11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22,041,683.03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20,060,445.95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43,976,741.70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517,187,012.78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487,397,613.44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345,459,109.39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68,828,700.44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110,341,583.68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178,879,051.33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2,747,206.44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2,725,792.98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2,761,283.73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6,094,509.62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5,740,532.30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3,802,773.93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68,696,649.48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134,528,661.02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109,353,799.56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142,404,148.69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37,002,291.52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36,681,064.77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35,350,625.89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1,014,811.17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1,650,426.46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6,009,930.34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5,421,533.17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967,984.17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1,987,294.22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332,209,850.53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292,636,045.38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338,144,759.00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849,396,863.31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780,033,658.82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683,603,868.39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21,593,826.48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3,738,737.13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52,021,605.15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57,311,665.33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4,482,084.14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6,232,978.25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3,157,904.64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17,839,541.12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18,042,035.90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21,546,833.04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10,364,537.37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9,396,527.71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8,488,025.78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5,299.33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23,891,396.02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21,555,031.80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17,820,519.87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591,273.50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850,295.50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1,033,739.00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176,501,395.76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312,098,474.31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195,863,986.99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1713"/>
        <w:gridCol w:w="1559"/>
        <w:gridCol w:w="1630"/>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1,299,900.00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1,168,300.00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1,096,900.00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58,919.23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50,093.07</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70,758,819.23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41,118,393.07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39,626,900.00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247,260,214.99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353,216,867.38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235,490,886.99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224,250,000.00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224,250,000.00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224,250,000.00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60,724,676.97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634,676.97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776,262.14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81,065,220.97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77,869,058.33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78,693,206.10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767,999.29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1,003,058.14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2,115,221.84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118,038,421.41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45,100,692.47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81,465,023.68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484,846,318.64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348,857,485.91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387,299,713.76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117,290,329.68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77,959,305.53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60,813,267.64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602,136,648.32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426,816,791.44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448,112,981.40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849,396,863.31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780,033,658.82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683,603,868.39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p>
      <w:pPr>
        <w:pStyle w:val="Heading1"/>
        <w:spacing w:line="240" w:lineRule="auto"/>
        <w:ind w:left="3286" w:right="0"/>
        <w:jc w:val="left"/>
        <w:rPr>
          <w:b w:val="0"/>
          <w:bCs w:val="0"/>
        </w:rPr>
      </w:pPr>
      <w:bookmarkStart w:name="_TOC_250000" w:id="361"/>
      <w:bookmarkStart w:name="第十二节 备查文件目录" w:id="362"/>
      <w:r>
        <w:rPr>
          <w:b w:val="0"/>
          <w:bCs w:val="0"/>
        </w:rPr>
      </w:r>
      <w:r>
        <w:rPr/>
        <w:t>第十二节</w:t>
      </w:r>
      <w:r>
        <w:rPr>
          <w:spacing w:val="-8"/>
        </w:rPr>
        <w:t> </w:t>
      </w:r>
      <w:r>
        <w:rPr/>
        <w:t>备查文件目录</w:t>
      </w:r>
      <w:bookmarkEnd w:id="361"/>
      <w:r>
        <w:rPr>
          <w:b w:val="0"/>
          <w:bCs w:val="0"/>
        </w:rPr>
      </w:r>
    </w:p>
    <w:p>
      <w:pPr>
        <w:spacing w:line="240" w:lineRule="auto" w:before="10"/>
        <w:rPr>
          <w:rFonts w:ascii="宋体" w:hAnsi="宋体" w:cs="宋体" w:eastAsia="宋体" w:hint="default"/>
          <w:b/>
          <w:bCs/>
          <w:sz w:val="44"/>
          <w:szCs w:val="44"/>
        </w:rPr>
      </w:pPr>
    </w:p>
    <w:p>
      <w:pPr>
        <w:pStyle w:val="Heading3"/>
        <w:spacing w:line="338" w:lineRule="auto"/>
        <w:ind w:left="153" w:right="0" w:firstLine="480"/>
        <w:jc w:val="left"/>
      </w:pPr>
      <w:r>
        <w:rPr>
          <w:rFonts w:ascii="Times New Roman" w:hAnsi="Times New Roman" w:cs="Times New Roman" w:eastAsia="Times New Roman" w:hint="default"/>
          <w:spacing w:val="-3"/>
        </w:rPr>
        <w:t>1</w:t>
      </w:r>
      <w:r>
        <w:rPr>
          <w:spacing w:val="-3"/>
        </w:rPr>
        <w:t>、载有公司法定代表人陆尔穗先生、财务负责人张松先生、会计机构负责人（会计主管</w:t>
      </w:r>
      <w:r>
        <w:rPr/>
        <w:t> 人员）张松先生签名并盖章的财务报表。</w:t>
      </w:r>
    </w:p>
    <w:p>
      <w:pPr>
        <w:pStyle w:val="Heading3"/>
        <w:spacing w:line="240" w:lineRule="auto" w:before="55"/>
        <w:ind w:right="0"/>
        <w:jc w:val="left"/>
      </w:pPr>
      <w:r>
        <w:rPr>
          <w:rFonts w:ascii="Times New Roman" w:hAnsi="Times New Roman" w:cs="Times New Roman" w:eastAsia="Times New Roman" w:hint="default"/>
        </w:rPr>
        <w:t>2</w:t>
      </w:r>
      <w:r>
        <w:rPr/>
        <w:t>、载有会计师事务所盖章、注册会计师签名并盖章的审计报告原件。</w:t>
      </w:r>
    </w:p>
    <w:p>
      <w:pPr>
        <w:pStyle w:val="Heading3"/>
        <w:spacing w:line="240" w:lineRule="auto" w:before="135"/>
        <w:ind w:right="0"/>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Heading3"/>
        <w:spacing w:line="338" w:lineRule="auto" w:before="135"/>
        <w:ind w:right="3433"/>
        <w:jc w:val="left"/>
      </w:pPr>
      <w:r>
        <w:rPr>
          <w:rFonts w:ascii="Times New Roman" w:hAnsi="Times New Roman" w:cs="Times New Roman" w:eastAsia="Times New Roman" w:hint="default"/>
        </w:rPr>
        <w:t>4</w:t>
      </w:r>
      <w:r>
        <w:rPr/>
        <w:t>、载有公司董事长陆尔穗先生签名的</w:t>
      </w:r>
      <w:r>
        <w:rPr>
          <w:rFonts w:ascii="Times New Roman" w:hAnsi="Times New Roman" w:cs="Times New Roman" w:eastAsia="Times New Roman" w:hint="default"/>
        </w:rPr>
        <w:t>2014</w:t>
      </w:r>
      <w:r>
        <w:rPr/>
        <w:t>年年度报告文本原件。 以上备查文件的备置地点：公司证券投资部。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506" w:lineRule="auto" w:before="202"/>
        <w:ind w:left="6913" w:right="1833" w:hanging="720"/>
        <w:jc w:val="left"/>
      </w:pPr>
      <w:r>
        <w:rPr/>
        <w:t>江苏三友集团股份有限公司 董事长：陆尔穗</w:t>
      </w:r>
    </w:p>
    <w:p>
      <w:pPr>
        <w:pStyle w:val="Heading3"/>
        <w:spacing w:line="240" w:lineRule="auto" w:before="84"/>
        <w:ind w:left="6433" w:right="0"/>
        <w:jc w:val="left"/>
      </w:pPr>
      <w:r>
        <w:rPr/>
        <w:t>二〇一五年二月二十六日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4432" type="#_x0000_t75" stroked="false">
          <v:imagedata r:id="rId1" o:title=""/>
        </v:shape>
      </w:pict>
    </w:r>
    <w:r>
      <w:rPr/>
      <w:pict>
        <v:shape style="position:absolute;margin-left:533.179993pt;margin-top:795.517944pt;width:6.5pt;height:11pt;mso-position-horizontal-relative:page;mso-position-vertical-relative:page;z-index:-8444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4384" type="#_x0000_t75" stroked="false">
          <v:imagedata r:id="rId1" o:title=""/>
        </v:shape>
      </w:pict>
    </w:r>
    <w:r>
      <w:rPr/>
      <w:pict>
        <v:shape style="position:absolute;margin-left:527.679993pt;margin-top:781.957947pt;width:13pt;height:11pt;mso-position-horizontal-relative:page;mso-position-vertical-relative:page;z-index:-844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4336" type="#_x0000_t75" stroked="false">
          <v:imagedata r:id="rId1" o:title=""/>
        </v:shape>
      </w:pict>
    </w:r>
    <w:r>
      <w:rPr/>
      <w:pict>
        <v:shape style="position:absolute;margin-left:76.699997pt;margin-top:756.056519pt;width:458.75pt;height:12.5pt;mso-position-horizontal-relative:page;mso-position-vertical-relative:page;z-index:-844312" type="#_x0000_t202" filled="false" stroked="false">
          <v:textbox inset="0,0,0,0">
            <w:txbxContent>
              <w:p>
                <w:pPr>
                  <w:pStyle w:val="BodyText"/>
                  <w:spacing w:line="230" w:lineRule="exact" w:before="0"/>
                  <w:ind w:left="20" w:right="0"/>
                  <w:jc w:val="left"/>
                </w:pPr>
                <w:r>
                  <w:rPr/>
                  <w:t>（</w:t>
                </w:r>
                <w:r>
                  <w:rPr>
                    <w:rFonts w:ascii="宋体" w:hAnsi="宋体" w:cs="宋体" w:eastAsia="宋体" w:hint="default"/>
                  </w:rPr>
                  <w:t>1</w:t>
                </w:r>
                <w:r>
                  <w:rPr/>
                  <w:t>）</w:t>
                </w:r>
                <w:r>
                  <w:rPr>
                    <w:rFonts w:ascii="宋体" w:hAnsi="宋体" w:cs="宋体" w:eastAsia="宋体" w:hint="default"/>
                  </w:rPr>
                  <w:t>2014</w:t>
                </w:r>
                <w:r>
                  <w:rPr/>
                  <w:t>年，子公司环保公司继续坚持以市场需求为导向，通过积极地市场开拓实现了重点产品销</w:t>
                </w:r>
              </w:p>
            </w:txbxContent>
          </v:textbox>
          <w10:wrap type="none"/>
        </v:shape>
      </w:pict>
    </w:r>
    <w:r>
      <w:rPr/>
      <w:pict>
        <v:shape style="position:absolute;margin-left:527.679993pt;margin-top:781.957947pt;width:13pt;height:11pt;mso-position-horizontal-relative:page;mso-position-vertical-relative:page;z-index:-844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4264" type="#_x0000_t75" stroked="false">
          <v:imagedata r:id="rId1" o:title=""/>
        </v:shape>
      </w:pict>
    </w:r>
    <w:r>
      <w:rPr/>
      <w:pict>
        <v:shape style="position:absolute;margin-left:527.679993pt;margin-top:781.957947pt;width:13pt;height:11pt;mso-position-horizontal-relative:page;mso-position-vertical-relative:page;z-index:-844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4216" type="#_x0000_t75" stroked="false">
          <v:imagedata r:id="rId1" o:title=""/>
        </v:shape>
      </w:pict>
    </w:r>
    <w:r>
      <w:rPr/>
      <w:pict>
        <v:shape style="position:absolute;margin-left:55.700001pt;margin-top:753.565613pt;width:70.9pt;height:11.5pt;mso-position-horizontal-relative:page;mso-position-vertical-relative:page;z-index:-844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txbxContent>
          </v:textbox>
          <w10:wrap type="none"/>
        </v:shape>
      </w:pict>
    </w:r>
    <w:r>
      <w:rPr/>
      <w:pict>
        <v:shape style="position:absolute;margin-left:527.679993pt;margin-top:781.957947pt;width:13pt;height:11pt;mso-position-horizontal-relative:page;mso-position-vertical-relative:page;z-index:-844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4144" type="#_x0000_t75" stroked="false">
          <v:imagedata r:id="rId1" o:title=""/>
        </v:shape>
      </w:pict>
    </w:r>
    <w:r>
      <w:rPr/>
      <w:pict>
        <v:shape style="position:absolute;margin-left:527.679993pt;margin-top:781.957947pt;width:13pt;height:11pt;mso-position-horizontal-relative:page;mso-position-vertical-relative:page;z-index:-844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4096" type="#_x0000_t75" stroked="false">
          <v:imagedata r:id="rId1" o:title=""/>
        </v:shape>
      </w:pict>
    </w:r>
    <w:r>
      <w:rPr/>
      <w:pict>
        <v:shape style="position:absolute;margin-left:524.179993pt;margin-top:781.957947pt;width:15.5pt;height:11pt;mso-position-horizontal-relative:page;mso-position-vertical-relative:page;z-index:-8440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4048" type="#_x0000_t75" stroked="false">
          <v:imagedata r:id="rId1" o:title=""/>
        </v:shape>
      </w:pict>
    </w:r>
    <w:r>
      <w:rPr/>
      <w:pict>
        <v:shape style="position:absolute;margin-left:523.179993pt;margin-top:781.957947pt;width:17.5pt;height:11pt;mso-position-horizontal-relative:page;mso-position-vertical-relative:page;z-index:-844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8444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江苏三友集团股份有限公司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19"/>
      <w:ind w:left="153"/>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633"/>
      <w:outlineLvl w:val="3"/>
    </w:pPr>
    <w:rPr>
      <w:rFonts w:ascii="宋体" w:hAnsi="宋体" w:eastAsia="宋体"/>
      <w:sz w:val="24"/>
      <w:szCs w:val="24"/>
    </w:rPr>
  </w:style>
  <w:style w:styleId="Heading4" w:type="paragraph">
    <w:name w:val="Heading 4"/>
    <w:basedOn w:val="Normal"/>
    <w:uiPriority w:val="1"/>
    <w:qFormat/>
    <w:pPr>
      <w:spacing w:before="31"/>
      <w:ind w:left="154"/>
      <w:outlineLvl w:val="4"/>
    </w:pPr>
    <w:rPr>
      <w:rFonts w:ascii="宋体" w:hAnsi="宋体" w:eastAsia="宋体"/>
      <w:b/>
      <w:bCs/>
      <w:sz w:val="22"/>
      <w:szCs w:val="22"/>
    </w:rPr>
  </w:style>
  <w:style w:styleId="Heading5" w:type="paragraph">
    <w:name w:val="Heading 5"/>
    <w:basedOn w:val="Normal"/>
    <w:uiPriority w:val="1"/>
    <w:qFormat/>
    <w:pPr>
      <w:ind w:left="154"/>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anyougroup.com/" TargetMode="External"/><Relationship Id="rId10" Type="http://schemas.openxmlformats.org/officeDocument/2006/relationships/hyperlink" Target="mailto:jssy@sanyougroup.com" TargetMode="External"/><Relationship Id="rId11" Type="http://schemas.openxmlformats.org/officeDocument/2006/relationships/hyperlink" Target="mailto:xuxd@sanyougroup.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footer" Target="footer7.xml"/><Relationship Id="rId21"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2020-05-06T15:40:11Z</dcterms:created>
  <dcterms:modified xsi:type="dcterms:W3CDTF">2020-05-06T15:40:11Z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Microsoft® Office Word 2007</vt:lpwstr>
  </property>
  <property fmtid="{D5CDD505-2E9C-101B-9397-08002B2CF9AE}" pid="4" name="LastSaved">
    <vt:filetime>2020-05-06T00:00:00Z</vt:filetime>
  </property>
</Properties>
</file>