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800" w:lineRule="exact"/>
        <w:ind w:left="305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2435527" cy="1143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435527" cy="1143000"/>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11"/>
        <w:rPr>
          <w:rFonts w:ascii="Times New Roman" w:hAnsi="Times New Roman" w:cs="Times New Roman" w:eastAsia="Times New Roman" w:hint="default"/>
          <w:sz w:val="13"/>
          <w:szCs w:val="13"/>
        </w:rPr>
      </w:pPr>
    </w:p>
    <w:p>
      <w:pPr>
        <w:spacing w:line="439" w:lineRule="auto" w:before="0"/>
        <w:ind w:left="2260" w:right="2262" w:firstLine="0"/>
        <w:jc w:val="center"/>
        <w:rPr>
          <w:rFonts w:ascii="黑体" w:hAnsi="黑体" w:cs="黑体" w:eastAsia="黑体" w:hint="default"/>
          <w:sz w:val="36"/>
          <w:szCs w:val="36"/>
        </w:rPr>
      </w:pPr>
      <w:r>
        <w:rPr>
          <w:rFonts w:ascii="黑体" w:hAnsi="黑体" w:cs="黑体" w:eastAsia="黑体" w:hint="default"/>
          <w:b/>
          <w:bCs/>
          <w:sz w:val="36"/>
          <w:szCs w:val="36"/>
        </w:rPr>
        <w:t>美年大健康产业控股股份有限公司</w:t>
      </w:r>
      <w:r>
        <w:rPr>
          <w:rFonts w:ascii="黑体" w:hAnsi="黑体" w:cs="黑体" w:eastAsia="黑体" w:hint="default"/>
          <w:b/>
          <w:bCs/>
          <w:w w:val="99"/>
          <w:sz w:val="36"/>
          <w:szCs w:val="36"/>
        </w:rPr>
        <w:t> </w:t>
      </w:r>
      <w:r>
        <w:rPr>
          <w:rFonts w:ascii="黑体" w:hAnsi="黑体" w:cs="黑体" w:eastAsia="黑体" w:hint="default"/>
          <w:b/>
          <w:bCs/>
          <w:sz w:val="36"/>
          <w:szCs w:val="36"/>
        </w:rPr>
        <w:t>2015</w:t>
      </w:r>
      <w:r>
        <w:rPr>
          <w:rFonts w:ascii="黑体" w:hAnsi="黑体" w:cs="黑体" w:eastAsia="黑体" w:hint="default"/>
          <w:b/>
          <w:bCs/>
          <w:spacing w:val="-95"/>
          <w:sz w:val="36"/>
          <w:szCs w:val="36"/>
        </w:rPr>
        <w:t> </w:t>
      </w:r>
      <w:r>
        <w:rPr>
          <w:rFonts w:ascii="黑体" w:hAnsi="黑体" w:cs="黑体" w:eastAsia="黑体" w:hint="default"/>
          <w:b/>
          <w:bCs/>
          <w:sz w:val="36"/>
          <w:szCs w:val="36"/>
        </w:rPr>
        <w:t>年年度报告</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39"/>
          <w:szCs w:val="39"/>
        </w:rPr>
      </w:pPr>
    </w:p>
    <w:p>
      <w:pPr>
        <w:spacing w:before="0"/>
        <w:ind w:left="2260" w:right="2262" w:firstLine="0"/>
        <w:jc w:val="center"/>
        <w:rPr>
          <w:rFonts w:ascii="黑体" w:hAnsi="黑体" w:cs="黑体" w:eastAsia="黑体" w:hint="default"/>
          <w:sz w:val="32"/>
          <w:szCs w:val="32"/>
        </w:rPr>
      </w:pPr>
      <w:r>
        <w:rPr>
          <w:rFonts w:ascii="黑体" w:hAnsi="黑体" w:cs="黑体" w:eastAsia="黑体" w:hint="default"/>
          <w:b/>
          <w:bCs/>
          <w:sz w:val="32"/>
          <w:szCs w:val="32"/>
        </w:rPr>
        <w:t>2016</w:t>
      </w:r>
      <w:r>
        <w:rPr>
          <w:rFonts w:ascii="黑体" w:hAnsi="黑体" w:cs="黑体" w:eastAsia="黑体" w:hint="default"/>
          <w:b/>
          <w:bCs/>
          <w:spacing w:val="-82"/>
          <w:sz w:val="32"/>
          <w:szCs w:val="32"/>
        </w:rPr>
        <w:t> </w:t>
      </w:r>
      <w:r>
        <w:rPr>
          <w:rFonts w:ascii="黑体" w:hAnsi="黑体" w:cs="黑体" w:eastAsia="黑体" w:hint="default"/>
          <w:b/>
          <w:bCs/>
          <w:sz w:val="32"/>
          <w:szCs w:val="32"/>
        </w:rPr>
        <w:t>年</w:t>
      </w:r>
      <w:r>
        <w:rPr>
          <w:rFonts w:ascii="黑体" w:hAnsi="黑体" w:cs="黑体" w:eastAsia="黑体" w:hint="default"/>
          <w:b/>
          <w:bCs/>
          <w:spacing w:val="-84"/>
          <w:sz w:val="32"/>
          <w:szCs w:val="32"/>
        </w:rPr>
        <w:t> </w:t>
      </w:r>
      <w:r>
        <w:rPr>
          <w:rFonts w:ascii="黑体" w:hAnsi="黑体" w:cs="黑体" w:eastAsia="黑体" w:hint="default"/>
          <w:b/>
          <w:bCs/>
          <w:sz w:val="32"/>
          <w:szCs w:val="32"/>
        </w:rPr>
        <w:t>04</w:t>
      </w:r>
      <w:r>
        <w:rPr>
          <w:rFonts w:ascii="黑体" w:hAnsi="黑体" w:cs="黑体" w:eastAsia="黑体" w:hint="default"/>
          <w:b/>
          <w:bCs/>
          <w:spacing w:val="-85"/>
          <w:sz w:val="32"/>
          <w:szCs w:val="32"/>
        </w:rPr>
        <w:t> </w:t>
      </w:r>
      <w:r>
        <w:rPr>
          <w:rFonts w:ascii="黑体" w:hAnsi="黑体" w:cs="黑体" w:eastAsia="黑体" w:hint="default"/>
          <w:b/>
          <w:bCs/>
          <w:sz w:val="32"/>
          <w:szCs w:val="32"/>
        </w:rPr>
        <w:t>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黑体" w:hAnsi="黑体" w:cs="黑体" w:eastAsia="黑体" w:hint="default"/>
          <w:b/>
          <w:bCs/>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8"/>
          <w:szCs w:val="18"/>
        </w:rPr>
      </w:pPr>
    </w:p>
    <w:p>
      <w:pPr>
        <w:pStyle w:val="Heading1"/>
        <w:spacing w:line="240" w:lineRule="auto"/>
        <w:ind w:left="2802" w:right="104"/>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3"/>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公司负责人俞熔、主管会计工作负责人兰佳及会计机构负责人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兰佳声明：保证年度报告中财务报告的真实、准确、完整。</w:t>
      </w:r>
      <w:r>
        <w:rPr>
          <w:rFonts w:ascii="宋体" w:hAnsi="宋体" w:cs="宋体" w:eastAsia="宋体" w:hint="default"/>
          <w:sz w:val="28"/>
          <w:szCs w:val="28"/>
        </w:rPr>
      </w:r>
    </w:p>
    <w:p>
      <w:pPr>
        <w:spacing w:line="472" w:lineRule="auto" w:before="148"/>
        <w:ind w:left="1554" w:right="104" w:hanging="84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本年度报告涉及的未来计划、发展战略等前瞻性描述不构成公司对</w:t>
      </w:r>
      <w:r>
        <w:rPr>
          <w:rFonts w:ascii="宋体" w:hAnsi="宋体" w:cs="宋体" w:eastAsia="宋体" w:hint="default"/>
          <w:spacing w:val="2"/>
          <w:sz w:val="28"/>
          <w:szCs w:val="28"/>
        </w:rPr>
      </w:r>
    </w:p>
    <w:p>
      <w:pPr>
        <w:spacing w:line="475" w:lineRule="auto" w:before="0"/>
        <w:ind w:left="714" w:right="104" w:hanging="563"/>
        <w:jc w:val="left"/>
        <w:rPr>
          <w:rFonts w:ascii="宋体" w:hAnsi="宋体" w:cs="宋体" w:eastAsia="宋体" w:hint="default"/>
          <w:sz w:val="28"/>
          <w:szCs w:val="28"/>
        </w:rPr>
      </w:pPr>
      <w:r>
        <w:rPr>
          <w:rFonts w:ascii="宋体" w:hAnsi="宋体" w:cs="宋体" w:eastAsia="宋体" w:hint="default"/>
          <w:b/>
          <w:bCs/>
          <w:sz w:val="28"/>
          <w:szCs w:val="28"/>
        </w:rPr>
        <w:t>投资者的实质承诺，敬请投资者注意投资风险。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公司经本次董事会审议通过的利润分配预案为：以</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2"/>
          <w:w w:val="100"/>
          <w:sz w:val="28"/>
          <w:szCs w:val="28"/>
        </w:rPr>
        <w:t>1,210,741,353</w:t>
      </w:r>
      <w:r>
        <w:rPr>
          <w:rFonts w:ascii="Times New Roman" w:hAnsi="Times New Roman" w:cs="Times New Roman" w:eastAsia="Times New Roman" w:hint="default"/>
          <w:b/>
          <w:bCs/>
          <w:spacing w:val="-41"/>
          <w:w w:val="100"/>
          <w:sz w:val="28"/>
          <w:szCs w:val="28"/>
        </w:rPr>
        <w:t> </w:t>
      </w:r>
      <w:r>
        <w:rPr>
          <w:rFonts w:ascii="宋体" w:hAnsi="宋体" w:cs="宋体" w:eastAsia="宋体" w:hint="default"/>
          <w:b/>
          <w:bCs/>
          <w:w w:val="99"/>
          <w:sz w:val="28"/>
          <w:szCs w:val="28"/>
        </w:rPr>
        <w:t>股为基数，</w:t>
      </w:r>
      <w:r>
        <w:rPr>
          <w:rFonts w:ascii="宋体" w:hAnsi="宋体" w:cs="宋体" w:eastAsia="宋体" w:hint="default"/>
          <w:sz w:val="28"/>
          <w:szCs w:val="28"/>
        </w:rPr>
      </w:r>
    </w:p>
    <w:p>
      <w:pPr>
        <w:spacing w:line="320" w:lineRule="exact" w:before="0"/>
        <w:ind w:left="152" w:right="104"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104"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60" w:right="22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管理层讨论与分析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财务报告</w:t>
            </w:r>
            <w:r>
              <w:rPr>
                <w:rFonts w:ascii="Times New Roman" w:hAnsi="Times New Roman" w:cs="Times New Roman" w:eastAsia="Times New Roman" w:hint="default"/>
              </w:rPr>
              <w:tab/>
              <w:t>128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8"/>
              </w:rPr>
              <w:t> </w:t>
            </w:r>
            <w:r>
              <w:rPr/>
              <w:t>备查文件目录</w:t>
            </w:r>
            <w:r>
              <w:rPr>
                <w:rFonts w:ascii="Times New Roman" w:hAnsi="Times New Roman" w:cs="Times New Roman" w:eastAsia="Times New Roman" w:hint="default"/>
              </w:rPr>
              <w:tab/>
              <w:t>252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2260" w:right="22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上市公司</w:t>
            </w:r>
            <w:r>
              <w:rPr>
                <w:rFonts w:ascii="宋体" w:hAnsi="宋体" w:cs="宋体" w:eastAsia="宋体" w:hint="default"/>
                <w:sz w:val="18"/>
                <w:szCs w:val="18"/>
              </w:rPr>
              <w:t>/</w:t>
            </w:r>
            <w:r>
              <w:rPr>
                <w:rFonts w:ascii="宋体" w:hAnsi="宋体" w:cs="宋体" w:eastAsia="宋体" w:hint="default"/>
                <w:sz w:val="18"/>
                <w:szCs w:val="18"/>
              </w:rPr>
              <w:t>美年健康</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美年大健康产业控股股份有限公司，深圳证券交易所上市企业，证券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代码</w:t>
            </w:r>
            <w:r>
              <w:rPr>
                <w:rFonts w:ascii="宋体" w:hAnsi="宋体" w:cs="宋体" w:eastAsia="宋体" w:hint="default"/>
                <w:spacing w:val="-46"/>
                <w:sz w:val="18"/>
                <w:szCs w:val="18"/>
              </w:rPr>
              <w:t> </w:t>
            </w:r>
            <w:r>
              <w:rPr>
                <w:rFonts w:ascii="宋体" w:hAnsi="宋体" w:cs="宋体" w:eastAsia="宋体" w:hint="default"/>
                <w:sz w:val="18"/>
                <w:szCs w:val="18"/>
              </w:rPr>
              <w:t>002044</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江苏三友集团股份有限公司（公司曾用名称）</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美年大健康</w:t>
            </w:r>
            <w:r>
              <w:rPr>
                <w:rFonts w:ascii="宋体" w:hAnsi="宋体" w:cs="宋体" w:eastAsia="宋体" w:hint="default"/>
                <w:sz w:val="18"/>
                <w:szCs w:val="18"/>
              </w:rPr>
              <w:t>/</w:t>
            </w:r>
            <w:r>
              <w:rPr>
                <w:rFonts w:ascii="宋体" w:hAnsi="宋体" w:cs="宋体" w:eastAsia="宋体" w:hint="default"/>
                <w:sz w:val="18"/>
                <w:szCs w:val="18"/>
              </w:rPr>
              <w:t>美年产业</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美年大健康产业（集团）有限公司</w:t>
            </w:r>
            <w:r>
              <w:rPr>
                <w:rFonts w:ascii="宋体" w:hAnsi="宋体" w:cs="宋体" w:eastAsia="宋体" w:hint="default"/>
                <w:sz w:val="18"/>
                <w:szCs w:val="18"/>
              </w:rPr>
              <w:t>/</w:t>
            </w:r>
            <w:r>
              <w:rPr>
                <w:rFonts w:ascii="宋体" w:hAnsi="宋体" w:cs="宋体" w:eastAsia="宋体" w:hint="default"/>
                <w:sz w:val="18"/>
                <w:szCs w:val="18"/>
              </w:rPr>
              <w:t>美年大健康产业（集团）股份有 限公司（公司曾用名称）</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天亿投资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上海天亿投资（集团）有限公司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美馨投资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天亿资管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和途投资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上海和途投资中心（有限合伙）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中卫成长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中卫成长（上海）创业投资合伙企业（有限合伙）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世纪长河</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北京世纪长河科技集团有限公司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凯雷投资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北京凯雷投资中心（有限合伙）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南通友谊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深圳鸿康杰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深圳市鸿康杰科技有限公司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洛阳美年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洛阳美年大健康信息咨询有限公司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辽阳美年</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辽阳美年大健康管理有限公司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无锡华康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江苏华康投资发展有限公司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慈铭体检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慈铭健康体检管理集团股份有限公司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鹰潭健之康业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鹰潭健之康业投资咨询有限公司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中泰证券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1 </w:t>
            </w:r>
            <w:r>
              <w:rPr>
                <w:rFonts w:ascii="宋体" w:hAnsi="宋体" w:cs="宋体" w:eastAsia="宋体" w:hint="default"/>
                <w:sz w:val="18"/>
                <w:szCs w:val="18"/>
              </w:rPr>
              <w:t>日</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6"/>
                <w:sz w:val="18"/>
                <w:szCs w:val="18"/>
              </w:rPr>
              <w:t>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92.849976pt;width:361.55pt;height:19.7pt;mso-position-horizontal-relative:page;mso-position-vertical-relative:page;z-index:-1401664"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美年健康</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002044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美年健康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美年健康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Meinian Onehealth Healthcare Holdings Co.,</w:t>
            </w:r>
            <w:r>
              <w:rPr>
                <w:rFonts w:ascii="Times New Roman"/>
                <w:spacing w:val="-14"/>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Meinian</w:t>
            </w:r>
            <w:r>
              <w:rPr>
                <w:rFonts w:ascii="Times New Roman"/>
                <w:spacing w:val="-4"/>
                <w:sz w:val="18"/>
              </w:rPr>
              <w:t> </w:t>
            </w:r>
            <w:r>
              <w:rPr>
                <w:rFonts w:ascii="Times New Roman"/>
                <w:sz w:val="18"/>
              </w:rPr>
              <w:t>Onehealth</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俞熔</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226008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上海市徐汇区小木桥路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 </w:t>
            </w:r>
            <w:r>
              <w:rPr>
                <w:rFonts w:ascii="宋体" w:hAnsi="宋体" w:cs="宋体" w:eastAsia="宋体" w:hint="default"/>
                <w:sz w:val="18"/>
                <w:szCs w:val="18"/>
              </w:rPr>
              <w:t>号天亿大厦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200032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www.health-100.cn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liulj@health-100.cn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刘丽娟</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上海市徐汇区小木桥路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号天亿大厦</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上海市徐汇区小木桥路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号天亿大厦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021-34693731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021-34693731</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021-34693731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021-34693731</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chenyl@health-100.cn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liulj@health-100.cn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before="44"/>
        <w:ind w:left="0" w:right="159" w:firstLine="0"/>
        <w:jc w:val="right"/>
        <w:rPr>
          <w:rFonts w:ascii="宋体" w:hAnsi="宋体" w:cs="宋体" w:eastAsia="宋体" w:hint="default"/>
          <w:sz w:val="18"/>
          <w:szCs w:val="18"/>
        </w:rPr>
      </w:pPr>
      <w:r>
        <w:rPr/>
        <w:pict>
          <v:shape style="position:absolute;margin-left:56.459999pt;margin-top:-51.968281pt;width:479.2pt;height:310.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33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上市公司通过资产置换、发行股份收购资产及募集配套资金的一系列交易， 实现美年大健康产业（集团）股份有限公司借壳上市，上市公司主营业务由服装 加工制造企业转变为健康体检服务企业，以健康体检服务为核心，并集健康咨询 健康评估、健康干预于一体。</w:t>
                        </w:r>
                      </w:p>
                    </w:tc>
                  </w:tr>
                  <w:tr>
                    <w:trPr>
                      <w:trHeight w:val="44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年上市公司发行购份购买资产前，南通友谊（陆尔穗通过直接和间接持有其</w:t>
                        </w:r>
                      </w:p>
                      <w:p>
                        <w:pPr>
                          <w:pStyle w:val="TableParagraph"/>
                          <w:spacing w:line="304" w:lineRule="auto" w:before="60"/>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71.68%</w:t>
                        </w:r>
                        <w:r>
                          <w:rPr>
                            <w:rFonts w:ascii="宋体" w:hAnsi="宋体" w:cs="宋体" w:eastAsia="宋体" w:hint="default"/>
                            <w:sz w:val="18"/>
                            <w:szCs w:val="18"/>
                          </w:rPr>
                          <w:t>的股权）持有江苏三友 </w:t>
                        </w:r>
                        <w:r>
                          <w:rPr>
                            <w:rFonts w:ascii="Times New Roman" w:hAnsi="Times New Roman" w:cs="Times New Roman" w:eastAsia="Times New Roman" w:hint="default"/>
                            <w:sz w:val="18"/>
                            <w:szCs w:val="18"/>
                          </w:rPr>
                          <w:t>62,553,536 </w:t>
                        </w:r>
                        <w:r>
                          <w:rPr>
                            <w:rFonts w:ascii="宋体" w:hAnsi="宋体" w:cs="宋体" w:eastAsia="宋体" w:hint="default"/>
                            <w:sz w:val="18"/>
                            <w:szCs w:val="18"/>
                          </w:rPr>
                          <w:t>股，占比</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22.50%</w:t>
                        </w:r>
                        <w:r>
                          <w:rPr>
                            <w:rFonts w:ascii="宋体" w:hAnsi="宋体" w:cs="宋体" w:eastAsia="宋体" w:hint="default"/>
                            <w:sz w:val="18"/>
                            <w:szCs w:val="18"/>
                          </w:rPr>
                          <w:t>，为江苏三友控股股 东；陆尔穗直接持有江苏三友 </w:t>
                        </w:r>
                        <w:r>
                          <w:rPr>
                            <w:rFonts w:ascii="Times New Roman" w:hAnsi="Times New Roman" w:cs="Times New Roman" w:eastAsia="Times New Roman" w:hint="default"/>
                            <w:sz w:val="18"/>
                            <w:szCs w:val="18"/>
                          </w:rPr>
                          <w:t>287,432 </w:t>
                        </w:r>
                        <w:r>
                          <w:rPr>
                            <w:rFonts w:ascii="宋体" w:hAnsi="宋体" w:cs="宋体" w:eastAsia="宋体" w:hint="default"/>
                            <w:sz w:val="18"/>
                            <w:szCs w:val="18"/>
                          </w:rPr>
                          <w:t>股，占比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0.10%</w:t>
                        </w:r>
                        <w:r>
                          <w:rPr>
                            <w:rFonts w:ascii="宋体" w:hAnsi="宋体" w:cs="宋体" w:eastAsia="宋体" w:hint="default"/>
                            <w:sz w:val="18"/>
                            <w:szCs w:val="18"/>
                          </w:rPr>
                          <w:t>，并通过南通友谊持有江 苏三友 </w:t>
                        </w:r>
                        <w:r>
                          <w:rPr>
                            <w:rFonts w:ascii="Times New Roman" w:hAnsi="Times New Roman" w:cs="Times New Roman" w:eastAsia="Times New Roman" w:hint="default"/>
                            <w:spacing w:val="-1"/>
                            <w:sz w:val="18"/>
                            <w:szCs w:val="18"/>
                          </w:rPr>
                          <w:t>62,553,536</w:t>
                        </w:r>
                        <w:r>
                          <w:rPr>
                            <w:rFonts w:ascii="Times New Roman" w:hAnsi="Times New Roman" w:cs="Times New Roman" w:eastAsia="Times New Roman" w:hint="default"/>
                            <w:sz w:val="18"/>
                            <w:szCs w:val="18"/>
                          </w:rPr>
                          <w:t> </w:t>
                        </w:r>
                        <w:r>
                          <w:rPr>
                            <w:rFonts w:ascii="宋体" w:hAnsi="宋体" w:cs="宋体" w:eastAsia="宋体" w:hint="default"/>
                            <w:spacing w:val="-22"/>
                            <w:sz w:val="18"/>
                            <w:szCs w:val="18"/>
                          </w:rPr>
                          <w:t>股，占比</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22.50%</w:t>
                        </w:r>
                        <w:r>
                          <w:rPr>
                            <w:rFonts w:ascii="宋体" w:hAnsi="宋体" w:cs="宋体" w:eastAsia="宋体" w:hint="default"/>
                            <w:spacing w:val="-5"/>
                            <w:sz w:val="18"/>
                            <w:szCs w:val="18"/>
                          </w:rPr>
                          <w:t>，以直接和间接合计持有公司股份</w:t>
                        </w:r>
                        <w:r>
                          <w:rPr>
                            <w:rFonts w:ascii="宋体" w:hAnsi="宋体" w:cs="宋体" w:eastAsia="宋体" w:hint="default"/>
                            <w:spacing w:val="27"/>
                            <w:sz w:val="18"/>
                            <w:szCs w:val="18"/>
                          </w:rPr>
                          <w:t> </w:t>
                        </w:r>
                        <w:r>
                          <w:rPr>
                            <w:rFonts w:ascii="Times New Roman" w:hAnsi="Times New Roman" w:cs="Times New Roman" w:eastAsia="Times New Roman" w:hint="default"/>
                            <w:spacing w:val="-1"/>
                            <w:sz w:val="18"/>
                            <w:szCs w:val="18"/>
                          </w:rPr>
                          <w:t>62,840,968</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股，占上市公司总股本的 </w:t>
                        </w:r>
                        <w:r>
                          <w:rPr>
                            <w:rFonts w:ascii="Times New Roman" w:hAnsi="Times New Roman" w:cs="Times New Roman" w:eastAsia="Times New Roman" w:hint="default"/>
                            <w:sz w:val="18"/>
                            <w:szCs w:val="18"/>
                          </w:rPr>
                          <w:t>22.60%</w:t>
                        </w:r>
                        <w:r>
                          <w:rPr>
                            <w:rFonts w:ascii="宋体" w:hAnsi="宋体" w:cs="宋体" w:eastAsia="宋体" w:hint="default"/>
                            <w:sz w:val="18"/>
                            <w:szCs w:val="18"/>
                          </w:rPr>
                          <w:t>，为江苏三友实际控制人。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年上市公司发 行股份购买资产新增股份登记完成后，陆尔穗通过直接、间接持有上市公司股份 合计占比由 </w:t>
                        </w:r>
                        <w:r>
                          <w:rPr>
                            <w:rFonts w:ascii="Times New Roman" w:hAnsi="Times New Roman" w:cs="Times New Roman" w:eastAsia="Times New Roman" w:hint="default"/>
                            <w:sz w:val="18"/>
                            <w:szCs w:val="18"/>
                          </w:rPr>
                          <w:t>22.60%</w:t>
                        </w:r>
                        <w:r>
                          <w:rPr>
                            <w:rFonts w:ascii="宋体" w:hAnsi="宋体" w:cs="宋体" w:eastAsia="宋体" w:hint="default"/>
                            <w:sz w:val="18"/>
                            <w:szCs w:val="18"/>
                          </w:rPr>
                          <w:t>下降至 </w:t>
                        </w:r>
                        <w:r>
                          <w:rPr>
                            <w:rFonts w:ascii="Times New Roman" w:hAnsi="Times New Roman" w:cs="Times New Roman" w:eastAsia="Times New Roman" w:hint="default"/>
                            <w:sz w:val="18"/>
                            <w:szCs w:val="18"/>
                          </w:rPr>
                          <w:t>5.25%</w:t>
                        </w:r>
                        <w:r>
                          <w:rPr>
                            <w:rFonts w:ascii="宋体" w:hAnsi="宋体" w:cs="宋体" w:eastAsia="宋体" w:hint="default"/>
                            <w:sz w:val="18"/>
                            <w:szCs w:val="18"/>
                          </w:rPr>
                          <w:t>。俞熔直接持有公司 </w:t>
                        </w:r>
                        <w:r>
                          <w:rPr>
                            <w:rFonts w:ascii="Times New Roman" w:hAnsi="Times New Roman" w:cs="Times New Roman" w:eastAsia="Times New Roman" w:hint="default"/>
                            <w:sz w:val="18"/>
                            <w:szCs w:val="18"/>
                          </w:rPr>
                          <w:t>12,353,519</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股股份，上海 </w:t>
                        </w:r>
                        <w:r>
                          <w:rPr>
                            <w:rFonts w:ascii="宋体" w:hAnsi="宋体" w:cs="宋体" w:eastAsia="宋体" w:hint="default"/>
                            <w:spacing w:val="-7"/>
                            <w:sz w:val="18"/>
                            <w:szCs w:val="18"/>
                          </w:rPr>
                          <w:t>天亿投资（集团）有限公司（俞熔持股</w:t>
                        </w:r>
                        <w:r>
                          <w:rPr>
                            <w:rFonts w:ascii="宋体" w:hAnsi="宋体" w:cs="宋体" w:eastAsia="宋体" w:hint="default"/>
                            <w:spacing w:val="23"/>
                            <w:sz w:val="18"/>
                            <w:szCs w:val="18"/>
                          </w:rPr>
                          <w:t> </w:t>
                        </w:r>
                        <w:r>
                          <w:rPr>
                            <w:rFonts w:ascii="Times New Roman" w:hAnsi="Times New Roman" w:cs="Times New Roman" w:eastAsia="Times New Roman" w:hint="default"/>
                            <w:spacing w:val="-8"/>
                            <w:sz w:val="18"/>
                            <w:szCs w:val="18"/>
                          </w:rPr>
                          <w:t>63.00%</w:t>
                        </w:r>
                        <w:r>
                          <w:rPr>
                            <w:rFonts w:ascii="宋体" w:hAnsi="宋体" w:cs="宋体" w:eastAsia="宋体" w:hint="default"/>
                            <w:spacing w:val="-8"/>
                            <w:sz w:val="18"/>
                            <w:szCs w:val="18"/>
                          </w:rPr>
                          <w:t>）、上海天亿资产管理有限公司（俞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熔持股</w:t>
                        </w:r>
                        <w:r>
                          <w:rPr>
                            <w:rFonts w:ascii="宋体" w:hAnsi="宋体" w:cs="宋体" w:eastAsia="宋体" w:hint="default"/>
                            <w:spacing w:val="14"/>
                            <w:sz w:val="18"/>
                            <w:szCs w:val="18"/>
                          </w:rPr>
                          <w:t> </w:t>
                        </w:r>
                        <w:r>
                          <w:rPr>
                            <w:rFonts w:ascii="Times New Roman" w:hAnsi="Times New Roman" w:cs="Times New Roman" w:eastAsia="Times New Roman" w:hint="default"/>
                            <w:spacing w:val="-5"/>
                            <w:sz w:val="18"/>
                            <w:szCs w:val="18"/>
                          </w:rPr>
                          <w:t>70.00%</w:t>
                        </w:r>
                        <w:r>
                          <w:rPr>
                            <w:rFonts w:ascii="宋体" w:hAnsi="宋体" w:cs="宋体" w:eastAsia="宋体" w:hint="default"/>
                            <w:spacing w:val="-5"/>
                            <w:sz w:val="18"/>
                            <w:szCs w:val="18"/>
                          </w:rPr>
                          <w:t>）、上海美馨投资管理有限公司（俞熔持股</w:t>
                        </w:r>
                        <w:r>
                          <w:rPr>
                            <w:rFonts w:ascii="宋体" w:hAnsi="宋体" w:cs="宋体" w:eastAsia="宋体" w:hint="default"/>
                            <w:spacing w:val="14"/>
                            <w:sz w:val="18"/>
                            <w:szCs w:val="18"/>
                          </w:rPr>
                          <w:t> </w:t>
                        </w:r>
                        <w:r>
                          <w:rPr>
                            <w:rFonts w:ascii="Times New Roman" w:hAnsi="Times New Roman" w:cs="Times New Roman" w:eastAsia="Times New Roman" w:hint="default"/>
                            <w:spacing w:val="-8"/>
                            <w:sz w:val="18"/>
                            <w:szCs w:val="18"/>
                          </w:rPr>
                          <w:t>51.84%</w:t>
                        </w:r>
                        <w:r>
                          <w:rPr>
                            <w:rFonts w:ascii="宋体" w:hAnsi="宋体" w:cs="宋体" w:eastAsia="宋体" w:hint="default"/>
                            <w:spacing w:val="-8"/>
                            <w:sz w:val="18"/>
                            <w:szCs w:val="18"/>
                          </w:rPr>
                          <w:t>）、上海和途投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资中心（有限合伙）（俞熔为执行事务合伙人）、中卫成长（上海）创业投资合伙</w:t>
                        </w:r>
                        <w:r>
                          <w:rPr>
                            <w:rFonts w:ascii="宋体" w:hAnsi="宋体" w:cs="宋体" w:eastAsia="宋体" w:hint="default"/>
                            <w:sz w:val="18"/>
                            <w:szCs w:val="18"/>
                          </w:rPr>
                          <w:t> </w:t>
                        </w:r>
                        <w:r>
                          <w:rPr>
                            <w:rFonts w:ascii="宋体" w:hAnsi="宋体" w:cs="宋体" w:eastAsia="宋体" w:hint="default"/>
                            <w:spacing w:val="-5"/>
                            <w:sz w:val="18"/>
                            <w:szCs w:val="18"/>
                          </w:rPr>
                          <w:t>企业（有限合伙）（上海天亿资产管理有限公司为执行事务合伙人）分别持有公司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z w:val="18"/>
                            <w:szCs w:val="18"/>
                          </w:rPr>
                          <w:t>135,888,704  </w:t>
                        </w:r>
                        <w:r>
                          <w:rPr>
                            <w:rFonts w:ascii="宋体" w:hAnsi="宋体" w:cs="宋体" w:eastAsia="宋体" w:hint="default"/>
                            <w:sz w:val="18"/>
                            <w:szCs w:val="18"/>
                          </w:rPr>
                          <w:t>股、</w:t>
                        </w:r>
                        <w:r>
                          <w:rPr>
                            <w:rFonts w:ascii="Times New Roman" w:hAnsi="Times New Roman" w:cs="Times New Roman" w:eastAsia="Times New Roman" w:hint="default"/>
                            <w:sz w:val="18"/>
                            <w:szCs w:val="18"/>
                          </w:rPr>
                          <w:t>93,752,825  </w:t>
                        </w:r>
                        <w:r>
                          <w:rPr>
                            <w:rFonts w:ascii="宋体" w:hAnsi="宋体" w:cs="宋体" w:eastAsia="宋体" w:hint="default"/>
                            <w:sz w:val="18"/>
                            <w:szCs w:val="18"/>
                          </w:rPr>
                          <w:t>股、</w:t>
                        </w:r>
                        <w:r>
                          <w:rPr>
                            <w:rFonts w:ascii="Times New Roman" w:hAnsi="Times New Roman" w:cs="Times New Roman" w:eastAsia="Times New Roman" w:hint="default"/>
                            <w:sz w:val="18"/>
                            <w:szCs w:val="18"/>
                          </w:rPr>
                          <w:t>87,372,319  </w:t>
                        </w:r>
                        <w:r>
                          <w:rPr>
                            <w:rFonts w:ascii="宋体" w:hAnsi="宋体" w:cs="宋体" w:eastAsia="宋体" w:hint="default"/>
                            <w:sz w:val="18"/>
                            <w:szCs w:val="18"/>
                          </w:rPr>
                          <w:t>股、</w:t>
                        </w:r>
                        <w:r>
                          <w:rPr>
                            <w:rFonts w:ascii="Times New Roman" w:hAnsi="Times New Roman" w:cs="Times New Roman" w:eastAsia="Times New Roman" w:hint="default"/>
                            <w:sz w:val="18"/>
                            <w:szCs w:val="18"/>
                          </w:rPr>
                          <w:t>31,419,115  </w:t>
                        </w:r>
                        <w:r>
                          <w:rPr>
                            <w:rFonts w:ascii="宋体" w:hAnsi="宋体" w:cs="宋体" w:eastAsia="宋体" w:hint="default"/>
                            <w:sz w:val="18"/>
                            <w:szCs w:val="18"/>
                          </w:rPr>
                          <w:t>股、</w:t>
                        </w:r>
                        <w:r>
                          <w:rPr>
                            <w:rFonts w:ascii="Times New Roman" w:hAnsi="Times New Roman" w:cs="Times New Roman" w:eastAsia="Times New Roman" w:hint="default"/>
                            <w:sz w:val="18"/>
                            <w:szCs w:val="18"/>
                          </w:rPr>
                          <w:t>3,208,874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股股</w:t>
                        </w:r>
                      </w:p>
                      <w:p>
                        <w:pPr>
                          <w:pStyle w:val="TableParagraph"/>
                          <w:spacing w:line="300" w:lineRule="auto" w:before="9"/>
                          <w:ind w:left="23" w:right="41"/>
                          <w:jc w:val="both"/>
                          <w:rPr>
                            <w:rFonts w:ascii="宋体" w:hAnsi="宋体" w:cs="宋体" w:eastAsia="宋体" w:hint="default"/>
                            <w:sz w:val="18"/>
                            <w:szCs w:val="18"/>
                          </w:rPr>
                        </w:pPr>
                        <w:r>
                          <w:rPr>
                            <w:rFonts w:ascii="宋体" w:hAnsi="宋体" w:cs="宋体" w:eastAsia="宋体" w:hint="default"/>
                            <w:sz w:val="18"/>
                            <w:szCs w:val="18"/>
                          </w:rPr>
                          <w:t>份，俞熔通过直接、间接合计持有上市公司股份 </w:t>
                        </w:r>
                        <w:r>
                          <w:rPr>
                            <w:rFonts w:ascii="Times New Roman" w:hAnsi="Times New Roman" w:cs="Times New Roman" w:eastAsia="Times New Roman" w:hint="default"/>
                            <w:sz w:val="18"/>
                            <w:szCs w:val="18"/>
                          </w:rPr>
                          <w:t>363,995,356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股，占上市公司总 股本的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30.06%</w:t>
                        </w:r>
                        <w:r>
                          <w:rPr>
                            <w:rFonts w:ascii="宋体" w:hAnsi="宋体" w:cs="宋体" w:eastAsia="宋体" w:hint="default"/>
                            <w:sz w:val="18"/>
                            <w:szCs w:val="18"/>
                          </w:rPr>
                          <w:t>，为上市公司实际控制人。</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8"/>
        <w:ind w:right="0"/>
        <w:jc w:val="left"/>
        <w:rPr>
          <w:b w:val="0"/>
          <w:bCs w:val="0"/>
        </w:rPr>
      </w:pPr>
      <w:r>
        <w:rPr/>
        <w:t>五、其他有关资料</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t>公司聘请的会计师事务所</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谢卉、张丽丽</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公司聘请的报告期内履行持续督导职责的保荐机构</w:t>
      </w:r>
    </w:p>
    <w:p>
      <w:pPr>
        <w:spacing w:line="240" w:lineRule="auto" w:before="10"/>
        <w:rPr>
          <w:rFonts w:ascii="宋体" w:hAnsi="宋体" w:cs="宋体" w:eastAsia="宋体" w:hint="default"/>
          <w:sz w:val="17"/>
          <w:szCs w:val="17"/>
        </w:rPr>
      </w:pPr>
    </w:p>
    <w:p>
      <w:pPr>
        <w:pStyle w:val="BodyText"/>
        <w:spacing w:line="420" w:lineRule="auto" w:before="0"/>
        <w:ind w:right="4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公司聘请的报告期内履行持续督导职责的财务顾问</w:t>
      </w:r>
    </w:p>
    <w:p>
      <w:pPr>
        <w:pStyle w:val="BodyText"/>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上海浦东新区花园石桥路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号东亚银行金融大厦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尤墩周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六、主要会计数据和财务指标</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公司是否因会计政策变更及会计差错更正等追溯调整或重述以前年度会计数据</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5"/>
        <w:gridCol w:w="1753"/>
        <w:gridCol w:w="1738"/>
        <w:gridCol w:w="1738"/>
        <w:gridCol w:w="173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2,101,482,138.09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1,430,687,178.54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978,597,673.95</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260,273,434.15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140,110,161.65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34,229,061.04</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215,788,769.22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139,038,597.59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92,330,087.62</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329,839,402.08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207,421,289.41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77,257,124.35</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4,480,946,459.94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2,128,953,021.94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1,328,948,163.24</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3,056,391,778.33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1,422,112,738.43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876,972,151.26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30"/>
          <w:szCs w:val="30"/>
        </w:rPr>
      </w:pPr>
    </w:p>
    <w:p>
      <w:pPr>
        <w:pStyle w:val="BodyText"/>
        <w:spacing w:line="42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公司报告期不存在按照国际会计准则与按照中国会计准则披露的财务报告中净利润和净资产差异情况。</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189,284,319.13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517,414,730.83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581,017,070.88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813,766,017.25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-99,528,506.16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74,333,031.59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103,720,905.37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181,748,003.35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-99,523,818.60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74,345,961.97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69,873,815.65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171,092,810.20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1"/>
      </w:tblGrid>
      <w:tr>
        <w:trPr>
          <w:trHeight w:val="404"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-106,334,888.87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56,380,693.28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68,623,287.78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311,170,309.89</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上述财务指标或其加总数是否与公司已披露季度报告、半年度报告相关财务指标存在重大差异</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 是 √</w:t>
      </w:r>
      <w:r>
        <w:rPr>
          <w:spacing w:val="1"/>
        </w:rPr>
        <w:t> </w:t>
      </w:r>
      <w:r>
        <w:rPr/>
        <w:t>否</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九、非经常性损益项目及金额</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-275,166.31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-454,370.34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-785,455.96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274,488.00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1,155,340.00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50,018,135.65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多次交易分步实现的 企业合并按照公允价 值确认的收益</w:t>
            </w: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20,653.57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-1,511.02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194,083.38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725,106.74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137,100.02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-4,030,558.05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-57,759,100.00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134,936.34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389,510.20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-100,200.55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1,561,645.32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-14,344.29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12,260.17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44,484,664.93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1,071,564.06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-58,101,026.58</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4"/>
        </w:rPr>
        <w:t> </w:t>
      </w:r>
      <w:r>
        <w:rPr>
          <w:spacing w:val="-2"/>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before="0"/>
        <w:ind w:right="141"/>
        <w:jc w:val="left"/>
      </w:pPr>
      <w:r>
        <w:rPr/>
        <w:t>益项目，以及把《公开发行证券的公司信息披露解释性公告第</w:t>
      </w:r>
      <w:r>
        <w:rPr>
          <w:spacing w:val="-66"/>
        </w:rPr>
        <w:t> </w:t>
      </w:r>
      <w:r>
        <w:rPr>
          <w:rFonts w:ascii="宋体" w:hAnsi="宋体" w:cs="宋体" w:eastAsia="宋体" w:hint="default"/>
        </w:rPr>
        <w:t>1</w:t>
      </w:r>
      <w:r>
        <w:rPr>
          <w:rFonts w:ascii="宋体" w:hAnsi="宋体" w:cs="宋体" w:eastAsia="宋体" w:hint="default"/>
          <w:spacing w:val="-66"/>
        </w:rPr>
        <w:t> </w:t>
      </w:r>
      <w:r>
        <w:rPr/>
        <w:t>号——非经常性损益》中列举的非经常性</w:t>
      </w:r>
      <w:r>
        <w:rPr>
          <w:w w:val="100"/>
        </w:rPr>
        <w:t> </w:t>
      </w:r>
      <w:r>
        <w:rPr/>
        <w:t>损益项目界定为经常性损益的项目，应说明原因</w:t>
      </w:r>
    </w:p>
    <w:p>
      <w:pPr>
        <w:pStyle w:val="BodyText"/>
        <w:spacing w:line="240" w:lineRule="auto" w:before="84"/>
        <w:ind w:right="0"/>
        <w:jc w:val="left"/>
      </w:pPr>
      <w:r>
        <w:rPr/>
        <w:t>□ 适用 √</w:t>
      </w:r>
      <w:r>
        <w:rPr>
          <w:spacing w:val="1"/>
        </w:rPr>
        <w:t> </w:t>
      </w:r>
      <w:r>
        <w:rPr/>
        <w:t>不适用</w:t>
      </w:r>
    </w:p>
    <w:p>
      <w:pPr>
        <w:spacing w:line="240" w:lineRule="auto" w:before="12"/>
        <w:rPr>
          <w:rFonts w:ascii="宋体" w:hAnsi="宋体" w:cs="宋体" w:eastAsia="宋体" w:hint="default"/>
          <w:sz w:val="17"/>
          <w:szCs w:val="17"/>
        </w:rPr>
      </w:pPr>
    </w:p>
    <w:p>
      <w:pPr>
        <w:pStyle w:val="BodyText"/>
        <w:spacing w:line="408" w:lineRule="auto" w:before="0"/>
        <w:ind w:right="0"/>
        <w:jc w:val="left"/>
      </w:pPr>
      <w:r>
        <w:rPr/>
        <w:t>公司报告期不存在将根据《公开发行证券的公司信息披露解释性公告第</w:t>
      </w:r>
      <w:r>
        <w:rPr>
          <w:spacing w:val="-47"/>
        </w:rPr>
        <w:t> </w:t>
      </w:r>
      <w:r>
        <w:rPr>
          <w:rFonts w:ascii="宋体" w:hAnsi="宋体" w:cs="宋体" w:eastAsia="宋体" w:hint="default"/>
        </w:rPr>
        <w:t>1</w:t>
      </w:r>
      <w:r>
        <w:rPr>
          <w:rFonts w:ascii="宋体" w:hAnsi="宋体" w:cs="宋体" w:eastAsia="宋体" w:hint="default"/>
          <w:spacing w:val="-48"/>
        </w:rPr>
        <w:t> </w:t>
      </w:r>
      <w:r>
        <w:rPr>
          <w:spacing w:val="-3"/>
        </w:rPr>
        <w:t>号——非经常性损益》定义、列</w:t>
      </w:r>
      <w:r>
        <w:rPr>
          <w:spacing w:val="-103"/>
        </w:rPr>
        <w:t> </w:t>
      </w:r>
      <w:r>
        <w:rPr>
          <w:spacing w:val="-103"/>
        </w:rPr>
      </w:r>
      <w:r>
        <w:rPr/>
        <w:t>举的非经常性损益项目界定为经常性损益的项目的情形。</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9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2"/>
        <w:jc w:val="left"/>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spacing w:line="444" w:lineRule="auto" w:before="0"/>
        <w:ind w:left="573" w:right="92" w:firstLine="62"/>
        <w:jc w:val="left"/>
        <w:rPr>
          <w:rFonts w:ascii="宋体" w:hAnsi="宋体" w:cs="宋体" w:eastAsia="宋体" w:hint="default"/>
          <w:sz w:val="21"/>
          <w:szCs w:val="21"/>
        </w:rPr>
      </w:pPr>
      <w:r>
        <w:rPr>
          <w:rFonts w:ascii="宋体" w:hAnsi="宋体" w:cs="宋体" w:eastAsia="宋体" w:hint="default"/>
          <w:b/>
          <w:bCs/>
          <w:sz w:val="21"/>
          <w:szCs w:val="21"/>
        </w:rPr>
        <w:t>（一）公司从事的主要业务</w:t>
      </w:r>
      <w:r>
        <w:rPr>
          <w:rFonts w:ascii="宋体" w:hAnsi="宋体" w:cs="宋体" w:eastAsia="宋体" w:hint="default"/>
          <w:b/>
          <w:bCs/>
          <w:w w:val="100"/>
          <w:sz w:val="21"/>
          <w:szCs w:val="21"/>
        </w:rPr>
        <w:t> </w:t>
      </w:r>
      <w:r>
        <w:rPr>
          <w:rFonts w:ascii="宋体" w:hAnsi="宋体" w:cs="宋体" w:eastAsia="宋体" w:hint="default"/>
          <w:spacing w:val="-4"/>
          <w:sz w:val="21"/>
          <w:szCs w:val="21"/>
        </w:rPr>
        <w:t>2015</w:t>
      </w:r>
      <w:r>
        <w:rPr>
          <w:rFonts w:ascii="宋体" w:hAnsi="宋体" w:cs="宋体" w:eastAsia="宋体" w:hint="default"/>
          <w:spacing w:val="-4"/>
          <w:sz w:val="21"/>
          <w:szCs w:val="21"/>
        </w:rPr>
        <w:t>年上市公司重大资产交易完成后，江苏三友原有资产和负债置出，同时注入美年大健康</w:t>
      </w:r>
      <w:r>
        <w:rPr>
          <w:rFonts w:ascii="宋体" w:hAnsi="宋体" w:cs="宋体" w:eastAsia="宋体" w:hint="default"/>
          <w:spacing w:val="-4"/>
          <w:sz w:val="21"/>
          <w:szCs w:val="21"/>
        </w:rPr>
        <w:t>100%</w:t>
      </w:r>
      <w:r>
        <w:rPr>
          <w:rFonts w:ascii="宋体" w:hAnsi="宋体" w:cs="宋体" w:eastAsia="宋体" w:hint="default"/>
          <w:spacing w:val="-4"/>
          <w:sz w:val="21"/>
          <w:szCs w:val="21"/>
        </w:rPr>
        <w:t>股权，</w:t>
      </w:r>
    </w:p>
    <w:p>
      <w:pPr>
        <w:pStyle w:val="BodyText"/>
        <w:spacing w:line="410" w:lineRule="auto" w:before="14"/>
        <w:ind w:right="92"/>
        <w:jc w:val="left"/>
      </w:pPr>
      <w:r>
        <w:rPr>
          <w:spacing w:val="-2"/>
        </w:rPr>
        <w:t>上市公司延续美年大健康原有业务、管理和发展模式，由服装加工制造企业转变为健康体检服务企业，实</w:t>
      </w:r>
      <w:r>
        <w:rPr>
          <w:spacing w:val="-42"/>
        </w:rPr>
        <w:t> </w:t>
      </w:r>
      <w:r>
        <w:rPr>
          <w:spacing w:val="-42"/>
        </w:rPr>
      </w:r>
      <w:r>
        <w:rPr/>
        <w:t>现主营业务的彻底转型。</w:t>
      </w:r>
    </w:p>
    <w:p>
      <w:pPr>
        <w:pStyle w:val="BodyText"/>
        <w:spacing w:line="408" w:lineRule="auto" w:before="82"/>
        <w:ind w:right="92" w:firstLine="420"/>
        <w:jc w:val="left"/>
      </w:pPr>
      <w:r>
        <w:rPr>
          <w:spacing w:val="-5"/>
        </w:rPr>
        <w:t>健康体检行业受到国家政策鼓励和大力扶持，具有广阔的发展空间。公司在规模、人才、管理、服务、</w:t>
      </w:r>
      <w:r>
        <w:rPr>
          <w:w w:val="100"/>
        </w:rPr>
        <w:t> </w:t>
      </w:r>
      <w:r>
        <w:rPr/>
        <w:t>客户资源、品牌等方面具有明显优势，是健康体检领域的优秀企业，盈利能力强、资产质量良好。</w:t>
      </w:r>
    </w:p>
    <w:p>
      <w:pPr>
        <w:pStyle w:val="BodyText"/>
        <w:spacing w:line="408" w:lineRule="auto" w:before="87"/>
        <w:ind w:right="92" w:firstLine="420"/>
        <w:jc w:val="left"/>
      </w:pPr>
      <w:r>
        <w:rPr>
          <w:spacing w:val="-2"/>
        </w:rPr>
        <w:t>上市公司主营业务以健康体检服务为核心，并集健康咨询、健康评估、健康干预于一体。上市公司提</w:t>
      </w:r>
      <w:r>
        <w:rPr>
          <w:w w:val="100"/>
        </w:rPr>
        <w:t> </w:t>
      </w:r>
      <w:r>
        <w:rPr/>
        <w:t>供的服务如下：</w:t>
      </w:r>
    </w:p>
    <w:tbl>
      <w:tblPr>
        <w:tblW w:w="0" w:type="auto"/>
        <w:jc w:val="left"/>
        <w:tblInd w:w="145" w:type="dxa"/>
        <w:tblLayout w:type="fixed"/>
        <w:tblCellMar>
          <w:top w:w="0" w:type="dxa"/>
          <w:left w:w="0" w:type="dxa"/>
          <w:bottom w:w="0" w:type="dxa"/>
          <w:right w:w="0" w:type="dxa"/>
        </w:tblCellMar>
        <w:tblLook w:val="01E0"/>
      </w:tblPr>
      <w:tblGrid>
        <w:gridCol w:w="852"/>
        <w:gridCol w:w="1248"/>
        <w:gridCol w:w="1417"/>
        <w:gridCol w:w="2410"/>
        <w:gridCol w:w="2830"/>
      </w:tblGrid>
      <w:tr>
        <w:trPr>
          <w:trHeight w:val="353" w:hRule="exact"/>
        </w:trPr>
        <w:tc>
          <w:tcPr>
            <w:tcW w:w="852" w:type="dxa"/>
            <w:tcBorders>
              <w:top w:val="single" w:sz="6"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
              <w:ind w:left="218" w:right="0"/>
              <w:jc w:val="left"/>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665" w:type="dxa"/>
            <w:gridSpan w:val="2"/>
            <w:tcBorders>
              <w:top w:val="single" w:sz="6"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服务项目</w:t>
            </w:r>
            <w:r>
              <w:rPr>
                <w:rFonts w:ascii="宋体" w:hAnsi="宋体" w:cs="宋体" w:eastAsia="宋体" w:hint="default"/>
                <w:sz w:val="20"/>
                <w:szCs w:val="20"/>
              </w:rPr>
            </w:r>
          </w:p>
        </w:tc>
        <w:tc>
          <w:tcPr>
            <w:tcW w:w="2410" w:type="dxa"/>
            <w:tcBorders>
              <w:top w:val="single" w:sz="6"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
              <w:ind w:left="796" w:right="0"/>
              <w:jc w:val="left"/>
              <w:rPr>
                <w:rFonts w:ascii="宋体" w:hAnsi="宋体" w:cs="宋体" w:eastAsia="宋体" w:hint="default"/>
                <w:sz w:val="20"/>
                <w:szCs w:val="20"/>
              </w:rPr>
            </w:pPr>
            <w:r>
              <w:rPr>
                <w:rFonts w:ascii="宋体" w:hAnsi="宋体" w:cs="宋体" w:eastAsia="宋体" w:hint="default"/>
                <w:b/>
                <w:bCs/>
                <w:sz w:val="20"/>
                <w:szCs w:val="20"/>
              </w:rPr>
              <w:t>服务内容</w:t>
            </w:r>
            <w:r>
              <w:rPr>
                <w:rFonts w:ascii="宋体" w:hAnsi="宋体" w:cs="宋体" w:eastAsia="宋体" w:hint="default"/>
                <w:sz w:val="20"/>
                <w:szCs w:val="20"/>
              </w:rPr>
            </w:r>
          </w:p>
        </w:tc>
        <w:tc>
          <w:tcPr>
            <w:tcW w:w="2830" w:type="dxa"/>
            <w:tcBorders>
              <w:top w:val="single" w:sz="6"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1913" w:hRule="exact"/>
        </w:trPr>
        <w:tc>
          <w:tcPr>
            <w:tcW w:w="852" w:type="dxa"/>
            <w:vMerge w:val="restart"/>
            <w:tcBorders>
              <w:top w:val="single" w:sz="12" w:space="0" w:color="000000"/>
              <w:left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248" w:type="dxa"/>
            <w:vMerge w:val="restart"/>
            <w:tcBorders>
              <w:top w:val="single" w:sz="12" w:space="0" w:color="000000"/>
              <w:left w:val="single" w:sz="6" w:space="0" w:color="000000"/>
              <w:right w:val="single" w:sz="6" w:space="0" w:color="000000"/>
            </w:tcBorders>
          </w:tcPr>
          <w:p>
            <w:pPr>
              <w:pStyle w:val="TableParagraph"/>
              <w:spacing w:line="256" w:lineRule="exact"/>
              <w:ind w:left="16" w:right="0"/>
              <w:jc w:val="left"/>
              <w:rPr>
                <w:rFonts w:ascii="宋体" w:hAnsi="宋体" w:cs="宋体" w:eastAsia="宋体" w:hint="default"/>
                <w:sz w:val="20"/>
                <w:szCs w:val="20"/>
              </w:rPr>
            </w:pPr>
            <w:r>
              <w:rPr>
                <w:rFonts w:ascii="宋体" w:hAnsi="宋体" w:cs="宋体" w:eastAsia="宋体" w:hint="default"/>
                <w:sz w:val="20"/>
                <w:szCs w:val="20"/>
              </w:rPr>
              <w:t>健康体检服务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02"/>
              <w:jc w:val="right"/>
              <w:rPr>
                <w:rFonts w:ascii="宋体" w:hAnsi="宋体" w:cs="宋体" w:eastAsia="宋体" w:hint="default"/>
                <w:sz w:val="20"/>
                <w:szCs w:val="20"/>
              </w:rPr>
            </w:pPr>
            <w:r>
              <w:rPr>
                <w:rFonts w:ascii="宋体" w:hAnsi="宋体" w:cs="宋体" w:eastAsia="宋体" w:hint="default"/>
                <w:w w:val="95"/>
                <w:sz w:val="20"/>
                <w:szCs w:val="20"/>
              </w:rPr>
              <w:t>常规体检服务</w:t>
            </w:r>
            <w:r>
              <w:rPr>
                <w:rFonts w:ascii="宋体" w:hAnsi="宋体" w:cs="宋体" w:eastAsia="宋体" w:hint="default"/>
                <w:sz w:val="20"/>
                <w:szCs w:val="20"/>
              </w:rPr>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3" w:lineRule="auto"/>
              <w:ind w:left="4" w:right="-7"/>
              <w:jc w:val="both"/>
              <w:rPr>
                <w:rFonts w:ascii="宋体" w:hAnsi="宋体" w:cs="宋体" w:eastAsia="宋体" w:hint="default"/>
                <w:sz w:val="20"/>
                <w:szCs w:val="20"/>
              </w:rPr>
            </w:pPr>
            <w:r>
              <w:rPr>
                <w:rFonts w:ascii="宋体" w:hAnsi="宋体" w:cs="宋体" w:eastAsia="宋体" w:hint="default"/>
                <w:sz w:val="20"/>
                <w:szCs w:val="20"/>
              </w:rPr>
              <w:t>一般检查，内科，外科，眼</w:t>
            </w:r>
            <w:r>
              <w:rPr>
                <w:rFonts w:ascii="宋体" w:hAnsi="宋体" w:cs="宋体" w:eastAsia="宋体" w:hint="default"/>
                <w:w w:val="99"/>
                <w:sz w:val="20"/>
                <w:szCs w:val="20"/>
              </w:rPr>
              <w:t> </w:t>
            </w:r>
            <w:r>
              <w:rPr>
                <w:rFonts w:ascii="宋体" w:hAnsi="宋体" w:cs="宋体" w:eastAsia="宋体" w:hint="default"/>
                <w:sz w:val="20"/>
                <w:szCs w:val="20"/>
              </w:rPr>
              <w:t>科，耳鼻咽喉科，口腔科，</w:t>
            </w:r>
            <w:r>
              <w:rPr>
                <w:rFonts w:ascii="宋体" w:hAnsi="宋体" w:cs="宋体" w:eastAsia="宋体" w:hint="default"/>
                <w:w w:val="99"/>
                <w:sz w:val="20"/>
                <w:szCs w:val="20"/>
              </w:rPr>
              <w:t> </w:t>
            </w:r>
            <w:r>
              <w:rPr>
                <w:rFonts w:ascii="宋体" w:hAnsi="宋体" w:cs="宋体" w:eastAsia="宋体" w:hint="default"/>
                <w:sz w:val="20"/>
                <w:szCs w:val="20"/>
              </w:rPr>
              <w:t>妇科（针对女性），实验室</w:t>
            </w:r>
            <w:r>
              <w:rPr>
                <w:rFonts w:ascii="宋体" w:hAnsi="宋体" w:cs="宋体" w:eastAsia="宋体" w:hint="default"/>
                <w:w w:val="99"/>
                <w:sz w:val="20"/>
                <w:szCs w:val="20"/>
              </w:rPr>
              <w:t> </w:t>
            </w:r>
            <w:r>
              <w:rPr>
                <w:rFonts w:ascii="宋体" w:hAnsi="宋体" w:cs="宋体" w:eastAsia="宋体" w:hint="default"/>
                <w:sz w:val="20"/>
                <w:szCs w:val="20"/>
              </w:rPr>
              <w:t>常规、生化、免疫学检查，</w:t>
            </w:r>
            <w:r>
              <w:rPr>
                <w:rFonts w:ascii="宋体" w:hAnsi="宋体" w:cs="宋体" w:eastAsia="宋体" w:hint="default"/>
                <w:w w:val="99"/>
                <w:sz w:val="20"/>
                <w:szCs w:val="20"/>
              </w:rPr>
              <w:t> </w:t>
            </w:r>
            <w:r>
              <w:rPr>
                <w:rFonts w:ascii="宋体" w:hAnsi="宋体" w:cs="宋体" w:eastAsia="宋体" w:hint="default"/>
                <w:spacing w:val="4"/>
                <w:sz w:val="20"/>
                <w:szCs w:val="20"/>
              </w:rPr>
              <w:t>常规心电图，</w:t>
            </w:r>
            <w:r>
              <w:rPr>
                <w:rFonts w:ascii="Times New Roman" w:hAnsi="Times New Roman" w:cs="Times New Roman" w:eastAsia="Times New Roman" w:hint="default"/>
                <w:spacing w:val="4"/>
                <w:sz w:val="20"/>
                <w:szCs w:val="20"/>
              </w:rPr>
              <w:t>X</w:t>
            </w:r>
            <w:r>
              <w:rPr>
                <w:rFonts w:ascii="宋体" w:hAnsi="宋体" w:cs="宋体" w:eastAsia="宋体" w:hint="default"/>
                <w:spacing w:val="4"/>
                <w:sz w:val="20"/>
                <w:szCs w:val="20"/>
              </w:rPr>
              <w:t>线检查，超</w:t>
            </w:r>
            <w:r>
              <w:rPr>
                <w:rFonts w:ascii="宋体" w:hAnsi="宋体" w:cs="宋体" w:eastAsia="宋体" w:hint="default"/>
                <w:spacing w:val="4"/>
                <w:w w:val="99"/>
                <w:sz w:val="20"/>
                <w:szCs w:val="20"/>
              </w:rPr>
              <w:t> </w:t>
            </w:r>
            <w:r>
              <w:rPr>
                <w:rFonts w:ascii="宋体" w:hAnsi="宋体" w:cs="宋体" w:eastAsia="宋体" w:hint="default"/>
                <w:sz w:val="20"/>
                <w:szCs w:val="20"/>
              </w:rPr>
              <w:t>声等检查</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2225" w:hRule="exact"/>
        </w:trPr>
        <w:tc>
          <w:tcPr>
            <w:tcW w:w="852" w:type="dxa"/>
            <w:vMerge/>
            <w:tcBorders>
              <w:left w:val="single" w:sz="6" w:space="0" w:color="000000"/>
              <w:right w:val="single" w:sz="6" w:space="0" w:color="000000"/>
            </w:tcBorders>
          </w:tcPr>
          <w:p>
            <w:pPr/>
          </w:p>
        </w:tc>
        <w:tc>
          <w:tcPr>
            <w:tcW w:w="1248" w:type="dxa"/>
            <w:vMerge/>
            <w:tcBorders>
              <w:left w:val="single" w:sz="6"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99" w:right="102" w:hanging="399"/>
              <w:jc w:val="left"/>
              <w:rPr>
                <w:rFonts w:ascii="宋体" w:hAnsi="宋体" w:cs="宋体" w:eastAsia="宋体" w:hint="default"/>
                <w:sz w:val="20"/>
                <w:szCs w:val="20"/>
              </w:rPr>
            </w:pPr>
            <w:r>
              <w:rPr>
                <w:rFonts w:ascii="宋体" w:hAnsi="宋体" w:cs="宋体" w:eastAsia="宋体" w:hint="default"/>
                <w:sz w:val="20"/>
                <w:szCs w:val="20"/>
              </w:rPr>
              <w:t>肿瘤早期筛查</w:t>
            </w:r>
            <w:r>
              <w:rPr>
                <w:rFonts w:ascii="宋体" w:hAnsi="宋体" w:cs="宋体" w:eastAsia="宋体" w:hint="default"/>
                <w:w w:val="99"/>
                <w:sz w:val="20"/>
                <w:szCs w:val="20"/>
              </w:rPr>
              <w:t> </w:t>
            </w:r>
            <w:r>
              <w:rPr>
                <w:rFonts w:ascii="宋体" w:hAnsi="宋体" w:cs="宋体" w:eastAsia="宋体" w:hint="default"/>
                <w:sz w:val="20"/>
                <w:szCs w:val="20"/>
              </w:rPr>
              <w:t>服务</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6" w:lineRule="auto"/>
              <w:ind w:left="4" w:right="-15"/>
              <w:jc w:val="left"/>
              <w:rPr>
                <w:rFonts w:ascii="宋体" w:hAnsi="宋体" w:cs="宋体" w:eastAsia="宋体" w:hint="default"/>
                <w:sz w:val="20"/>
                <w:szCs w:val="20"/>
              </w:rPr>
            </w:pPr>
            <w:r>
              <w:rPr>
                <w:rFonts w:ascii="宋体" w:hAnsi="宋体" w:cs="宋体" w:eastAsia="宋体" w:hint="default"/>
                <w:spacing w:val="15"/>
                <w:sz w:val="20"/>
                <w:szCs w:val="20"/>
              </w:rPr>
              <w:t>检测人体的</w:t>
            </w:r>
            <w:r>
              <w:rPr>
                <w:rFonts w:ascii="宋体" w:hAnsi="宋体" w:cs="宋体" w:eastAsia="宋体" w:hint="default"/>
                <w:spacing w:val="-8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32"/>
                <w:sz w:val="20"/>
                <w:szCs w:val="20"/>
              </w:rPr>
              <w:t> </w:t>
            </w:r>
            <w:r>
              <w:rPr>
                <w:rFonts w:ascii="宋体" w:hAnsi="宋体" w:cs="宋体" w:eastAsia="宋体" w:hint="default"/>
                <w:spacing w:val="15"/>
                <w:sz w:val="20"/>
                <w:szCs w:val="20"/>
              </w:rPr>
              <w:t>项肿瘤标志</w:t>
            </w:r>
            <w:r>
              <w:rPr>
                <w:rFonts w:ascii="宋体" w:hAnsi="宋体" w:cs="宋体" w:eastAsia="宋体" w:hint="default"/>
                <w:spacing w:val="-81"/>
                <w:sz w:val="20"/>
                <w:szCs w:val="20"/>
              </w:rPr>
              <w:t> </w:t>
            </w:r>
            <w:r>
              <w:rPr>
                <w:rFonts w:ascii="宋体" w:hAnsi="宋体" w:cs="宋体" w:eastAsia="宋体" w:hint="default"/>
                <w:sz w:val="20"/>
                <w:szCs w:val="20"/>
              </w:rPr>
              <w:t>物，联检男性</w:t>
            </w:r>
            <w:r>
              <w:rPr>
                <w:rFonts w:ascii="Times New Roman" w:hAnsi="Times New Roman" w:cs="Times New Roman" w:eastAsia="Times New Roman" w:hint="default"/>
                <w:sz w:val="20"/>
                <w:szCs w:val="20"/>
              </w:rPr>
              <w:t>7</w:t>
            </w:r>
            <w:r>
              <w:rPr>
                <w:rFonts w:ascii="宋体" w:hAnsi="宋体" w:cs="宋体" w:eastAsia="宋体" w:hint="default"/>
                <w:sz w:val="20"/>
                <w:szCs w:val="20"/>
              </w:rPr>
              <w:t>项肿瘤（肝</w:t>
            </w:r>
            <w:r>
              <w:rPr>
                <w:rFonts w:ascii="宋体" w:hAnsi="宋体" w:cs="宋体" w:eastAsia="宋体" w:hint="default"/>
                <w:w w:val="99"/>
                <w:sz w:val="20"/>
                <w:szCs w:val="20"/>
              </w:rPr>
              <w:t> </w:t>
            </w:r>
            <w:r>
              <w:rPr>
                <w:rFonts w:ascii="宋体" w:hAnsi="宋体" w:cs="宋体" w:eastAsia="宋体" w:hint="default"/>
                <w:sz w:val="20"/>
                <w:szCs w:val="20"/>
              </w:rPr>
              <w:t>胃癌、肠、胰腺、肺、前列</w:t>
            </w:r>
            <w:r>
              <w:rPr>
                <w:rFonts w:ascii="宋体" w:hAnsi="宋体" w:cs="宋体" w:eastAsia="宋体" w:hint="default"/>
                <w:w w:val="99"/>
                <w:sz w:val="20"/>
                <w:szCs w:val="20"/>
              </w:rPr>
              <w:t> </w:t>
            </w:r>
            <w:r>
              <w:rPr>
                <w:rFonts w:ascii="宋体" w:hAnsi="宋体" w:cs="宋体" w:eastAsia="宋体" w:hint="default"/>
                <w:spacing w:val="7"/>
                <w:sz w:val="20"/>
                <w:szCs w:val="20"/>
              </w:rPr>
              <w:t>腺、睾丸），女性</w:t>
            </w:r>
            <w:r>
              <w:rPr>
                <w:rFonts w:ascii="Times New Roman" w:hAnsi="Times New Roman" w:cs="Times New Roman" w:eastAsia="Times New Roman" w:hint="default"/>
                <w:spacing w:val="7"/>
                <w:sz w:val="20"/>
                <w:szCs w:val="20"/>
              </w:rPr>
              <w:t>8</w:t>
            </w:r>
            <w:r>
              <w:rPr>
                <w:rFonts w:ascii="宋体" w:hAnsi="宋体" w:cs="宋体" w:eastAsia="宋体" w:hint="default"/>
                <w:spacing w:val="7"/>
                <w:sz w:val="20"/>
                <w:szCs w:val="20"/>
              </w:rPr>
              <w:t>项肿瘤</w:t>
            </w:r>
          </w:p>
          <w:p>
            <w:pPr>
              <w:pStyle w:val="TableParagraph"/>
              <w:spacing w:line="285" w:lineRule="auto" w:before="2"/>
              <w:ind w:left="4" w:right="3"/>
              <w:jc w:val="left"/>
              <w:rPr>
                <w:rFonts w:ascii="宋体" w:hAnsi="宋体" w:cs="宋体" w:eastAsia="宋体" w:hint="default"/>
                <w:sz w:val="20"/>
                <w:szCs w:val="20"/>
              </w:rPr>
            </w:pPr>
            <w:r>
              <w:rPr>
                <w:rFonts w:ascii="宋体" w:hAnsi="宋体" w:cs="宋体" w:eastAsia="宋体" w:hint="default"/>
                <w:spacing w:val="-10"/>
                <w:sz w:val="20"/>
                <w:szCs w:val="20"/>
              </w:rPr>
              <w:t>（肝、胃癌、肠、胰腺、肺</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w w:val="95"/>
                <w:sz w:val="20"/>
                <w:szCs w:val="20"/>
              </w:rPr>
              <w:t>乳腺、宫颈、卵巢），进行</w:t>
            </w:r>
            <w:r>
              <w:rPr>
                <w:rFonts w:ascii="宋体" w:hAnsi="宋体" w:cs="宋体" w:eastAsia="宋体" w:hint="default"/>
                <w:spacing w:val="7"/>
                <w:w w:val="95"/>
                <w:sz w:val="20"/>
                <w:szCs w:val="20"/>
              </w:rPr>
              <w:t> </w:t>
            </w:r>
            <w:r>
              <w:rPr>
                <w:rFonts w:ascii="宋体" w:hAnsi="宋体" w:cs="宋体" w:eastAsia="宋体" w:hint="default"/>
                <w:spacing w:val="7"/>
                <w:w w:val="95"/>
                <w:sz w:val="20"/>
                <w:szCs w:val="20"/>
              </w:rPr>
            </w:r>
            <w:r>
              <w:rPr>
                <w:rFonts w:ascii="宋体" w:hAnsi="宋体" w:cs="宋体" w:eastAsia="宋体" w:hint="default"/>
                <w:sz w:val="20"/>
                <w:szCs w:val="20"/>
              </w:rPr>
              <w:t>早期肿瘤筛查</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p>
            <w:pPr>
              <w:pStyle w:val="TableParagraph"/>
              <w:spacing w:line="240" w:lineRule="auto" w:before="35"/>
              <w:ind w:left="-119"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19"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1286" w:hRule="exact"/>
        </w:trPr>
        <w:tc>
          <w:tcPr>
            <w:tcW w:w="852" w:type="dxa"/>
            <w:vMerge/>
            <w:tcBorders>
              <w:left w:val="single" w:sz="6" w:space="0" w:color="000000"/>
              <w:bottom w:val="single" w:sz="12" w:space="0" w:color="000000"/>
              <w:right w:val="single" w:sz="6" w:space="0" w:color="000000"/>
            </w:tcBorders>
          </w:tcPr>
          <w:p>
            <w:pPr/>
          </w:p>
        </w:tc>
        <w:tc>
          <w:tcPr>
            <w:tcW w:w="1248" w:type="dxa"/>
            <w:vMerge/>
            <w:tcBorders>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102"/>
              <w:jc w:val="right"/>
              <w:rPr>
                <w:rFonts w:ascii="宋体" w:hAnsi="宋体" w:cs="宋体" w:eastAsia="宋体" w:hint="default"/>
                <w:sz w:val="20"/>
                <w:szCs w:val="20"/>
              </w:rPr>
            </w:pPr>
            <w:r>
              <w:rPr>
                <w:rFonts w:ascii="宋体" w:hAnsi="宋体" w:cs="宋体" w:eastAsia="宋体" w:hint="default"/>
                <w:w w:val="95"/>
                <w:sz w:val="20"/>
                <w:szCs w:val="20"/>
              </w:rPr>
              <w:t>体检报告解读</w:t>
            </w:r>
            <w:r>
              <w:rPr>
                <w:rFonts w:ascii="宋体" w:hAnsi="宋体" w:cs="宋体" w:eastAsia="宋体" w:hint="default"/>
                <w:sz w:val="20"/>
                <w:szCs w:val="20"/>
              </w:rPr>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7"/>
              <w:jc w:val="both"/>
              <w:rPr>
                <w:rFonts w:ascii="宋体" w:hAnsi="宋体" w:cs="宋体" w:eastAsia="宋体" w:hint="default"/>
                <w:sz w:val="20"/>
                <w:szCs w:val="20"/>
              </w:rPr>
            </w:pPr>
            <w:r>
              <w:rPr>
                <w:rFonts w:ascii="宋体" w:hAnsi="宋体" w:cs="宋体" w:eastAsia="宋体" w:hint="default"/>
                <w:spacing w:val="16"/>
                <w:sz w:val="20"/>
                <w:szCs w:val="20"/>
              </w:rPr>
              <w:t>健康顾问或医学专家为客</w:t>
            </w:r>
            <w:r>
              <w:rPr>
                <w:rFonts w:ascii="宋体" w:hAnsi="宋体" w:cs="宋体" w:eastAsia="宋体" w:hint="default"/>
                <w:w w:val="99"/>
                <w:sz w:val="20"/>
                <w:szCs w:val="20"/>
              </w:rPr>
              <w:t> </w:t>
            </w:r>
            <w:r>
              <w:rPr>
                <w:rFonts w:ascii="宋体" w:hAnsi="宋体" w:cs="宋体" w:eastAsia="宋体" w:hint="default"/>
                <w:sz w:val="20"/>
                <w:szCs w:val="20"/>
              </w:rPr>
              <w:t>户提供体检报告解读服务，</w:t>
            </w:r>
            <w:r>
              <w:rPr>
                <w:rFonts w:ascii="宋体" w:hAnsi="宋体" w:cs="宋体" w:eastAsia="宋体" w:hint="default"/>
                <w:w w:val="99"/>
                <w:sz w:val="20"/>
                <w:szCs w:val="20"/>
              </w:rPr>
              <w:t> </w:t>
            </w:r>
            <w:r>
              <w:rPr>
                <w:rFonts w:ascii="宋体" w:hAnsi="宋体" w:cs="宋体" w:eastAsia="宋体" w:hint="default"/>
                <w:spacing w:val="16"/>
                <w:sz w:val="20"/>
                <w:szCs w:val="20"/>
              </w:rPr>
              <w:t>并提供后续健康改善建议</w:t>
            </w:r>
            <w:r>
              <w:rPr>
                <w:rFonts w:ascii="宋体" w:hAnsi="宋体" w:cs="宋体" w:eastAsia="宋体" w:hint="default"/>
                <w:w w:val="99"/>
                <w:sz w:val="20"/>
                <w:szCs w:val="20"/>
              </w:rPr>
              <w:t> </w:t>
            </w:r>
            <w:r>
              <w:rPr>
                <w:rFonts w:ascii="宋体" w:hAnsi="宋体" w:cs="宋体" w:eastAsia="宋体" w:hint="default"/>
                <w:sz w:val="20"/>
                <w:szCs w:val="20"/>
              </w:rPr>
              <w:t>方案</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977" w:hRule="exact"/>
        </w:trPr>
        <w:tc>
          <w:tcPr>
            <w:tcW w:w="852" w:type="dxa"/>
            <w:vMerge w:val="restart"/>
            <w:tcBorders>
              <w:top w:val="single" w:sz="12" w:space="0" w:color="000000"/>
              <w:left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248" w:type="dxa"/>
            <w:vMerge w:val="restart"/>
            <w:tcBorders>
              <w:top w:val="single" w:sz="12" w:space="0" w:color="000000"/>
              <w:left w:val="single" w:sz="6" w:space="0" w:color="000000"/>
              <w:right w:val="single" w:sz="6" w:space="0" w:color="000000"/>
            </w:tcBorders>
          </w:tcPr>
          <w:p>
            <w:pPr>
              <w:pStyle w:val="TableParagraph"/>
              <w:spacing w:line="256" w:lineRule="exact"/>
              <w:ind w:left="215" w:right="0"/>
              <w:jc w:val="left"/>
              <w:rPr>
                <w:rFonts w:ascii="宋体" w:hAnsi="宋体" w:cs="宋体" w:eastAsia="宋体" w:hint="default"/>
                <w:sz w:val="20"/>
                <w:szCs w:val="20"/>
              </w:rPr>
            </w:pPr>
            <w:r>
              <w:rPr>
                <w:rFonts w:ascii="宋体" w:hAnsi="宋体" w:cs="宋体" w:eastAsia="宋体" w:hint="default"/>
                <w:sz w:val="20"/>
                <w:szCs w:val="20"/>
              </w:rPr>
              <w:t>疾病评估</w:t>
            </w:r>
          </w:p>
        </w:tc>
        <w:tc>
          <w:tcPr>
            <w:tcW w:w="1417" w:type="dxa"/>
            <w:vMerge w:val="restart"/>
            <w:tcBorders>
              <w:top w:val="single" w:sz="12" w:space="0" w:color="000000"/>
              <w:left w:val="single" w:sz="6" w:space="0" w:color="000000"/>
              <w:right w:val="single" w:sz="6" w:space="0" w:color="000000"/>
            </w:tcBorders>
          </w:tcPr>
          <w:p>
            <w:pPr>
              <w:pStyle w:val="TableParagraph"/>
              <w:spacing w:line="285" w:lineRule="auto"/>
              <w:ind w:left="400" w:right="102" w:hanging="300"/>
              <w:jc w:val="left"/>
              <w:rPr>
                <w:rFonts w:ascii="宋体" w:hAnsi="宋体" w:cs="宋体" w:eastAsia="宋体" w:hint="default"/>
                <w:sz w:val="20"/>
                <w:szCs w:val="20"/>
              </w:rPr>
            </w:pPr>
            <w:r>
              <w:rPr>
                <w:rFonts w:ascii="宋体" w:hAnsi="宋体" w:cs="宋体" w:eastAsia="宋体" w:hint="default"/>
                <w:sz w:val="20"/>
                <w:szCs w:val="20"/>
              </w:rPr>
              <w:t>疾病危险性评</w:t>
            </w:r>
            <w:r>
              <w:rPr>
                <w:rFonts w:ascii="宋体" w:hAnsi="宋体" w:cs="宋体" w:eastAsia="宋体" w:hint="default"/>
                <w:w w:val="99"/>
                <w:sz w:val="20"/>
                <w:szCs w:val="20"/>
              </w:rPr>
              <w:t> </w:t>
            </w:r>
            <w:r>
              <w:rPr>
                <w:rFonts w:ascii="宋体" w:hAnsi="宋体" w:cs="宋体" w:eastAsia="宋体" w:hint="default"/>
                <w:sz w:val="20"/>
                <w:szCs w:val="20"/>
              </w:rPr>
              <w:t>估服务</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8" w:lineRule="auto"/>
              <w:ind w:left="4" w:right="0"/>
              <w:jc w:val="both"/>
              <w:rPr>
                <w:rFonts w:ascii="宋体" w:hAnsi="宋体" w:cs="宋体" w:eastAsia="宋体" w:hint="default"/>
                <w:sz w:val="20"/>
                <w:szCs w:val="20"/>
              </w:rPr>
            </w:pPr>
            <w:r>
              <w:rPr>
                <w:rFonts w:ascii="宋体" w:hAnsi="宋体" w:cs="宋体" w:eastAsia="宋体" w:hint="default"/>
                <w:sz w:val="20"/>
                <w:szCs w:val="20"/>
              </w:rPr>
              <w:t>预测个人未来</w:t>
            </w:r>
            <w:r>
              <w:rPr>
                <w:rFonts w:ascii="Times New Roman" w:hAnsi="Times New Roman" w:cs="Times New Roman" w:eastAsia="Times New Roman" w:hint="default"/>
                <w:sz w:val="20"/>
                <w:szCs w:val="20"/>
              </w:rPr>
              <w:t>5-10</w:t>
            </w:r>
            <w:r>
              <w:rPr>
                <w:rFonts w:ascii="宋体" w:hAnsi="宋体" w:cs="宋体" w:eastAsia="宋体" w:hint="default"/>
                <w:sz w:val="20"/>
                <w:szCs w:val="20"/>
              </w:rPr>
              <w:t>年内患冠</w:t>
            </w:r>
            <w:r>
              <w:rPr>
                <w:rFonts w:ascii="宋体" w:hAnsi="宋体" w:cs="宋体" w:eastAsia="宋体" w:hint="default"/>
                <w:spacing w:val="-84"/>
                <w:sz w:val="20"/>
                <w:szCs w:val="20"/>
              </w:rPr>
              <w:t> </w:t>
            </w:r>
            <w:r>
              <w:rPr>
                <w:rFonts w:ascii="宋体" w:hAnsi="宋体" w:cs="宋体" w:eastAsia="宋体" w:hint="default"/>
                <w:w w:val="95"/>
                <w:sz w:val="20"/>
                <w:szCs w:val="20"/>
              </w:rPr>
              <w:t>心病、中风、糖尿病、肿瘤</w:t>
            </w:r>
            <w:r>
              <w:rPr>
                <w:rFonts w:ascii="宋体" w:hAnsi="宋体" w:cs="宋体" w:eastAsia="宋体" w:hint="default"/>
                <w:spacing w:val="8"/>
                <w:w w:val="95"/>
                <w:sz w:val="20"/>
                <w:szCs w:val="20"/>
              </w:rPr>
              <w:t> </w:t>
            </w:r>
            <w:r>
              <w:rPr>
                <w:rFonts w:ascii="宋体" w:hAnsi="宋体" w:cs="宋体" w:eastAsia="宋体" w:hint="default"/>
                <w:spacing w:val="8"/>
                <w:w w:val="95"/>
                <w:sz w:val="20"/>
                <w:szCs w:val="20"/>
              </w:rPr>
            </w:r>
            <w:r>
              <w:rPr>
                <w:rFonts w:ascii="宋体" w:hAnsi="宋体" w:cs="宋体" w:eastAsia="宋体" w:hint="default"/>
                <w:sz w:val="20"/>
                <w:szCs w:val="20"/>
              </w:rPr>
              <w:t>等</w:t>
            </w:r>
            <w:r>
              <w:rPr>
                <w:rFonts w:ascii="Times New Roman" w:hAnsi="Times New Roman" w:cs="Times New Roman" w:eastAsia="Times New Roman" w:hint="default"/>
                <w:sz w:val="20"/>
                <w:szCs w:val="20"/>
              </w:rPr>
              <w:t>19</w:t>
            </w:r>
            <w:r>
              <w:rPr>
                <w:rFonts w:ascii="宋体" w:hAnsi="宋体" w:cs="宋体" w:eastAsia="宋体" w:hint="default"/>
                <w:sz w:val="20"/>
                <w:szCs w:val="20"/>
              </w:rPr>
              <w:t>种慢性疾病的危险性</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977" w:hRule="exact"/>
        </w:trPr>
        <w:tc>
          <w:tcPr>
            <w:tcW w:w="852" w:type="dxa"/>
            <w:vMerge/>
            <w:tcBorders>
              <w:left w:val="single" w:sz="6" w:space="0" w:color="000000"/>
              <w:bottom w:val="single" w:sz="12" w:space="0" w:color="000000"/>
              <w:right w:val="single" w:sz="6" w:space="0" w:color="000000"/>
            </w:tcBorders>
          </w:tcPr>
          <w:p>
            <w:pPr/>
          </w:p>
        </w:tc>
        <w:tc>
          <w:tcPr>
            <w:tcW w:w="1248" w:type="dxa"/>
            <w:vMerge/>
            <w:tcBorders>
              <w:left w:val="single" w:sz="6" w:space="0" w:color="000000"/>
              <w:bottom w:val="single" w:sz="12" w:space="0" w:color="000000"/>
              <w:right w:val="single" w:sz="6" w:space="0" w:color="000000"/>
            </w:tcBorders>
          </w:tcPr>
          <w:p>
            <w:pPr/>
          </w:p>
        </w:tc>
        <w:tc>
          <w:tcPr>
            <w:tcW w:w="1417" w:type="dxa"/>
            <w:vMerge/>
            <w:tcBorders>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2"/>
              <w:jc w:val="both"/>
              <w:rPr>
                <w:rFonts w:ascii="宋体" w:hAnsi="宋体" w:cs="宋体" w:eastAsia="宋体" w:hint="default"/>
                <w:sz w:val="20"/>
                <w:szCs w:val="20"/>
              </w:rPr>
            </w:pPr>
            <w:r>
              <w:rPr>
                <w:rFonts w:ascii="宋体" w:hAnsi="宋体" w:cs="宋体" w:eastAsia="宋体" w:hint="default"/>
                <w:spacing w:val="16"/>
                <w:sz w:val="20"/>
                <w:szCs w:val="20"/>
              </w:rPr>
              <w:t>根据个人健康状况及疾病</w:t>
            </w:r>
            <w:r>
              <w:rPr>
                <w:rFonts w:ascii="宋体" w:hAnsi="宋体" w:cs="宋体" w:eastAsia="宋体" w:hint="default"/>
                <w:w w:val="99"/>
                <w:sz w:val="20"/>
                <w:szCs w:val="20"/>
              </w:rPr>
              <w:t> </w:t>
            </w:r>
            <w:r>
              <w:rPr>
                <w:rFonts w:ascii="宋体" w:hAnsi="宋体" w:cs="宋体" w:eastAsia="宋体" w:hint="default"/>
                <w:w w:val="95"/>
                <w:sz w:val="20"/>
                <w:szCs w:val="20"/>
              </w:rPr>
              <w:t>发展趋势，分析主要健康问</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题，确定相关危险因素，并</w:t>
            </w:r>
            <w:r>
              <w:rPr>
                <w:rFonts w:ascii="宋体" w:hAnsi="宋体" w:cs="宋体" w:eastAsia="宋体" w:hint="default"/>
                <w:sz w:val="20"/>
                <w:szCs w:val="20"/>
              </w:rPr>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852"/>
        <w:gridCol w:w="1248"/>
        <w:gridCol w:w="1417"/>
        <w:gridCol w:w="2410"/>
        <w:gridCol w:w="2830"/>
      </w:tblGrid>
      <w:tr>
        <w:trPr>
          <w:trHeight w:val="668" w:hRule="exact"/>
        </w:trPr>
        <w:tc>
          <w:tcPr>
            <w:tcW w:w="852" w:type="dxa"/>
            <w:tcBorders>
              <w:top w:val="single" w:sz="6" w:space="0" w:color="000000"/>
              <w:left w:val="single" w:sz="6" w:space="0" w:color="000000"/>
              <w:bottom w:val="single" w:sz="12" w:space="0" w:color="000000"/>
              <w:right w:val="single" w:sz="6" w:space="0" w:color="000000"/>
            </w:tcBorders>
          </w:tcPr>
          <w:p>
            <w:pPr/>
          </w:p>
        </w:tc>
        <w:tc>
          <w:tcPr>
            <w:tcW w:w="1248"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2"/>
              <w:ind w:left="4" w:right="5"/>
              <w:jc w:val="left"/>
              <w:rPr>
                <w:rFonts w:ascii="宋体" w:hAnsi="宋体" w:cs="宋体" w:eastAsia="宋体" w:hint="default"/>
                <w:sz w:val="20"/>
                <w:szCs w:val="20"/>
              </w:rPr>
            </w:pPr>
            <w:r>
              <w:rPr>
                <w:rFonts w:ascii="宋体" w:hAnsi="宋体" w:cs="宋体" w:eastAsia="宋体" w:hint="default"/>
                <w:spacing w:val="16"/>
                <w:sz w:val="20"/>
                <w:szCs w:val="20"/>
              </w:rPr>
              <w:t>提供基本健康改善指导原</w:t>
            </w:r>
            <w:r>
              <w:rPr>
                <w:rFonts w:ascii="宋体" w:hAnsi="宋体" w:cs="宋体" w:eastAsia="宋体" w:hint="default"/>
                <w:w w:val="99"/>
                <w:sz w:val="20"/>
                <w:szCs w:val="20"/>
              </w:rPr>
              <w:t> </w:t>
            </w:r>
            <w:r>
              <w:rPr>
                <w:rFonts w:ascii="宋体" w:hAnsi="宋体" w:cs="宋体" w:eastAsia="宋体" w:hint="default"/>
                <w:sz w:val="20"/>
                <w:szCs w:val="20"/>
              </w:rPr>
              <w:t>则</w:t>
            </w:r>
          </w:p>
        </w:tc>
        <w:tc>
          <w:tcPr>
            <w:tcW w:w="2830" w:type="dxa"/>
            <w:tcBorders>
              <w:top w:val="single" w:sz="6" w:space="0" w:color="000000"/>
              <w:left w:val="single" w:sz="6" w:space="0" w:color="000000"/>
              <w:bottom w:val="single" w:sz="12" w:space="0" w:color="000000"/>
              <w:right w:val="single" w:sz="6" w:space="0" w:color="000000"/>
            </w:tcBorders>
          </w:tcPr>
          <w:p>
            <w:pPr/>
          </w:p>
        </w:tc>
      </w:tr>
      <w:tr>
        <w:trPr>
          <w:trHeight w:val="974" w:hRule="exact"/>
        </w:trPr>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248"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就医服务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1" w:hanging="3"/>
              <w:jc w:val="center"/>
              <w:rPr>
                <w:rFonts w:ascii="宋体" w:hAnsi="宋体" w:cs="宋体" w:eastAsia="宋体" w:hint="default"/>
                <w:sz w:val="20"/>
                <w:szCs w:val="20"/>
              </w:rPr>
            </w:pPr>
            <w:r>
              <w:rPr>
                <w:rFonts w:ascii="宋体" w:hAnsi="宋体" w:cs="宋体" w:eastAsia="宋体" w:hint="default"/>
                <w:sz w:val="20"/>
                <w:szCs w:val="20"/>
              </w:rPr>
              <w:t>为患者就医提</w:t>
            </w:r>
            <w:r>
              <w:rPr>
                <w:rFonts w:ascii="宋体" w:hAnsi="宋体" w:cs="宋体" w:eastAsia="宋体" w:hint="default"/>
                <w:w w:val="99"/>
                <w:sz w:val="20"/>
                <w:szCs w:val="20"/>
              </w:rPr>
              <w:t> </w:t>
            </w:r>
            <w:r>
              <w:rPr>
                <w:rFonts w:ascii="宋体" w:hAnsi="宋体" w:cs="宋体" w:eastAsia="宋体" w:hint="default"/>
                <w:sz w:val="20"/>
                <w:szCs w:val="20"/>
              </w:rPr>
              <w:t>供预约、陪诊服</w:t>
            </w:r>
            <w:r>
              <w:rPr>
                <w:rFonts w:ascii="宋体" w:hAnsi="宋体" w:cs="宋体" w:eastAsia="宋体" w:hint="default"/>
                <w:w w:val="99"/>
                <w:sz w:val="20"/>
                <w:szCs w:val="20"/>
              </w:rPr>
              <w:t> </w:t>
            </w:r>
            <w:r>
              <w:rPr>
                <w:rFonts w:ascii="宋体" w:hAnsi="宋体" w:cs="宋体" w:eastAsia="宋体" w:hint="default"/>
                <w:sz w:val="20"/>
                <w:szCs w:val="20"/>
              </w:rPr>
              <w:t>务</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3"/>
              <w:jc w:val="both"/>
              <w:rPr>
                <w:rFonts w:ascii="宋体" w:hAnsi="宋体" w:cs="宋体" w:eastAsia="宋体" w:hint="default"/>
                <w:sz w:val="20"/>
                <w:szCs w:val="20"/>
              </w:rPr>
            </w:pPr>
            <w:r>
              <w:rPr>
                <w:rFonts w:ascii="宋体" w:hAnsi="宋体" w:cs="宋体" w:eastAsia="宋体" w:hint="default"/>
                <w:w w:val="95"/>
                <w:sz w:val="20"/>
                <w:szCs w:val="20"/>
              </w:rPr>
              <w:t>提供挂号、导医导诊、专家</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门诊与医疗服务的预约、陪</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诊</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4"/>
              <w:jc w:val="both"/>
              <w:rPr>
                <w:rFonts w:ascii="宋体" w:hAnsi="宋体" w:cs="宋体" w:eastAsia="宋体" w:hint="default"/>
                <w:sz w:val="20"/>
                <w:szCs w:val="20"/>
              </w:rPr>
            </w:pPr>
            <w:r>
              <w:rPr>
                <w:rFonts w:ascii="宋体" w:hAnsi="宋体" w:cs="宋体" w:eastAsia="宋体" w:hint="default"/>
                <w:sz w:val="20"/>
                <w:szCs w:val="20"/>
              </w:rPr>
              <w:t>公司将客户的就医需求与优质、</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对口的医疗资源对接，服务方为</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各地综合性、专科医院</w:t>
            </w:r>
          </w:p>
        </w:tc>
      </w:tr>
      <w:tr>
        <w:trPr>
          <w:trHeight w:val="1601" w:hRule="exact"/>
        </w:trPr>
        <w:tc>
          <w:tcPr>
            <w:tcW w:w="852" w:type="dxa"/>
            <w:vMerge w:val="restart"/>
            <w:tcBorders>
              <w:top w:val="single" w:sz="12" w:space="0" w:color="000000"/>
              <w:left w:val="single" w:sz="6"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248" w:type="dxa"/>
            <w:vMerge w:val="restart"/>
            <w:tcBorders>
              <w:top w:val="single" w:sz="12" w:space="0" w:color="000000"/>
              <w:left w:val="single" w:sz="6" w:space="0" w:color="000000"/>
              <w:right w:val="single" w:sz="6" w:space="0" w:color="000000"/>
            </w:tcBorders>
          </w:tcPr>
          <w:p>
            <w:pPr>
              <w:pStyle w:val="TableParagraph"/>
              <w:spacing w:line="256" w:lineRule="exact"/>
              <w:ind w:left="215" w:right="0"/>
              <w:jc w:val="left"/>
              <w:rPr>
                <w:rFonts w:ascii="宋体" w:hAnsi="宋体" w:cs="宋体" w:eastAsia="宋体" w:hint="default"/>
                <w:sz w:val="20"/>
                <w:szCs w:val="20"/>
              </w:rPr>
            </w:pPr>
            <w:r>
              <w:rPr>
                <w:rFonts w:ascii="宋体" w:hAnsi="宋体" w:cs="宋体" w:eastAsia="宋体" w:hint="default"/>
                <w:sz w:val="20"/>
                <w:szCs w:val="20"/>
              </w:rPr>
              <w:t>健康咨询</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健康信使</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78" w:lineRule="auto"/>
              <w:ind w:left="4" w:right="2"/>
              <w:jc w:val="both"/>
              <w:rPr>
                <w:rFonts w:ascii="宋体" w:hAnsi="宋体" w:cs="宋体" w:eastAsia="宋体" w:hint="default"/>
                <w:sz w:val="20"/>
                <w:szCs w:val="20"/>
              </w:rPr>
            </w:pPr>
            <w:r>
              <w:rPr>
                <w:rFonts w:ascii="宋体" w:hAnsi="宋体" w:cs="宋体" w:eastAsia="宋体" w:hint="default"/>
                <w:spacing w:val="11"/>
                <w:sz w:val="20"/>
                <w:szCs w:val="20"/>
              </w:rPr>
              <w:t>定期发送健康指导邮件</w:t>
            </w:r>
            <w:r>
              <w:rPr>
                <w:rFonts w:ascii="Times New Roman" w:hAnsi="Times New Roman" w:cs="Times New Roman" w:eastAsia="Times New Roman" w:hint="default"/>
                <w:spacing w:val="11"/>
                <w:sz w:val="20"/>
                <w:szCs w:val="20"/>
              </w:rPr>
              <w:t>/</w:t>
            </w:r>
            <w:r>
              <w:rPr>
                <w:rFonts w:ascii="宋体" w:hAnsi="宋体" w:cs="宋体" w:eastAsia="宋体" w:hint="default"/>
                <w:spacing w:val="11"/>
                <w:sz w:val="20"/>
                <w:szCs w:val="20"/>
              </w:rPr>
              <w:t>短</w:t>
            </w:r>
            <w:r>
              <w:rPr>
                <w:rFonts w:ascii="宋体" w:hAnsi="宋体" w:cs="宋体" w:eastAsia="宋体" w:hint="default"/>
                <w:w w:val="99"/>
                <w:sz w:val="20"/>
                <w:szCs w:val="20"/>
              </w:rPr>
              <w:t> </w:t>
            </w:r>
            <w:r>
              <w:rPr>
                <w:rFonts w:ascii="宋体" w:hAnsi="宋体" w:cs="宋体" w:eastAsia="宋体" w:hint="default"/>
                <w:spacing w:val="-5"/>
                <w:sz w:val="20"/>
                <w:szCs w:val="20"/>
              </w:rPr>
              <w:t>信</w:t>
            </w:r>
            <w:r>
              <w:rPr>
                <w:rFonts w:ascii="Times New Roman" w:hAnsi="Times New Roman" w:cs="Times New Roman" w:eastAsia="Times New Roman" w:hint="default"/>
                <w:spacing w:val="-5"/>
                <w:sz w:val="20"/>
                <w:szCs w:val="20"/>
              </w:rPr>
              <w:t>/</w:t>
            </w:r>
            <w:r>
              <w:rPr>
                <w:rFonts w:ascii="宋体" w:hAnsi="宋体" w:cs="宋体" w:eastAsia="宋体" w:hint="default"/>
                <w:spacing w:val="-5"/>
                <w:sz w:val="20"/>
                <w:szCs w:val="20"/>
              </w:rPr>
              <w:t>导刊，给予专项健康维护</w:t>
            </w:r>
            <w:r>
              <w:rPr>
                <w:rFonts w:ascii="宋体" w:hAnsi="宋体" w:cs="宋体" w:eastAsia="宋体" w:hint="default"/>
                <w:w w:val="99"/>
                <w:sz w:val="20"/>
                <w:szCs w:val="20"/>
              </w:rPr>
              <w:t> </w:t>
            </w:r>
            <w:r>
              <w:rPr>
                <w:rFonts w:ascii="宋体" w:hAnsi="宋体" w:cs="宋体" w:eastAsia="宋体" w:hint="default"/>
                <w:w w:val="95"/>
                <w:sz w:val="20"/>
                <w:szCs w:val="20"/>
              </w:rPr>
              <w:t>干预指导等，帮助个人能更</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pacing w:val="16"/>
                <w:sz w:val="20"/>
                <w:szCs w:val="20"/>
              </w:rPr>
              <w:t>有效地针对自己的危险因</w:t>
            </w:r>
            <w:r>
              <w:rPr>
                <w:rFonts w:ascii="宋体" w:hAnsi="宋体" w:cs="宋体" w:eastAsia="宋体" w:hint="default"/>
                <w:w w:val="99"/>
                <w:sz w:val="20"/>
                <w:szCs w:val="20"/>
              </w:rPr>
              <w:t> </w:t>
            </w:r>
            <w:r>
              <w:rPr>
                <w:rFonts w:ascii="宋体" w:hAnsi="宋体" w:cs="宋体" w:eastAsia="宋体" w:hint="default"/>
                <w:sz w:val="20"/>
                <w:szCs w:val="20"/>
              </w:rPr>
              <w:t>素采取相应的措施</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2849" w:hRule="exact"/>
        </w:trPr>
        <w:tc>
          <w:tcPr>
            <w:tcW w:w="852" w:type="dxa"/>
            <w:vMerge/>
            <w:tcBorders>
              <w:left w:val="single" w:sz="6" w:space="0" w:color="000000"/>
              <w:right w:val="single" w:sz="6" w:space="0" w:color="000000"/>
            </w:tcBorders>
          </w:tcPr>
          <w:p>
            <w:pPr/>
          </w:p>
        </w:tc>
        <w:tc>
          <w:tcPr>
            <w:tcW w:w="1248" w:type="dxa"/>
            <w:vMerge/>
            <w:tcBorders>
              <w:left w:val="single" w:sz="6"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预约电话咨询</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3" w:lineRule="auto"/>
              <w:ind w:left="4" w:right="3"/>
              <w:jc w:val="both"/>
              <w:rPr>
                <w:rFonts w:ascii="宋体" w:hAnsi="宋体" w:cs="宋体" w:eastAsia="宋体" w:hint="default"/>
                <w:sz w:val="20"/>
                <w:szCs w:val="20"/>
              </w:rPr>
            </w:pPr>
            <w:r>
              <w:rPr>
                <w:rFonts w:ascii="Times New Roman" w:hAnsi="Times New Roman" w:cs="Times New Roman" w:eastAsia="Times New Roman" w:hint="default"/>
                <w:w w:val="95"/>
                <w:sz w:val="20"/>
                <w:szCs w:val="20"/>
              </w:rPr>
              <w:t>24</w:t>
            </w:r>
            <w:r>
              <w:rPr>
                <w:rFonts w:ascii="宋体" w:hAnsi="宋体" w:cs="宋体" w:eastAsia="宋体" w:hint="default"/>
                <w:w w:val="95"/>
                <w:sz w:val="20"/>
                <w:szCs w:val="20"/>
              </w:rPr>
              <w:t>小时热线电话，提供预约</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服务，医学及生理、心理健</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康问题解答服务，并根据需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pacing w:val="16"/>
                <w:sz w:val="20"/>
                <w:szCs w:val="20"/>
              </w:rPr>
              <w:t>要提供针对性的专家咨询</w:t>
            </w:r>
            <w:r>
              <w:rPr>
                <w:rFonts w:ascii="宋体" w:hAnsi="宋体" w:cs="宋体" w:eastAsia="宋体" w:hint="default"/>
                <w:w w:val="99"/>
                <w:sz w:val="20"/>
                <w:szCs w:val="20"/>
              </w:rPr>
              <w:t> </w:t>
            </w:r>
            <w:r>
              <w:rPr>
                <w:rFonts w:ascii="宋体" w:hAnsi="宋体" w:cs="宋体" w:eastAsia="宋体" w:hint="default"/>
                <w:sz w:val="20"/>
                <w:szCs w:val="20"/>
              </w:rPr>
              <w:t>服务</w:t>
            </w:r>
          </w:p>
        </w:tc>
        <w:tc>
          <w:tcPr>
            <w:tcW w:w="2830" w:type="dxa"/>
            <w:tcBorders>
              <w:top w:val="single" w:sz="12" w:space="0" w:color="000000"/>
              <w:left w:val="single" w:sz="6" w:space="0" w:color="000000"/>
              <w:bottom w:val="single" w:sz="12" w:space="0" w:color="000000"/>
              <w:right w:val="single" w:sz="6" w:space="0" w:color="000000"/>
            </w:tcBorders>
          </w:tcPr>
          <w:p>
            <w:pPr>
              <w:pStyle w:val="TableParagraph"/>
              <w:spacing w:line="283" w:lineRule="auto"/>
              <w:ind w:left="4" w:right="3"/>
              <w:jc w:val="both"/>
              <w:rPr>
                <w:rFonts w:ascii="宋体" w:hAnsi="宋体" w:cs="宋体" w:eastAsia="宋体" w:hint="default"/>
                <w:sz w:val="20"/>
                <w:szCs w:val="20"/>
              </w:rPr>
            </w:pPr>
            <w:r>
              <w:rPr>
                <w:rFonts w:ascii="宋体" w:hAnsi="宋体" w:cs="宋体" w:eastAsia="宋体" w:hint="default"/>
                <w:sz w:val="20"/>
                <w:szCs w:val="20"/>
              </w:rPr>
              <w:t>客服人员接电话后，涉及专业领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6"/>
                <w:sz w:val="20"/>
                <w:szCs w:val="20"/>
              </w:rPr>
              <w:t>域的咨询：（</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）电话转接公司医</w:t>
            </w:r>
            <w:r>
              <w:rPr>
                <w:rFonts w:ascii="宋体" w:hAnsi="宋体" w:cs="宋体" w:eastAsia="宋体" w:hint="default"/>
                <w:w w:val="99"/>
                <w:sz w:val="20"/>
                <w:szCs w:val="20"/>
              </w:rPr>
              <w:t> </w:t>
            </w:r>
            <w:r>
              <w:rPr>
                <w:rFonts w:ascii="宋体" w:hAnsi="宋体" w:cs="宋体" w:eastAsia="宋体" w:hint="default"/>
                <w:sz w:val="20"/>
                <w:szCs w:val="20"/>
              </w:rPr>
              <w:t>质部专家（三甲以上医院退休返</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聘人员）、主任及副主任医师解</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6"/>
                <w:sz w:val="20"/>
                <w:szCs w:val="20"/>
              </w:rPr>
              <w:t>答医学等问题；（</w:t>
            </w:r>
            <w:r>
              <w:rPr>
                <w:rFonts w:ascii="Times New Roman" w:hAnsi="Times New Roman" w:cs="Times New Roman" w:eastAsia="Times New Roman" w:hint="default"/>
                <w:spacing w:val="-6"/>
                <w:sz w:val="20"/>
                <w:szCs w:val="20"/>
              </w:rPr>
              <w:t>2</w:t>
            </w:r>
            <w:r>
              <w:rPr>
                <w:rFonts w:ascii="宋体" w:hAnsi="宋体" w:cs="宋体" w:eastAsia="宋体" w:hint="default"/>
                <w:spacing w:val="-6"/>
                <w:sz w:val="20"/>
                <w:szCs w:val="20"/>
              </w:rPr>
              <w:t>）电话预约综</w:t>
            </w:r>
            <w:r>
              <w:rPr>
                <w:rFonts w:ascii="宋体" w:hAnsi="宋体" w:cs="宋体" w:eastAsia="宋体" w:hint="default"/>
                <w:w w:val="99"/>
                <w:sz w:val="20"/>
                <w:szCs w:val="20"/>
              </w:rPr>
              <w:t> </w:t>
            </w:r>
            <w:r>
              <w:rPr>
                <w:rFonts w:ascii="宋体" w:hAnsi="宋体" w:cs="宋体" w:eastAsia="宋体" w:hint="default"/>
                <w:sz w:val="20"/>
                <w:szCs w:val="20"/>
              </w:rPr>
              <w:t>合性、专科医院、专业心理咨询</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中心相关科室医师、心理咨询师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解答对应的医学及生理、心理健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康等问题</w:t>
            </w:r>
          </w:p>
        </w:tc>
      </w:tr>
      <w:tr>
        <w:trPr>
          <w:trHeight w:val="1599" w:hRule="exact"/>
        </w:trPr>
        <w:tc>
          <w:tcPr>
            <w:tcW w:w="852" w:type="dxa"/>
            <w:vMerge/>
            <w:tcBorders>
              <w:left w:val="single" w:sz="6" w:space="0" w:color="000000"/>
              <w:right w:val="single" w:sz="6" w:space="0" w:color="000000"/>
            </w:tcBorders>
          </w:tcPr>
          <w:p>
            <w:pPr/>
          </w:p>
        </w:tc>
        <w:tc>
          <w:tcPr>
            <w:tcW w:w="1248" w:type="dxa"/>
            <w:vMerge/>
            <w:tcBorders>
              <w:left w:val="single" w:sz="6"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599" w:right="102" w:hanging="500"/>
              <w:jc w:val="left"/>
              <w:rPr>
                <w:rFonts w:ascii="宋体" w:hAnsi="宋体" w:cs="宋体" w:eastAsia="宋体" w:hint="default"/>
                <w:sz w:val="20"/>
                <w:szCs w:val="20"/>
              </w:rPr>
            </w:pPr>
            <w:r>
              <w:rPr>
                <w:rFonts w:ascii="宋体" w:hAnsi="宋体" w:cs="宋体" w:eastAsia="宋体" w:hint="default"/>
                <w:sz w:val="20"/>
                <w:szCs w:val="20"/>
              </w:rPr>
              <w:t>专家面对面咨</w:t>
            </w:r>
            <w:r>
              <w:rPr>
                <w:rFonts w:ascii="宋体" w:hAnsi="宋体" w:cs="宋体" w:eastAsia="宋体" w:hint="default"/>
                <w:w w:val="99"/>
                <w:sz w:val="20"/>
                <w:szCs w:val="20"/>
              </w:rPr>
              <w:t> </w:t>
            </w:r>
            <w:r>
              <w:rPr>
                <w:rFonts w:ascii="宋体" w:hAnsi="宋体" w:cs="宋体" w:eastAsia="宋体" w:hint="default"/>
                <w:sz w:val="20"/>
                <w:szCs w:val="20"/>
              </w:rPr>
              <w:t>询</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3"/>
              <w:jc w:val="both"/>
              <w:rPr>
                <w:rFonts w:ascii="宋体" w:hAnsi="宋体" w:cs="宋体" w:eastAsia="宋体" w:hint="default"/>
                <w:sz w:val="20"/>
                <w:szCs w:val="20"/>
              </w:rPr>
            </w:pPr>
            <w:r>
              <w:rPr>
                <w:rFonts w:ascii="宋体" w:hAnsi="宋体" w:cs="宋体" w:eastAsia="宋体" w:hint="default"/>
                <w:w w:val="95"/>
                <w:sz w:val="20"/>
                <w:szCs w:val="20"/>
              </w:rPr>
              <w:t>根据客户需求，公司提供健</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pacing w:val="16"/>
                <w:sz w:val="20"/>
                <w:szCs w:val="20"/>
              </w:rPr>
              <w:t>康顾问或医学专家面对面</w:t>
            </w:r>
            <w:r>
              <w:rPr>
                <w:rFonts w:ascii="宋体" w:hAnsi="宋体" w:cs="宋体" w:eastAsia="宋体" w:hint="default"/>
                <w:w w:val="99"/>
                <w:sz w:val="20"/>
                <w:szCs w:val="20"/>
              </w:rPr>
              <w:t> </w:t>
            </w:r>
            <w:r>
              <w:rPr>
                <w:rFonts w:ascii="宋体" w:hAnsi="宋体" w:cs="宋体" w:eastAsia="宋体" w:hint="default"/>
                <w:w w:val="95"/>
                <w:sz w:val="20"/>
                <w:szCs w:val="20"/>
              </w:rPr>
              <w:t>的健康或医学咨询服务，并</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pacing w:val="16"/>
                <w:sz w:val="20"/>
                <w:szCs w:val="20"/>
              </w:rPr>
              <w:t>提供后续健康改善建议方</w:t>
            </w:r>
            <w:r>
              <w:rPr>
                <w:rFonts w:ascii="宋体" w:hAnsi="宋体" w:cs="宋体" w:eastAsia="宋体" w:hint="default"/>
                <w:w w:val="99"/>
                <w:sz w:val="20"/>
                <w:szCs w:val="20"/>
              </w:rPr>
              <w:t> </w:t>
            </w:r>
            <w:r>
              <w:rPr>
                <w:rFonts w:ascii="宋体" w:hAnsi="宋体" w:cs="宋体" w:eastAsia="宋体" w:hint="default"/>
                <w:sz w:val="20"/>
                <w:szCs w:val="20"/>
              </w:rPr>
              <w:t>案</w:t>
            </w:r>
          </w:p>
        </w:tc>
        <w:tc>
          <w:tcPr>
            <w:tcW w:w="2830" w:type="dxa"/>
            <w:vMerge w:val="restart"/>
            <w:tcBorders>
              <w:top w:val="single" w:sz="12" w:space="0" w:color="000000"/>
              <w:left w:val="single" w:sz="6" w:space="0" w:color="000000"/>
              <w:right w:val="single" w:sz="6" w:space="0" w:color="000000"/>
            </w:tcBorders>
          </w:tcPr>
          <w:p>
            <w:pPr>
              <w:pStyle w:val="TableParagraph"/>
              <w:spacing w:line="285" w:lineRule="auto"/>
              <w:ind w:left="4" w:right="4"/>
              <w:jc w:val="both"/>
              <w:rPr>
                <w:rFonts w:ascii="宋体" w:hAnsi="宋体" w:cs="宋体" w:eastAsia="宋体" w:hint="default"/>
                <w:sz w:val="20"/>
                <w:szCs w:val="20"/>
              </w:rPr>
            </w:pPr>
            <w:r>
              <w:rPr>
                <w:rFonts w:ascii="宋体" w:hAnsi="宋体" w:cs="宋体" w:eastAsia="宋体" w:hint="default"/>
                <w:sz w:val="20"/>
                <w:szCs w:val="20"/>
              </w:rPr>
              <w:t>根据客户的需要，提供公司医质</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部专家（三甲以上医院退休返聘</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人员）主任及副主任医师；或预</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约综合性、专科医院或机构的专</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家、顾问面对面的咨询服务、健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康讲座服务</w:t>
            </w:r>
          </w:p>
        </w:tc>
      </w:tr>
      <w:tr>
        <w:trPr>
          <w:trHeight w:val="977" w:hRule="exact"/>
        </w:trPr>
        <w:tc>
          <w:tcPr>
            <w:tcW w:w="852" w:type="dxa"/>
            <w:vMerge/>
            <w:tcBorders>
              <w:left w:val="single" w:sz="6" w:space="0" w:color="000000"/>
              <w:bottom w:val="single" w:sz="12" w:space="0" w:color="000000"/>
              <w:right w:val="single" w:sz="6" w:space="0" w:color="000000"/>
            </w:tcBorders>
          </w:tcPr>
          <w:p>
            <w:pPr/>
          </w:p>
        </w:tc>
        <w:tc>
          <w:tcPr>
            <w:tcW w:w="1248" w:type="dxa"/>
            <w:vMerge/>
            <w:tcBorders>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599" w:right="102" w:hanging="500"/>
              <w:jc w:val="left"/>
              <w:rPr>
                <w:rFonts w:ascii="宋体" w:hAnsi="宋体" w:cs="宋体" w:eastAsia="宋体" w:hint="default"/>
                <w:sz w:val="20"/>
                <w:szCs w:val="20"/>
              </w:rPr>
            </w:pPr>
            <w:r>
              <w:rPr>
                <w:rFonts w:ascii="宋体" w:hAnsi="宋体" w:cs="宋体" w:eastAsia="宋体" w:hint="default"/>
                <w:sz w:val="20"/>
                <w:szCs w:val="20"/>
              </w:rPr>
              <w:t>健康讲座和沙</w:t>
            </w:r>
            <w:r>
              <w:rPr>
                <w:rFonts w:ascii="宋体" w:hAnsi="宋体" w:cs="宋体" w:eastAsia="宋体" w:hint="default"/>
                <w:w w:val="99"/>
                <w:sz w:val="20"/>
                <w:szCs w:val="20"/>
              </w:rPr>
              <w:t> </w:t>
            </w:r>
            <w:r>
              <w:rPr>
                <w:rFonts w:ascii="宋体" w:hAnsi="宋体" w:cs="宋体" w:eastAsia="宋体" w:hint="default"/>
                <w:sz w:val="20"/>
                <w:szCs w:val="20"/>
              </w:rPr>
              <w:t>龙</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2"/>
              <w:jc w:val="center"/>
              <w:rPr>
                <w:rFonts w:ascii="宋体" w:hAnsi="宋体" w:cs="宋体" w:eastAsia="宋体" w:hint="default"/>
                <w:sz w:val="20"/>
                <w:szCs w:val="20"/>
              </w:rPr>
            </w:pPr>
            <w:r>
              <w:rPr>
                <w:rFonts w:ascii="宋体" w:hAnsi="宋体" w:cs="宋体" w:eastAsia="宋体" w:hint="default"/>
                <w:w w:val="95"/>
                <w:sz w:val="20"/>
                <w:szCs w:val="20"/>
              </w:rPr>
              <w:t>提供特聘医学顾问、全国知</w:t>
            </w:r>
            <w:r>
              <w:rPr>
                <w:rFonts w:ascii="宋体" w:hAnsi="宋体" w:cs="宋体" w:eastAsia="宋体" w:hint="default"/>
                <w:spacing w:val="-1"/>
                <w:w w:val="95"/>
                <w:sz w:val="20"/>
                <w:szCs w:val="20"/>
              </w:rPr>
              <w:t> </w:t>
            </w:r>
            <w:r>
              <w:rPr>
                <w:rFonts w:ascii="宋体" w:hAnsi="宋体" w:cs="宋体" w:eastAsia="宋体" w:hint="default"/>
                <w:spacing w:val="-1"/>
                <w:w w:val="95"/>
                <w:sz w:val="20"/>
                <w:szCs w:val="20"/>
              </w:rPr>
            </w:r>
            <w:r>
              <w:rPr>
                <w:rFonts w:ascii="宋体" w:hAnsi="宋体" w:cs="宋体" w:eastAsia="宋体" w:hint="default"/>
                <w:sz w:val="20"/>
                <w:szCs w:val="20"/>
              </w:rPr>
              <w:t>名专家的大型健康讲座和</w:t>
            </w:r>
            <w:r>
              <w:rPr>
                <w:rFonts w:ascii="宋体" w:hAnsi="宋体" w:cs="宋体" w:eastAsia="宋体" w:hint="default"/>
                <w:w w:val="99"/>
                <w:sz w:val="20"/>
                <w:szCs w:val="20"/>
              </w:rPr>
              <w:t> </w:t>
            </w:r>
            <w:r>
              <w:rPr>
                <w:rFonts w:ascii="宋体" w:hAnsi="宋体" w:cs="宋体" w:eastAsia="宋体" w:hint="default"/>
                <w:sz w:val="20"/>
                <w:szCs w:val="20"/>
              </w:rPr>
              <w:t>健康沙龙服务</w:t>
            </w:r>
          </w:p>
        </w:tc>
        <w:tc>
          <w:tcPr>
            <w:tcW w:w="2830" w:type="dxa"/>
            <w:vMerge/>
            <w:tcBorders>
              <w:left w:val="single" w:sz="6" w:space="0" w:color="000000"/>
              <w:bottom w:val="single" w:sz="12" w:space="0" w:color="000000"/>
              <w:right w:val="single" w:sz="6" w:space="0" w:color="000000"/>
            </w:tcBorders>
          </w:tcPr>
          <w:p>
            <w:pPr/>
          </w:p>
        </w:tc>
      </w:tr>
    </w:tbl>
    <w:p>
      <w:pPr>
        <w:pStyle w:val="BodyText"/>
        <w:spacing w:line="408" w:lineRule="auto" w:before="64"/>
        <w:ind w:right="146" w:firstLine="480"/>
        <w:jc w:val="both"/>
      </w:pPr>
      <w:r>
        <w:rPr>
          <w:spacing w:val="-4"/>
        </w:rPr>
        <w:t>上市公司始终致力于为公司客户、个人客户提供以健康体检为核心的健康服务。上市公司的发展模式</w:t>
      </w:r>
      <w:r>
        <w:rPr>
          <w:w w:val="100"/>
        </w:rPr>
        <w:t> </w:t>
      </w:r>
      <w:r>
        <w:rPr>
          <w:spacing w:val="-2"/>
        </w:rPr>
        <w:t>和核心优势高度契合国家卫生战略及医改政策和规划。依托庞大而且精准的健康大数据以及全国性、标准</w:t>
      </w:r>
      <w:r>
        <w:rPr>
          <w:spacing w:val="-43"/>
        </w:rPr>
        <w:t> </w:t>
      </w:r>
      <w:r>
        <w:rPr>
          <w:spacing w:val="-43"/>
        </w:rPr>
      </w:r>
      <w:r>
        <w:rPr>
          <w:spacing w:val="-2"/>
        </w:rPr>
        <w:t>化、设备精良、团队专业的线下服务网络，美年大健康有望成为中国健康产业的重要入口以及为民众提供</w:t>
      </w:r>
      <w:r>
        <w:rPr>
          <w:spacing w:val="-44"/>
        </w:rPr>
        <w:t> </w:t>
      </w:r>
      <w:r>
        <w:rPr>
          <w:spacing w:val="-44"/>
        </w:rPr>
      </w:r>
      <w:r>
        <w:rPr/>
        <w:t>专业化、个性化医疗服务的高效平台，有望成为健康管理和健康产业</w:t>
      </w:r>
      <w:r>
        <w:rPr>
          <w:rFonts w:ascii="宋体" w:hAnsi="宋体" w:cs="宋体" w:eastAsia="宋体" w:hint="default"/>
        </w:rPr>
        <w:t>O2O</w:t>
      </w:r>
      <w:r>
        <w:rPr/>
        <w:t>的优秀服务载体，在重治疗转向</w:t>
      </w:r>
      <w:r>
        <w:rPr>
          <w:spacing w:val="-24"/>
        </w:rPr>
        <w:t> </w:t>
      </w:r>
      <w:r>
        <w:rPr>
          <w:spacing w:val="-24"/>
        </w:rPr>
      </w:r>
      <w:r>
        <w:rPr/>
        <w:t>重预防从而减轻全民医疗负担的国家战略中发挥重要作用，成为中国主要的医疗健康服务平台之一。</w:t>
      </w:r>
    </w:p>
    <w:p>
      <w:pPr>
        <w:spacing w:line="408"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（二）报告期内公司所处的行业发展阶段、行业经营性特点以及公司所处的行业地位等</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、行业发展阶段</w:t>
      </w:r>
      <w:r>
        <w:rPr>
          <w:rFonts w:ascii="宋体" w:hAnsi="宋体" w:cs="宋体" w:eastAsia="宋体" w:hint="default"/>
          <w:w w:val="100"/>
          <w:sz w:val="21"/>
          <w:szCs w:val="21"/>
        </w:rPr>
        <w:t> </w:t>
      </w:r>
      <w:r>
        <w:rPr>
          <w:rFonts w:ascii="宋体" w:hAnsi="宋体" w:cs="宋体" w:eastAsia="宋体" w:hint="default"/>
          <w:spacing w:val="-4"/>
          <w:sz w:val="21"/>
          <w:szCs w:val="21"/>
        </w:rPr>
        <w:t>对于一个</w:t>
      </w:r>
      <w:r>
        <w:rPr>
          <w:rFonts w:ascii="宋体" w:hAnsi="宋体" w:cs="宋体" w:eastAsia="宋体" w:hint="default"/>
          <w:spacing w:val="-4"/>
          <w:sz w:val="21"/>
          <w:szCs w:val="21"/>
        </w:rPr>
        <w:t>13</w:t>
      </w:r>
      <w:r>
        <w:rPr>
          <w:rFonts w:ascii="宋体" w:hAnsi="宋体" w:cs="宋体" w:eastAsia="宋体" w:hint="default"/>
          <w:spacing w:val="-4"/>
          <w:sz w:val="21"/>
          <w:szCs w:val="21"/>
        </w:rPr>
        <w:t>亿人口的大国而言，群众的健康问题不能仅靠疾病治疗来解决，且面对快速增长的医疗服</w:t>
      </w:r>
    </w:p>
    <w:p>
      <w:pPr>
        <w:pStyle w:val="BodyText"/>
        <w:spacing w:line="408" w:lineRule="auto"/>
        <w:ind w:right="124"/>
        <w:jc w:val="both"/>
      </w:pPr>
      <w:r>
        <w:rPr>
          <w:spacing w:val="-2"/>
        </w:rPr>
        <w:t>务需求，国家及居民的卫生支出负担日趋沉重。参照国际健康管理规则计算：以健康体检为主的预防性投</w:t>
      </w:r>
      <w:r>
        <w:rPr>
          <w:spacing w:val="-44"/>
        </w:rPr>
        <w:t> </w:t>
      </w:r>
      <w:r>
        <w:rPr>
          <w:spacing w:val="-44"/>
        </w:rPr>
      </w:r>
      <w:r>
        <w:rPr>
          <w:spacing w:val="-2"/>
        </w:rPr>
        <w:t>资每投入</w:t>
      </w:r>
      <w:r>
        <w:rPr>
          <w:rFonts w:ascii="宋体" w:hAnsi="宋体" w:cs="宋体" w:eastAsia="宋体" w:hint="default"/>
          <w:spacing w:val="-2"/>
        </w:rPr>
        <w:t>1</w:t>
      </w:r>
      <w:r>
        <w:rPr>
          <w:spacing w:val="-2"/>
        </w:rPr>
        <w:t>元钱，便可为个人及社会节省</w:t>
      </w:r>
      <w:r>
        <w:rPr>
          <w:rFonts w:ascii="宋体" w:hAnsi="宋体" w:cs="宋体" w:eastAsia="宋体" w:hint="default"/>
          <w:spacing w:val="-2"/>
        </w:rPr>
        <w:t>9</w:t>
      </w:r>
      <w:r>
        <w:rPr>
          <w:spacing w:val="-2"/>
        </w:rPr>
        <w:t>元钱的医疗费用。为了保证居民健康水平的持续提升、节约国家</w:t>
      </w:r>
      <w:r>
        <w:rPr>
          <w:spacing w:val="-46"/>
        </w:rPr>
        <w:t> </w:t>
      </w:r>
      <w:r>
        <w:rPr>
          <w:spacing w:val="-46"/>
        </w:rPr>
      </w:r>
      <w:r>
        <w:rPr>
          <w:spacing w:val="-2"/>
        </w:rPr>
        <w:t>及居民医疗费用开支，党和国家站在历史和时代发展的战略高度，提出了医疗卫生工作的“战略前移”，</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2"/>
        <w:jc w:val="left"/>
      </w:pPr>
      <w:r>
        <w:rPr>
          <w:spacing w:val="-2"/>
        </w:rPr>
        <w:t>即抓预防、治未病，真正贯彻以一、二级预防为重点，以疾病发生的“上游”入手的“预防为主”的战略</w:t>
      </w:r>
      <w:r>
        <w:rPr>
          <w:spacing w:val="-46"/>
        </w:rPr>
        <w:t> </w:t>
      </w:r>
      <w:r>
        <w:rPr>
          <w:spacing w:val="-46"/>
        </w:rPr>
      </w:r>
      <w:r>
        <w:rPr>
          <w:spacing w:val="-2"/>
        </w:rPr>
        <w:t>方针。国家卫生工作战略的前移，改变了传统的“重治疗、轻预防”的思想观念，同时也为健康体检服务</w:t>
      </w:r>
      <w:r>
        <w:rPr>
          <w:spacing w:val="-50"/>
        </w:rPr>
        <w:t> </w:t>
      </w:r>
      <w:r>
        <w:rPr>
          <w:spacing w:val="-50"/>
        </w:rPr>
      </w:r>
      <w:r>
        <w:rPr/>
        <w:t>市场需求增长创造了空间。与此同时，居民卫生支出及人们医疗保健支出也在不断增长，这为健康体检行</w:t>
      </w:r>
      <w:r>
        <w:rPr>
          <w:w w:val="100"/>
        </w:rPr>
        <w:t> </w:t>
      </w:r>
      <w:r>
        <w:rPr>
          <w:spacing w:val="-2"/>
        </w:rPr>
        <w:t>业的发展创造了良好的市场基础。目前我国健康体检行业发展尚处成长阶段，专业健康体检机构兴起时间</w:t>
      </w:r>
      <w:r>
        <w:rPr>
          <w:spacing w:val="-44"/>
        </w:rPr>
        <w:t> </w:t>
      </w:r>
      <w:r>
        <w:rPr>
          <w:spacing w:val="-44"/>
        </w:rPr>
      </w:r>
      <w:r>
        <w:rPr>
          <w:spacing w:val="-2"/>
        </w:rPr>
        <w:t>较短，</w:t>
      </w:r>
      <w:r>
        <w:rPr>
          <w:rFonts w:ascii="宋体" w:hAnsi="宋体" w:cs="宋体" w:eastAsia="宋体" w:hint="default"/>
          <w:spacing w:val="-2"/>
        </w:rPr>
        <w:t>2001</w:t>
      </w:r>
      <w:r>
        <w:rPr>
          <w:spacing w:val="-2"/>
        </w:rPr>
        <w:t>年政府提出开放医疗市场，鼓励民营医疗机构，专业健康体检机构才开始出现。随着国家鼓励</w:t>
      </w:r>
      <w:r>
        <w:rPr>
          <w:spacing w:val="-47"/>
        </w:rPr>
        <w:t> </w:t>
      </w:r>
      <w:r>
        <w:rPr>
          <w:spacing w:val="-47"/>
        </w:rPr>
      </w:r>
      <w:r>
        <w:rPr>
          <w:spacing w:val="-5"/>
        </w:rPr>
        <w:t>健康体检行业发展的政策相继出台，行业监管政策逐步规范，医检分离的理念逐渐影响中国健康体检市场，</w:t>
      </w:r>
      <w:r>
        <w:rPr>
          <w:spacing w:val="-6"/>
        </w:rPr>
        <w:t> </w:t>
      </w:r>
      <w:r>
        <w:rPr>
          <w:spacing w:val="-6"/>
        </w:rPr>
      </w:r>
      <w:r>
        <w:rPr/>
        <w:t>众多民营机构和社会资本不断进入健康体检领域，有力推动了专业体检机构的快速发展。</w:t>
      </w:r>
    </w:p>
    <w:p>
      <w:pPr>
        <w:pStyle w:val="BodyText"/>
        <w:spacing w:line="240" w:lineRule="auto"/>
        <w:ind w:left="633" w:right="92"/>
        <w:jc w:val="left"/>
      </w:pPr>
      <w:r>
        <w:rPr>
          <w:rFonts w:ascii="宋体" w:hAnsi="宋体" w:cs="宋体" w:eastAsia="宋体" w:hint="default"/>
        </w:rPr>
        <w:t>2</w:t>
      </w:r>
      <w:r>
        <w:rPr/>
        <w:t>、行业经营性特点</w:t>
      </w:r>
    </w:p>
    <w:p>
      <w:pPr>
        <w:spacing w:line="240" w:lineRule="auto" w:before="10"/>
        <w:rPr>
          <w:rFonts w:ascii="宋体" w:hAnsi="宋体" w:cs="宋体" w:eastAsia="宋体" w:hint="default"/>
          <w:sz w:val="14"/>
          <w:szCs w:val="14"/>
        </w:rPr>
      </w:pPr>
    </w:p>
    <w:p>
      <w:pPr>
        <w:pStyle w:val="BodyText"/>
        <w:spacing w:line="408" w:lineRule="auto" w:before="0"/>
        <w:ind w:left="633" w:right="92"/>
        <w:jc w:val="left"/>
      </w:pPr>
      <w:r>
        <w:rPr/>
        <w:t>（</w:t>
      </w:r>
      <w:r>
        <w:rPr>
          <w:rFonts w:ascii="宋体" w:hAnsi="宋体" w:cs="宋体" w:eastAsia="宋体" w:hint="default"/>
        </w:rPr>
        <w:t>1</w:t>
      </w:r>
      <w:r>
        <w:rPr/>
        <w:t>）季节性</w:t>
      </w:r>
      <w:r>
        <w:rPr>
          <w:w w:val="100"/>
        </w:rPr>
        <w:t> </w:t>
      </w:r>
      <w:r>
        <w:rPr>
          <w:spacing w:val="-4"/>
        </w:rPr>
        <w:t>健康体检行业受到节假日分布、企事业单位的财务核算周期及居民体检习惯等的影响，具有明显的季</w:t>
      </w:r>
    </w:p>
    <w:p>
      <w:pPr>
        <w:pStyle w:val="BodyText"/>
        <w:spacing w:line="240" w:lineRule="auto"/>
        <w:ind w:right="92"/>
        <w:jc w:val="left"/>
      </w:pPr>
      <w:r>
        <w:rPr/>
        <w:t>节性消费特征，每年一季度为淡季，二、三季度相对平稳，三季度略微增加，四季度为业务旺季。</w:t>
      </w:r>
    </w:p>
    <w:p>
      <w:pPr>
        <w:spacing w:line="240" w:lineRule="auto" w:before="10"/>
        <w:rPr>
          <w:rFonts w:ascii="宋体" w:hAnsi="宋体" w:cs="宋体" w:eastAsia="宋体" w:hint="default"/>
          <w:sz w:val="14"/>
          <w:szCs w:val="14"/>
        </w:rPr>
      </w:pPr>
    </w:p>
    <w:p>
      <w:pPr>
        <w:pStyle w:val="BodyText"/>
        <w:spacing w:line="408" w:lineRule="auto" w:before="0"/>
        <w:ind w:left="633" w:right="92"/>
        <w:jc w:val="left"/>
      </w:pPr>
      <w:r>
        <w:rPr/>
        <w:t>（</w:t>
      </w:r>
      <w:r>
        <w:rPr>
          <w:rFonts w:ascii="宋体" w:hAnsi="宋体" w:cs="宋体" w:eastAsia="宋体" w:hint="default"/>
        </w:rPr>
        <w:t>2</w:t>
      </w:r>
      <w:r>
        <w:rPr/>
        <w:t>）区域性</w:t>
      </w:r>
      <w:r>
        <w:rPr>
          <w:w w:val="100"/>
        </w:rPr>
        <w:t> </w:t>
      </w:r>
      <w:r>
        <w:rPr>
          <w:spacing w:val="-4"/>
        </w:rPr>
        <w:t>健康体检在国内目前尚未实现全民普及，体检机构分布与当地经济总量、人均收入水平、产业结构特</w:t>
      </w:r>
    </w:p>
    <w:p>
      <w:pPr>
        <w:pStyle w:val="BodyText"/>
        <w:spacing w:line="408" w:lineRule="auto"/>
        <w:ind w:right="206"/>
        <w:jc w:val="both"/>
      </w:pPr>
      <w:r>
        <w:rPr>
          <w:spacing w:val="-2"/>
        </w:rPr>
        <w:t>征、居民健康理念及消费习惯、区域医疗资源供给等密切相关。就实际情况来看，目前体检市场主要集中</w:t>
      </w:r>
      <w:r>
        <w:rPr>
          <w:spacing w:val="-50"/>
        </w:rPr>
        <w:t> </w:t>
      </w:r>
      <w:r>
        <w:rPr>
          <w:spacing w:val="-50"/>
        </w:rPr>
      </w:r>
      <w:r>
        <w:rPr>
          <w:spacing w:val="-2"/>
        </w:rPr>
        <w:t>在以北京、天津为代表的环渤海经济圈、以上海为代表的长三角经济圈和以深圳、广州为代表的珠三角经</w:t>
      </w:r>
      <w:r>
        <w:rPr>
          <w:spacing w:val="-45"/>
        </w:rPr>
        <w:t> </w:t>
      </w:r>
      <w:r>
        <w:rPr>
          <w:spacing w:val="-45"/>
        </w:rPr>
      </w:r>
      <w:r>
        <w:rPr>
          <w:spacing w:val="-2"/>
        </w:rPr>
        <w:t>济圈。但随着我国医疗服务的改善和居民健康意识的增强，体检市场将由大城市向中等城市扩展、由经济</w:t>
      </w:r>
      <w:r>
        <w:rPr>
          <w:spacing w:val="-44"/>
        </w:rPr>
        <w:t> </w:t>
      </w:r>
      <w:r>
        <w:rPr>
          <w:spacing w:val="-44"/>
        </w:rPr>
      </w:r>
      <w:r>
        <w:rPr/>
        <w:t>发达地区向欠发达地区扩展，未来体检市场区域化特征将逐步淡化。</w:t>
      </w:r>
    </w:p>
    <w:p>
      <w:pPr>
        <w:pStyle w:val="BodyText"/>
        <w:spacing w:line="408" w:lineRule="auto"/>
        <w:ind w:left="633" w:right="92"/>
        <w:jc w:val="left"/>
      </w:pPr>
      <w:r>
        <w:rPr/>
        <w:t>（</w:t>
      </w:r>
      <w:r>
        <w:rPr>
          <w:rFonts w:ascii="宋体" w:hAnsi="宋体" w:cs="宋体" w:eastAsia="宋体" w:hint="default"/>
        </w:rPr>
        <w:t>3</w:t>
      </w:r>
      <w:r>
        <w:rPr/>
        <w:t>）抗周期性</w:t>
      </w:r>
      <w:r>
        <w:rPr>
          <w:w w:val="100"/>
        </w:rPr>
        <w:t> </w:t>
      </w:r>
      <w:r>
        <w:rPr>
          <w:spacing w:val="-4"/>
        </w:rPr>
        <w:t>医疗服务是人类的基本需求，具有明显的消费刚性，不会因为人们收入预期的变化发生较大波动，没</w:t>
      </w:r>
    </w:p>
    <w:p>
      <w:pPr>
        <w:pStyle w:val="BodyText"/>
        <w:spacing w:line="408" w:lineRule="auto"/>
        <w:ind w:right="92"/>
        <w:jc w:val="left"/>
      </w:pPr>
      <w:r>
        <w:rPr>
          <w:spacing w:val="-4"/>
        </w:rPr>
        <w:t>有明显的周期性特征。即使经济形势出现大幅波动，人们的医疗服务投入仍呈现稳定增加趋势。如</w:t>
      </w:r>
      <w:r>
        <w:rPr>
          <w:rFonts w:ascii="宋体" w:hAnsi="宋体" w:cs="宋体" w:eastAsia="宋体" w:hint="default"/>
          <w:spacing w:val="-4"/>
        </w:rPr>
        <w:t>2008</w:t>
      </w:r>
      <w:r>
        <w:rPr>
          <w:spacing w:val="-4"/>
        </w:rPr>
        <w:t>年，</w:t>
      </w:r>
      <w:r>
        <w:rPr>
          <w:spacing w:val="-45"/>
        </w:rPr>
        <w:t> </w:t>
      </w:r>
      <w:r>
        <w:rPr/>
        <w:t>全球金融危机爆发，我国城镇居民医疗保健支出仍保持快速增长态势，较</w:t>
      </w:r>
      <w:r>
        <w:rPr>
          <w:rFonts w:ascii="宋体" w:hAnsi="宋体" w:cs="宋体" w:eastAsia="宋体" w:hint="default"/>
        </w:rPr>
        <w:t>2007</w:t>
      </w:r>
      <w:r>
        <w:rPr/>
        <w:t>年增长了</w:t>
      </w:r>
      <w:r>
        <w:rPr>
          <w:rFonts w:ascii="宋体" w:hAnsi="宋体" w:cs="宋体" w:eastAsia="宋体" w:hint="default"/>
        </w:rPr>
        <w:t>12.46%</w:t>
      </w:r>
      <w:r>
        <w:rPr/>
        <w:t>。</w:t>
      </w:r>
    </w:p>
    <w:p>
      <w:pPr>
        <w:pStyle w:val="BodyText"/>
        <w:spacing w:line="408" w:lineRule="auto"/>
        <w:ind w:left="633" w:right="92"/>
        <w:jc w:val="left"/>
      </w:pPr>
      <w:r>
        <w:rPr>
          <w:rFonts w:ascii="宋体" w:hAnsi="宋体" w:cs="宋体" w:eastAsia="宋体" w:hint="default"/>
        </w:rPr>
        <w:t>3</w:t>
      </w:r>
      <w:r>
        <w:rPr/>
        <w:t>、公司所处的行业地位</w:t>
      </w:r>
      <w:r>
        <w:rPr>
          <w:w w:val="100"/>
        </w:rPr>
        <w:t> </w:t>
      </w:r>
      <w:r>
        <w:rPr>
          <w:spacing w:val="-4"/>
        </w:rPr>
        <w:t>上市公司在“打造中国体检行业领导者”的目标和“重点城市与全国布局”发展战略之下，凭借专业</w:t>
      </w:r>
    </w:p>
    <w:p>
      <w:pPr>
        <w:pStyle w:val="BodyText"/>
        <w:spacing w:line="408" w:lineRule="auto"/>
        <w:ind w:right="92"/>
        <w:jc w:val="left"/>
      </w:pPr>
      <w:r>
        <w:rPr>
          <w:spacing w:val="-2"/>
        </w:rPr>
        <w:t>与优质的服务、健全的管理体系、合理的市场布局以及锐意进取的销售策略，实现了在健康体检领域的快</w:t>
      </w:r>
      <w:r>
        <w:rPr>
          <w:spacing w:val="-44"/>
        </w:rPr>
        <w:t> </w:t>
      </w:r>
      <w:r>
        <w:rPr>
          <w:spacing w:val="-44"/>
        </w:rPr>
      </w:r>
      <w:r>
        <w:rPr/>
        <w:t>速成长，成为国内规模大、盈利能力强的专业体检机构之一。</w:t>
      </w:r>
    </w:p>
    <w:p>
      <w:pPr>
        <w:pStyle w:val="BodyText"/>
        <w:spacing w:line="408" w:lineRule="auto"/>
        <w:ind w:right="92" w:firstLine="480"/>
        <w:jc w:val="left"/>
      </w:pPr>
      <w:r>
        <w:rPr>
          <w:spacing w:val="-4"/>
        </w:rPr>
        <w:t>目前，上市公司的竞争对手为公立医院和其他有一定规模的专业体检机构。其中公立医院在整个健康</w:t>
      </w:r>
      <w:r>
        <w:rPr>
          <w:w w:val="100"/>
        </w:rPr>
        <w:t> </w:t>
      </w:r>
      <w:r>
        <w:rPr>
          <w:spacing w:val="-2"/>
        </w:rPr>
        <w:t>检查中的比例较高，如北京协和、</w:t>
      </w:r>
      <w:r>
        <w:rPr>
          <w:rFonts w:ascii="宋体" w:hAnsi="宋体" w:cs="宋体" w:eastAsia="宋体" w:hint="default"/>
          <w:spacing w:val="-2"/>
        </w:rPr>
        <w:t>301</w:t>
      </w:r>
      <w:r>
        <w:rPr>
          <w:spacing w:val="-2"/>
        </w:rPr>
        <w:t>医院、上海瑞金医院等；专业体检机构分布区域较广，在主要区域，</w:t>
      </w:r>
      <w:r>
        <w:rPr>
          <w:spacing w:val="-39"/>
        </w:rPr>
        <w:t> </w:t>
      </w:r>
      <w:r>
        <w:rPr>
          <w:spacing w:val="-39"/>
        </w:rPr>
      </w:r>
      <w:r>
        <w:rPr>
          <w:spacing w:val="-2"/>
        </w:rPr>
        <w:t>如北京、上海、广州、深圳等形成一定竞争，但短期几年内公立医院占据大部分体检市场份额的局面很难</w:t>
      </w:r>
      <w:r>
        <w:rPr>
          <w:spacing w:val="-44"/>
        </w:rPr>
        <w:t> </w:t>
      </w:r>
      <w:r>
        <w:rPr>
          <w:spacing w:val="-44"/>
        </w:rPr>
      </w:r>
      <w:r>
        <w:rPr/>
        <w:t>改变。</w:t>
      </w:r>
    </w:p>
    <w:p>
      <w:pPr>
        <w:pStyle w:val="BodyText"/>
        <w:spacing w:line="240" w:lineRule="auto"/>
        <w:ind w:left="633" w:right="92"/>
        <w:jc w:val="left"/>
      </w:pPr>
      <w:r>
        <w:rPr/>
        <w:t>近三年，美年大健康采取“重点城市与全国布局”的发展战略、“自建与并购”相结合的发展模式，</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25"/>
        <w:jc w:val="both"/>
      </w:pPr>
      <w:r>
        <w:rPr>
          <w:spacing w:val="-7"/>
        </w:rPr>
        <w:t>迅速实现全国布局、网点快速扩张。未来，上市公司拟采取以全国品牌“美年大健康”为主导，“瑞格尔”</w:t>
      </w:r>
      <w:r>
        <w:rPr>
          <w:spacing w:val="-19"/>
        </w:rPr>
        <w:t> </w:t>
      </w:r>
      <w:r>
        <w:rPr>
          <w:spacing w:val="-19"/>
        </w:rPr>
      </w:r>
      <w:r>
        <w:rPr>
          <w:spacing w:val="-2"/>
        </w:rPr>
        <w:t>等部分被收购企业原有品牌为辅的多品牌策略。且目前，上市公司通过美年大健康持有慈铭体检</w:t>
      </w:r>
      <w:r>
        <w:rPr>
          <w:rFonts w:ascii="宋体" w:hAnsi="宋体" w:cs="宋体" w:eastAsia="宋体" w:hint="default"/>
          <w:spacing w:val="-2"/>
        </w:rPr>
        <w:t>27.78%</w:t>
      </w:r>
      <w:r>
        <w:rPr>
          <w:spacing w:val="-2"/>
        </w:rPr>
        <w:t>股</w:t>
      </w:r>
      <w:r>
        <w:rPr>
          <w:spacing w:val="-40"/>
        </w:rPr>
        <w:t> </w:t>
      </w:r>
      <w:r>
        <w:rPr>
          <w:spacing w:val="-2"/>
        </w:rPr>
        <w:t>份。上市公司已经逐步将慈铭体检的健康检查、健康咨询、健康评估、健康维护等工作纳入整体规划中，</w:t>
      </w:r>
      <w:r>
        <w:rPr>
          <w:spacing w:val="-21"/>
        </w:rPr>
        <w:t> </w:t>
      </w:r>
      <w:r>
        <w:rPr>
          <w:spacing w:val="-21"/>
        </w:rPr>
      </w:r>
      <w:r>
        <w:rPr>
          <w:spacing w:val="-2"/>
        </w:rPr>
        <w:t>双方互相学习，取长补短，统筹资源、共同提高。未来若完成慈铭体检的收购，则会进一步获取慈铭体检</w:t>
      </w:r>
      <w:r>
        <w:rPr>
          <w:spacing w:val="-43"/>
        </w:rPr>
        <w:t> </w:t>
      </w:r>
      <w:r>
        <w:rPr>
          <w:spacing w:val="-43"/>
        </w:rPr>
      </w:r>
      <w:r>
        <w:rPr>
          <w:spacing w:val="-2"/>
        </w:rPr>
        <w:t>旗下健康体检相关品牌，双方将借助庞大的标准化线下服务平台以及海量的健康大数据，打造我国移动医</w:t>
      </w:r>
      <w:r>
        <w:rPr>
          <w:spacing w:val="-43"/>
        </w:rPr>
        <w:t> </w:t>
      </w:r>
      <w:r>
        <w:rPr>
          <w:spacing w:val="-43"/>
        </w:rPr>
      </w:r>
      <w:r>
        <w:rPr/>
        <w:t>疗服务的重要平台和健康产业</w:t>
      </w:r>
      <w:r>
        <w:rPr>
          <w:rFonts w:ascii="宋体" w:hAnsi="宋体" w:cs="宋体" w:eastAsia="宋体" w:hint="default"/>
        </w:rPr>
        <w:t>O2O</w:t>
      </w:r>
      <w:r>
        <w:rPr/>
        <w:t>的优秀载体，将打造国内规模最大、最具发展前景之一的专业健康体检</w:t>
      </w:r>
      <w:r>
        <w:rPr>
          <w:spacing w:val="-26"/>
        </w:rPr>
        <w:t> </w:t>
      </w:r>
      <w:r>
        <w:rPr>
          <w:spacing w:val="-26"/>
        </w:rPr>
      </w:r>
      <w:r>
        <w:rPr/>
        <w:t>和健康管理机构。</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4"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日收购深圳鸿康杰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的股权，取得成本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亿，此次购买 及增资后本公司对其持股增至</w:t>
            </w:r>
            <w:r>
              <w:rPr>
                <w:rFonts w:ascii="宋体" w:hAnsi="宋体" w:cs="宋体" w:eastAsia="宋体" w:hint="default"/>
                <w:spacing w:val="-31"/>
                <w:sz w:val="18"/>
                <w:szCs w:val="18"/>
              </w:rPr>
              <w:t> </w:t>
            </w:r>
            <w:r>
              <w:rPr>
                <w:rFonts w:ascii="Times New Roman" w:hAnsi="Times New Roman" w:cs="Times New Roman" w:eastAsia="Times New Roman" w:hint="default"/>
                <w:spacing w:val="-4"/>
                <w:sz w:val="18"/>
                <w:szCs w:val="18"/>
              </w:rPr>
              <w:t>84.00%</w:t>
            </w:r>
            <w:r>
              <w:rPr>
                <w:rFonts w:ascii="宋体" w:hAnsi="宋体" w:cs="宋体" w:eastAsia="宋体" w:hint="default"/>
                <w:spacing w:val="-4"/>
                <w:sz w:val="18"/>
                <w:szCs w:val="18"/>
              </w:rPr>
              <w:t>，达到控制，纳入合并范围；以及本期新增投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资海南美年大健康医院有限公司、泰安市凯尔健康体检管理有限公司、烟台福田健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康体检管理有限公司、伊犁美年大健康管理有限公司。</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473"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7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both"/>
              <w:rPr>
                <w:rFonts w:ascii="宋体" w:hAnsi="宋体" w:cs="宋体" w:eastAsia="宋体" w:hint="default"/>
                <w:sz w:val="18"/>
                <w:szCs w:val="18"/>
              </w:rPr>
            </w:pPr>
            <w:r>
              <w:rPr>
                <w:rFonts w:ascii="宋体" w:hAnsi="宋体" w:cs="宋体" w:eastAsia="宋体" w:hint="default"/>
                <w:sz w:val="18"/>
                <w:szCs w:val="18"/>
              </w:rPr>
              <w:t>主要是：</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公司不断扩大经营规模，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年新增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余家体检中心，体检 中心数量的增加导致所需要的体检设备也相应增加；</w:t>
            </w:r>
            <w:r>
              <w:rPr>
                <w:rFonts w:ascii="Times New Roman" w:hAnsi="Times New Roman" w:cs="Times New Roman" w:eastAsia="Times New Roman" w:hint="default"/>
                <w:sz w:val="18"/>
                <w:szCs w:val="18"/>
              </w:rPr>
              <w:t>2.</w:t>
            </w:r>
            <w:r>
              <w:rPr>
                <w:rFonts w:ascii="宋体" w:hAnsi="宋体" w:cs="宋体" w:eastAsia="宋体" w:hint="default"/>
                <w:sz w:val="18"/>
                <w:szCs w:val="18"/>
              </w:rPr>
              <w:t>为了更好地向顾客提供更全 面的体检服务，部分门店采购了一些高端医疗诊断设备，如超导核磁设备和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设 备。</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473"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期末公司在各地筹建的体检中心规模较上年末有所减少。</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货币资金较上年增长</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91.51%</w:t>
            </w:r>
            <w:r>
              <w:rPr>
                <w:rFonts w:ascii="宋体" w:hAnsi="宋体" w:cs="宋体" w:eastAsia="宋体" w:hint="default"/>
                <w:spacing w:val="-3"/>
                <w:sz w:val="18"/>
                <w:szCs w:val="18"/>
              </w:rPr>
              <w:t>，主要是随着公司体检业务及体检中心数量的增长、货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款回笼增加所致；发行新股募集资金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258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收入确认与账款回收存在一定的时间差，由于每年的第四季度是体检行业的业务 </w:t>
            </w:r>
            <w:r>
              <w:rPr>
                <w:rFonts w:ascii="宋体" w:hAnsi="宋体" w:cs="宋体" w:eastAsia="宋体" w:hint="default"/>
                <w:spacing w:val="-1"/>
                <w:sz w:val="18"/>
                <w:szCs w:val="18"/>
              </w:rPr>
              <w:t>高峰期，而当年第四季度所确认的收入会在次年一季度回款，因此导致年末应收账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款金额较高；</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本年度美年大健康进一步加大体检中心的开设力度，</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年较</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2014</w:t>
            </w:r>
          </w:p>
          <w:p>
            <w:pPr>
              <w:pStyle w:val="TableParagraph"/>
              <w:spacing w:line="309" w:lineRule="auto" w:before="5"/>
              <w:ind w:left="24" w:right="3"/>
              <w:jc w:val="left"/>
              <w:rPr>
                <w:rFonts w:ascii="宋体" w:hAnsi="宋体" w:cs="宋体" w:eastAsia="宋体" w:hint="default"/>
                <w:sz w:val="18"/>
                <w:szCs w:val="18"/>
              </w:rPr>
            </w:pPr>
            <w:r>
              <w:rPr>
                <w:rFonts w:ascii="宋体" w:hAnsi="宋体" w:cs="宋体" w:eastAsia="宋体" w:hint="default"/>
                <w:sz w:val="18"/>
                <w:szCs w:val="18"/>
              </w:rPr>
              <w:t>年新增体检中心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余家。由于体检服务行业存在季节性因素，收入高峰集中在每 年的第四季度，因此新建的体检中心一般会在每年第三季度结束前开始对外营业。 对于这些体检中心而言，当年第四季度形成的应收款项在年末尚未结算，因此导致 期末应收账款金额较高。</w:t>
            </w:r>
            <w:r>
              <w:rPr>
                <w:rFonts w:ascii="Times New Roman" w:hAnsi="Times New Roman" w:cs="Times New Roman" w:eastAsia="Times New Roman" w:hint="default"/>
                <w:sz w:val="18"/>
                <w:szCs w:val="18"/>
              </w:rPr>
              <w:t>3.</w:t>
            </w:r>
            <w:r>
              <w:rPr>
                <w:rFonts w:ascii="宋体" w:hAnsi="宋体" w:cs="宋体" w:eastAsia="宋体" w:hint="default"/>
                <w:sz w:val="18"/>
                <w:szCs w:val="18"/>
              </w:rPr>
              <w:t>随着公司体检中心数量的增加，销售规模呈现大幅度增 长势头，导致应收账款也同比增加。</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报告期投资慈铭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10.29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亿，持股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27.78%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新增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个城市布点，以参股</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方式拓展新的市场，投资总额为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spacing w:line="408" w:lineRule="auto" w:before="0"/>
        <w:ind w:left="633" w:right="0" w:hanging="60"/>
        <w:jc w:val="left"/>
        <w:rPr>
          <w:rFonts w:ascii="宋体" w:hAnsi="宋体" w:cs="宋体" w:eastAsia="宋体" w:hint="default"/>
          <w:sz w:val="21"/>
          <w:szCs w:val="21"/>
        </w:rPr>
      </w:pPr>
      <w:r>
        <w:rPr>
          <w:rFonts w:ascii="宋体" w:hAnsi="宋体" w:cs="宋体" w:eastAsia="宋体" w:hint="default"/>
          <w:b/>
          <w:bCs/>
          <w:sz w:val="21"/>
          <w:szCs w:val="21"/>
        </w:rPr>
        <w:t>（一）公司的核心竞争优势</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2015</w:t>
      </w:r>
      <w:r>
        <w:rPr>
          <w:rFonts w:ascii="宋体" w:hAnsi="宋体" w:cs="宋体" w:eastAsia="宋体" w:hint="default"/>
          <w:spacing w:val="-4"/>
          <w:w w:val="100"/>
          <w:sz w:val="21"/>
          <w:szCs w:val="21"/>
        </w:rPr>
        <w:t>年上市公司完成了重大资产重组，上市公司的主营业务由服装加工制造企业转变为健康体检服务</w:t>
      </w:r>
    </w:p>
    <w:p>
      <w:pPr>
        <w:spacing w:line="513" w:lineRule="auto" w:before="46"/>
        <w:ind w:left="635" w:right="4084" w:hanging="483"/>
        <w:jc w:val="left"/>
        <w:rPr>
          <w:rFonts w:ascii="宋体" w:hAnsi="宋体" w:cs="宋体" w:eastAsia="宋体" w:hint="default"/>
          <w:sz w:val="21"/>
          <w:szCs w:val="21"/>
        </w:rPr>
      </w:pPr>
      <w:r>
        <w:rPr>
          <w:rFonts w:ascii="宋体" w:hAnsi="宋体" w:cs="宋体" w:eastAsia="宋体" w:hint="default"/>
          <w:sz w:val="21"/>
          <w:szCs w:val="21"/>
        </w:rPr>
        <w:t>企业，上市公司的核心竞争优势也随之转变。</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、规模优势——合理布局、连锁化经营和管理</w:t>
      </w:r>
      <w:r>
        <w:rPr>
          <w:rFonts w:ascii="宋体" w:hAnsi="宋体" w:cs="宋体" w:eastAsia="宋体" w:hint="default"/>
          <w:spacing w:val="-1"/>
          <w:sz w:val="21"/>
          <w:szCs w:val="21"/>
        </w:rPr>
      </w:r>
    </w:p>
    <w:p>
      <w:pPr>
        <w:pStyle w:val="BodyText"/>
        <w:spacing w:line="408" w:lineRule="auto" w:before="73"/>
        <w:ind w:right="188" w:firstLine="480"/>
        <w:jc w:val="both"/>
      </w:pPr>
      <w:r>
        <w:rPr>
          <w:spacing w:val="-1"/>
        </w:rPr>
        <w:t>截止报告期末，上市公司拥有超过</w:t>
      </w:r>
      <w:r>
        <w:rPr>
          <w:rFonts w:ascii="宋体" w:hAnsi="宋体" w:cs="宋体" w:eastAsia="宋体" w:hint="default"/>
          <w:spacing w:val="-1"/>
        </w:rPr>
        <w:t>100</w:t>
      </w:r>
      <w:r>
        <w:rPr>
          <w:spacing w:val="-1"/>
        </w:rPr>
        <w:t>家控股体检中心，覆盖全国</w:t>
      </w:r>
      <w:r>
        <w:rPr>
          <w:rFonts w:ascii="宋体" w:hAnsi="宋体" w:cs="宋体" w:eastAsia="宋体" w:hint="default"/>
          <w:spacing w:val="-1"/>
        </w:rPr>
        <w:t>29</w:t>
      </w:r>
      <w:r>
        <w:rPr>
          <w:spacing w:val="-1"/>
        </w:rPr>
        <w:t>个省（自治区、直辖市），</w:t>
      </w:r>
      <w:r>
        <w:rPr>
          <w:rFonts w:ascii="宋体" w:hAnsi="宋体" w:cs="宋体" w:eastAsia="宋体" w:hint="default"/>
          <w:spacing w:val="-1"/>
        </w:rPr>
        <w:t>40</w:t>
      </w:r>
      <w:r>
        <w:rPr>
          <w:spacing w:val="-1"/>
        </w:rPr>
        <w:t>余</w:t>
      </w:r>
      <w:r>
        <w:rPr>
          <w:w w:val="100"/>
        </w:rPr>
        <w:t> </w:t>
      </w:r>
      <w:r>
        <w:rPr/>
        <w:t>个主要城市，是国内规模较大、分布较广的专业健康体检机构。</w:t>
      </w:r>
    </w:p>
    <w:p>
      <w:pPr>
        <w:pStyle w:val="BodyText"/>
        <w:spacing w:line="408" w:lineRule="auto"/>
        <w:ind w:right="165" w:firstLine="480"/>
        <w:jc w:val="both"/>
      </w:pPr>
      <w:r>
        <w:rPr>
          <w:spacing w:val="-4"/>
        </w:rPr>
        <w:t>上市公司网点集中于一二线城市，三线城市已多点布局，并已下沉到四线城市，形成了较为完善的体</w:t>
      </w:r>
      <w:r>
        <w:rPr>
          <w:w w:val="100"/>
        </w:rPr>
        <w:t> </w:t>
      </w:r>
      <w:r>
        <w:rPr>
          <w:spacing w:val="-2"/>
        </w:rPr>
        <w:t>检网络。公司采取以点带面占据中心市场对相关区域形成辐射效应的战略，从发达地区不断向发展中地区</w:t>
      </w:r>
      <w:r>
        <w:rPr>
          <w:spacing w:val="-43"/>
        </w:rPr>
        <w:t> </w:t>
      </w:r>
      <w:r>
        <w:rPr>
          <w:spacing w:val="-43"/>
        </w:rPr>
      </w:r>
      <w:r>
        <w:rPr>
          <w:spacing w:val="-2"/>
        </w:rPr>
        <w:t>扩张。与竞争对手相比，公司更注重全国范围内的战略布局，实现了全国重要城市的布点，抢占了市场，</w:t>
      </w:r>
      <w:r>
        <w:rPr>
          <w:spacing w:val="-21"/>
        </w:rPr>
        <w:t> </w:t>
      </w:r>
      <w:r>
        <w:rPr>
          <w:spacing w:val="-21"/>
        </w:rPr>
      </w:r>
      <w:r>
        <w:rPr/>
        <w:t>具有先发优势。</w:t>
      </w:r>
    </w:p>
    <w:p>
      <w:pPr>
        <w:pStyle w:val="BodyText"/>
        <w:spacing w:line="408" w:lineRule="auto"/>
        <w:ind w:right="186" w:firstLine="480"/>
        <w:jc w:val="both"/>
      </w:pPr>
      <w:r>
        <w:rPr>
          <w:spacing w:val="-4"/>
        </w:rPr>
        <w:t>上市公司网点较多，医护人员、机器设备、信息渠道等医疗资源充足，公司实行标准化的采购、管理</w:t>
      </w:r>
      <w:r>
        <w:rPr>
          <w:w w:val="100"/>
        </w:rPr>
        <w:t> </w:t>
      </w:r>
      <w:r>
        <w:rPr>
          <w:spacing w:val="-2"/>
        </w:rPr>
        <w:t>和销售制度，并能根据市场的需求和变化，进行人、财、物的有机配置，能有效降低和控制成本、提高经</w:t>
      </w:r>
      <w:r>
        <w:rPr>
          <w:spacing w:val="-45"/>
        </w:rPr>
        <w:t> </w:t>
      </w:r>
      <w:r>
        <w:rPr>
          <w:spacing w:val="-45"/>
        </w:rPr>
      </w:r>
      <w:r>
        <w:rPr/>
        <w:t>营的协同性、效率化，实现公司利益的最大化，具有有利的运营优势。</w:t>
      </w:r>
    </w:p>
    <w:p>
      <w:pPr>
        <w:pStyle w:val="BodyText"/>
        <w:spacing w:line="408" w:lineRule="auto"/>
        <w:ind w:right="0" w:firstLine="480"/>
        <w:jc w:val="left"/>
      </w:pPr>
      <w:r>
        <w:rPr>
          <w:spacing w:val="-2"/>
        </w:rPr>
        <w:t>上市公司业务以团体客户为主，客户包括众多大型、全国性企业集团，这些客户下属分支机构众多、</w:t>
      </w:r>
      <w:r>
        <w:rPr>
          <w:w w:val="100"/>
        </w:rPr>
        <w:t> </w:t>
      </w:r>
      <w:r>
        <w:rPr>
          <w:spacing w:val="-2"/>
        </w:rPr>
        <w:t>分布区域广，公司全国连锁及多城区的服务网点为客户就近接受服务提供了更多便利及选择，是众多客户</w:t>
      </w:r>
      <w:r>
        <w:rPr>
          <w:spacing w:val="-44"/>
        </w:rPr>
        <w:t> </w:t>
      </w:r>
      <w:r>
        <w:rPr>
          <w:spacing w:val="-44"/>
        </w:rPr>
      </w:r>
      <w:r>
        <w:rPr/>
        <w:t>青睐美年大健康的重要因素之一。</w:t>
      </w:r>
    </w:p>
    <w:p>
      <w:pPr>
        <w:pStyle w:val="Heading3"/>
        <w:spacing w:line="240" w:lineRule="auto" w:before="166"/>
        <w:ind w:left="635" w:right="0"/>
        <w:jc w:val="left"/>
        <w:rPr>
          <w:b w:val="0"/>
          <w:bCs w:val="0"/>
        </w:rPr>
      </w:pPr>
      <w:r>
        <w:rPr>
          <w:rFonts w:ascii="宋体" w:hAnsi="宋体" w:cs="宋体" w:eastAsia="宋体" w:hint="default"/>
        </w:rPr>
        <w:t>2</w:t>
      </w:r>
      <w:r>
        <w:rPr/>
        <w:t>、管理团队优势——核心团队经验丰富，人才梯队完整，企业文化优异</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86" w:firstLine="480"/>
        <w:jc w:val="both"/>
      </w:pPr>
      <w:r>
        <w:rPr>
          <w:spacing w:val="-4"/>
        </w:rPr>
        <w:t>公司核心管理团队具备丰富的行业经验、敏锐的洞察力和高效的执行力。董事长俞熔先生长期从事健</w:t>
      </w:r>
      <w:r>
        <w:rPr>
          <w:w w:val="100"/>
        </w:rPr>
        <w:t> </w:t>
      </w:r>
      <w:r>
        <w:rPr>
          <w:spacing w:val="-2"/>
        </w:rPr>
        <w:t>康产业的运营和投资，对健康体检以及衍生产业的发展有深刻认识，在公司发展战略、资源整合、人才培</w:t>
      </w:r>
      <w:r>
        <w:rPr>
          <w:spacing w:val="-47"/>
        </w:rPr>
        <w:t> </w:t>
      </w:r>
      <w:r>
        <w:rPr>
          <w:spacing w:val="-47"/>
        </w:rPr>
      </w:r>
      <w:r>
        <w:rPr>
          <w:spacing w:val="-2"/>
        </w:rPr>
        <w:t>养、新业务规划方面经验丰富；总裁徐可先生具有长期的健康体检行业管理经验，熟悉大型企业的体系建</w:t>
      </w:r>
      <w:r>
        <w:rPr>
          <w:spacing w:val="-44"/>
        </w:rPr>
        <w:t> </w:t>
      </w:r>
      <w:r>
        <w:rPr>
          <w:spacing w:val="-44"/>
        </w:rPr>
      </w:r>
      <w:r>
        <w:rPr/>
        <w:t>设和目标管理，擅长公司的日常经营管理。</w:t>
      </w:r>
    </w:p>
    <w:p>
      <w:pPr>
        <w:pStyle w:val="BodyText"/>
        <w:spacing w:line="408" w:lineRule="auto"/>
        <w:ind w:right="186" w:firstLine="480"/>
        <w:jc w:val="both"/>
      </w:pPr>
      <w:r>
        <w:rPr>
          <w:spacing w:val="-4"/>
        </w:rPr>
        <w:t>此外，公司拥有一支具有丰富连锁医疗服务机构经营及管理经验的中高级管理队伍。公司较早的推出</w:t>
      </w:r>
      <w:r>
        <w:rPr>
          <w:w w:val="100"/>
        </w:rPr>
        <w:t> </w:t>
      </w:r>
      <w:r>
        <w:rPr>
          <w:spacing w:val="-2"/>
        </w:rPr>
        <w:t>员工持股计划，子公司主要管理人员、职能部门负责人均持有一定股份，充分调动了公司高级管理人员及</w:t>
      </w:r>
      <w:r>
        <w:rPr>
          <w:spacing w:val="-44"/>
        </w:rPr>
        <w:t> </w:t>
      </w:r>
      <w:r>
        <w:rPr>
          <w:spacing w:val="-44"/>
        </w:rPr>
      </w:r>
      <w:r>
        <w:rPr/>
        <w:t>核心员工的积极性。公司十分重视人才培训、引进，特别注重培养和引进同时具备“管理</w:t>
      </w:r>
      <w:r>
        <w:rPr>
          <w:rFonts w:ascii="宋体" w:hAnsi="宋体" w:cs="宋体" w:eastAsia="宋体" w:hint="default"/>
        </w:rPr>
        <w:t>+</w:t>
      </w:r>
      <w:r>
        <w:rPr/>
        <w:t>医疗”专业才</w:t>
      </w:r>
      <w:r>
        <w:rPr>
          <w:spacing w:val="-21"/>
        </w:rPr>
        <w:t> </w:t>
      </w:r>
      <w:r>
        <w:rPr>
          <w:spacing w:val="-21"/>
        </w:rPr>
      </w:r>
      <w:r>
        <w:rPr>
          <w:spacing w:val="-2"/>
        </w:rPr>
        <w:t>能的复合型人才，拥有一批技术骨干，并形成合理的人才梯队。经验丰富、高效、务实的高素质经营管理</w:t>
      </w:r>
    </w:p>
    <w:p>
      <w:pPr>
        <w:spacing w:after="0" w:line="408"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513" w:lineRule="auto" w:before="176"/>
        <w:ind w:left="635" w:right="1583" w:hanging="483"/>
        <w:jc w:val="left"/>
        <w:rPr>
          <w:rFonts w:ascii="宋体" w:hAnsi="宋体" w:cs="宋体" w:eastAsia="宋体" w:hint="default"/>
          <w:sz w:val="21"/>
          <w:szCs w:val="21"/>
        </w:rPr>
      </w:pPr>
      <w:r>
        <w:rPr>
          <w:rFonts w:ascii="宋体" w:hAnsi="宋体" w:cs="宋体" w:eastAsia="宋体" w:hint="default"/>
          <w:sz w:val="21"/>
          <w:szCs w:val="21"/>
        </w:rPr>
        <w:t>团队，为公司快速发展奠定了坚实基础。</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、服务优势——专业化的服务，严苛的质量控制</w:t>
      </w:r>
      <w:r>
        <w:rPr>
          <w:rFonts w:ascii="宋体" w:hAnsi="宋体" w:cs="宋体" w:eastAsia="宋体" w:hint="default"/>
          <w:spacing w:val="-1"/>
          <w:sz w:val="21"/>
          <w:szCs w:val="21"/>
        </w:rPr>
      </w:r>
    </w:p>
    <w:p>
      <w:pPr>
        <w:pStyle w:val="BodyText"/>
        <w:spacing w:line="408" w:lineRule="auto" w:before="73"/>
        <w:ind w:right="92" w:firstLine="480"/>
        <w:jc w:val="left"/>
      </w:pPr>
      <w:r>
        <w:rPr>
          <w:spacing w:val="-4"/>
        </w:rPr>
        <w:t>公司专注于为客户提供优质的健康服务。公司配备具有资深临床经验和专业见解的专家团队，引进国</w:t>
      </w:r>
      <w:r>
        <w:rPr>
          <w:w w:val="100"/>
        </w:rPr>
        <w:t> </w:t>
      </w:r>
      <w:r>
        <w:rPr>
          <w:spacing w:val="-5"/>
        </w:rPr>
        <w:t>内外先进的医疗设备，使服务更精准、更专业；同时人性化的考虑医检分离，有效降低医院交叉感染风险，</w:t>
      </w:r>
      <w:r>
        <w:rPr>
          <w:spacing w:val="-8"/>
        </w:rPr>
        <w:t> </w:t>
      </w:r>
      <w:r>
        <w:rPr>
          <w:spacing w:val="-8"/>
        </w:rPr>
      </w:r>
      <w:r>
        <w:rPr/>
        <w:t>为客户提供愉悦、舒适的医学检测环境；公司针对客户不同性别、年龄、职业等特征推出丰富的产品线，</w:t>
      </w:r>
      <w:r>
        <w:rPr>
          <w:w w:val="100"/>
        </w:rPr>
        <w:t> </w:t>
      </w:r>
      <w:r>
        <w:rPr>
          <w:spacing w:val="-2"/>
        </w:rPr>
        <w:t>以满足客户多层次、多方面需求，同时，全方位的健康管理平台更为客户提供个性化的健康建议，营养补</w:t>
      </w:r>
      <w:r>
        <w:rPr>
          <w:spacing w:val="-47"/>
        </w:rPr>
        <w:t> </w:t>
      </w:r>
      <w:r>
        <w:rPr>
          <w:spacing w:val="-47"/>
        </w:rPr>
      </w:r>
      <w:r>
        <w:rPr>
          <w:spacing w:val="-2"/>
        </w:rPr>
        <w:t>充以及就医指导；此外，为保障后续治疗需求，公司与国内数百家优质医疗机构合作，为客户提供就医咨</w:t>
      </w:r>
      <w:r>
        <w:rPr>
          <w:spacing w:val="-47"/>
        </w:rPr>
        <w:t> </w:t>
      </w:r>
      <w:r>
        <w:rPr>
          <w:spacing w:val="-47"/>
        </w:rPr>
      </w:r>
      <w:r>
        <w:rPr/>
        <w:t>询、就医预约、全程导医、绿色通道等全程就医帮助服务。</w:t>
      </w:r>
    </w:p>
    <w:p>
      <w:pPr>
        <w:pStyle w:val="BodyText"/>
        <w:spacing w:line="408" w:lineRule="auto"/>
        <w:ind w:right="207" w:firstLine="480"/>
        <w:jc w:val="both"/>
      </w:pPr>
      <w:r>
        <w:rPr>
          <w:spacing w:val="-4"/>
        </w:rPr>
        <w:t>为保证服务质量，公司建立了三级质量管理、重大阳性报告、诊断报告控制等制度，设置了标准化的</w:t>
      </w:r>
      <w:r>
        <w:rPr>
          <w:w w:val="100"/>
        </w:rPr>
        <w:t> </w:t>
      </w:r>
      <w:r>
        <w:rPr>
          <w:spacing w:val="-2"/>
        </w:rPr>
        <w:t>业务流程，严格控制体检中心的日常运营和员工业务操作规程。此外，公司还通过自查、互评、第三方评</w:t>
      </w:r>
      <w:r>
        <w:rPr>
          <w:spacing w:val="-43"/>
        </w:rPr>
        <w:t> </w:t>
      </w:r>
      <w:r>
        <w:rPr>
          <w:spacing w:val="-43"/>
        </w:rPr>
      </w:r>
      <w:r>
        <w:rPr>
          <w:spacing w:val="-2"/>
        </w:rPr>
        <w:t>估，定期分析存在的问题，并持续改进和提高体检质量、服务质量。公司凭借其优质的服务质量，树立了</w:t>
      </w:r>
      <w:r>
        <w:rPr>
          <w:spacing w:val="-43"/>
        </w:rPr>
        <w:t> </w:t>
      </w:r>
      <w:r>
        <w:rPr>
          <w:spacing w:val="-43"/>
        </w:rPr>
      </w:r>
      <w:r>
        <w:rPr/>
        <w:t>良好的企业形象，具有较强的竞争优势。</w:t>
      </w:r>
    </w:p>
    <w:p>
      <w:pPr>
        <w:pStyle w:val="Heading3"/>
        <w:spacing w:line="240" w:lineRule="auto" w:before="166"/>
        <w:ind w:left="635" w:right="92"/>
        <w:jc w:val="left"/>
        <w:rPr>
          <w:b w:val="0"/>
          <w:bCs w:val="0"/>
        </w:rPr>
      </w:pPr>
      <w:r>
        <w:rPr>
          <w:rFonts w:ascii="宋体" w:hAnsi="宋体" w:cs="宋体" w:eastAsia="宋体" w:hint="default"/>
        </w:rPr>
        <w:t>4</w:t>
      </w:r>
      <w:r>
        <w:rPr/>
        <w:t>、客户优势——丰富的客户资源，稳定的客户基础</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92" w:firstLine="480"/>
        <w:jc w:val="left"/>
      </w:pPr>
      <w:r>
        <w:rPr/>
        <w:t>美年大健康在体检行业耕耘多年，积累了大批优质的客户资源，其中</w:t>
      </w:r>
      <w:r>
        <w:rPr>
          <w:rFonts w:ascii="宋体" w:hAnsi="宋体" w:cs="宋体" w:eastAsia="宋体" w:hint="default"/>
        </w:rPr>
        <w:t>80%</w:t>
      </w:r>
      <w:r>
        <w:rPr/>
        <w:t>为团体客户，包括世界</w:t>
      </w:r>
      <w:r>
        <w:rPr>
          <w:rFonts w:ascii="宋体" w:hAnsi="宋体" w:cs="宋体" w:eastAsia="宋体" w:hint="default"/>
        </w:rPr>
        <w:t>500</w:t>
      </w:r>
      <w:r>
        <w:rPr>
          <w:rFonts w:ascii="宋体" w:hAnsi="宋体" w:cs="宋体" w:eastAsia="宋体" w:hint="default"/>
          <w:w w:val="100"/>
        </w:rPr>
        <w:t> </w:t>
      </w:r>
      <w:r>
        <w:rPr>
          <w:spacing w:val="-2"/>
        </w:rPr>
        <w:t>强企业、大型央企、国企和事业单位。公司已与多家国内外知名企业及其分支机构建立长期合作关系，形</w:t>
      </w:r>
      <w:r>
        <w:rPr>
          <w:spacing w:val="-44"/>
        </w:rPr>
        <w:t> </w:t>
      </w:r>
      <w:r>
        <w:rPr>
          <w:spacing w:val="-44"/>
        </w:rPr>
      </w:r>
      <w:r>
        <w:rPr>
          <w:spacing w:val="-5"/>
        </w:rPr>
        <w:t>成了大批稳定的优质客户，是公司利润的可靠保证。近几年，个人客户占比虽小，但个检总数呈上升趋势。</w:t>
      </w:r>
      <w:r>
        <w:rPr>
          <w:spacing w:val="-11"/>
        </w:rPr>
        <w:t> </w:t>
      </w:r>
      <w:r>
        <w:rPr>
          <w:spacing w:val="-11"/>
        </w:rPr>
      </w:r>
      <w:r>
        <w:rPr>
          <w:spacing w:val="-2"/>
        </w:rPr>
        <w:t>随着公司未来远程医疗、移动健康管理服务的完善和市场的进一步拓展，公司客户数量将逐年增多，客户</w:t>
      </w:r>
      <w:r>
        <w:rPr>
          <w:spacing w:val="-43"/>
        </w:rPr>
        <w:t> </w:t>
      </w:r>
      <w:r>
        <w:rPr>
          <w:spacing w:val="-43"/>
        </w:rPr>
      </w:r>
      <w:r>
        <w:rPr/>
        <w:t>基础不断稳固，客户粘性不断增强。</w:t>
      </w:r>
    </w:p>
    <w:p>
      <w:pPr>
        <w:pStyle w:val="Heading3"/>
        <w:spacing w:line="240" w:lineRule="auto" w:before="166"/>
        <w:ind w:left="635" w:right="92"/>
        <w:jc w:val="left"/>
        <w:rPr>
          <w:b w:val="0"/>
          <w:bCs w:val="0"/>
        </w:rPr>
      </w:pPr>
      <w:r>
        <w:rPr>
          <w:rFonts w:ascii="宋体" w:hAnsi="宋体" w:cs="宋体" w:eastAsia="宋体" w:hint="default"/>
        </w:rPr>
        <w:t>5</w:t>
      </w:r>
      <w:r>
        <w:rPr/>
        <w:t>、移动医疗入口平台优势——海量的体检大数据，健康的移动医疗服务生态</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92" w:firstLine="420"/>
        <w:jc w:val="left"/>
      </w:pPr>
      <w:r>
        <w:rPr>
          <w:spacing w:val="-2"/>
        </w:rPr>
        <w:t>公司全国网点众多，面向大量基础人群提供服务，拥有庞大的健康体检数据，根据数据分析而配套提</w:t>
      </w:r>
      <w:r>
        <w:rPr>
          <w:w w:val="100"/>
        </w:rPr>
        <w:t> </w:t>
      </w:r>
      <w:r>
        <w:rPr/>
        <w:t>供的服务正逐渐形成公司新的业绩增长点，并将使公司不断延伸产业链，扩大服务的广度和深度。</w:t>
      </w:r>
    </w:p>
    <w:p>
      <w:pPr>
        <w:pStyle w:val="BodyText"/>
        <w:spacing w:line="408" w:lineRule="auto"/>
        <w:ind w:right="92" w:firstLine="420"/>
        <w:jc w:val="left"/>
      </w:pPr>
      <w:r>
        <w:rPr>
          <w:spacing w:val="-3"/>
        </w:rPr>
        <w:t>随着移动互联网的发展、医疗技术的进步，移动医疗的兴起。基于自身庞大的信息数据库，借助移动</w:t>
      </w:r>
      <w:r>
        <w:rPr>
          <w:w w:val="100"/>
        </w:rPr>
        <w:t> </w:t>
      </w:r>
      <w:r>
        <w:rPr>
          <w:spacing w:val="-2"/>
        </w:rPr>
        <w:t>医疗设备和技术，公司可持续、稳定的监测个体体征数据，形成更为精准的分析结果，进一步提供更个性</w:t>
      </w:r>
      <w:r>
        <w:rPr>
          <w:spacing w:val="-50"/>
        </w:rPr>
        <w:t> </w:t>
      </w:r>
      <w:r>
        <w:rPr>
          <w:spacing w:val="-50"/>
        </w:rPr>
      </w:r>
      <w:r>
        <w:rPr>
          <w:spacing w:val="-5"/>
        </w:rPr>
        <w:t>化、更全方位的健康管理服务方案。公司正加强和完善自身信息化系统建设，大力建设移动医疗服务平台， </w:t>
      </w:r>
      <w:r>
        <w:rPr>
          <w:spacing w:val="-5"/>
        </w:rPr>
      </w:r>
      <w:r>
        <w:rPr/>
        <w:t>并已携手国内最大的就医服务平台挂号网，积极打造完整的从线上到线下的健康服务（</w:t>
      </w:r>
      <w:r>
        <w:rPr>
          <w:rFonts w:ascii="宋体" w:hAnsi="宋体" w:cs="宋体" w:eastAsia="宋体" w:hint="default"/>
        </w:rPr>
        <w:t>O2O</w:t>
      </w:r>
      <w:r>
        <w:rPr/>
        <w:t>）闭环和良性</w:t>
      </w:r>
      <w:r>
        <w:rPr>
          <w:spacing w:val="-22"/>
        </w:rPr>
        <w:t> </w:t>
      </w:r>
      <w:r>
        <w:rPr>
          <w:spacing w:val="-22"/>
        </w:rPr>
      </w:r>
      <w:r>
        <w:rPr/>
        <w:t>生态圈，为医师和患者提供更有效的时间及资源安排。</w:t>
      </w:r>
    </w:p>
    <w:p>
      <w:pPr>
        <w:pStyle w:val="BodyText"/>
        <w:spacing w:line="408" w:lineRule="auto"/>
        <w:ind w:right="92" w:firstLine="420"/>
        <w:jc w:val="left"/>
      </w:pPr>
      <w:r>
        <w:rPr>
          <w:spacing w:val="-5"/>
        </w:rPr>
        <w:t>根据个体化的数据，并依靠健康数据预测人体将来患病或者评估患病风险的模式，以及围绕健康管理、</w:t>
      </w:r>
      <w:r>
        <w:rPr>
          <w:w w:val="100"/>
        </w:rPr>
        <w:t> </w:t>
      </w:r>
      <w:r>
        <w:rPr/>
        <w:t>围绕抗衰老、围绕保健、围绕疾病的筛查和预防、治疗构筑的商业模式将成为公司除健康体检外新的发展</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方向，具有巨大的发展空间，是中小体检机构、公立医院无法比拟的。随着公司募投项目的实施，以及健</w:t>
      </w:r>
      <w:r>
        <w:rPr>
          <w:spacing w:val="-43"/>
        </w:rPr>
        <w:t> </w:t>
      </w:r>
      <w:r>
        <w:rPr>
          <w:spacing w:val="-43"/>
        </w:rPr>
      </w:r>
      <w:r>
        <w:rPr/>
        <w:t>康管理的发展、深入和完善，公司移动医疗服务、健康管理服务优势将进一步凸显。</w:t>
      </w:r>
    </w:p>
    <w:p>
      <w:pPr>
        <w:pStyle w:val="Heading3"/>
        <w:spacing w:line="240" w:lineRule="auto" w:before="166"/>
        <w:ind w:left="635" w:right="0"/>
        <w:jc w:val="left"/>
        <w:rPr>
          <w:b w:val="0"/>
          <w:bCs w:val="0"/>
        </w:rPr>
      </w:pPr>
      <w:r>
        <w:rPr>
          <w:rFonts w:ascii="宋体" w:hAnsi="宋体" w:cs="宋体" w:eastAsia="宋体" w:hint="default"/>
        </w:rPr>
        <w:t>6</w:t>
      </w:r>
      <w:r>
        <w:rPr/>
        <w:t>、品牌优势——“健康、优质”的品牌形象，良好的市场口碑</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46" w:firstLine="422"/>
        <w:jc w:val="both"/>
      </w:pPr>
      <w:r>
        <w:rPr>
          <w:spacing w:val="-2"/>
        </w:rPr>
        <w:t>美年大健康一直致力于提供专业的体检服务，精心培育“健康、优质”的美年大健康品牌形象。公司</w:t>
      </w:r>
      <w:r>
        <w:rPr>
          <w:w w:val="100"/>
        </w:rPr>
        <w:t> </w:t>
      </w:r>
      <w:r>
        <w:rPr>
          <w:spacing w:val="-2"/>
        </w:rPr>
        <w:t>通过体检中心店内宣传、客户体验进行店内营销，通过平面、户外、楼宇框架、电台、电视台等各种传媒</w:t>
      </w:r>
      <w:r>
        <w:rPr>
          <w:spacing w:val="-42"/>
        </w:rPr>
        <w:t> </w:t>
      </w:r>
      <w:r>
        <w:rPr>
          <w:spacing w:val="-42"/>
        </w:rPr>
      </w:r>
      <w:r>
        <w:rPr/>
        <w:t>资源进行品牌宣传，通过官网、微信、微博、天猫、京东、</w:t>
      </w:r>
      <w:r>
        <w:rPr>
          <w:rFonts w:ascii="宋体" w:hAnsi="宋体" w:cs="宋体" w:eastAsia="宋体" w:hint="default"/>
        </w:rPr>
        <w:t>APP</w:t>
      </w:r>
      <w:r>
        <w:rPr/>
        <w:t>等网站进行网络营销，通过健康宣传公益</w:t>
      </w:r>
      <w:r>
        <w:rPr>
          <w:spacing w:val="-25"/>
        </w:rPr>
        <w:t> </w:t>
      </w:r>
      <w:r>
        <w:rPr>
          <w:spacing w:val="-25"/>
        </w:rPr>
      </w:r>
      <w:r>
        <w:rPr>
          <w:spacing w:val="-2"/>
        </w:rPr>
        <w:t>活动进行公益营销，通过健康讲座、健康咨询等进行对话营销，公司还通过专业、舒适、个性化的体检服</w:t>
      </w:r>
      <w:r>
        <w:rPr>
          <w:spacing w:val="-43"/>
        </w:rPr>
        <w:t> </w:t>
      </w:r>
      <w:r>
        <w:rPr>
          <w:spacing w:val="-43"/>
        </w:rPr>
      </w:r>
      <w:r>
        <w:rPr>
          <w:spacing w:val="-2"/>
        </w:rPr>
        <w:t>务进行服务营销。经过近十年的发展，美年大健康已有一定品牌文化的积累和沉淀，在体检连锁行业内享</w:t>
      </w:r>
      <w:r>
        <w:rPr>
          <w:spacing w:val="-43"/>
        </w:rPr>
        <w:t> </w:t>
      </w:r>
      <w:r>
        <w:rPr>
          <w:spacing w:val="-43"/>
        </w:rPr>
      </w:r>
      <w:r>
        <w:rPr/>
        <w:t>有较高的知名度、良好的美誉度。</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2"/>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2"/>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2" w:firstLine="420"/>
        <w:jc w:val="left"/>
      </w:pPr>
      <w:r>
        <w:rPr/>
        <w:t>随着城市科技的发展，生活环境面临越来越多挑战，在中国，健康服务产业已成为发展潜力最大的未</w:t>
      </w:r>
      <w:r>
        <w:rPr>
          <w:w w:val="100"/>
        </w:rPr>
        <w:t> </w:t>
      </w:r>
      <w:r>
        <w:rPr/>
        <w:t>来产业，正在酝酿和形成超过十万亿的巨大蓝海市场。国务院总理李克强在</w:t>
      </w:r>
      <w:r>
        <w:rPr>
          <w:rFonts w:ascii="宋体" w:hAnsi="宋体" w:cs="宋体" w:eastAsia="宋体" w:hint="default"/>
        </w:rPr>
        <w:t>2013</w:t>
      </w:r>
      <w:r>
        <w:rPr/>
        <w:t>年</w:t>
      </w:r>
      <w:r>
        <w:rPr>
          <w:rFonts w:ascii="宋体" w:hAnsi="宋体" w:cs="宋体" w:eastAsia="宋体" w:hint="default"/>
        </w:rPr>
        <w:t>8</w:t>
      </w:r>
      <w:r>
        <w:rPr/>
        <w:t>月主持召开的国务院</w:t>
      </w:r>
      <w:r>
        <w:rPr>
          <w:spacing w:val="-25"/>
        </w:rPr>
        <w:t> </w:t>
      </w:r>
      <w:r>
        <w:rPr>
          <w:spacing w:val="-25"/>
        </w:rPr>
      </w:r>
      <w:r>
        <w:rPr>
          <w:spacing w:val="-2"/>
        </w:rPr>
        <w:t>常务会议上，研究部署促进健康服务业发展作为重要议题。中国国民经济和社会发展第十三个五年规划纲</w:t>
      </w:r>
      <w:r>
        <w:rPr>
          <w:spacing w:val="-44"/>
        </w:rPr>
        <w:t> </w:t>
      </w:r>
      <w:r>
        <w:rPr>
          <w:spacing w:val="-44"/>
        </w:rPr>
      </w:r>
      <w:r>
        <w:rPr>
          <w:spacing w:val="-2"/>
        </w:rPr>
        <w:t>要中提出推进健康中国的建设，鼓励社会力量兴办健康服务业，完善医师多点执业制度。全面实施临床路</w:t>
      </w:r>
      <w:r>
        <w:rPr>
          <w:spacing w:val="-43"/>
        </w:rPr>
        <w:t> </w:t>
      </w:r>
      <w:r>
        <w:rPr>
          <w:spacing w:val="-43"/>
        </w:rPr>
      </w:r>
      <w:r>
        <w:rPr>
          <w:spacing w:val="-5"/>
        </w:rPr>
        <w:t>径。提升健康信息服务和大数据应用能力，发展远程医疗和智慧医疗。健康服务已经成为关系到国计民生、 </w:t>
      </w:r>
      <w:r>
        <w:rPr>
          <w:spacing w:val="-5"/>
        </w:rPr>
      </w:r>
      <w:r>
        <w:rPr>
          <w:spacing w:val="-2"/>
        </w:rPr>
        <w:t>未来社会整体幸福指数的国家级重大事业。此次国务院常务会议把加快发展健康服务业提升到“有效扩大</w:t>
      </w:r>
      <w:r>
        <w:rPr>
          <w:spacing w:val="-43"/>
        </w:rPr>
        <w:t> </w:t>
      </w:r>
      <w:r>
        <w:rPr>
          <w:spacing w:val="-43"/>
        </w:rPr>
      </w:r>
      <w:r>
        <w:rPr>
          <w:spacing w:val="-2"/>
        </w:rPr>
        <w:t>就业、形成新的增长点、促进经济转型升级的重要抓手”的层面，显示了大健康产业在国家战略中的重要</w:t>
      </w:r>
      <w:r>
        <w:rPr>
          <w:spacing w:val="-44"/>
        </w:rPr>
        <w:t> </w:t>
      </w:r>
      <w:r>
        <w:rPr>
          <w:spacing w:val="-44"/>
        </w:rPr>
      </w:r>
      <w:r>
        <w:rPr/>
        <w:t>位置。</w:t>
      </w:r>
    </w:p>
    <w:p>
      <w:pPr>
        <w:pStyle w:val="BodyText"/>
        <w:spacing w:line="408" w:lineRule="auto"/>
        <w:ind w:right="206" w:firstLine="420"/>
        <w:jc w:val="both"/>
      </w:pP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23</w:t>
      </w:r>
      <w:r>
        <w:rPr/>
        <w:t>日，中国证券监督管理委员会出具《关于核准江苏三友集团股份有限公司重大资产重组</w:t>
      </w:r>
      <w:r>
        <w:rPr>
          <w:w w:val="100"/>
        </w:rPr>
        <w:t> </w:t>
      </w:r>
      <w:r>
        <w:rPr>
          <w:spacing w:val="-2"/>
        </w:rPr>
        <w:t>及向上海天亿投资（集团）有限公司等发行股份购买资产并募集配套资金的批复》（证监许可</w:t>
      </w:r>
      <w:r>
        <w:rPr>
          <w:rFonts w:ascii="宋体" w:hAnsi="宋体" w:cs="宋体" w:eastAsia="宋体" w:hint="default"/>
          <w:spacing w:val="-2"/>
        </w:rPr>
        <w:t>[2015]1718</w:t>
      </w:r>
      <w:r>
        <w:rPr>
          <w:rFonts w:ascii="宋体" w:hAnsi="宋体" w:cs="宋体" w:eastAsia="宋体" w:hint="default"/>
          <w:spacing w:val="-37"/>
        </w:rPr>
        <w:t> </w:t>
      </w:r>
      <w:r>
        <w:rPr>
          <w:rFonts w:ascii="宋体" w:hAnsi="宋体" w:cs="宋体" w:eastAsia="宋体" w:hint="default"/>
          <w:spacing w:val="-37"/>
        </w:rPr>
      </w:r>
      <w:r>
        <w:rPr>
          <w:spacing w:val="-2"/>
        </w:rPr>
        <w:t>号）文件，核准了上市公司上述重大资产重组交易。公司主营业务由服装加工制造企业转变为健康体检服</w:t>
      </w:r>
      <w:r>
        <w:rPr>
          <w:spacing w:val="-44"/>
        </w:rPr>
        <w:t> </w:t>
      </w:r>
      <w:r>
        <w:rPr>
          <w:spacing w:val="-44"/>
        </w:rPr>
      </w:r>
      <w:r>
        <w:rPr/>
        <w:t>务企业，实现上市公司的彻底转型。</w:t>
      </w:r>
    </w:p>
    <w:p>
      <w:pPr>
        <w:pStyle w:val="BodyText"/>
        <w:spacing w:line="408" w:lineRule="auto"/>
        <w:ind w:right="206" w:firstLine="420"/>
        <w:jc w:val="both"/>
      </w:pPr>
      <w:r>
        <w:rPr>
          <w:spacing w:val="-2"/>
        </w:rPr>
        <w:t>公司以高品质、专业的健康体检为基础，以移动大数据为根源，围绕专业预防、健康保障、医疗管家</w:t>
      </w:r>
      <w:r>
        <w:rPr>
          <w:w w:val="100"/>
        </w:rPr>
        <w:t> </w:t>
      </w:r>
      <w:r>
        <w:rPr>
          <w:spacing w:val="-2"/>
        </w:rPr>
        <w:t>式服务等领域展开服务，为企业和个人客户提供一流的健康管理服务，引领国内健康服务产业健康有序的</w:t>
      </w:r>
      <w:r>
        <w:rPr>
          <w:spacing w:val="-42"/>
        </w:rPr>
        <w:t> </w:t>
      </w:r>
      <w:r>
        <w:rPr>
          <w:spacing w:val="-42"/>
        </w:rPr>
      </w:r>
      <w:r>
        <w:rPr>
          <w:spacing w:val="-2"/>
        </w:rPr>
        <w:t>发展。结合优质管理学中著名的</w:t>
      </w:r>
      <w:r>
        <w:rPr>
          <w:rFonts w:ascii="宋体" w:hAnsi="宋体" w:cs="宋体" w:eastAsia="宋体" w:hint="default"/>
          <w:spacing w:val="-2"/>
        </w:rPr>
        <w:t>PDCA</w:t>
      </w:r>
      <w:r>
        <w:rPr>
          <w:spacing w:val="-2"/>
        </w:rPr>
        <w:t>理论，首创了</w:t>
      </w:r>
      <w:r>
        <w:rPr>
          <w:rFonts w:ascii="宋体" w:hAnsi="宋体" w:cs="宋体" w:eastAsia="宋体" w:hint="default"/>
          <w:spacing w:val="-2"/>
        </w:rPr>
        <w:t>PDCA</w:t>
      </w:r>
      <w:r>
        <w:rPr>
          <w:spacing w:val="-2"/>
        </w:rPr>
        <w:t>健康服务管理理念，将</w:t>
      </w:r>
      <w:r>
        <w:rPr>
          <w:rFonts w:ascii="宋体" w:hAnsi="宋体" w:cs="宋体" w:eastAsia="宋体" w:hint="default"/>
          <w:spacing w:val="-2"/>
        </w:rPr>
        <w:t>Plan</w:t>
      </w:r>
      <w:r>
        <w:rPr>
          <w:spacing w:val="-2"/>
        </w:rPr>
        <w:t>，</w:t>
      </w:r>
      <w:r>
        <w:rPr>
          <w:rFonts w:ascii="宋体" w:hAnsi="宋体" w:cs="宋体" w:eastAsia="宋体" w:hint="default"/>
          <w:spacing w:val="-2"/>
        </w:rPr>
        <w:t>Do</w:t>
      </w:r>
      <w:r>
        <w:rPr>
          <w:spacing w:val="-2"/>
        </w:rPr>
        <w:t>，</w:t>
      </w:r>
      <w:r>
        <w:rPr>
          <w:rFonts w:ascii="宋体" w:hAnsi="宋体" w:cs="宋体" w:eastAsia="宋体" w:hint="default"/>
          <w:spacing w:val="-2"/>
        </w:rPr>
        <w:t>Check</w:t>
      </w:r>
      <w:r>
        <w:rPr>
          <w:spacing w:val="-2"/>
        </w:rPr>
        <w:t>，</w:t>
      </w:r>
      <w:r>
        <w:rPr>
          <w:rFonts w:ascii="宋体" w:hAnsi="宋体" w:cs="宋体" w:eastAsia="宋体" w:hint="default"/>
          <w:spacing w:val="-2"/>
        </w:rPr>
        <w:t>Act</w:t>
      </w:r>
      <w:r>
        <w:rPr>
          <w:spacing w:val="-2"/>
        </w:rPr>
        <w:t>四项</w:t>
      </w:r>
      <w:r>
        <w:rPr>
          <w:spacing w:val="-29"/>
        </w:rPr>
        <w:t> </w:t>
      </w:r>
      <w:r>
        <w:rPr>
          <w:spacing w:val="-2"/>
        </w:rPr>
        <w:t>引入公司的服务流程管理中，即通过检前、检中、检后、跟踪实施健康干预，进一步应用科学手段调理体</w:t>
      </w:r>
      <w:r>
        <w:rPr>
          <w:spacing w:val="-43"/>
        </w:rPr>
        <w:t> </w:t>
      </w:r>
      <w:r>
        <w:rPr>
          <w:spacing w:val="-43"/>
        </w:rPr>
      </w:r>
      <w:r>
        <w:rPr>
          <w:spacing w:val="-2"/>
        </w:rPr>
        <w:t>质，再一次进行健康复查，通过周而复始的体检与管理相结合的循环过程，达成让每个人都健康的最终目</w:t>
      </w:r>
      <w:r>
        <w:rPr>
          <w:spacing w:val="-43"/>
        </w:rPr>
        <w:t> </w:t>
      </w:r>
      <w:r>
        <w:rPr>
          <w:spacing w:val="-43"/>
        </w:rPr>
      </w:r>
      <w:r>
        <w:rPr>
          <w:spacing w:val="-2"/>
        </w:rPr>
        <w:t>的。同时又提炼出整个健康领域新的管理高度，形成了基本体检、深层次体检、医疗方案、健康保障四步</w:t>
      </w:r>
      <w:r>
        <w:rPr>
          <w:spacing w:val="-43"/>
        </w:rPr>
        <w:t> </w:t>
      </w:r>
      <w:r>
        <w:rPr>
          <w:spacing w:val="-43"/>
        </w:rPr>
      </w:r>
      <w:r>
        <w:rPr/>
        <w:t>循环。</w:t>
      </w:r>
    </w:p>
    <w:p>
      <w:pPr>
        <w:pStyle w:val="BodyText"/>
        <w:spacing w:line="408" w:lineRule="auto" w:before="87"/>
        <w:ind w:right="210" w:firstLine="422"/>
        <w:jc w:val="both"/>
      </w:pPr>
      <w:r>
        <w:rPr/>
        <w:t>报告期内，实现营业收入</w:t>
      </w:r>
      <w:r>
        <w:rPr>
          <w:rFonts w:ascii="宋体" w:hAnsi="宋体" w:cs="宋体" w:eastAsia="宋体" w:hint="default"/>
        </w:rPr>
        <w:t>210,148.21</w:t>
      </w:r>
      <w:r>
        <w:rPr/>
        <w:t>万元，较去年同期增长</w:t>
      </w:r>
      <w:r>
        <w:rPr>
          <w:rFonts w:ascii="宋体" w:hAnsi="宋体" w:cs="宋体" w:eastAsia="宋体" w:hint="default"/>
        </w:rPr>
        <w:t>46.89%</w:t>
      </w:r>
      <w:r>
        <w:rPr/>
        <w:t>；实现营业利润</w:t>
      </w:r>
      <w:r>
        <w:rPr>
          <w:rFonts w:ascii="宋体" w:hAnsi="宋体" w:cs="宋体" w:eastAsia="宋体" w:hint="default"/>
        </w:rPr>
        <w:t>35,619.45</w:t>
      </w:r>
      <w:r>
        <w:rPr/>
        <w:t>万元，</w:t>
      </w:r>
      <w:r>
        <w:rPr>
          <w:w w:val="100"/>
        </w:rPr>
        <w:t> </w:t>
      </w:r>
      <w:r>
        <w:rPr>
          <w:spacing w:val="-2"/>
        </w:rPr>
        <w:t>较去年同期增长</w:t>
      </w:r>
      <w:r>
        <w:rPr>
          <w:rFonts w:ascii="宋体" w:hAnsi="宋体" w:cs="宋体" w:eastAsia="宋体" w:hint="default"/>
          <w:spacing w:val="-2"/>
        </w:rPr>
        <w:t>104.44%</w:t>
      </w:r>
      <w:r>
        <w:rPr>
          <w:spacing w:val="-2"/>
        </w:rPr>
        <w:t>；实现净利润</w:t>
      </w:r>
      <w:r>
        <w:rPr>
          <w:rFonts w:ascii="宋体" w:hAnsi="宋体" w:cs="宋体" w:eastAsia="宋体" w:hint="default"/>
          <w:spacing w:val="-2"/>
        </w:rPr>
        <w:t>28,469.02</w:t>
      </w:r>
      <w:r>
        <w:rPr>
          <w:spacing w:val="-2"/>
        </w:rPr>
        <w:t>万元，较去年同期增长</w:t>
      </w:r>
      <w:r>
        <w:rPr>
          <w:rFonts w:ascii="宋体" w:hAnsi="宋体" w:cs="宋体" w:eastAsia="宋体" w:hint="default"/>
          <w:spacing w:val="-2"/>
        </w:rPr>
        <w:t>95.50%</w:t>
      </w:r>
      <w:r>
        <w:rPr>
          <w:spacing w:val="-2"/>
        </w:rPr>
        <w:t>；实现归属于上市公司的净</w:t>
      </w:r>
      <w:r>
        <w:rPr>
          <w:spacing w:val="-25"/>
        </w:rPr>
        <w:t> </w:t>
      </w:r>
      <w:r>
        <w:rPr>
          <w:spacing w:val="-25"/>
        </w:rPr>
      </w:r>
      <w:r>
        <w:rPr/>
        <w:t>利润</w:t>
      </w:r>
      <w:r>
        <w:rPr>
          <w:rFonts w:ascii="宋体" w:hAnsi="宋体" w:cs="宋体" w:eastAsia="宋体" w:hint="default"/>
        </w:rPr>
        <w:t>26,027.34</w:t>
      </w:r>
      <w:r>
        <w:rPr/>
        <w:t>万元，较去年同期增长</w:t>
      </w:r>
      <w:r>
        <w:rPr>
          <w:rFonts w:ascii="宋体" w:hAnsi="宋体" w:cs="宋体" w:eastAsia="宋体" w:hint="default"/>
        </w:rPr>
        <w:t>85.76%</w:t>
      </w:r>
      <w:r>
        <w:rPr/>
        <w:t>。</w:t>
      </w:r>
    </w:p>
    <w:p>
      <w:pPr>
        <w:spacing w:after="0" w:line="408" w:lineRule="auto"/>
        <w:jc w:val="both"/>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4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管理层讨论与分析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一、概述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65"/>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2,101,482,138.09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1,430,687,178.54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46.89%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2,083,263,431.08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1,418,739,299.51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46.84%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18,218,707.01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11,947,879.03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52.48%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2,056,364,518.57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1,413,478,836.20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98.80%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45,117,619.52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17,208,342.34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255,401,388.38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200,063,443.41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268,169,544.54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203,732,631.38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622,732,664.11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424,663,420.44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29.68%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46.64%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318,945,927.89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189,387,148.45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68.41%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156,873,360.04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103,155,157.87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273,471,157.06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185,888,362.19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47.12%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205,888,096.07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123,797,014.80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98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764" w:space="7156"/>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center"/>
              <w:rPr>
                <w:rFonts w:ascii="Times New Roman" w:hAnsi="Times New Roman" w:cs="Times New Roman" w:eastAsia="Times New Roman" w:hint="default"/>
                <w:sz w:val="18"/>
                <w:szCs w:val="18"/>
              </w:rPr>
            </w:pPr>
            <w:r>
              <w:rPr>
                <w:rFonts w:ascii="Times New Roman"/>
                <w:sz w:val="18"/>
              </w:rPr>
              <w:t>2,083,263,431.08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1,092,503,311.93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9" w:right="0"/>
              <w:jc w:val="left"/>
              <w:rPr>
                <w:rFonts w:ascii="Times New Roman" w:hAnsi="Times New Roman" w:cs="Times New Roman" w:eastAsia="Times New Roman" w:hint="default"/>
                <w:sz w:val="18"/>
                <w:szCs w:val="18"/>
              </w:rPr>
            </w:pPr>
            <w:r>
              <w:rPr>
                <w:rFonts w:ascii="Times New Roman"/>
                <w:sz w:val="18"/>
              </w:rPr>
              <w:t>47.56%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9" w:right="0"/>
              <w:jc w:val="left"/>
              <w:rPr>
                <w:rFonts w:ascii="Times New Roman" w:hAnsi="Times New Roman" w:cs="Times New Roman" w:eastAsia="Times New Roman" w:hint="default"/>
                <w:sz w:val="18"/>
                <w:szCs w:val="18"/>
              </w:rPr>
            </w:pPr>
            <w:r>
              <w:rPr>
                <w:rFonts w:ascii="Times New Roman"/>
                <w:sz w:val="18"/>
              </w:rPr>
              <w:t>46.84%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9" w:right="0"/>
              <w:jc w:val="left"/>
              <w:rPr>
                <w:rFonts w:ascii="Times New Roman" w:hAnsi="Times New Roman" w:cs="Times New Roman" w:eastAsia="Times New Roman" w:hint="default"/>
                <w:sz w:val="18"/>
                <w:szCs w:val="18"/>
              </w:rPr>
            </w:pPr>
            <w:r>
              <w:rPr>
                <w:rFonts w:ascii="Times New Roman"/>
                <w:sz w:val="18"/>
              </w:rPr>
              <w:t>47.90%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3" w:right="0"/>
              <w:jc w:val="lef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2,056,364,518.57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1,090,919,313.96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255,401,388.38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130,086,866.89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268,169,544.54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145,713,234.57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622,732,664.11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297,101,805.11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318,945,927.89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188,384,896.19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273,471,157.06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147,774,845.64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205,888,096.07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102,773,901.11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4"/>
        <w:rPr>
          <w:rFonts w:ascii="宋体" w:hAnsi="宋体" w:cs="宋体" w:eastAsia="宋体" w:hint="default"/>
          <w:sz w:val="5"/>
          <w:szCs w:val="5"/>
        </w:rPr>
      </w:pPr>
    </w:p>
    <w:p>
      <w:pPr>
        <w:pStyle w:val="BodyText"/>
        <w:spacing w:line="386" w:lineRule="auto" w:before="36"/>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980"/>
        </w:sectPr>
      </w:pPr>
    </w:p>
    <w:p>
      <w:pPr>
        <w:pStyle w:val="BodyText"/>
        <w:spacing w:line="240" w:lineRule="auto" w:before="36"/>
        <w:ind w:right="-9"/>
        <w:jc w:val="left"/>
      </w:pPr>
      <w:r>
        <w:rPr>
          <w:spacing w:val="-1"/>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627" w:space="7293"/>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377,601,774.83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255,086,698.26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48.03%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215,863,941.77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150,319,102.79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499,037,595.33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333,260,732.15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49.74%</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377,601,774.83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255,086,698.26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215,863,941.77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150,319,102.79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497,453,597.36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330,306,577.21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 是 □</w:t>
      </w:r>
      <w:r>
        <w:rPr>
          <w:spacing w:val="1"/>
        </w:rPr>
        <w:t> </w:t>
      </w:r>
      <w:r>
        <w:rPr/>
        <w:t>否</w:t>
      </w:r>
    </w:p>
    <w:p>
      <w:pPr>
        <w:pStyle w:val="BodyText"/>
        <w:spacing w:line="408" w:lineRule="auto" w:before="152"/>
        <w:ind w:right="146" w:firstLine="480"/>
        <w:jc w:val="both"/>
      </w:pPr>
      <w:r>
        <w:rPr>
          <w:spacing w:val="-3"/>
        </w:rPr>
        <w:t>证监许可</w:t>
      </w:r>
      <w:r>
        <w:rPr>
          <w:rFonts w:ascii="宋体" w:hAnsi="宋体" w:cs="宋体" w:eastAsia="宋体" w:hint="default"/>
          <w:spacing w:val="-3"/>
        </w:rPr>
        <w:t>[2015]1718</w:t>
      </w:r>
      <w:r>
        <w:rPr>
          <w:spacing w:val="-3"/>
        </w:rPr>
        <w:t>号核准本公司以全部资产及负债（包括或有负债）与天亿投资等</w:t>
      </w:r>
      <w:r>
        <w:rPr>
          <w:rFonts w:ascii="宋体" w:hAnsi="宋体" w:cs="宋体" w:eastAsia="宋体" w:hint="default"/>
          <w:spacing w:val="-3"/>
        </w:rPr>
        <w:t>24</w:t>
      </w:r>
      <w:r>
        <w:rPr>
          <w:spacing w:val="-3"/>
        </w:rPr>
        <w:t>家机构股东及</w:t>
      </w:r>
      <w:r>
        <w:rPr>
          <w:w w:val="100"/>
        </w:rPr>
        <w:t> </w:t>
      </w:r>
      <w:r>
        <w:rPr>
          <w:spacing w:val="-2"/>
        </w:rPr>
        <w:t>俞熔、徐可等</w:t>
      </w:r>
      <w:r>
        <w:rPr>
          <w:rFonts w:ascii="宋体" w:hAnsi="宋体" w:cs="宋体" w:eastAsia="宋体" w:hint="default"/>
          <w:spacing w:val="-2"/>
        </w:rPr>
        <w:t>79</w:t>
      </w:r>
      <w:r>
        <w:rPr>
          <w:spacing w:val="-2"/>
        </w:rPr>
        <w:t>名自然人股东持有的美年产业</w:t>
      </w:r>
      <w:r>
        <w:rPr>
          <w:rFonts w:ascii="宋体" w:hAnsi="宋体" w:cs="宋体" w:eastAsia="宋体" w:hint="default"/>
          <w:spacing w:val="-2"/>
        </w:rPr>
        <w:t>100%</w:t>
      </w:r>
      <w:r>
        <w:rPr>
          <w:spacing w:val="-2"/>
        </w:rPr>
        <w:t>股份中的等值部分进行置换，双方交易标的作价的差额</w:t>
      </w:r>
      <w:r>
        <w:rPr>
          <w:spacing w:val="-37"/>
        </w:rPr>
        <w:t> </w:t>
      </w:r>
      <w:r>
        <w:rPr>
          <w:spacing w:val="-37"/>
        </w:rPr>
      </w:r>
      <w:r>
        <w:rPr/>
        <w:t>部分由本公司依据美年产业全体股东各自持有的美年产业股份比例向其股东非公开发行股份购买。</w:t>
      </w:r>
    </w:p>
    <w:p>
      <w:pPr>
        <w:pStyle w:val="BodyText"/>
        <w:spacing w:line="408" w:lineRule="auto"/>
        <w:ind w:right="150" w:firstLine="480"/>
        <w:jc w:val="both"/>
      </w:pPr>
      <w:r>
        <w:rPr>
          <w:spacing w:val="16"/>
        </w:rPr>
        <w:t>本公司本次重大资产重组中涉及的注入资产为美年产业</w:t>
      </w:r>
      <w:r>
        <w:rPr>
          <w:spacing w:val="-59"/>
        </w:rPr>
        <w:t> </w:t>
      </w:r>
      <w:r>
        <w:rPr>
          <w:rFonts w:ascii="宋体" w:hAnsi="宋体" w:cs="宋体" w:eastAsia="宋体" w:hint="default"/>
          <w:spacing w:val="3"/>
        </w:rPr>
        <w:t>100%</w:t>
      </w:r>
      <w:r>
        <w:rPr>
          <w:spacing w:val="3"/>
        </w:rPr>
        <w:t>股</w:t>
      </w:r>
      <w:r>
        <w:rPr>
          <w:spacing w:val="-59"/>
        </w:rPr>
        <w:t> </w:t>
      </w:r>
      <w:r>
        <w:rPr>
          <w:spacing w:val="9"/>
        </w:rPr>
        <w:t>份，</w:t>
      </w:r>
      <w:r>
        <w:rPr>
          <w:spacing w:val="-59"/>
        </w:rPr>
        <w:t> </w:t>
      </w:r>
      <w:r>
        <w:rPr>
          <w:spacing w:val="15"/>
        </w:rPr>
        <w:t>本次注入资产成交金额为</w:t>
      </w:r>
      <w:r>
        <w:rPr>
          <w:w w:val="100"/>
        </w:rPr>
        <w:t> </w:t>
      </w:r>
      <w:r>
        <w:rPr>
          <w:rFonts w:ascii="宋体" w:hAnsi="宋体" w:cs="宋体" w:eastAsia="宋体" w:hint="default"/>
        </w:rPr>
        <w:t>554,270.06</w:t>
      </w:r>
      <w:r>
        <w:rPr/>
        <w:t>万元，本公司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日资产总额为</w:t>
      </w:r>
      <w:r>
        <w:rPr>
          <w:rFonts w:ascii="宋体" w:hAnsi="宋体" w:cs="宋体" w:eastAsia="宋体" w:hint="default"/>
        </w:rPr>
        <w:t>68,360.39</w:t>
      </w:r>
      <w:r>
        <w:rPr/>
        <w:t>万元，上市公司购买资产成交金额占控制</w:t>
      </w:r>
      <w:r>
        <w:rPr>
          <w:spacing w:val="-29"/>
        </w:rPr>
        <w:t> </w:t>
      </w:r>
      <w:r>
        <w:rPr>
          <w:spacing w:val="-29"/>
        </w:rPr>
      </w:r>
      <w:r>
        <w:rPr>
          <w:spacing w:val="2"/>
        </w:rPr>
        <w:t>权发生变更的前一个会计年度经审计的合并财务会计报告期末资产总额的比例超过</w:t>
      </w:r>
      <w:r>
        <w:rPr>
          <w:rFonts w:ascii="宋体" w:hAnsi="宋体" w:cs="宋体" w:eastAsia="宋体" w:hint="default"/>
          <w:spacing w:val="2"/>
        </w:rPr>
        <w:t>100%</w:t>
      </w:r>
      <w:r>
        <w:rPr>
          <w:spacing w:val="2"/>
        </w:rPr>
        <w:t>；本次交易完成</w:t>
      </w:r>
      <w:r>
        <w:rPr>
          <w:spacing w:val="-23"/>
        </w:rPr>
        <w:t> </w:t>
      </w:r>
      <w:r>
        <w:rPr>
          <w:spacing w:val="-23"/>
        </w:rPr>
      </w:r>
      <w:r>
        <w:rPr/>
        <w:t>后，本公司实际控制人变更为俞熔。按照《重组管理办法》第十三条的规定，本次交易构成借壳上市。</w:t>
      </w:r>
    </w:p>
    <w:p>
      <w:pPr>
        <w:pStyle w:val="BodyText"/>
        <w:spacing w:line="408" w:lineRule="auto"/>
        <w:ind w:right="146" w:firstLine="480"/>
        <w:jc w:val="both"/>
      </w:pPr>
      <w:r>
        <w:rPr>
          <w:spacing w:val="-4"/>
        </w:rPr>
        <w:t>本次交易后，本公司原有资产和负债置出，同时注入美年产业</w:t>
      </w:r>
      <w:r>
        <w:rPr>
          <w:rFonts w:ascii="宋体" w:hAnsi="宋体" w:cs="宋体" w:eastAsia="宋体" w:hint="default"/>
          <w:spacing w:val="-4"/>
        </w:rPr>
        <w:t>100%</w:t>
      </w:r>
      <w:r>
        <w:rPr>
          <w:spacing w:val="-4"/>
        </w:rPr>
        <w:t>股权，上市公司将延续注入资产原</w:t>
      </w:r>
      <w:r>
        <w:rPr>
          <w:w w:val="100"/>
        </w:rPr>
        <w:t> </w:t>
      </w:r>
      <w:r>
        <w:rPr>
          <w:spacing w:val="-2"/>
        </w:rPr>
        <w:t>有业务、管理和发展模式，由服装加工制造企业转变为健康体检服务企业，实现本公司主营业务的彻底转</w:t>
      </w:r>
      <w:r>
        <w:rPr>
          <w:spacing w:val="-43"/>
        </w:rPr>
        <w:t> </w:t>
      </w:r>
      <w:r>
        <w:rPr>
          <w:spacing w:val="-43"/>
        </w:rPr>
      </w:r>
      <w:r>
        <w:rPr/>
        <w:t>型。</w:t>
      </w:r>
    </w:p>
    <w:tbl>
      <w:tblPr>
        <w:tblW w:w="0" w:type="auto"/>
        <w:jc w:val="left"/>
        <w:tblInd w:w="534" w:type="dxa"/>
        <w:tblLayout w:type="fixed"/>
        <w:tblCellMar>
          <w:top w:w="0" w:type="dxa"/>
          <w:left w:w="0" w:type="dxa"/>
          <w:bottom w:w="0" w:type="dxa"/>
          <w:right w:w="0" w:type="dxa"/>
        </w:tblCellMar>
        <w:tblLook w:val="01E0"/>
      </w:tblPr>
      <w:tblGrid>
        <w:gridCol w:w="4126"/>
        <w:gridCol w:w="4537"/>
      </w:tblGrid>
      <w:tr>
        <w:trPr>
          <w:trHeight w:val="360"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变更原因</w:t>
            </w:r>
          </w:p>
        </w:tc>
      </w:tr>
      <w:tr>
        <w:trPr>
          <w:trHeight w:val="360"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深圳市鸿康杰科技有限公司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360"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江苏华康投资发展有限公司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360"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辽阳美年大健康管理有限公司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360"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洛阳美年大健康信息咨询有限公司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360"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上海美阳门诊部有限公司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投资新设</w:t>
            </w:r>
          </w:p>
        </w:tc>
      </w:tr>
      <w:tr>
        <w:trPr>
          <w:trHeight w:val="362" w:hRule="exact"/>
        </w:trPr>
        <w:tc>
          <w:tcPr>
            <w:tcW w:w="412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上海美鑫融资租赁有限公司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投资新设</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30"/>
          <w:szCs w:val="30"/>
        </w:rPr>
      </w:pPr>
    </w:p>
    <w:p>
      <w:pPr>
        <w:pStyle w:val="BodyText"/>
        <w:tabs>
          <w:tab w:pos="995" w:val="left" w:leader="none"/>
        </w:tabs>
        <w:spacing w:line="444" w:lineRule="auto" w:before="0"/>
        <w:ind w:left="633" w:right="146" w:hanging="481"/>
        <w:jc w:val="left"/>
      </w:pPr>
      <w:r>
        <w:rPr/>
        <w:t>√适用</w:t>
        <w:tab/>
        <w:t>□不适用</w:t>
      </w:r>
      <w:r>
        <w:rPr>
          <w:w w:val="100"/>
        </w:rPr>
        <w:t> </w:t>
      </w:r>
      <w:r>
        <w:rPr>
          <w:spacing w:val="-3"/>
        </w:rPr>
        <w:t>证监许可</w:t>
      </w:r>
      <w:r>
        <w:rPr>
          <w:rFonts w:ascii="宋体" w:hAnsi="宋体" w:cs="宋体" w:eastAsia="宋体" w:hint="default"/>
          <w:spacing w:val="-3"/>
        </w:rPr>
        <w:t>[2015]1718</w:t>
      </w:r>
      <w:r>
        <w:rPr>
          <w:spacing w:val="-3"/>
        </w:rPr>
        <w:t>号核准本公司以全部资产及负债（包括或有负债）与天亿投资等</w:t>
      </w:r>
      <w:r>
        <w:rPr>
          <w:rFonts w:ascii="宋体" w:hAnsi="宋体" w:cs="宋体" w:eastAsia="宋体" w:hint="default"/>
          <w:spacing w:val="-3"/>
        </w:rPr>
        <w:t>24</w:t>
      </w:r>
      <w:r>
        <w:rPr>
          <w:spacing w:val="-3"/>
        </w:rPr>
        <w:t>家机构股东及</w:t>
      </w:r>
    </w:p>
    <w:p>
      <w:pPr>
        <w:pStyle w:val="BodyText"/>
        <w:spacing w:line="408" w:lineRule="auto" w:before="14"/>
        <w:ind w:right="0"/>
        <w:jc w:val="left"/>
      </w:pPr>
      <w:r>
        <w:rPr>
          <w:spacing w:val="-2"/>
        </w:rPr>
        <w:t>俞熔、徐可等</w:t>
      </w:r>
      <w:r>
        <w:rPr>
          <w:rFonts w:ascii="宋体" w:hAnsi="宋体" w:cs="宋体" w:eastAsia="宋体" w:hint="default"/>
          <w:spacing w:val="-2"/>
        </w:rPr>
        <w:t>79</w:t>
      </w:r>
      <w:r>
        <w:rPr>
          <w:spacing w:val="-2"/>
        </w:rPr>
        <w:t>名自然人股东持有的美年产业</w:t>
      </w:r>
      <w:r>
        <w:rPr>
          <w:rFonts w:ascii="宋体" w:hAnsi="宋体" w:cs="宋体" w:eastAsia="宋体" w:hint="default"/>
          <w:spacing w:val="-2"/>
        </w:rPr>
        <w:t>100%</w:t>
      </w:r>
      <w:r>
        <w:rPr>
          <w:spacing w:val="-2"/>
        </w:rPr>
        <w:t>股份中的等值部分进行置换，双方交易标的作价的差额</w:t>
      </w:r>
      <w:r>
        <w:rPr>
          <w:spacing w:val="-37"/>
        </w:rPr>
        <w:t> </w:t>
      </w:r>
      <w:r>
        <w:rPr>
          <w:spacing w:val="-37"/>
        </w:rPr>
      </w:r>
      <w:r>
        <w:rPr/>
        <w:t>部分由本公司依据美年产业全体股东各自持有的美年产业股份比例向其股东非公开发行股份购买。</w:t>
      </w:r>
    </w:p>
    <w:p>
      <w:pPr>
        <w:pStyle w:val="BodyText"/>
        <w:spacing w:line="408" w:lineRule="auto"/>
        <w:ind w:right="150" w:firstLine="480"/>
        <w:jc w:val="both"/>
      </w:pPr>
      <w:r>
        <w:rPr>
          <w:spacing w:val="16"/>
        </w:rPr>
        <w:t>本公司本次重大资产重组中涉及的注入资产为美年产业</w:t>
      </w:r>
      <w:r>
        <w:rPr>
          <w:spacing w:val="-59"/>
        </w:rPr>
        <w:t> </w:t>
      </w:r>
      <w:r>
        <w:rPr>
          <w:rFonts w:ascii="宋体" w:hAnsi="宋体" w:cs="宋体" w:eastAsia="宋体" w:hint="default"/>
          <w:spacing w:val="3"/>
        </w:rPr>
        <w:t>100%</w:t>
      </w:r>
      <w:r>
        <w:rPr>
          <w:spacing w:val="3"/>
        </w:rPr>
        <w:t>股</w:t>
      </w:r>
      <w:r>
        <w:rPr>
          <w:spacing w:val="-59"/>
        </w:rPr>
        <w:t> </w:t>
      </w:r>
      <w:r>
        <w:rPr>
          <w:spacing w:val="9"/>
        </w:rPr>
        <w:t>份，</w:t>
      </w:r>
      <w:r>
        <w:rPr>
          <w:spacing w:val="-59"/>
        </w:rPr>
        <w:t> </w:t>
      </w:r>
      <w:r>
        <w:rPr>
          <w:spacing w:val="15"/>
        </w:rPr>
        <w:t>本次注入资产成交金额为</w:t>
      </w:r>
      <w:r>
        <w:rPr>
          <w:w w:val="100"/>
        </w:rPr>
        <w:t> </w:t>
      </w:r>
      <w:r>
        <w:rPr>
          <w:rFonts w:ascii="宋体" w:hAnsi="宋体" w:cs="宋体" w:eastAsia="宋体" w:hint="default"/>
        </w:rPr>
        <w:t>554,270.06</w:t>
      </w:r>
      <w:r>
        <w:rPr/>
        <w:t>万元，本公司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日资产总额为</w:t>
      </w:r>
      <w:r>
        <w:rPr>
          <w:rFonts w:ascii="宋体" w:hAnsi="宋体" w:cs="宋体" w:eastAsia="宋体" w:hint="default"/>
        </w:rPr>
        <w:t>68,360.39</w:t>
      </w:r>
      <w:r>
        <w:rPr/>
        <w:t>万元，上市公司购买资产成交金额占控制</w:t>
      </w:r>
      <w:r>
        <w:rPr>
          <w:spacing w:val="-29"/>
        </w:rPr>
        <w:t> </w:t>
      </w:r>
      <w:r>
        <w:rPr>
          <w:spacing w:val="-29"/>
        </w:rPr>
      </w:r>
      <w:r>
        <w:rPr>
          <w:spacing w:val="2"/>
        </w:rPr>
        <w:t>权发生变更的前一个会计年度经审计的合并财务会计报告期末资产总额的比例超过</w:t>
      </w:r>
      <w:r>
        <w:rPr>
          <w:rFonts w:ascii="宋体" w:hAnsi="宋体" w:cs="宋体" w:eastAsia="宋体" w:hint="default"/>
          <w:spacing w:val="2"/>
        </w:rPr>
        <w:t>100%</w:t>
      </w:r>
      <w:r>
        <w:rPr>
          <w:spacing w:val="2"/>
        </w:rPr>
        <w:t>；本次交易完成</w:t>
      </w:r>
      <w:r>
        <w:rPr>
          <w:spacing w:val="-23"/>
        </w:rPr>
        <w:t> </w:t>
      </w:r>
      <w:r>
        <w:rPr>
          <w:spacing w:val="-23"/>
        </w:rPr>
      </w:r>
      <w:r>
        <w:rPr/>
        <w:t>后，本公司实际控制人变更为俞熔。按照《重组管理办法》第十三条的规定，本次交易构成借壳上市。</w:t>
      </w:r>
    </w:p>
    <w:p>
      <w:pPr>
        <w:pStyle w:val="BodyText"/>
        <w:spacing w:line="240" w:lineRule="auto"/>
        <w:ind w:left="633" w:right="0"/>
        <w:jc w:val="left"/>
      </w:pPr>
      <w:r>
        <w:rPr>
          <w:spacing w:val="-4"/>
        </w:rPr>
        <w:t>本次交易后，本公司原有资产和负债置出，同时注入美年产业</w:t>
      </w:r>
      <w:r>
        <w:rPr>
          <w:rFonts w:ascii="宋体" w:hAnsi="宋体" w:cs="宋体" w:eastAsia="宋体" w:hint="default"/>
          <w:spacing w:val="-4"/>
        </w:rPr>
        <w:t>100%</w:t>
      </w:r>
      <w:r>
        <w:rPr>
          <w:spacing w:val="-4"/>
        </w:rPr>
        <w:t>股权，上市公司将延续注入资产原</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有业务、管理和发展模式，由服装加工制造企业转变为健康体检服务企业，实现本公司主营业务的彻底转</w:t>
      </w:r>
      <w:r>
        <w:rPr>
          <w:spacing w:val="-43"/>
        </w:rPr>
        <w:t> </w:t>
      </w:r>
      <w:r>
        <w:rPr>
          <w:spacing w:val="-43"/>
        </w:rPr>
      </w:r>
      <w:r>
        <w:rPr/>
        <w:t>型。</w:t>
      </w:r>
    </w:p>
    <w:p>
      <w:pPr>
        <w:spacing w:line="240" w:lineRule="auto" w:before="8"/>
        <w:rPr>
          <w:rFonts w:ascii="宋体" w:hAnsi="宋体" w:cs="宋体" w:eastAsia="宋体" w:hint="default"/>
          <w:sz w:val="20"/>
          <w:szCs w:val="20"/>
        </w:rPr>
      </w:pPr>
    </w:p>
    <w:p>
      <w:pPr>
        <w:spacing w:line="571" w:lineRule="auto" w:before="0"/>
        <w:ind w:left="152" w:right="4344" w:firstLine="0"/>
        <w:jc w:val="left"/>
        <w:rPr>
          <w:rFonts w:ascii="宋体" w:hAnsi="宋体" w:cs="宋体" w:eastAsia="宋体" w:hint="default"/>
          <w:sz w:val="21"/>
          <w:szCs w:val="21"/>
        </w:rPr>
      </w:pPr>
      <w:r>
        <w:rPr/>
        <w:pict>
          <v:shape style="position:absolute;margin-left:56.459999pt;margin-top:56.663692pt;width:479.2pt;height:4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134,412,363.91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r>
                </w:tbl>
                <w:p>
                  <w:pPr/>
                </w:p>
              </w:txbxContent>
            </v:textbox>
            <w10:wrap type="none"/>
          </v:shape>
        </w:pict>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36"/>
        <w:ind w:right="0"/>
        <w:jc w:val="left"/>
      </w:pPr>
      <w:r>
        <w:rPr/>
        <w:t>公司前</w:t>
      </w:r>
      <w:r>
        <w:rPr>
          <w:spacing w:val="-52"/>
        </w:rPr>
        <w:t> </w:t>
      </w:r>
      <w:r>
        <w:rPr>
          <w:rFonts w:ascii="宋体" w:hAnsi="宋体" w:cs="宋体" w:eastAsia="宋体" w:hint="default"/>
        </w:rPr>
        <w:t>5</w:t>
      </w:r>
      <w:r>
        <w:rPr>
          <w:rFonts w:ascii="宋体" w:hAnsi="宋体" w:cs="宋体" w:eastAsia="宋体" w:hint="default"/>
          <w:spacing w:val="-53"/>
        </w:rPr>
        <w:t> </w:t>
      </w:r>
      <w:r>
        <w:rPr/>
        <w:t>大客户资料</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79,604,155.18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27,855,853.28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16,311,877.79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5,660,837.06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4,979,640.60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134,412,363.91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w:t>
            </w:r>
          </w:p>
        </w:tc>
      </w:tr>
    </w:tbl>
    <w:p>
      <w:pPr>
        <w:spacing w:line="240" w:lineRule="auto" w:before="4"/>
        <w:rPr>
          <w:rFonts w:ascii="宋体" w:hAnsi="宋体" w:cs="宋体" w:eastAsia="宋体" w:hint="default"/>
          <w:sz w:val="5"/>
          <w:szCs w:val="5"/>
        </w:rPr>
      </w:pPr>
    </w:p>
    <w:p>
      <w:pPr>
        <w:pStyle w:val="BodyText"/>
        <w:spacing w:line="240" w:lineRule="auto" w:before="36"/>
        <w:ind w:right="0"/>
        <w:jc w:val="left"/>
      </w:pPr>
      <w:r>
        <w:rPr/>
        <w:t>主要客户其他情况说明</w:t>
      </w:r>
    </w:p>
    <w:p>
      <w:pPr>
        <w:spacing w:line="240" w:lineRule="auto" w:before="12"/>
        <w:rPr>
          <w:rFonts w:ascii="宋体" w:hAnsi="宋体" w:cs="宋体" w:eastAsia="宋体" w:hint="default"/>
          <w:sz w:val="17"/>
          <w:szCs w:val="17"/>
        </w:rPr>
      </w:pPr>
    </w:p>
    <w:p>
      <w:pPr>
        <w:pStyle w:val="BodyText"/>
        <w:spacing w:line="441" w:lineRule="auto" w:before="0"/>
        <w:ind w:left="573" w:right="0" w:hanging="421"/>
        <w:jc w:val="left"/>
      </w:pPr>
      <w:r>
        <w:rPr/>
        <w:t>√ 适用 □ 不适用</w:t>
      </w:r>
      <w:r>
        <w:rPr>
          <w:spacing w:val="-104"/>
        </w:rPr>
        <w:t> </w:t>
      </w:r>
      <w:r>
        <w:rPr>
          <w:spacing w:val="-104"/>
        </w:rPr>
      </w:r>
      <w:r>
        <w:rPr>
          <w:spacing w:val="-2"/>
        </w:rPr>
        <w:t>客户一、客户二、客户三、客户五属于合并列示。公司不存在向单个客户的销售比例超过总额的</w:t>
      </w:r>
      <w:r>
        <w:rPr>
          <w:rFonts w:ascii="宋体" w:hAnsi="宋体" w:cs="宋体" w:eastAsia="宋体" w:hint="default"/>
          <w:spacing w:val="-2"/>
        </w:rPr>
        <w:t>5%</w:t>
      </w:r>
      <w:r>
        <w:rPr>
          <w:spacing w:val="-2"/>
        </w:rPr>
        <w:t>或</w:t>
      </w:r>
    </w:p>
    <w:p>
      <w:pPr>
        <w:pStyle w:val="BodyText"/>
        <w:spacing w:line="427" w:lineRule="auto" w:before="16"/>
        <w:ind w:right="0"/>
        <w:jc w:val="left"/>
      </w:pPr>
      <w:r>
        <w:rPr>
          <w:spacing w:val="-2"/>
        </w:rPr>
        <w:t>严重依赖于少数客户的情况，且受同一实际控制人控制的客户已合并计算。公司董事、监事、高级管理人</w:t>
      </w:r>
      <w:r>
        <w:rPr>
          <w:spacing w:val="-47"/>
        </w:rPr>
        <w:t> </w:t>
      </w:r>
      <w:r>
        <w:rPr>
          <w:spacing w:val="-47"/>
        </w:rPr>
      </w:r>
      <w:r>
        <w:rPr/>
        <w:t>员和其他核心技术人员、主要关联方及持有公司</w:t>
      </w:r>
      <w:r>
        <w:rPr>
          <w:rFonts w:ascii="宋体" w:hAnsi="宋体" w:cs="宋体" w:eastAsia="宋体" w:hint="default"/>
        </w:rPr>
        <w:t>5%</w:t>
      </w:r>
      <w:r>
        <w:rPr/>
        <w:t>以上股份的股东在主要客户中未拥有权益。</w:t>
      </w:r>
      <w:r>
        <w:rPr>
          <w:w w:val="100"/>
        </w:rPr>
        <w:t> </w:t>
      </w:r>
      <w:r>
        <w:rPr/>
        <w:t>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143,569,940.13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28.72%</w:t>
            </w:r>
          </w:p>
        </w:tc>
      </w:tr>
    </w:tbl>
    <w:p>
      <w:pPr>
        <w:spacing w:line="240" w:lineRule="auto" w:before="9"/>
        <w:rPr>
          <w:rFonts w:ascii="宋体" w:hAnsi="宋体" w:cs="宋体" w:eastAsia="宋体" w:hint="default"/>
          <w:sz w:val="5"/>
          <w:szCs w:val="5"/>
        </w:rPr>
      </w:pPr>
    </w:p>
    <w:p>
      <w:pPr>
        <w:pStyle w:val="BodyText"/>
        <w:spacing w:line="240" w:lineRule="auto" w:before="36"/>
        <w:ind w:right="0"/>
        <w:jc w:val="left"/>
      </w:pPr>
      <w:r>
        <w:rPr/>
        <w:t>公司前</w:t>
      </w:r>
      <w:r>
        <w:rPr>
          <w:spacing w:val="-53"/>
        </w:rPr>
        <w:t> </w:t>
      </w:r>
      <w:r>
        <w:rPr>
          <w:rFonts w:ascii="宋体" w:hAnsi="宋体" w:cs="宋体" w:eastAsia="宋体" w:hint="default"/>
        </w:rPr>
        <w:t>5</w:t>
      </w:r>
      <w:r>
        <w:rPr>
          <w:rFonts w:ascii="宋体" w:hAnsi="宋体" w:cs="宋体" w:eastAsia="宋体" w:hint="default"/>
          <w:spacing w:val="-54"/>
        </w:rPr>
        <w:t> </w:t>
      </w:r>
      <w:r>
        <w:rPr/>
        <w:t>名供应商资料</w:t>
      </w:r>
    </w:p>
    <w:p>
      <w:pPr>
        <w:spacing w:line="240" w:lineRule="auto" w:before="10"/>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32,141,916.00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24,563,643.00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21,554,381.13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143,569,940.13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主要供应商其他情况说明</w:t>
      </w:r>
    </w:p>
    <w:p>
      <w:pPr>
        <w:spacing w:line="240" w:lineRule="auto" w:before="12"/>
        <w:rPr>
          <w:rFonts w:ascii="宋体" w:hAnsi="宋体" w:cs="宋体" w:eastAsia="宋体" w:hint="default"/>
          <w:sz w:val="17"/>
          <w:szCs w:val="17"/>
        </w:rPr>
      </w:pPr>
    </w:p>
    <w:p>
      <w:pPr>
        <w:pStyle w:val="BodyText"/>
        <w:spacing w:line="441" w:lineRule="auto" w:before="0"/>
        <w:ind w:left="573" w:right="0" w:hanging="421"/>
        <w:jc w:val="left"/>
      </w:pPr>
      <w:r>
        <w:rPr/>
        <w:t>√ 适用 □ 不适用</w:t>
      </w:r>
      <w:r>
        <w:rPr>
          <w:spacing w:val="-104"/>
        </w:rPr>
        <w:t> </w:t>
      </w:r>
      <w:r>
        <w:rPr>
          <w:spacing w:val="-104"/>
        </w:rPr>
      </w:r>
      <w:r>
        <w:rPr>
          <w:spacing w:val="-2"/>
        </w:rPr>
        <w:t>公司不存在向单个供应商的采购比例超过总额的</w:t>
      </w:r>
      <w:r>
        <w:rPr>
          <w:rFonts w:ascii="宋体" w:hAnsi="宋体" w:cs="宋体" w:eastAsia="宋体" w:hint="default"/>
          <w:spacing w:val="-2"/>
        </w:rPr>
        <w:t>30%</w:t>
      </w:r>
      <w:r>
        <w:rPr>
          <w:spacing w:val="-2"/>
        </w:rPr>
        <w:t>或严重依赖于少数供应商的情况，且受同一实际</w:t>
      </w:r>
    </w:p>
    <w:p>
      <w:pPr>
        <w:pStyle w:val="BodyText"/>
        <w:spacing w:line="408" w:lineRule="auto" w:before="16"/>
        <w:ind w:right="0"/>
        <w:jc w:val="left"/>
      </w:pPr>
      <w:r>
        <w:rPr>
          <w:spacing w:val="-2"/>
        </w:rPr>
        <w:t>控制人控制的供应商已合并计算。公司董事、监事、高级管理人员和其他核心技术人员、主要关联方及持</w:t>
      </w:r>
      <w:r>
        <w:rPr>
          <w:spacing w:val="-47"/>
        </w:rPr>
        <w:t> </w:t>
      </w:r>
      <w:r>
        <w:rPr>
          <w:spacing w:val="-47"/>
        </w:rPr>
      </w:r>
      <w:r>
        <w:rPr/>
        <w:t>有公司</w:t>
      </w:r>
      <w:r>
        <w:rPr>
          <w:rFonts w:ascii="宋体" w:hAnsi="宋体" w:cs="宋体" w:eastAsia="宋体" w:hint="default"/>
        </w:rPr>
        <w:t>5%</w:t>
      </w:r>
      <w:r>
        <w:rPr/>
        <w:t>以上股份的股东在主要供应商中未拥有权益。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483,963,720.39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339,777,839.09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42.44%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报告期内营业收入增长，相应的销售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费用增加所致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195,338,730.59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179,840,253.78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19,881,250.48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7,123,170.06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179.11%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报告期内银行融资规模增加所致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30"/>
          <w:szCs w:val="30"/>
        </w:rPr>
      </w:pPr>
    </w:p>
    <w:p>
      <w:pPr>
        <w:pStyle w:val="BodyText"/>
        <w:spacing w:line="444" w:lineRule="auto" w:before="0"/>
        <w:ind w:right="1587"/>
        <w:jc w:val="left"/>
      </w:pPr>
      <w:r>
        <w:rPr/>
        <w:t>√ 适用 □ 不适用</w:t>
      </w:r>
      <w:r>
        <w:rPr>
          <w:spacing w:val="-104"/>
        </w:rPr>
        <w:t> </w:t>
      </w:r>
      <w:r>
        <w:rPr>
          <w:spacing w:val="-104"/>
        </w:rPr>
      </w:r>
      <w:r>
        <w:rPr>
          <w:spacing w:val="-2"/>
        </w:rPr>
        <w:t>报告期内，公司研发费用支出总额为</w:t>
      </w:r>
      <w:r>
        <w:rPr>
          <w:rFonts w:ascii="宋体" w:hAnsi="宋体" w:cs="宋体" w:eastAsia="宋体" w:hint="default"/>
          <w:spacing w:val="-2"/>
        </w:rPr>
        <w:t>253.77</w:t>
      </w:r>
      <w:r>
        <w:rPr>
          <w:spacing w:val="-2"/>
        </w:rPr>
        <w:t>万元，占比较上年增加</w:t>
      </w:r>
      <w:r>
        <w:rPr>
          <w:rFonts w:ascii="宋体" w:hAnsi="宋体" w:cs="宋体" w:eastAsia="宋体" w:hint="default"/>
          <w:spacing w:val="-2"/>
        </w:rPr>
        <w:t>10.67</w:t>
      </w:r>
      <w:r>
        <w:rPr>
          <w:spacing w:val="-2"/>
        </w:rPr>
        <w:t>万元。</w:t>
      </w:r>
      <w:r>
        <w:rPr>
          <w:spacing w:val="-36"/>
        </w:rPr>
        <w:t> </w:t>
      </w:r>
      <w:r>
        <w:rPr/>
        <w:t>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2,537,732.06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2,430,997.71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4.39%</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7"/>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94"/>
        <w:ind w:right="0"/>
        <w:jc w:val="left"/>
      </w:pPr>
      <w:r>
        <w:rPr/>
        <w:t>研发投入总额占营业收入的比重较上年发生显著变化的原因</w:t>
      </w:r>
    </w:p>
    <w:p>
      <w:pPr>
        <w:spacing w:line="240" w:lineRule="auto" w:before="9"/>
        <w:rPr>
          <w:rFonts w:ascii="宋体" w:hAnsi="宋体" w:cs="宋体" w:eastAsia="宋体" w:hint="default"/>
          <w:sz w:val="17"/>
          <w:szCs w:val="17"/>
        </w:rPr>
      </w:pPr>
    </w:p>
    <w:p>
      <w:pPr>
        <w:pStyle w:val="BodyText"/>
        <w:spacing w:line="444" w:lineRule="auto" w:before="0"/>
        <w:ind w:right="4344"/>
        <w:jc w:val="left"/>
      </w:pPr>
      <w:r>
        <w:rPr/>
        <w:t>□ 适用 √ 不适用</w:t>
      </w:r>
      <w:r>
        <w:rPr>
          <w:spacing w:val="-104"/>
        </w:rPr>
        <w:t> </w:t>
      </w:r>
      <w:r>
        <w:rPr>
          <w:spacing w:val="-104"/>
        </w:rPr>
      </w:r>
      <w:r>
        <w:rPr>
          <w:spacing w:val="-2"/>
        </w:rPr>
        <w:t>研发投入资本化率大幅变动的原因及其合理性说明</w:t>
      </w:r>
    </w:p>
    <w:p>
      <w:pPr>
        <w:pStyle w:val="BodyText"/>
        <w:spacing w:line="240" w:lineRule="auto" w:before="56"/>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2,064,303,295.73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1,438,906,879.21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43.46%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1,734,463,893.65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1,231,485,589.80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329,839,402.08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207,421,289.41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59.02%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1,688,947.32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6,691,421.49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1,570,643,217.41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321,173,544.92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-1,568,954,270.09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-314,482,123.43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398.90%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2,109,909,988.90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463,620,001.00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342,740,337.77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66,663,762.34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1,767,169,651.13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396,956,238.66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345.18%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528,054,837.36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289,895,407.84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82.15%</w:t>
            </w:r>
          </w:p>
        </w:tc>
      </w:tr>
    </w:tbl>
    <w:p>
      <w:pPr>
        <w:spacing w:line="240" w:lineRule="auto" w:before="4"/>
        <w:rPr>
          <w:rFonts w:ascii="宋体" w:hAnsi="宋体" w:cs="宋体" w:eastAsia="宋体" w:hint="default"/>
          <w:sz w:val="5"/>
          <w:szCs w:val="5"/>
        </w:rPr>
      </w:pPr>
    </w:p>
    <w:p>
      <w:pPr>
        <w:pStyle w:val="BodyText"/>
        <w:spacing w:line="240" w:lineRule="auto" w:before="36"/>
        <w:ind w:right="0"/>
        <w:jc w:val="left"/>
      </w:pPr>
      <w:r>
        <w:rPr/>
        <w:t>相关数据同比发生重大变动的主要影响因素说明</w:t>
      </w:r>
    </w:p>
    <w:p>
      <w:pPr>
        <w:spacing w:line="240" w:lineRule="auto" w:before="9"/>
        <w:rPr>
          <w:rFonts w:ascii="宋体" w:hAnsi="宋体" w:cs="宋体" w:eastAsia="宋体" w:hint="default"/>
          <w:sz w:val="17"/>
          <w:szCs w:val="17"/>
        </w:rPr>
      </w:pPr>
    </w:p>
    <w:p>
      <w:pPr>
        <w:pStyle w:val="BodyText"/>
        <w:spacing w:line="444" w:lineRule="auto" w:before="0"/>
        <w:ind w:left="575" w:right="0" w:hanging="423"/>
        <w:jc w:val="left"/>
      </w:pPr>
      <w:r>
        <w:rPr/>
        <w:t>√ 适用 □ 不适用</w:t>
      </w:r>
      <w:r>
        <w:rPr>
          <w:spacing w:val="-104"/>
        </w:rPr>
        <w:t> </w:t>
      </w:r>
      <w:r>
        <w:rPr>
          <w:spacing w:val="-104"/>
        </w:rPr>
      </w:r>
      <w:r>
        <w:rPr>
          <w:spacing w:val="-2"/>
        </w:rPr>
        <w:t>本报告期内经营活动现金流入增加</w:t>
      </w:r>
      <w:r>
        <w:rPr>
          <w:rFonts w:ascii="宋体" w:hAnsi="宋体" w:cs="宋体" w:eastAsia="宋体" w:hint="default"/>
          <w:spacing w:val="-2"/>
        </w:rPr>
        <w:t>43.46%</w:t>
      </w:r>
      <w:r>
        <w:rPr>
          <w:spacing w:val="-2"/>
        </w:rPr>
        <w:t>，主要是随着营业收入的增长相应的销售回款额增加所致；</w:t>
      </w:r>
    </w:p>
    <w:p>
      <w:pPr>
        <w:pStyle w:val="BodyText"/>
        <w:spacing w:line="408" w:lineRule="auto" w:before="14"/>
        <w:ind w:right="0"/>
        <w:jc w:val="left"/>
      </w:pPr>
      <w:r>
        <w:rPr>
          <w:spacing w:val="-2"/>
        </w:rPr>
        <w:t>经营活动现金流出增加</w:t>
      </w:r>
      <w:r>
        <w:rPr>
          <w:rFonts w:ascii="宋体" w:hAnsi="宋体" w:cs="宋体" w:eastAsia="宋体" w:hint="default"/>
          <w:spacing w:val="-2"/>
        </w:rPr>
        <w:t>40.84%</w:t>
      </w:r>
      <w:r>
        <w:rPr>
          <w:spacing w:val="-2"/>
        </w:rPr>
        <w:t>，主要是体检中心数量增加及销售规模的增长，相应的营业成本增加所致；</w:t>
      </w:r>
      <w:r>
        <w:rPr>
          <w:spacing w:val="-19"/>
        </w:rPr>
        <w:t> </w:t>
      </w:r>
      <w:r>
        <w:rPr>
          <w:spacing w:val="-19"/>
        </w:rPr>
      </w:r>
      <w:r>
        <w:rPr>
          <w:spacing w:val="-2"/>
        </w:rPr>
        <w:t>经营活动产生的现金流量净额增加</w:t>
      </w:r>
      <w:r>
        <w:rPr>
          <w:rFonts w:ascii="宋体" w:hAnsi="宋体" w:cs="宋体" w:eastAsia="宋体" w:hint="default"/>
          <w:spacing w:val="-2"/>
        </w:rPr>
        <w:t>59.02%</w:t>
      </w:r>
      <w:r>
        <w:rPr>
          <w:spacing w:val="-2"/>
        </w:rPr>
        <w:t>，主要是随着营业规模增长，相应销售回款额的增加幅度超过营</w:t>
      </w:r>
      <w:r>
        <w:rPr>
          <w:spacing w:val="-37"/>
        </w:rPr>
        <w:t> </w:t>
      </w:r>
      <w:r>
        <w:rPr>
          <w:spacing w:val="-37"/>
        </w:rPr>
      </w:r>
      <w:r>
        <w:rPr>
          <w:spacing w:val="-2"/>
        </w:rPr>
        <w:t>业成本现金支出幅度所致；投资活动现金流入减少</w:t>
      </w:r>
      <w:r>
        <w:rPr>
          <w:rFonts w:ascii="宋体" w:hAnsi="宋体" w:cs="宋体" w:eastAsia="宋体" w:hint="default"/>
          <w:spacing w:val="-2"/>
        </w:rPr>
        <w:t>74.76%</w:t>
      </w:r>
      <w:r>
        <w:rPr>
          <w:spacing w:val="-2"/>
        </w:rPr>
        <w:t>主要是本期无处置投资业务所致；投资活动现金</w:t>
      </w:r>
      <w:r>
        <w:rPr>
          <w:spacing w:val="-41"/>
        </w:rPr>
        <w:t> </w:t>
      </w:r>
      <w:r>
        <w:rPr>
          <w:spacing w:val="-41"/>
        </w:rPr>
      </w:r>
      <w:r>
        <w:rPr/>
        <w:t>流出增加</w:t>
      </w:r>
      <w:r>
        <w:rPr>
          <w:rFonts w:ascii="宋体" w:hAnsi="宋体" w:cs="宋体" w:eastAsia="宋体" w:hint="default"/>
        </w:rPr>
        <w:t>389.03%</w:t>
      </w:r>
      <w:r>
        <w:rPr/>
        <w:t>主要是一方面投资慈铭体检，以参股方式拓展新的市场；另一方面随着新建体检中心的</w:t>
      </w:r>
      <w:r>
        <w:rPr>
          <w:w w:val="100"/>
        </w:rPr>
        <w:t> </w:t>
      </w:r>
      <w:r>
        <w:rPr/>
        <w:t>增加，设备采购、装修支出增加所致；筹资活动现金流入增加</w:t>
      </w:r>
      <w:r>
        <w:rPr>
          <w:rFonts w:ascii="宋体" w:hAnsi="宋体" w:cs="宋体" w:eastAsia="宋体" w:hint="default"/>
        </w:rPr>
        <w:t>355.09%</w:t>
      </w:r>
      <w:r>
        <w:rPr/>
        <w:t>，主要是股东增资及发行新股配套</w:t>
      </w:r>
      <w:r>
        <w:rPr>
          <w:w w:val="100"/>
        </w:rPr>
        <w:t> </w:t>
      </w:r>
      <w:r>
        <w:rPr/>
        <w:t>募集资金增加所致；筹资活动现金流出增加</w:t>
      </w:r>
      <w:r>
        <w:rPr>
          <w:rFonts w:ascii="宋体" w:hAnsi="宋体" w:cs="宋体" w:eastAsia="宋体" w:hint="default"/>
        </w:rPr>
        <w:t>414.13%</w:t>
      </w:r>
      <w:r>
        <w:rPr/>
        <w:t>主要是偿还银行借款金额增加所致；现金及现金等价</w:t>
      </w:r>
      <w:r>
        <w:rPr>
          <w:w w:val="100"/>
        </w:rPr>
        <w:t> </w:t>
      </w:r>
      <w:r>
        <w:rPr>
          <w:spacing w:val="-2"/>
        </w:rPr>
        <w:t>物净增加额增加</w:t>
      </w:r>
      <w:r>
        <w:rPr>
          <w:rFonts w:ascii="宋体" w:hAnsi="宋体" w:cs="宋体" w:eastAsia="宋体" w:hint="default"/>
          <w:spacing w:val="-2"/>
        </w:rPr>
        <w:t>82.15%</w:t>
      </w:r>
      <w:r>
        <w:rPr>
          <w:spacing w:val="-2"/>
        </w:rPr>
        <w:t>，主要是经营活动产生的现金流量净额增加和筹资活动产生的现金流量净额增加的</w:t>
      </w:r>
      <w:r>
        <w:rPr>
          <w:spacing w:val="-37"/>
        </w:rPr>
        <w:t> </w:t>
      </w:r>
      <w:r>
        <w:rPr>
          <w:spacing w:val="-37"/>
        </w:rPr>
      </w:r>
      <w:r>
        <w:rPr/>
        <w:t>幅度超过投资活动产生的现金净流出的幅度。</w:t>
      </w:r>
    </w:p>
    <w:p>
      <w:pPr>
        <w:pStyle w:val="BodyText"/>
        <w:spacing w:line="240" w:lineRule="auto" w:before="87"/>
        <w:ind w:left="573" w:right="0"/>
        <w:jc w:val="left"/>
      </w:pPr>
      <w:r>
        <w:rPr/>
        <w:t>报告期内公司经营活动产生的现金净流量与本年度净利润存在重大差异的原因说明。</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53,570,772.77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14.93%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主要是报告期内多次交易分 步实现的企业合并按照公允 价值确认的收益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91" w:right="0"/>
              <w:jc w:val="left"/>
              <w:rPr>
                <w:rFonts w:ascii="Times New Roman" w:hAnsi="Times New Roman" w:cs="Times New Roman" w:eastAsia="Times New Roman" w:hint="default"/>
                <w:sz w:val="18"/>
                <w:szCs w:val="18"/>
              </w:rPr>
            </w:pPr>
            <w:r>
              <w:rPr>
                <w:rFonts w:ascii="Times New Roman"/>
                <w:sz w:val="18"/>
              </w:rPr>
              <w:t>-31,438.30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-0.01%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本报告期处置持有的基金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2,015,855.42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根据公司会计政策计提资产 减值准备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1,652,435.75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主要是公司自公司从事的软 件产品收入享受增值税即征 即退</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 </w:t>
            </w:r>
            <w:r>
              <w:rPr>
                <w:rFonts w:ascii="宋体" w:hAnsi="宋体" w:cs="宋体" w:eastAsia="宋体" w:hint="default"/>
                <w:spacing w:val="-11"/>
                <w:sz w:val="18"/>
                <w:szCs w:val="18"/>
              </w:rPr>
              <w:t>，税收优惠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424,442.64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主要是报告期子公司处置非 流动资产产生的损失等</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78"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1,105,736,784.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24.68%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577,386,076.94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27.12%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-2.44%</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货币资金较上年增长</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91.51%</w:t>
            </w:r>
            <w:r>
              <w:rPr>
                <w:rFonts w:ascii="宋体" w:hAnsi="宋体" w:cs="宋体" w:eastAsia="宋体" w:hint="default"/>
                <w:spacing w:val="-8"/>
                <w:sz w:val="18"/>
                <w:szCs w:val="18"/>
              </w:rPr>
              <w:t>，主要是</w:t>
            </w:r>
            <w:r>
              <w:rPr>
                <w:rFonts w:ascii="宋体" w:hAnsi="宋体" w:cs="宋体" w:eastAsia="宋体" w:hint="default"/>
                <w:sz w:val="18"/>
                <w:szCs w:val="18"/>
              </w:rPr>
              <w:t> 随着公司体检业务及体检中心数量 </w:t>
            </w:r>
            <w:r>
              <w:rPr>
                <w:rFonts w:ascii="宋体" w:hAnsi="宋体" w:cs="宋体" w:eastAsia="宋体" w:hint="default"/>
                <w:spacing w:val="-2"/>
                <w:sz w:val="18"/>
                <w:szCs w:val="18"/>
              </w:rPr>
              <w:t>的增长、货款回笼增加所致；发行新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2170"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537,576,765.7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78" w:right="0"/>
              <w:jc w:val="left"/>
              <w:rPr>
                <w:rFonts w:ascii="Times New Roman" w:hAnsi="Times New Roman" w:cs="Times New Roman" w:eastAsia="Times New Roman" w:hint="default"/>
                <w:sz w:val="18"/>
                <w:szCs w:val="18"/>
              </w:rPr>
            </w:pPr>
            <w:r>
              <w:rPr>
                <w:rFonts w:ascii="Times New Roman"/>
                <w:sz w:val="18"/>
              </w:rPr>
              <w:t>12.00%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8" w:right="0"/>
              <w:jc w:val="left"/>
              <w:rPr>
                <w:rFonts w:ascii="Times New Roman" w:hAnsi="Times New Roman" w:cs="Times New Roman" w:eastAsia="Times New Roman" w:hint="default"/>
                <w:sz w:val="18"/>
                <w:szCs w:val="18"/>
              </w:rPr>
            </w:pPr>
            <w:r>
              <w:rPr>
                <w:rFonts w:ascii="Times New Roman"/>
                <w:sz w:val="18"/>
              </w:rPr>
              <w:t>328,159,133.59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15.41%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40" w:right="0"/>
              <w:jc w:val="left"/>
              <w:rPr>
                <w:rFonts w:ascii="Times New Roman" w:hAnsi="Times New Roman" w:cs="Times New Roman" w:eastAsia="Times New Roman" w:hint="default"/>
                <w:sz w:val="18"/>
                <w:szCs w:val="18"/>
              </w:rPr>
            </w:pPr>
            <w:r>
              <w:rPr>
                <w:rFonts w:ascii="Times New Roman"/>
                <w:sz w:val="18"/>
              </w:rPr>
              <w:t>-3.41%</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收入确认与账款回收存在一定的时 </w:t>
            </w:r>
            <w:r>
              <w:rPr>
                <w:rFonts w:ascii="宋体" w:hAnsi="宋体" w:cs="宋体" w:eastAsia="宋体" w:hint="default"/>
                <w:spacing w:val="-2"/>
                <w:sz w:val="18"/>
                <w:szCs w:val="18"/>
              </w:rPr>
              <w:t>间差，由于每年的第四季度是体检行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业的业务高峰期，而当年第四季度所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确认的收入会在次年一季度回款，因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此导致年末应收账款金额较高；</w:t>
            </w:r>
            <w:r>
              <w:rPr>
                <w:rFonts w:ascii="Times New Roman" w:hAnsi="Times New Roman" w:cs="Times New Roman" w:eastAsia="Times New Roman" w:hint="default"/>
                <w:sz w:val="18"/>
                <w:szCs w:val="18"/>
              </w:rPr>
              <w:t>2.</w:t>
            </w:r>
            <w:r>
              <w:rPr>
                <w:rFonts w:ascii="宋体" w:hAnsi="宋体" w:cs="宋体" w:eastAsia="宋体" w:hint="default"/>
                <w:sz w:val="18"/>
                <w:szCs w:val="18"/>
              </w:rPr>
              <w:t>本 年度美年大健康进一步加大体检中 心的开设力度，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 增体检中心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余家。由于体检服务 </w:t>
            </w:r>
            <w:r>
              <w:rPr>
                <w:rFonts w:ascii="宋体" w:hAnsi="宋体" w:cs="宋体" w:eastAsia="宋体" w:hint="default"/>
                <w:spacing w:val="-2"/>
                <w:sz w:val="18"/>
                <w:szCs w:val="18"/>
              </w:rPr>
              <w:t>行业存在季节性因素，收入高峰集中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在每年的第四季度，因此新建的体检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中心一般会在每年第三季度结束前 </w:t>
            </w:r>
            <w:r>
              <w:rPr>
                <w:rFonts w:ascii="宋体" w:hAnsi="宋体" w:cs="宋体" w:eastAsia="宋体" w:hint="default"/>
                <w:spacing w:val="-2"/>
                <w:sz w:val="18"/>
                <w:szCs w:val="18"/>
              </w:rPr>
              <w:t>开始对外营业。对于这些体检中心而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言，当年第四季度形成的应收款项在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年末尚未结算，因此导致期末应收账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款金额较高。</w:t>
            </w:r>
            <w:r>
              <w:rPr>
                <w:rFonts w:ascii="Times New Roman" w:hAnsi="Times New Roman" w:cs="Times New Roman" w:eastAsia="Times New Roman" w:hint="default"/>
                <w:sz w:val="18"/>
                <w:szCs w:val="18"/>
              </w:rPr>
              <w:t>3.</w:t>
            </w:r>
            <w:r>
              <w:rPr>
                <w:rFonts w:ascii="宋体" w:hAnsi="宋体" w:cs="宋体" w:eastAsia="宋体" w:hint="default"/>
                <w:sz w:val="18"/>
                <w:szCs w:val="18"/>
              </w:rPr>
              <w:t>随着公司体检中心数</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2170"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44"/>
        <w:ind w:left="0" w:right="168" w:firstLine="0"/>
        <w:jc w:val="right"/>
        <w:rPr>
          <w:rFonts w:ascii="宋体" w:hAnsi="宋体" w:cs="宋体" w:eastAsia="宋体" w:hint="default"/>
          <w:sz w:val="18"/>
          <w:szCs w:val="18"/>
        </w:rPr>
      </w:pPr>
      <w:r>
        <w:rPr/>
        <w:pict>
          <v:shape style="position:absolute;margin-left:56.459999pt;margin-top:-70.108307pt;width:479.2pt;height:420.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量的增加，销售规模呈现大幅度增长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势头，导致应收账款也同比增加。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24,659,185.92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14,589,006.98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公司规模扩大所致。</w:t>
                        </w:r>
                      </w:p>
                    </w:tc>
                  </w:tr>
                  <w:tr>
                    <w:trPr>
                      <w:trHeight w:val="29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39,954,303.87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137,161,122.89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6.44%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-5.55%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日收购深圳鸿 康杰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的股权，取得成本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此次购买及增资后本公司对其持股 增至</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84.00%</w:t>
                        </w:r>
                        <w:r>
                          <w:rPr>
                            <w:rFonts w:ascii="宋体" w:hAnsi="宋体" w:cs="宋体" w:eastAsia="宋体" w:hint="default"/>
                            <w:spacing w:val="-5"/>
                            <w:sz w:val="18"/>
                            <w:szCs w:val="18"/>
                          </w:rPr>
                          <w:t>，达到控制，纳入合并范</w:t>
                        </w:r>
                        <w:r>
                          <w:rPr>
                            <w:rFonts w:ascii="宋体" w:hAnsi="宋体" w:cs="宋体" w:eastAsia="宋体" w:hint="default"/>
                            <w:sz w:val="18"/>
                            <w:szCs w:val="18"/>
                          </w:rPr>
                          <w:t> </w:t>
                        </w:r>
                        <w:r>
                          <w:rPr>
                            <w:rFonts w:ascii="宋体" w:hAnsi="宋体" w:cs="宋体" w:eastAsia="宋体" w:hint="default"/>
                            <w:spacing w:val="-2"/>
                            <w:sz w:val="18"/>
                            <w:szCs w:val="18"/>
                          </w:rPr>
                          <w:t>围；以及本期新增投资海南美年大健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康医院有限公司、泰安市凯尔健康体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检管理有限公司、烟台福田健康体检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管理有限公司、伊犁美年大健康管理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w:t>
                        </w:r>
                      </w:p>
                    </w:tc>
                  </w:tr>
                  <w:tr>
                    <w:trPr>
                      <w:trHeight w:val="227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624,270,621.2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425,967,115.63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主要是：</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公司不断扩大经营规模，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年较</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年新增</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余家体检中 </w:t>
                        </w:r>
                        <w:r>
                          <w:rPr>
                            <w:rFonts w:ascii="宋体" w:hAnsi="宋体" w:cs="宋体" w:eastAsia="宋体" w:hint="default"/>
                            <w:spacing w:val="-2"/>
                            <w:sz w:val="18"/>
                            <w:szCs w:val="18"/>
                          </w:rPr>
                          <w:t>心，体检中心数量的增加导致所需要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的体检设备也相应增加；</w:t>
                        </w:r>
                        <w:r>
                          <w:rPr>
                            <w:rFonts w:ascii="Times New Roman" w:hAnsi="Times New Roman" w:cs="Times New Roman" w:eastAsia="Times New Roman" w:hint="default"/>
                            <w:sz w:val="18"/>
                            <w:szCs w:val="18"/>
                          </w:rPr>
                          <w:t>2.</w:t>
                        </w:r>
                        <w:r>
                          <w:rPr>
                            <w:rFonts w:ascii="宋体" w:hAnsi="宋体" w:cs="宋体" w:eastAsia="宋体" w:hint="default"/>
                            <w:sz w:val="18"/>
                            <w:szCs w:val="18"/>
                          </w:rPr>
                          <w:t>为了更好 </w:t>
                        </w:r>
                        <w:r>
                          <w:rPr>
                            <w:rFonts w:ascii="宋体" w:hAnsi="宋体" w:cs="宋体" w:eastAsia="宋体" w:hint="default"/>
                            <w:spacing w:val="-2"/>
                            <w:sz w:val="18"/>
                            <w:szCs w:val="18"/>
                          </w:rPr>
                          <w:t>地向顾客提供更全面的体检服务，部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分门店采购了一些高端医疗诊断设 备，如超导核磁设备和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设备。</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64,095,829.43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75,397,407.39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期末公司在各地筹建的体检中心规 模较上年末有所减少。</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随着公司体检中心网点的不断布局， 短期资金需求上升，因此通过银行借 款方式满足自身资金需求。</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86,379,900.00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4,490,909.15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报告期内银行融资规模增加所致。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7"/>
        <w:gridCol w:w="1229"/>
        <w:gridCol w:w="1210"/>
        <w:gridCol w:w="1212"/>
        <w:gridCol w:w="1208"/>
        <w:gridCol w:w="1218"/>
        <w:gridCol w:w="1213"/>
        <w:gridCol w:w="1075"/>
      </w:tblGrid>
      <w:tr>
        <w:trPr>
          <w:trHeight w:val="161"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229"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6"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0"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7" w:type="dxa"/>
            <w:vMerge w:val="restart"/>
            <w:tcBorders>
              <w:top w:val="nil" w:sz="6" w:space="0" w:color="auto"/>
              <w:left w:val="single" w:sz="4" w:space="0" w:color="000000"/>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2"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131,438.30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131,702.22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131,438.30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131,702.22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8"/>
        <w:gridCol w:w="1212"/>
        <w:gridCol w:w="1215"/>
        <w:gridCol w:w="1212"/>
        <w:gridCol w:w="1215"/>
        <w:gridCol w:w="1212"/>
        <w:gridCol w:w="1213"/>
        <w:gridCol w:w="1075"/>
      </w:tblGrid>
      <w:tr>
        <w:trPr>
          <w:trHeight w:val="401"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131,438.30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7" w:right="0"/>
              <w:jc w:val="left"/>
              <w:rPr>
                <w:rFonts w:ascii="Times New Roman" w:hAnsi="Times New Roman" w:cs="Times New Roman" w:eastAsia="Times New Roman" w:hint="default"/>
                <w:sz w:val="18"/>
                <w:szCs w:val="18"/>
              </w:rPr>
            </w:pPr>
            <w:r>
              <w:rPr>
                <w:rFonts w:ascii="Times New Roman"/>
                <w:sz w:val="18"/>
              </w:rPr>
              <w:t>263.92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131,702.22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7,377,942,325.09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468,904,000.00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1,473.44%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6"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667"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美年大 健康产 业（集 团）有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健康体 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99,415.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发行股 份购买 资产</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3" w:right="45"/>
              <w:jc w:val="left"/>
              <w:rPr>
                <w:rFonts w:ascii="宋体" w:hAnsi="宋体" w:cs="宋体" w:eastAsia="宋体" w:hint="default"/>
                <w:sz w:val="18"/>
                <w:szCs w:val="18"/>
              </w:rPr>
            </w:pPr>
            <w:r>
              <w:rPr>
                <w:rFonts w:ascii="宋体" w:hAnsi="宋体" w:cs="宋体" w:eastAsia="宋体" w:hint="default"/>
                <w:sz w:val="18"/>
                <w:szCs w:val="18"/>
              </w:rPr>
              <w:t>医疗服 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3" w:right="194"/>
              <w:jc w:val="left"/>
              <w:rPr>
                <w:rFonts w:ascii="宋体" w:hAnsi="宋体" w:cs="宋体" w:eastAsia="宋体" w:hint="default"/>
                <w:sz w:val="18"/>
                <w:szCs w:val="18"/>
              </w:rPr>
            </w:pPr>
            <w:r>
              <w:rPr>
                <w:rFonts w:ascii="宋体" w:hAnsi="宋体" w:cs="宋体" w:eastAsia="宋体" w:hint="default"/>
                <w:sz w:val="18"/>
                <w:szCs w:val="18"/>
              </w:rPr>
              <w:t>完成 收购</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270,594,</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789.50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详见巨 潮资讯 网于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p>
          <w:p>
            <w:pPr>
              <w:pStyle w:val="TableParagraph"/>
              <w:spacing w:line="316" w:lineRule="auto" w:before="63"/>
              <w:ind w:left="24" w:right="91"/>
              <w:jc w:val="both"/>
              <w:rPr>
                <w:rFonts w:ascii="宋体" w:hAnsi="宋体" w:cs="宋体" w:eastAsia="宋体" w:hint="default"/>
                <w:sz w:val="18"/>
                <w:szCs w:val="18"/>
              </w:rPr>
            </w:pPr>
            <w:r>
              <w:rPr>
                <w:rFonts w:ascii="宋体" w:hAnsi="宋体" w:cs="宋体" w:eastAsia="宋体" w:hint="default"/>
                <w:sz w:val="18"/>
                <w:szCs w:val="18"/>
              </w:rPr>
              <w:t>日披露 的《重 大资产 置换及 发行股 份购买 资产并 募集配 套资金 暨关联 交易报 告书</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（草</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77.609985pt;margin-top:436.869995pt;width:30.25pt;height:326.7pt;mso-position-horizontal-relative:page;mso-position-vertical-relative:page;z-index:-1401568" coordorigin="5552,8737" coordsize="605,6534">
            <v:shape style="position:absolute;left:5552;top:8737;width:605;height:6534" coordorigin="5552,8737" coordsize="605,6534" path="m5552,15271l6157,15271,6157,8737,5552,8737,5552,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363"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3468"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慈铭健 康体检 管理集 团有限 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健康体 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27.78%</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鹰潭健 之康业 投资咨 询有限 公司、 北京鼎 晖创业 投资中 心（有 限合 </w:t>
            </w:r>
            <w:r>
              <w:rPr>
                <w:rFonts w:ascii="宋体" w:hAnsi="宋体" w:cs="宋体" w:eastAsia="宋体" w:hint="default"/>
                <w:spacing w:val="-40"/>
                <w:sz w:val="18"/>
                <w:szCs w:val="18"/>
              </w:rPr>
              <w:t>伙）、深</w:t>
            </w:r>
            <w:r>
              <w:rPr>
                <w:rFonts w:ascii="宋体" w:hAnsi="宋体" w:cs="宋体" w:eastAsia="宋体" w:hint="default"/>
                <w:sz w:val="18"/>
                <w:szCs w:val="18"/>
              </w:rPr>
              <w:t> 圳市天 图兴瑞 创业投 资有限 公司、 王强、 天津鼎 晖股权 投资一 期基金</w:t>
            </w:r>
          </w:p>
          <w:p>
            <w:pPr>
              <w:pStyle w:val="TableParagraph"/>
              <w:spacing w:line="316" w:lineRule="auto" w:before="19"/>
              <w:ind w:left="24" w:right="-46"/>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李昭、 北京东 胜康业 投资咨 询有限 公司、 韩小 红、天 津宝鼎 投资中 心（有 限合 </w:t>
            </w:r>
            <w:r>
              <w:rPr>
                <w:rFonts w:ascii="宋体" w:hAnsi="宋体" w:cs="宋体" w:eastAsia="宋体" w:hint="default"/>
                <w:spacing w:val="-40"/>
                <w:sz w:val="18"/>
                <w:szCs w:val="18"/>
              </w:rPr>
              <w:t>伙）、张</w:t>
            </w:r>
            <w:r>
              <w:rPr>
                <w:rFonts w:ascii="宋体" w:hAnsi="宋体" w:cs="宋体" w:eastAsia="宋体" w:hint="default"/>
                <w:sz w:val="18"/>
                <w:szCs w:val="18"/>
              </w:rPr>
              <w:t> 伟、天 津鼎晖 元博股 权投资 基金</w:t>
            </w:r>
          </w:p>
          <w:p>
            <w:pPr>
              <w:pStyle w:val="TableParagraph"/>
              <w:spacing w:line="316" w:lineRule="auto" w:before="19"/>
              <w:ind w:left="24" w:right="-46"/>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45"/>
              <w:jc w:val="left"/>
              <w:rPr>
                <w:rFonts w:ascii="宋体" w:hAnsi="宋体" w:cs="宋体" w:eastAsia="宋体" w:hint="default"/>
                <w:sz w:val="18"/>
                <w:szCs w:val="18"/>
              </w:rPr>
            </w:pPr>
            <w:r>
              <w:rPr>
                <w:rFonts w:ascii="宋体" w:hAnsi="宋体" w:cs="宋体" w:eastAsia="宋体" w:hint="default"/>
                <w:sz w:val="18"/>
                <w:szCs w:val="18"/>
              </w:rPr>
              <w:t>医疗服 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194"/>
              <w:jc w:val="left"/>
              <w:rPr>
                <w:rFonts w:ascii="宋体" w:hAnsi="宋体" w:cs="宋体" w:eastAsia="宋体" w:hint="default"/>
                <w:sz w:val="18"/>
                <w:szCs w:val="18"/>
              </w:rPr>
            </w:pPr>
            <w:r>
              <w:rPr>
                <w:rFonts w:ascii="宋体" w:hAnsi="宋体" w:cs="宋体" w:eastAsia="宋体" w:hint="default"/>
                <w:sz w:val="18"/>
                <w:szCs w:val="18"/>
              </w:rPr>
              <w:t>完成 收购</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详见巨 潮资讯 网于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p>
          <w:p>
            <w:pPr>
              <w:pStyle w:val="TableParagraph"/>
              <w:spacing w:line="316" w:lineRule="auto" w:before="63"/>
              <w:ind w:left="24" w:right="91"/>
              <w:jc w:val="both"/>
              <w:rPr>
                <w:rFonts w:ascii="宋体" w:hAnsi="宋体" w:cs="宋体" w:eastAsia="宋体" w:hint="default"/>
                <w:sz w:val="18"/>
                <w:szCs w:val="18"/>
              </w:rPr>
            </w:pPr>
            <w:r>
              <w:rPr>
                <w:rFonts w:ascii="宋体" w:hAnsi="宋体" w:cs="宋体" w:eastAsia="宋体" w:hint="default"/>
                <w:sz w:val="18"/>
                <w:szCs w:val="18"/>
              </w:rPr>
              <w:t>日披露 的《重 大资产 置换及 发行股 份购买 资产并 募集配 套资金 暨关联 交易报 告书</w:t>
            </w:r>
          </w:p>
          <w:p>
            <w:pPr>
              <w:pStyle w:val="TableParagraph"/>
              <w:spacing w:line="319" w:lineRule="auto" w:before="19"/>
              <w:ind w:left="24" w:right="182"/>
              <w:jc w:val="left"/>
              <w:rPr>
                <w:rFonts w:ascii="宋体" w:hAnsi="宋体" w:cs="宋体" w:eastAsia="宋体" w:hint="default"/>
                <w:sz w:val="18"/>
                <w:szCs w:val="18"/>
              </w:rPr>
            </w:pPr>
            <w:r>
              <w:rPr>
                <w:rFonts w:ascii="宋体" w:hAnsi="宋体" w:cs="宋体" w:eastAsia="宋体" w:hint="default"/>
                <w:sz w:val="18"/>
                <w:szCs w:val="18"/>
              </w:rPr>
              <w:t>（草 </w:t>
            </w:r>
            <w:r>
              <w:rPr>
                <w:rFonts w:ascii="宋体" w:hAnsi="宋体" w:cs="宋体" w:eastAsia="宋体" w:hint="default"/>
                <w:spacing w:val="-31"/>
                <w:sz w:val="18"/>
                <w:szCs w:val="18"/>
              </w:rPr>
              <w:t>案）》</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5979"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王再 可、北 京中技 富坤创 业投资 中心</w:t>
            </w:r>
          </w:p>
          <w:p>
            <w:pPr>
              <w:pStyle w:val="TableParagraph"/>
              <w:spacing w:line="319" w:lineRule="auto" w:before="19"/>
              <w:ind w:left="24" w:right="-46"/>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李世 海、重 庆富坤 创业投 资中心</w:t>
            </w:r>
          </w:p>
          <w:p>
            <w:pPr>
              <w:pStyle w:val="TableParagraph"/>
              <w:spacing w:line="316" w:lineRule="auto" w:before="17"/>
              <w:ind w:left="24" w:right="-46"/>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深圳一 德集团 有限公 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596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30.25pt;height:298.5pt;mso-position-horizontal-relative:char;mso-position-vertical-relative:line" coordorigin="0,0" coordsize="605,5970">
                  <v:group style="position:absolute;left:0;top:0;width:605;height:5970" coordorigin="0,0" coordsize="605,5970">
                    <v:shape style="position:absolute;left:0;top:0;width:605;height:5970" coordorigin="0,0" coordsize="605,5970" path="m0,5970l605,5970,605,0,0,0,0,5970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0"/>
              <w:jc w:val="both"/>
              <w:rPr>
                <w:rFonts w:ascii="宋体" w:hAnsi="宋体" w:cs="宋体" w:eastAsia="宋体" w:hint="default"/>
                <w:sz w:val="18"/>
                <w:szCs w:val="18"/>
              </w:rPr>
            </w:pPr>
            <w:r>
              <w:rPr>
                <w:rFonts w:ascii="宋体" w:hAnsi="宋体" w:cs="宋体" w:eastAsia="宋体" w:hint="default"/>
                <w:sz w:val="18"/>
                <w:szCs w:val="18"/>
              </w:rPr>
              <w:t>深圳市 鸿康杰 科技有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74"/>
              <w:jc w:val="left"/>
              <w:rPr>
                <w:rFonts w:ascii="宋体" w:hAnsi="宋体" w:cs="宋体" w:eastAsia="宋体" w:hint="default"/>
                <w:sz w:val="18"/>
                <w:szCs w:val="18"/>
              </w:rPr>
            </w:pPr>
            <w:r>
              <w:rPr>
                <w:rFonts w:ascii="宋体" w:hAnsi="宋体" w:cs="宋体" w:eastAsia="宋体" w:hint="default"/>
                <w:sz w:val="18"/>
                <w:szCs w:val="18"/>
              </w:rPr>
              <w:t>健康体 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7,984.0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6" w:right="0"/>
              <w:jc w:val="center"/>
              <w:rPr>
                <w:rFonts w:ascii="Times New Roman" w:hAnsi="Times New Roman" w:cs="Times New Roman" w:eastAsia="Times New Roman" w:hint="default"/>
                <w:sz w:val="18"/>
                <w:szCs w:val="18"/>
              </w:rPr>
            </w:pPr>
            <w:r>
              <w:rPr>
                <w:rFonts w:ascii="Times New Roman"/>
                <w:sz w:val="18"/>
              </w:rPr>
              <w:t>35.00%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朱玉华</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45"/>
              <w:jc w:val="left"/>
              <w:rPr>
                <w:rFonts w:ascii="宋体" w:hAnsi="宋体" w:cs="宋体" w:eastAsia="宋体" w:hint="default"/>
                <w:sz w:val="18"/>
                <w:szCs w:val="18"/>
              </w:rPr>
            </w:pPr>
            <w:r>
              <w:rPr>
                <w:rFonts w:ascii="宋体" w:hAnsi="宋体" w:cs="宋体" w:eastAsia="宋体" w:hint="default"/>
                <w:sz w:val="18"/>
                <w:szCs w:val="18"/>
              </w:rPr>
              <w:t>医疗服 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94"/>
              <w:jc w:val="left"/>
              <w:rPr>
                <w:rFonts w:ascii="宋体" w:hAnsi="宋体" w:cs="宋体" w:eastAsia="宋体" w:hint="default"/>
                <w:sz w:val="18"/>
                <w:szCs w:val="18"/>
              </w:rPr>
            </w:pPr>
            <w:r>
              <w:rPr>
                <w:rFonts w:ascii="宋体" w:hAnsi="宋体" w:cs="宋体" w:eastAsia="宋体" w:hint="default"/>
                <w:sz w:val="18"/>
                <w:szCs w:val="18"/>
              </w:rPr>
              <w:t>完成 收购</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11,495,0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50.03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282,089,</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839.53</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3"/>
        <w:spacing w:line="240" w:lineRule="auto" w:before="153"/>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3"/>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31,438.30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131,702.22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31,702.22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263.92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31,438.30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131,702.22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31,702.22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3"/>
        <w:spacing w:line="240" w:lineRule="auto" w:before="152"/>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3"/>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34,641.32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34,611.32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公司除对 尚未使用 的募集资 金进行现 金管理外 暂未确定 其它用途 及去向。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160" w:lineRule="exact"/>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18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34,641.32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w w:val="95"/>
                <w:sz w:val="18"/>
              </w:rPr>
              <w:t>34,611.32</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年度募集资金存放与实际使用情况，公司审计机构瑞华会计师事务所（特殊普通合伙）出具了</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年度《美年 </w:t>
            </w:r>
            <w:r>
              <w:rPr>
                <w:rFonts w:ascii="宋体" w:hAnsi="宋体" w:cs="宋体" w:eastAsia="宋体" w:hint="default"/>
                <w:spacing w:val="-2"/>
                <w:sz w:val="18"/>
                <w:szCs w:val="18"/>
              </w:rPr>
              <w:t>大健康产业控股股份有限公司募集资金年度存放与实际使用情况的鉴证报告》，公司董事会出具了《关于募集资金年度存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放与实际使用情况专项报告》，具体内容请见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日公司刊登于巨潮资讯网上的相关公告。</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98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2" w:space="6799"/>
            <w:col w:w="1209"/>
          </w:cols>
        </w:sectPr>
      </w:pPr>
    </w:p>
    <w:p>
      <w:pPr>
        <w:spacing w:line="240" w:lineRule="auto" w:before="4"/>
        <w:rPr>
          <w:rFonts w:ascii="宋体" w:hAnsi="宋体" w:cs="宋体" w:eastAsia="宋体" w:hint="default"/>
          <w:sz w:val="8"/>
          <w:szCs w:val="8"/>
        </w:rPr>
      </w:pPr>
      <w:r>
        <w:rPr/>
        <w:pict>
          <v:group style="position:absolute;margin-left:491.73999pt;margin-top:336.169983pt;width:43pt;height:74.8pt;mso-position-horizontal-relative:page;mso-position-vertical-relative:page;z-index:-1401520" coordorigin="9835,6723" coordsize="860,1496">
            <v:group style="position:absolute;left:9847;top:6735;width:2;height:392" coordorigin="9847,6735" coordsize="2,392">
              <v:shape style="position:absolute;left:9847;top:6735;width:2;height:392" coordorigin="9847,6735" coordsize="0,392" path="m9847,6735l9847,7127e" filled="false" stroked="true" strokeweight="1.2pt" strokecolor="#ffffff">
                <v:path arrowok="t"/>
              </v:shape>
            </v:group>
            <v:group style="position:absolute;left:9835;top:7127;width:860;height:1093" coordorigin="9835,7127" coordsize="860,1093">
              <v:shape style="position:absolute;left:9835;top:7127;width:860;height:1093" coordorigin="9835,7127" coordsize="860,1093" path="m9835,8219l10694,8219,10694,7127,9835,7127,9835,8219xe" filled="true" fillcolor="#ffffff" stroked="false">
                <v:path arrowok="t"/>
                <v:fill type="solid"/>
              </v:shape>
            </v:group>
            <v:group style="position:absolute;left:9859;top:6735;width:814;height:392" coordorigin="9859,6735" coordsize="814,392">
              <v:shape style="position:absolute;left:9859;top:6735;width:814;height:392" coordorigin="9859,6735" coordsize="814,392" path="m9859,7127l10672,7127,10672,6735,9859,6735,9859,712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医疗服务管理信息化 系统建设项目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产业并购项目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4"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3"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日召开第六届董事会第二次会议，审议通过了《关于公司使用部分闲置募集资金暂</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根据公司募集资金投资项目实施计划</w:t>
            </w:r>
            <w:r>
              <w:rPr>
                <w:rFonts w:ascii="宋体" w:hAnsi="宋体" w:cs="宋体" w:eastAsia="宋体" w:hint="default"/>
                <w:spacing w:val="-44"/>
                <w:sz w:val="18"/>
                <w:szCs w:val="18"/>
              </w:rPr>
              <w:t>，</w:t>
            </w:r>
            <w:r>
              <w:rPr>
                <w:rFonts w:ascii="宋体" w:hAnsi="宋体" w:cs="宋体" w:eastAsia="宋体" w:hint="default"/>
                <w:sz w:val="18"/>
                <w:szCs w:val="18"/>
              </w:rPr>
              <w:t>预计公司在未来</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将会有部</w:t>
            </w:r>
          </w:p>
          <w:p>
            <w:pPr>
              <w:pStyle w:val="TableParagraph"/>
              <w:spacing w:line="309"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分募集资金闲置。根据公司对项目进度的分析测算，预计闲置募集资金约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亿元。鉴于公司从事的</w:t>
            </w:r>
            <w:r>
              <w:rPr>
                <w:rFonts w:ascii="宋体" w:hAnsi="宋体" w:cs="宋体" w:eastAsia="宋体" w:hint="default"/>
                <w:sz w:val="18"/>
                <w:szCs w:val="18"/>
              </w:rPr>
              <w:t> 健康体检业务处于快速发展期，所需流动资金量较大，本着股东利益最大化的原则，为提高募集资 金的使用效率，降低公司财务费用，在保证募集资金投资项目的资金需求前提下，公司拟将部分闲 置募集配套资金 </w:t>
            </w:r>
            <w:r>
              <w:rPr>
                <w:rFonts w:ascii="Times New Roman" w:hAnsi="Times New Roman" w:cs="Times New Roman" w:eastAsia="Times New Roman" w:hint="default"/>
                <w:sz w:val="18"/>
                <w:szCs w:val="18"/>
              </w:rPr>
              <w:t>1.75 </w:t>
            </w:r>
            <w:r>
              <w:rPr>
                <w:rFonts w:ascii="宋体" w:hAnsi="宋体" w:cs="宋体" w:eastAsia="宋体" w:hint="default"/>
                <w:sz w:val="18"/>
                <w:szCs w:val="18"/>
              </w:rPr>
              <w:t>亿元（不超过募集资金净额的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）的闲置募集资金暂时补充公司及其子公 司流动资金，使用期限不超过十二个月，到期将以自有资金归还至公司募集资金专用账户。</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tcBorders>
              <w:left w:val="single" w:sz="10" w:space="0" w:color="D2D2D2"/>
              <w:right w:val="single" w:sz="4" w:space="0" w:color="000000"/>
            </w:tcBorders>
          </w:tcPr>
          <w:p>
            <w:pPr/>
          </w:p>
        </w:tc>
      </w:tr>
      <w:tr>
        <w:trPr>
          <w:trHeight w:val="98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4"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公司除对尚未使用的募集资金进行现金管理外，暂未确定其它用途及去向。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公司报告期不存在募集资金变更项目情况。</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383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3" w:right="41"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34" w:right="41"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4"/>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45" w:right="38"/>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19"/>
              <w:ind w:left="45" w:right="41" w:hanging="164"/>
              <w:jc w:val="both"/>
              <w:rPr>
                <w:rFonts w:ascii="宋体" w:hAnsi="宋体" w:cs="宋体" w:eastAsia="宋体" w:hint="default"/>
                <w:sz w:val="18"/>
                <w:szCs w:val="18"/>
              </w:rPr>
            </w:pPr>
            <w:r>
              <w:rPr>
                <w:rFonts w:ascii="宋体" w:hAnsi="宋体" w:cs="宋体" w:eastAsia="宋体" w:hint="default"/>
                <w:spacing w:val="-5"/>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4"/>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02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美年大 健康产 业（集 团）股 份有限 公司全 体股 东，共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103</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名</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江苏三 友集团 股份有 限公司 拥有的 全部资 产和负 债（包 括或有 负债）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z w:val="18"/>
              </w:rPr>
              <w:t>48,587.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详见公 司披露 索引的 内容</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 w:right="65"/>
              <w:jc w:val="both"/>
              <w:rPr>
                <w:rFonts w:ascii="宋体" w:hAnsi="宋体" w:cs="宋体" w:eastAsia="宋体" w:hint="default"/>
                <w:sz w:val="18"/>
                <w:szCs w:val="18"/>
              </w:rPr>
            </w:pPr>
            <w:r>
              <w:rPr>
                <w:rFonts w:ascii="宋体" w:hAnsi="宋体" w:cs="宋体" w:eastAsia="宋体" w:hint="default"/>
                <w:sz w:val="18"/>
                <w:szCs w:val="18"/>
              </w:rPr>
              <w:t>资产评 估（收 益法）</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拟置出 资产的 承接 方，系 俞熔和 陆尔穗 共同指 定的第 三方</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详见巨 潮资讯 网于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6"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p>
          <w:p>
            <w:pPr>
              <w:pStyle w:val="TableParagraph"/>
              <w:spacing w:line="316" w:lineRule="auto" w:before="63"/>
              <w:ind w:left="24" w:right="60"/>
              <w:jc w:val="both"/>
              <w:rPr>
                <w:rFonts w:ascii="宋体" w:hAnsi="宋体" w:cs="宋体" w:eastAsia="宋体" w:hint="default"/>
                <w:sz w:val="18"/>
                <w:szCs w:val="18"/>
              </w:rPr>
            </w:pPr>
            <w:r>
              <w:rPr>
                <w:rFonts w:ascii="宋体" w:hAnsi="宋体" w:cs="宋体" w:eastAsia="宋体" w:hint="default"/>
                <w:sz w:val="18"/>
                <w:szCs w:val="18"/>
              </w:rPr>
              <w:t>日披露 的《重 大资产 置换及 发行股 份购买 资产并 募集配 套资金 暨关联 交易报 告书</w:t>
            </w:r>
          </w:p>
          <w:p>
            <w:pPr>
              <w:pStyle w:val="TableParagraph"/>
              <w:spacing w:line="316" w:lineRule="auto" w:before="19"/>
              <w:ind w:left="24" w:right="151"/>
              <w:jc w:val="left"/>
              <w:rPr>
                <w:rFonts w:ascii="宋体" w:hAnsi="宋体" w:cs="宋体" w:eastAsia="宋体" w:hint="default"/>
                <w:sz w:val="18"/>
                <w:szCs w:val="18"/>
              </w:rPr>
            </w:pPr>
            <w:r>
              <w:rPr>
                <w:rFonts w:ascii="宋体" w:hAnsi="宋体" w:cs="宋体" w:eastAsia="宋体" w:hint="default"/>
                <w:sz w:val="18"/>
                <w:szCs w:val="18"/>
              </w:rPr>
              <w:t>（草 </w:t>
            </w:r>
            <w:r>
              <w:rPr>
                <w:rFonts w:ascii="宋体" w:hAnsi="宋体" w:cs="宋体" w:eastAsia="宋体" w:hint="default"/>
                <w:spacing w:val="-31"/>
                <w:sz w:val="18"/>
                <w:szCs w:val="18"/>
              </w:rPr>
              <w:t>案）》</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主要子公司及对公司净利润影响达</w:t>
      </w:r>
      <w:r>
        <w:rPr>
          <w:spacing w:val="-56"/>
        </w:rPr>
        <w:t> </w:t>
      </w:r>
      <w:r>
        <w:rPr>
          <w:rFonts w:ascii="宋体" w:hAnsi="宋体" w:cs="宋体" w:eastAsia="宋体" w:hint="default"/>
        </w:rPr>
        <w:t>10%</w:t>
      </w:r>
      <w:r>
        <w:rPr/>
        <w:t>以上的参股公司情况</w:t>
      </w:r>
    </w:p>
    <w:p>
      <w:pPr>
        <w:spacing w:line="240" w:lineRule="auto" w:before="3"/>
        <w:rPr>
          <w:rFonts w:ascii="宋体" w:hAnsi="宋体" w:cs="宋体" w:eastAsia="宋体" w:hint="default"/>
          <w:sz w:val="10"/>
          <w:szCs w:val="10"/>
        </w:rPr>
      </w:pPr>
    </w:p>
    <w:p>
      <w:pPr>
        <w:spacing w:before="44"/>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790"/>
        <w:gridCol w:w="852"/>
        <w:gridCol w:w="1133"/>
        <w:gridCol w:w="1274"/>
        <w:gridCol w:w="1277"/>
        <w:gridCol w:w="1277"/>
        <w:gridCol w:w="1133"/>
        <w:gridCol w:w="1135"/>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沈阳大健康 科技健康管 理有限公司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28,610,000.00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506,084,019.70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251,960,700.84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360,513,296.99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59,786,866.80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46,271,195.69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成都美年大 健康健康管 理有限公司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185,013,697.61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102,282,466.65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155,657,414.71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23,974,126.32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21,084,484.50</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深圳市瑞格 尔健康管理 科技有限公 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8,933,718.00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288,793,822.33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147,002,380.45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260,465,664.37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23,832,471.40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17,612,229.62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郑州大健康 科技有限公 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173,347,160.45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87,641,345.72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95,822,518.99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42,415,510.40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33,041,722.37</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北京美年健 康科技有限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152,158,837.14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56,461,069.14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117,560,621.32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9,441,917.88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7,264,801.28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云南美年大 健康产业有 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73,226,015.10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30,411,546.29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67,777,606.55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11,493,508.06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9,733,011.17</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深圳市鸿康 杰科技有限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78,088,647.61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58,606,230.88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41,800,951.91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15,367,201.36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11,495,050.03</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西安美年大 健康健康管 理有限公司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151,551,475.43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71,013,462.72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157,164,123.04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27,542,890.78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22,913,367.29</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上海分部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416,636,631.60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156,034,722.51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310,324,795.28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51,961,049.45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40,764,856.83</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武汉美年大 健康体检管 理有限公司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84,479,512.00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34,218,229.91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71,337,649.51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8,065,065.69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6,001,966.27</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报告期内取得和处置子公司的情况</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7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发行股份购买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由服装加工制造企业转变为健康体检服 务企业，实现本公司主营业务的彻底转 型</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深圳市鸿康杰科技有限公司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提高公司健康体检服务范围和业绩</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江苏华康投资发展有限公司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提高公司健康体检服务范围和业绩</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辽阳美年大健康管理有限公司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提高公司健康体检服务范围和业绩</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洛阳美年大健康信息咨询有限公司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提高公司健康体检服务范围和业绩</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上海美阳门诊部有限公司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提高公司健康体检服务范围和业绩</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上海美鑫融资租赁有限公司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提高公司健康体检服务范围和业绩</w:t>
            </w:r>
          </w:p>
        </w:tc>
      </w:tr>
    </w:tbl>
    <w:p>
      <w:pPr>
        <w:spacing w:line="240" w:lineRule="auto" w:before="3"/>
        <w:rPr>
          <w:rFonts w:ascii="宋体" w:hAnsi="宋体" w:cs="宋体" w:eastAsia="宋体" w:hint="default"/>
          <w:sz w:val="5"/>
          <w:szCs w:val="5"/>
        </w:rPr>
      </w:pPr>
    </w:p>
    <w:p>
      <w:pPr>
        <w:pStyle w:val="BodyText"/>
        <w:spacing w:line="240" w:lineRule="auto" w:before="36"/>
        <w:ind w:right="92"/>
        <w:jc w:val="left"/>
      </w:pPr>
      <w:r>
        <w:rPr/>
        <w:t>主要控股参股公司情况说明</w:t>
      </w:r>
    </w:p>
    <w:p>
      <w:pPr>
        <w:spacing w:line="240" w:lineRule="auto" w:before="9"/>
        <w:rPr>
          <w:rFonts w:ascii="宋体" w:hAnsi="宋体" w:cs="宋体" w:eastAsia="宋体" w:hint="default"/>
          <w:sz w:val="29"/>
          <w:szCs w:val="29"/>
        </w:rPr>
      </w:pPr>
    </w:p>
    <w:p>
      <w:pPr>
        <w:pStyle w:val="Heading2"/>
        <w:spacing w:line="240" w:lineRule="auto"/>
        <w:ind w:right="92"/>
        <w:jc w:val="left"/>
        <w:rPr>
          <w:b w:val="0"/>
          <w:bCs w:val="0"/>
        </w:rPr>
      </w:pPr>
      <w:r>
        <w:rPr/>
        <w:t>八、公司控制的结构化主体情况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92"/>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92"/>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92" w:firstLine="420"/>
        <w:jc w:val="left"/>
      </w:pPr>
      <w:r>
        <w:rPr/>
        <w:t>公司目前年复合增长率</w:t>
      </w:r>
      <w:r>
        <w:rPr>
          <w:rFonts w:ascii="宋体" w:hAnsi="宋体" w:cs="宋体" w:eastAsia="宋体" w:hint="default"/>
        </w:rPr>
        <w:t>30%~50%</w:t>
      </w:r>
      <w:r>
        <w:rPr/>
        <w:t>，计划在未来三至五年内完成国内</w:t>
      </w:r>
      <w:r>
        <w:rPr>
          <w:rFonts w:ascii="宋体" w:hAnsi="宋体" w:cs="宋体" w:eastAsia="宋体" w:hint="default"/>
        </w:rPr>
        <w:t>500</w:t>
      </w:r>
      <w:r>
        <w:rPr/>
        <w:t>家体检中心的布局。未来，公司</w:t>
      </w:r>
      <w:r>
        <w:rPr>
          <w:w w:val="100"/>
        </w:rPr>
        <w:t> </w:t>
      </w:r>
      <w:r>
        <w:rPr>
          <w:spacing w:val="-2"/>
        </w:rPr>
        <w:t>依托已积累的海量大数据的优势，对大数据的深挖，以预防为入口切入未来健康管理的发展之路，打造中</w:t>
      </w:r>
      <w:r>
        <w:rPr>
          <w:spacing w:val="-44"/>
        </w:rPr>
        <w:t> </w:t>
      </w:r>
      <w:r>
        <w:rPr>
          <w:spacing w:val="-44"/>
        </w:rPr>
      </w:r>
      <w:r>
        <w:rPr>
          <w:spacing w:val="-2"/>
        </w:rPr>
        <w:t>国最大的健康生态圈。通过预防，达到健康促进，防止慢病和潜在隐患的重症化，不断整合体检上下游产</w:t>
      </w:r>
      <w:r>
        <w:rPr>
          <w:spacing w:val="-47"/>
        </w:rPr>
        <w:t> </w:t>
      </w:r>
      <w:r>
        <w:rPr>
          <w:spacing w:val="-47"/>
        </w:rPr>
      </w:r>
      <w:r>
        <w:rPr>
          <w:spacing w:val="-2"/>
        </w:rPr>
        <w:t>业合作伙伴，更便捷地为消费者提供所需要的健康管理方案，持续引领健康服务产业的发展。公司在未来</w:t>
      </w:r>
      <w:r>
        <w:rPr>
          <w:spacing w:val="-44"/>
        </w:rPr>
        <w:t> </w:t>
      </w:r>
      <w:r>
        <w:rPr>
          <w:spacing w:val="-44"/>
        </w:rPr>
      </w:r>
      <w:r>
        <w:rPr>
          <w:spacing w:val="-5"/>
        </w:rPr>
        <w:t>几年中，不仅将继续强化和提升中国体检行业领导者的角色，还将积极主导行业标准制定，健康管理示范，</w:t>
      </w:r>
      <w:r>
        <w:rPr>
          <w:spacing w:val="-4"/>
        </w:rPr>
        <w:t> </w:t>
      </w:r>
      <w:r>
        <w:rPr>
          <w:spacing w:val="-4"/>
        </w:rPr>
      </w:r>
      <w:r>
        <w:rPr/>
        <w:t>重大科研攻关以及国家公共卫生政策等更重要的行业和社会责任。</w:t>
      </w:r>
    </w:p>
    <w:p>
      <w:pPr>
        <w:pStyle w:val="BodyText"/>
        <w:spacing w:line="408" w:lineRule="auto"/>
        <w:ind w:right="206" w:firstLine="420"/>
        <w:jc w:val="both"/>
      </w:pPr>
      <w:r>
        <w:rPr>
          <w:spacing w:val="-2"/>
        </w:rPr>
        <w:t>公司在“重点城市与全国布局”的发展战略下，坚持“加强一线城市占有率，巩固、完善二、三线城</w:t>
      </w:r>
      <w:r>
        <w:rPr>
          <w:w w:val="100"/>
        </w:rPr>
        <w:t> </w:t>
      </w:r>
      <w:r>
        <w:rPr/>
        <w:t>市布局，适时发展四线城市网点”的区域发展策略，不断在全国重要城市新设体检中心。</w:t>
      </w:r>
    </w:p>
    <w:p>
      <w:pPr>
        <w:pStyle w:val="BodyText"/>
        <w:spacing w:line="408" w:lineRule="auto"/>
        <w:ind w:right="206" w:firstLine="420"/>
        <w:jc w:val="both"/>
      </w:pPr>
      <w:r>
        <w:rPr/>
        <w:t>（</w:t>
      </w:r>
      <w:r>
        <w:rPr>
          <w:rFonts w:ascii="宋体" w:hAnsi="宋体" w:cs="宋体" w:eastAsia="宋体" w:hint="default"/>
        </w:rPr>
        <w:t>1</w:t>
      </w:r>
      <w:r>
        <w:rPr/>
        <w:t>）加强一线城市占有率。由于北京、上海、广州、深圳一线城市人口众多、体检需求大，公司现</w:t>
      </w:r>
      <w:r>
        <w:rPr>
          <w:w w:val="100"/>
        </w:rPr>
        <w:t> </w:t>
      </w:r>
      <w:r>
        <w:rPr>
          <w:spacing w:val="-2"/>
        </w:rPr>
        <w:t>有体检中心接待量日趋饱和，面临不断增长的体检业务需要，公司加大布点密度，发挥连锁体检相对医院</w:t>
      </w:r>
      <w:r>
        <w:rPr>
          <w:spacing w:val="-44"/>
        </w:rPr>
        <w:t> </w:t>
      </w:r>
      <w:r>
        <w:rPr>
          <w:spacing w:val="-44"/>
        </w:rPr>
      </w:r>
      <w:r>
        <w:rPr>
          <w:spacing w:val="-2"/>
        </w:rPr>
        <w:t>体检的多网点、专业化的比较优势，分流体检接待量、缓解老店体检压力；同时深挖客户，进一步扩大业</w:t>
      </w:r>
      <w:r>
        <w:rPr>
          <w:spacing w:val="-43"/>
        </w:rPr>
        <w:t> </w:t>
      </w:r>
      <w:r>
        <w:rPr>
          <w:spacing w:val="-43"/>
        </w:rPr>
      </w:r>
      <w:r>
        <w:rPr/>
        <w:t>务规模、提高市场占有率。</w:t>
      </w:r>
    </w:p>
    <w:p>
      <w:pPr>
        <w:pStyle w:val="BodyText"/>
        <w:spacing w:line="408" w:lineRule="auto"/>
        <w:ind w:right="209" w:firstLine="420"/>
        <w:jc w:val="both"/>
      </w:pPr>
      <w:r>
        <w:rPr/>
        <w:t>（</w:t>
      </w:r>
      <w:r>
        <w:rPr>
          <w:rFonts w:ascii="宋体" w:hAnsi="宋体" w:cs="宋体" w:eastAsia="宋体" w:hint="default"/>
        </w:rPr>
        <w:t>2</w:t>
      </w:r>
      <w:r>
        <w:rPr/>
        <w:t>）巩固、完善二、三线城市布局。对于已有体检中心的二、三线城市，公司根据当地竞争状况、</w:t>
      </w:r>
      <w:r>
        <w:rPr>
          <w:w w:val="100"/>
        </w:rPr>
        <w:t> </w:t>
      </w:r>
      <w:r>
        <w:rPr>
          <w:spacing w:val="-2"/>
        </w:rPr>
        <w:t>健康消费水平、经济、人口发展状况，选择进一步加大或完善当地网点布局；对于未开设体检中心的二线</w:t>
      </w:r>
      <w:r>
        <w:rPr>
          <w:spacing w:val="-47"/>
        </w:rPr>
        <w:t> </w:t>
      </w:r>
      <w:r>
        <w:rPr>
          <w:spacing w:val="-47"/>
        </w:rPr>
      </w:r>
      <w:r>
        <w:rPr/>
        <w:t>城市，公司积极投入，加快开设进度。</w:t>
      </w:r>
    </w:p>
    <w:p>
      <w:pPr>
        <w:pStyle w:val="BodyText"/>
        <w:spacing w:line="408" w:lineRule="auto"/>
        <w:ind w:right="216" w:firstLine="420"/>
        <w:jc w:val="both"/>
      </w:pPr>
      <w:r>
        <w:rPr/>
        <w:t>（</w:t>
      </w:r>
      <w:r>
        <w:rPr>
          <w:rFonts w:ascii="宋体" w:hAnsi="宋体" w:cs="宋体" w:eastAsia="宋体" w:hint="default"/>
        </w:rPr>
        <w:t>3</w:t>
      </w:r>
      <w:r>
        <w:rPr/>
        <w:t>）适时发展四线城市网点。对于四线城市，公司依据当地人口规模、专业体检消费市场成熟度等</w:t>
      </w:r>
      <w:r>
        <w:rPr>
          <w:w w:val="100"/>
        </w:rPr>
        <w:t> </w:t>
      </w:r>
      <w:r>
        <w:rPr/>
        <w:t>情况进行筛选，积极发展有潜力的城市网点，逐步培育当地市场。</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firstLine="526"/>
        <w:jc w:val="left"/>
      </w:pPr>
      <w:r>
        <w:rPr/>
        <w:t>未来五年内，公司将在现有体检、健康管理和中医养生的基础上，植入中医治未病、女性保健、特</w:t>
      </w:r>
      <w:r>
        <w:rPr>
          <w:w w:val="100"/>
        </w:rPr>
        <w:t> </w:t>
      </w:r>
      <w:r>
        <w:rPr/>
        <w:t>色诊疗、康复理疗和就医保障等增值服务。</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宋体" w:hAnsi="宋体" w:cs="宋体" w:eastAsia="宋体" w:hint="default"/>
          <w:b/>
          <w:bCs/>
          <w:sz w:val="30"/>
          <w:szCs w:val="30"/>
        </w:rPr>
      </w:pPr>
    </w:p>
    <w:p>
      <w:pPr>
        <w:pStyle w:val="BodyText"/>
        <w:spacing w:line="444" w:lineRule="auto" w:before="0"/>
        <w:ind w:right="4344"/>
        <w:jc w:val="left"/>
      </w:pPr>
      <w:r>
        <w:rPr/>
        <w:t>□ 适用 √ 不适用</w:t>
      </w:r>
      <w:r>
        <w:rPr>
          <w:spacing w:val="-104"/>
        </w:rPr>
        <w:t> </w:t>
      </w:r>
      <w:r>
        <w:rPr>
          <w:spacing w:val="-104"/>
        </w:rPr>
      </w:r>
      <w:r>
        <w:rPr>
          <w:spacing w:val="-2"/>
        </w:rPr>
        <w:t>公司报告期内未发生接待调研、沟通、采访等活动。</w:t>
      </w:r>
    </w:p>
    <w:p>
      <w:pPr>
        <w:spacing w:after="0" w:line="444"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259"/>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both"/>
      </w:pPr>
      <w:r>
        <w:rPr/>
        <w:t>报告期内普通股利润分配政策，特别是现金分红政策的制定、执行或调整情况</w:t>
      </w:r>
    </w:p>
    <w:p>
      <w:pPr>
        <w:spacing w:line="240" w:lineRule="auto" w:before="12"/>
        <w:rPr>
          <w:rFonts w:ascii="宋体" w:hAnsi="宋体" w:cs="宋体" w:eastAsia="宋体" w:hint="default"/>
          <w:sz w:val="17"/>
          <w:szCs w:val="17"/>
        </w:rPr>
      </w:pPr>
    </w:p>
    <w:p>
      <w:pPr>
        <w:pStyle w:val="BodyText"/>
        <w:spacing w:line="441" w:lineRule="auto" w:before="0"/>
        <w:ind w:left="575" w:right="0" w:hanging="423"/>
        <w:jc w:val="left"/>
        <w:rPr>
          <w:rFonts w:ascii="宋体" w:hAnsi="宋体" w:cs="宋体" w:eastAsia="宋体" w:hint="default"/>
        </w:rPr>
      </w:pPr>
      <w:r>
        <w:rPr/>
        <w:t>√ 适用 □ 不适用</w:t>
      </w:r>
      <w:r>
        <w:rPr>
          <w:spacing w:val="-104"/>
        </w:rPr>
        <w:t> </w:t>
      </w:r>
      <w:r>
        <w:rPr>
          <w:spacing w:val="-104"/>
        </w:rPr>
      </w:r>
      <w:r>
        <w:rPr>
          <w:spacing w:val="-4"/>
        </w:rPr>
        <w:t>经</w:t>
      </w:r>
      <w:r>
        <w:rPr>
          <w:rFonts w:ascii="宋体" w:hAnsi="宋体" w:cs="宋体" w:eastAsia="宋体" w:hint="default"/>
          <w:spacing w:val="-4"/>
        </w:rPr>
        <w:t>2015</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29</w:t>
      </w:r>
      <w:r>
        <w:rPr>
          <w:spacing w:val="-4"/>
        </w:rPr>
        <w:t>日召开的公司</w:t>
      </w:r>
      <w:r>
        <w:rPr>
          <w:rFonts w:ascii="宋体" w:hAnsi="宋体" w:cs="宋体" w:eastAsia="宋体" w:hint="default"/>
          <w:spacing w:val="-4"/>
        </w:rPr>
        <w:t>2014</w:t>
      </w:r>
      <w:r>
        <w:rPr>
          <w:spacing w:val="-4"/>
        </w:rPr>
        <w:t>年年度股东大会批准，公司</w:t>
      </w:r>
      <w:r>
        <w:rPr>
          <w:rFonts w:ascii="宋体" w:hAnsi="宋体" w:cs="宋体" w:eastAsia="宋体" w:hint="default"/>
          <w:spacing w:val="-4"/>
        </w:rPr>
        <w:t>2014</w:t>
      </w:r>
      <w:r>
        <w:rPr>
          <w:spacing w:val="-4"/>
        </w:rPr>
        <w:t>年年度权益分派方案为：以公司</w:t>
      </w:r>
      <w:r>
        <w:rPr>
          <w:rFonts w:ascii="宋体" w:hAnsi="宋体" w:cs="宋体" w:eastAsia="宋体" w:hint="default"/>
          <w:spacing w:val="-4"/>
        </w:rPr>
        <w:t>2014</w:t>
      </w:r>
    </w:p>
    <w:p>
      <w:pPr>
        <w:pStyle w:val="BodyText"/>
        <w:spacing w:line="408" w:lineRule="auto" w:before="17"/>
        <w:ind w:right="230"/>
        <w:jc w:val="both"/>
      </w:pP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224,250,000</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0.80</w:t>
      </w:r>
      <w:r>
        <w:rPr>
          <w:spacing w:val="-2"/>
        </w:rPr>
        <w:t>元（含税），每</w:t>
      </w:r>
      <w:r>
        <w:rPr>
          <w:rFonts w:ascii="宋体" w:hAnsi="宋体" w:cs="宋体" w:eastAsia="宋体" w:hint="default"/>
          <w:spacing w:val="-2"/>
        </w:rPr>
        <w:t>10</w:t>
      </w:r>
      <w:r>
        <w:rPr>
          <w:spacing w:val="-2"/>
        </w:rPr>
        <w:t>股送红</w:t>
      </w:r>
      <w:r>
        <w:rPr>
          <w:spacing w:val="-6"/>
        </w:rPr>
        <w:t> </w:t>
      </w:r>
      <w:r>
        <w:rPr>
          <w:spacing w:val="-6"/>
        </w:rPr>
      </w:r>
      <w:r>
        <w:rPr>
          <w:spacing w:val="-2"/>
        </w:rPr>
        <w:t>股</w:t>
      </w:r>
      <w:r>
        <w:rPr>
          <w:rFonts w:ascii="宋体" w:hAnsi="宋体" w:cs="宋体" w:eastAsia="宋体" w:hint="default"/>
          <w:spacing w:val="-2"/>
        </w:rPr>
        <w:t>2.4</w:t>
      </w:r>
      <w:r>
        <w:rPr>
          <w:spacing w:val="-2"/>
        </w:rPr>
        <w:t>股，剩余未分配利润滚存至下一年度。</w:t>
      </w:r>
      <w:r>
        <w:rPr>
          <w:rFonts w:ascii="宋体" w:hAnsi="宋体" w:cs="宋体" w:eastAsia="宋体" w:hint="default"/>
          <w:spacing w:val="-2"/>
        </w:rPr>
        <w:t>2014</w:t>
      </w:r>
      <w:r>
        <w:rPr>
          <w:spacing w:val="-2"/>
        </w:rPr>
        <w:t>年度不以资本公积金转增股本。利润分配后公司总股本</w:t>
      </w:r>
      <w:r>
        <w:rPr>
          <w:spacing w:val="-18"/>
        </w:rPr>
        <w:t> </w:t>
      </w:r>
      <w:r>
        <w:rPr>
          <w:spacing w:val="-18"/>
        </w:rPr>
      </w:r>
      <w:r>
        <w:rPr/>
        <w:t>由</w:t>
      </w:r>
      <w:r>
        <w:rPr>
          <w:rFonts w:ascii="宋体" w:hAnsi="宋体" w:cs="宋体" w:eastAsia="宋体" w:hint="default"/>
        </w:rPr>
        <w:t>224,250,000</w:t>
      </w:r>
      <w:r>
        <w:rPr/>
        <w:t>股增加至</w:t>
      </w:r>
      <w:r>
        <w:rPr>
          <w:rFonts w:ascii="宋体" w:hAnsi="宋体" w:cs="宋体" w:eastAsia="宋体" w:hint="default"/>
        </w:rPr>
        <w:t>278,070,000</w:t>
      </w:r>
      <w:r>
        <w:rPr/>
        <w:t>股。</w:t>
      </w:r>
    </w:p>
    <w:p>
      <w:pPr>
        <w:pStyle w:val="BodyText"/>
        <w:spacing w:line="408" w:lineRule="auto" w:before="87"/>
        <w:ind w:right="153" w:firstLine="422"/>
        <w:jc w:val="both"/>
      </w:pP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日在巨潮资讯网（</w:t>
      </w:r>
      <w:hyperlink r:id="rId12">
        <w:r>
          <w:rPr>
            <w:rFonts w:ascii="宋体" w:hAnsi="宋体" w:cs="宋体" w:eastAsia="宋体" w:hint="default"/>
            <w:spacing w:val="-2"/>
          </w:rPr>
          <w:t>www.cninfo.com.cn</w:t>
        </w:r>
      </w:hyperlink>
      <w:r>
        <w:rPr>
          <w:spacing w:val="-2"/>
        </w:rPr>
        <w:t>）和《上海证券报》刊登了公司《</w:t>
      </w:r>
      <w:r>
        <w:rPr>
          <w:rFonts w:ascii="宋体" w:hAnsi="宋体" w:cs="宋体" w:eastAsia="宋体" w:hint="default"/>
          <w:spacing w:val="-2"/>
        </w:rPr>
        <w:t>2014</w:t>
      </w:r>
      <w:r>
        <w:rPr>
          <w:spacing w:val="-2"/>
        </w:rPr>
        <w:t>年年</w:t>
      </w:r>
      <w:r>
        <w:rPr>
          <w:spacing w:val="-3"/>
          <w:w w:val="100"/>
        </w:rPr>
        <w:t> </w:t>
      </w:r>
      <w:r>
        <w:rPr>
          <w:spacing w:val="-2"/>
        </w:rPr>
        <w:t>度权益分派实施公告》（公告编号：</w:t>
      </w:r>
      <w:r>
        <w:rPr>
          <w:rFonts w:ascii="宋体" w:hAnsi="宋体" w:cs="宋体" w:eastAsia="宋体" w:hint="default"/>
          <w:spacing w:val="-2"/>
        </w:rPr>
        <w:t>2015-056</w:t>
      </w:r>
      <w:r>
        <w:rPr>
          <w:spacing w:val="-2"/>
        </w:rPr>
        <w:t>），</w:t>
      </w:r>
      <w:r>
        <w:rPr>
          <w:rFonts w:ascii="宋体" w:hAnsi="宋体" w:cs="宋体" w:eastAsia="宋体" w:hint="default"/>
          <w:spacing w:val="-2"/>
        </w:rPr>
        <w:t>2014</w:t>
      </w:r>
      <w:r>
        <w:rPr>
          <w:spacing w:val="-2"/>
        </w:rPr>
        <w:t>年年度权益分派的股权登记日为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w:t>
      </w:r>
      <w:r>
        <w:rPr>
          <w:spacing w:val="-2"/>
        </w:rPr>
        <w:t>日，除</w:t>
      </w:r>
      <w:r>
        <w:rPr>
          <w:spacing w:val="-39"/>
        </w:rPr>
        <w:t> </w:t>
      </w:r>
      <w:r>
        <w:rPr>
          <w:spacing w:val="-39"/>
        </w:rPr>
      </w:r>
      <w:r>
        <w:rPr/>
        <w:t>息日为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w:t>
      </w:r>
      <w:r>
        <w:rPr/>
        <w:t>日。</w:t>
      </w:r>
    </w:p>
    <w:p>
      <w:pPr>
        <w:spacing w:line="240" w:lineRule="auto" w:before="8"/>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5"/>
          <w:szCs w:val="5"/>
        </w:rPr>
      </w:pPr>
    </w:p>
    <w:p>
      <w:pPr>
        <w:pStyle w:val="BodyText"/>
        <w:spacing w:line="444" w:lineRule="auto" w:before="36"/>
        <w:ind w:left="573" w:right="0" w:hanging="421"/>
        <w:jc w:val="left"/>
      </w:pPr>
      <w:r>
        <w:rPr>
          <w:spacing w:val="-1"/>
          <w:w w:val="100"/>
        </w:rPr>
        <w:t>公司近</w:t>
      </w:r>
      <w:r>
        <w:rPr>
          <w:spacing w:val="-53"/>
          <w:w w:val="100"/>
        </w:rPr>
        <w:t> </w:t>
      </w:r>
      <w:r>
        <w:rPr>
          <w:rFonts w:ascii="宋体" w:hAnsi="宋体" w:cs="宋体" w:eastAsia="宋体" w:hint="default"/>
          <w:w w:val="100"/>
        </w:rPr>
        <w:t>3</w:t>
      </w:r>
      <w:r>
        <w:rPr>
          <w:rFonts w:ascii="宋体" w:hAnsi="宋体" w:cs="宋体" w:eastAsia="宋体" w:hint="default"/>
          <w:spacing w:val="-54"/>
          <w:w w:val="100"/>
        </w:rPr>
        <w:t> </w:t>
      </w:r>
      <w:r>
        <w:rPr>
          <w:spacing w:val="-4"/>
          <w:w w:val="100"/>
        </w:rPr>
        <w:t>年（包括本报告期）的普通股股利分配方案（预案）、资本公积金转增股本方案（预案）情况</w:t>
      </w:r>
      <w:r>
        <w:rPr>
          <w:w w:val="100"/>
        </w:rPr>
        <w:t> </w:t>
      </w:r>
      <w:r>
        <w:rPr>
          <w:rFonts w:ascii="宋体" w:hAnsi="宋体" w:cs="宋体" w:eastAsia="宋体" w:hint="default"/>
          <w:spacing w:val="-2"/>
        </w:rPr>
        <w:t>1</w:t>
      </w:r>
      <w:r>
        <w:rPr>
          <w:spacing w:val="-2"/>
        </w:rPr>
        <w:t>、</w:t>
      </w:r>
      <w:r>
        <w:rPr>
          <w:rFonts w:ascii="宋体" w:hAnsi="宋体" w:cs="宋体" w:eastAsia="宋体" w:hint="default"/>
          <w:spacing w:val="-2"/>
        </w:rPr>
        <w:t>2013</w:t>
      </w:r>
      <w:r>
        <w:rPr>
          <w:spacing w:val="-2"/>
        </w:rPr>
        <w:t>年度利润分配情况：以</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224,250,000</w:t>
      </w:r>
      <w:r>
        <w:rPr>
          <w:spacing w:val="-2"/>
        </w:rPr>
        <w:t>股为基数，向全体股东每</w:t>
      </w:r>
      <w:r>
        <w:rPr>
          <w:rFonts w:ascii="宋体" w:hAnsi="宋体" w:cs="宋体" w:eastAsia="宋体" w:hint="default"/>
          <w:spacing w:val="-2"/>
        </w:rPr>
        <w:t>10</w:t>
      </w:r>
      <w:r>
        <w:rPr>
          <w:spacing w:val="-2"/>
        </w:rPr>
        <w:t>股</w:t>
      </w:r>
    </w:p>
    <w:p>
      <w:pPr>
        <w:pStyle w:val="BodyText"/>
        <w:spacing w:line="408" w:lineRule="auto" w:before="14"/>
        <w:ind w:right="0"/>
        <w:jc w:val="left"/>
      </w:pPr>
      <w:r>
        <w:rPr/>
        <w:t>派发现金股利人民币</w:t>
      </w:r>
      <w:r>
        <w:rPr>
          <w:rFonts w:ascii="宋体" w:hAnsi="宋体" w:cs="宋体" w:eastAsia="宋体" w:hint="default"/>
        </w:rPr>
        <w:t>0.50</w:t>
      </w:r>
      <w:r>
        <w:rPr/>
        <w:t>元（含税），共计派发现金股利</w:t>
      </w:r>
      <w:r>
        <w:rPr>
          <w:rFonts w:ascii="宋体" w:hAnsi="宋体" w:cs="宋体" w:eastAsia="宋体" w:hint="default"/>
        </w:rPr>
        <w:t>11,212,500.00</w:t>
      </w:r>
      <w:r>
        <w:rPr/>
        <w:t>元。公司</w:t>
      </w:r>
      <w:r>
        <w:rPr>
          <w:rFonts w:ascii="宋体" w:hAnsi="宋体" w:cs="宋体" w:eastAsia="宋体" w:hint="default"/>
        </w:rPr>
        <w:t>2013</w:t>
      </w:r>
      <w:r>
        <w:rPr/>
        <w:t>年度不送红股，不</w:t>
      </w:r>
      <w:r>
        <w:rPr>
          <w:w w:val="100"/>
        </w:rPr>
        <w:t> </w:t>
      </w:r>
      <w:r>
        <w:rPr>
          <w:spacing w:val="-2"/>
        </w:rPr>
        <w:t>以资本公积金转增股本。公司于</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日在巨潮资讯网（</w:t>
      </w:r>
      <w:hyperlink r:id="rId12">
        <w:r>
          <w:rPr>
            <w:rFonts w:ascii="宋体" w:hAnsi="宋体" w:cs="宋体" w:eastAsia="宋体" w:hint="default"/>
            <w:spacing w:val="-2"/>
          </w:rPr>
          <w:t>www.cninfo.com.cn</w:t>
        </w:r>
      </w:hyperlink>
      <w:r>
        <w:rPr>
          <w:spacing w:val="-2"/>
        </w:rPr>
        <w:t>）和《上海证券报》上</w:t>
      </w:r>
      <w:r>
        <w:rPr>
          <w:spacing w:val="-25"/>
        </w:rPr>
        <w:t> </w:t>
      </w:r>
      <w:r>
        <w:rPr>
          <w:spacing w:val="-25"/>
        </w:rPr>
      </w:r>
      <w:r>
        <w:rPr/>
        <w:t>刊登了公司《</w:t>
      </w:r>
      <w:r>
        <w:rPr>
          <w:rFonts w:ascii="宋体" w:hAnsi="宋体" w:cs="宋体" w:eastAsia="宋体" w:hint="default"/>
        </w:rPr>
        <w:t>2013</w:t>
      </w:r>
      <w:r>
        <w:rPr/>
        <w:t>年年度权益分派实施公告》，股权登记日为</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日，除息日为</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w:t>
      </w:r>
      <w:r>
        <w:rPr/>
        <w:t>日。</w:t>
      </w:r>
    </w:p>
    <w:p>
      <w:pPr>
        <w:pStyle w:val="BodyText"/>
        <w:spacing w:line="408" w:lineRule="auto"/>
        <w:ind w:right="0"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年度利润分配情况：以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224,250,000</w:t>
      </w:r>
      <w:r>
        <w:rPr>
          <w:spacing w:val="-2"/>
        </w:rPr>
        <w:t>股为基数，向全体股东每</w:t>
      </w:r>
      <w:r>
        <w:rPr>
          <w:rFonts w:ascii="宋体" w:hAnsi="宋体" w:cs="宋体" w:eastAsia="宋体" w:hint="default"/>
          <w:spacing w:val="-2"/>
        </w:rPr>
        <w:t>10</w:t>
      </w:r>
      <w:r>
        <w:rPr>
          <w:spacing w:val="-2"/>
        </w:rPr>
        <w:t>股派发</w:t>
      </w:r>
      <w:r>
        <w:rPr>
          <w:w w:val="100"/>
        </w:rPr>
        <w:t> </w:t>
      </w:r>
      <w:r>
        <w:rPr/>
        <w:t>现金股利</w:t>
      </w:r>
      <w:r>
        <w:rPr>
          <w:rFonts w:ascii="宋体" w:hAnsi="宋体" w:cs="宋体" w:eastAsia="宋体" w:hint="default"/>
        </w:rPr>
        <w:t>0.80</w:t>
      </w:r>
      <w:r>
        <w:rPr/>
        <w:t>元（含税），每</w:t>
      </w:r>
      <w:r>
        <w:rPr>
          <w:rFonts w:ascii="宋体" w:hAnsi="宋体" w:cs="宋体" w:eastAsia="宋体" w:hint="default"/>
        </w:rPr>
        <w:t>10</w:t>
      </w:r>
      <w:r>
        <w:rPr/>
        <w:t>股送红股</w:t>
      </w:r>
      <w:r>
        <w:rPr>
          <w:rFonts w:ascii="宋体" w:hAnsi="宋体" w:cs="宋体" w:eastAsia="宋体" w:hint="default"/>
        </w:rPr>
        <w:t>2.4</w:t>
      </w:r>
      <w:r>
        <w:rPr/>
        <w:t>股，剩余未分配利润滚存至下一年度。</w:t>
      </w:r>
      <w:r>
        <w:rPr>
          <w:rFonts w:ascii="宋体" w:hAnsi="宋体" w:cs="宋体" w:eastAsia="宋体" w:hint="default"/>
        </w:rPr>
        <w:t>2014</w:t>
      </w:r>
      <w:r>
        <w:rPr/>
        <w:t>年度不以资本公</w:t>
      </w:r>
      <w:r>
        <w:rPr>
          <w:w w:val="100"/>
        </w:rPr>
        <w:t> </w:t>
      </w:r>
      <w:r>
        <w:rPr/>
        <w:t>积金转增股本。利润分配后公司总股本由</w:t>
      </w:r>
      <w:r>
        <w:rPr>
          <w:rFonts w:ascii="宋体" w:hAnsi="宋体" w:cs="宋体" w:eastAsia="宋体" w:hint="default"/>
        </w:rPr>
        <w:t>224,250,000</w:t>
      </w:r>
      <w:r>
        <w:rPr/>
        <w:t>股增加至</w:t>
      </w:r>
      <w:r>
        <w:rPr>
          <w:rFonts w:ascii="宋体" w:hAnsi="宋体" w:cs="宋体" w:eastAsia="宋体" w:hint="default"/>
        </w:rPr>
        <w:t>278,070,000</w:t>
      </w:r>
      <w:r>
        <w:rPr/>
        <w:t>股。公司于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27</w:t>
      </w:r>
      <w:r>
        <w:rPr/>
        <w:t>日在</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230"/>
        <w:jc w:val="left"/>
      </w:pPr>
      <w:r>
        <w:rPr>
          <w:spacing w:val="-2"/>
        </w:rPr>
        <w:t>巨潮资讯网（</w:t>
      </w:r>
      <w:hyperlink r:id="rId12">
        <w:r>
          <w:rPr>
            <w:rFonts w:ascii="宋体" w:hAnsi="宋体" w:cs="宋体" w:eastAsia="宋体" w:hint="default"/>
            <w:spacing w:val="-2"/>
          </w:rPr>
          <w:t>www.cninfo.com.cn</w:t>
        </w:r>
      </w:hyperlink>
      <w:r>
        <w:rPr>
          <w:spacing w:val="-2"/>
        </w:rPr>
        <w:t>）和《上海证券报》刊登了公司《</w:t>
      </w:r>
      <w:r>
        <w:rPr>
          <w:rFonts w:ascii="宋体" w:hAnsi="宋体" w:cs="宋体" w:eastAsia="宋体" w:hint="default"/>
          <w:spacing w:val="-2"/>
        </w:rPr>
        <w:t>2014</w:t>
      </w:r>
      <w:r>
        <w:rPr>
          <w:spacing w:val="-2"/>
        </w:rPr>
        <w:t>年年度权益分派实施公告》（公 </w:t>
      </w:r>
      <w:r>
        <w:rPr/>
        <w:t>告编号：</w:t>
      </w:r>
      <w:r>
        <w:rPr>
          <w:rFonts w:ascii="宋体" w:hAnsi="宋体" w:cs="宋体" w:eastAsia="宋体" w:hint="default"/>
        </w:rPr>
        <w:t>2015-056</w:t>
      </w:r>
      <w:r>
        <w:rPr/>
        <w:t>），</w:t>
      </w:r>
      <w:r>
        <w:rPr>
          <w:rFonts w:ascii="宋体" w:hAnsi="宋体" w:cs="宋体" w:eastAsia="宋体" w:hint="default"/>
        </w:rPr>
        <w:t>2014</w:t>
      </w:r>
      <w:r>
        <w:rPr/>
        <w:t>年年度权益分派的股权登记日为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日，除息日为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w:t>
      </w:r>
      <w:r>
        <w:rPr/>
        <w:t>日。</w:t>
      </w:r>
    </w:p>
    <w:p>
      <w:pPr>
        <w:pStyle w:val="BodyText"/>
        <w:spacing w:line="408" w:lineRule="auto"/>
        <w:ind w:right="148" w:firstLine="420"/>
        <w:jc w:val="both"/>
      </w:pP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年度利润分配情况：拟以截止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日的公司总股本</w:t>
      </w:r>
      <w:r>
        <w:rPr>
          <w:rFonts w:ascii="宋体" w:hAnsi="宋体" w:cs="宋体" w:eastAsia="宋体" w:hint="default"/>
          <w:spacing w:val="-2"/>
        </w:rPr>
        <w:t>1,210,741,353</w:t>
      </w:r>
      <w:r>
        <w:rPr>
          <w:spacing w:val="-2"/>
        </w:rPr>
        <w:t>股为基数，以资本</w:t>
      </w:r>
      <w:r>
        <w:rPr>
          <w:w w:val="100"/>
        </w:rPr>
        <w:t> </w:t>
      </w:r>
      <w:r>
        <w:rPr>
          <w:spacing w:val="-2"/>
        </w:rPr>
        <w:t>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股，合计转增股本</w:t>
      </w:r>
      <w:r>
        <w:rPr>
          <w:rFonts w:ascii="宋体" w:hAnsi="宋体" w:cs="宋体" w:eastAsia="宋体" w:hint="default"/>
          <w:spacing w:val="-2"/>
        </w:rPr>
        <w:t>1,210,741,353</w:t>
      </w:r>
      <w:r>
        <w:rPr>
          <w:spacing w:val="-2"/>
        </w:rPr>
        <w:t>股，转增后公司总股本为</w:t>
      </w:r>
      <w:r>
        <w:rPr>
          <w:rFonts w:ascii="宋体" w:hAnsi="宋体" w:cs="宋体" w:eastAsia="宋体" w:hint="default"/>
          <w:spacing w:val="-2"/>
        </w:rPr>
        <w:t>2,421,482,706</w:t>
      </w:r>
      <w:r>
        <w:rPr>
          <w:rFonts w:ascii="宋体" w:hAnsi="宋体" w:cs="宋体" w:eastAsia="宋体" w:hint="default"/>
          <w:spacing w:val="-17"/>
        </w:rPr>
        <w:t> </w:t>
      </w:r>
      <w:r>
        <w:rPr>
          <w:rFonts w:ascii="宋体" w:hAnsi="宋体" w:cs="宋体" w:eastAsia="宋体" w:hint="default"/>
          <w:spacing w:val="-17"/>
        </w:rPr>
      </w:r>
      <w:r>
        <w:rPr/>
        <w:t>股。不送红股，不进行现金分红。</w:t>
      </w:r>
    </w:p>
    <w:p>
      <w:pPr>
        <w:pStyle w:val="BodyText"/>
        <w:spacing w:line="240" w:lineRule="auto" w:before="87"/>
        <w:ind w:right="0"/>
        <w:jc w:val="left"/>
      </w:pPr>
      <w:r>
        <w:rPr/>
        <w:t>公司近三年（包括本报告期）普通股现金分红情况表</w:t>
      </w:r>
    </w:p>
    <w:p>
      <w:pPr>
        <w:spacing w:before="17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260,273,434.15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140,110,161.65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34,229,061.04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61" w:firstLine="0"/>
        <w:jc w:val="right"/>
        <w:rPr>
          <w:rFonts w:ascii="宋体" w:hAnsi="宋体" w:cs="宋体" w:eastAsia="宋体" w:hint="default"/>
          <w:sz w:val="18"/>
          <w:szCs w:val="18"/>
        </w:rPr>
      </w:pPr>
      <w:r>
        <w:rPr/>
        <w:pict>
          <v:shape style="position:absolute;margin-left:56.400002pt;margin-top:-51.988255pt;width:479.3pt;height:134.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7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96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4" w:right="68"/>
                          <w:jc w:val="left"/>
                          <w:rPr>
                            <w:rFonts w:ascii="宋体" w:hAnsi="宋体" w:cs="宋体" w:eastAsia="宋体" w:hint="default"/>
                            <w:sz w:val="18"/>
                            <w:szCs w:val="18"/>
                          </w:rPr>
                        </w:pPr>
                        <w:r>
                          <w:rPr>
                            <w:rFonts w:ascii="宋体" w:hAnsi="宋体" w:cs="宋体" w:eastAsia="宋体" w:hint="default"/>
                            <w:sz w:val="18"/>
                            <w:szCs w:val="18"/>
                          </w:rPr>
                          <w:t>鉴于公司拟在未来十二个月内进行资产收购、对外投资且累 计支出预计将达到并超过公司最近一期经审计净资产的 </w:t>
                        </w:r>
                        <w:r>
                          <w:rPr>
                            <w:rFonts w:ascii="Times New Roman" w:hAnsi="Times New Roman" w:cs="Times New Roman" w:eastAsia="Times New Roman" w:hint="default"/>
                            <w:sz w:val="18"/>
                            <w:szCs w:val="18"/>
                          </w:rPr>
                          <w:t>30%</w:t>
                        </w:r>
                        <w:r>
                          <w:rPr>
                            <w:rFonts w:ascii="宋体" w:hAnsi="宋体" w:cs="宋体" w:eastAsia="宋体" w:hint="default"/>
                            <w:sz w:val="18"/>
                            <w:szCs w:val="18"/>
                          </w:rPr>
                          <w:t>，根据相关规定及《公司章程》的规定，公司本年度拟 不进行利润分配。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为了公司的可持续性发展，公司未分配利润将用于满足公司 </w:t>
                        </w:r>
                        <w:r>
                          <w:rPr>
                            <w:rFonts w:ascii="宋体" w:hAnsi="宋体" w:cs="宋体" w:eastAsia="宋体" w:hint="default"/>
                            <w:spacing w:val="-2"/>
                            <w:sz w:val="18"/>
                            <w:szCs w:val="18"/>
                          </w:rPr>
                          <w:t>日常运营所需流动资金、对外投资、资产收购及市场开拓等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公司将一如既往地重视以现金分红形式回报投资者，并严格 按照</w:t>
                        </w:r>
                        <w:r>
                          <w:rPr>
                            <w:rFonts w:ascii="宋体" w:hAnsi="宋体" w:cs="宋体" w:eastAsia="宋体" w:hint="default"/>
                            <w:spacing w:val="-31"/>
                            <w:sz w:val="18"/>
                            <w:szCs w:val="18"/>
                          </w:rPr>
                          <w:t> </w:t>
                        </w:r>
                        <w:r>
                          <w:rPr>
                            <w:rFonts w:ascii="宋体" w:hAnsi="宋体" w:cs="宋体" w:eastAsia="宋体" w:hint="default"/>
                            <w:spacing w:val="-18"/>
                            <w:sz w:val="18"/>
                            <w:szCs w:val="18"/>
                          </w:rPr>
                          <w:t>《公司法》、《证券法》、《公司章程》和监管部门的要求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综合考虑与利润分配相关的各种因素，积极履行公司的利润 分配制度，与股东、投资者共享公司成长和发展的成果。</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6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1,210,741,353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58" w:firstLine="0"/>
        <w:jc w:val="right"/>
        <w:rPr>
          <w:rFonts w:ascii="宋体" w:hAnsi="宋体" w:cs="宋体" w:eastAsia="宋体" w:hint="default"/>
          <w:sz w:val="18"/>
          <w:szCs w:val="18"/>
        </w:rPr>
      </w:pPr>
      <w:r>
        <w:rPr/>
        <w:pict>
          <v:shape style="position:absolute;margin-left:56.400002pt;margin-top:-87.74826pt;width:479.3pt;height:185.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00"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经瑞华会计师事务所（特殊普通合伙）审计，本公司期初未分配利润为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73,102,399.85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110,767,521.13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元，提取法定盈余公积金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11,076,752.11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元，减去上年度已分配的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71,760,000.00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元，减去置出资产在重组过渡期间产生的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w:t>
                        </w:r>
                        <w:r>
                          <w:rPr>
                            <w:rFonts w:ascii="宋体" w:hAnsi="宋体" w:cs="宋体" w:eastAsia="宋体" w:hint="default"/>
                            <w:spacing w:val="-3"/>
                            <w:sz w:val="18"/>
                            <w:szCs w:val="18"/>
                          </w:rPr>
                          <w:t>江</w:t>
                        </w:r>
                        <w:r>
                          <w:rPr>
                            <w:rFonts w:ascii="宋体" w:hAnsi="宋体" w:cs="宋体" w:eastAsia="宋体" w:hint="default"/>
                            <w:sz w:val="18"/>
                            <w:szCs w:val="18"/>
                          </w:rPr>
                          <w:t>苏三友与美年大健康全体股东等相关方于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签署的《资产置换协议</w:t>
                        </w:r>
                        <w:r>
                          <w:rPr>
                            <w:rFonts w:ascii="宋体" w:hAnsi="宋体" w:cs="宋体" w:eastAsia="宋体" w:hint="default"/>
                            <w:spacing w:val="-92"/>
                            <w:sz w:val="18"/>
                            <w:szCs w:val="18"/>
                          </w:rPr>
                          <w:t>》</w:t>
                        </w:r>
                        <w:r>
                          <w:rPr>
                            <w:rFonts w:ascii="宋体" w:hAnsi="宋体" w:cs="宋体" w:eastAsia="宋体" w:hint="default"/>
                            <w:sz w:val="18"/>
                            <w:szCs w:val="18"/>
                          </w:rPr>
                          <w:t>，详见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巨潮资讯网于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39"/>
                            <w:sz w:val="18"/>
                            <w:szCs w:val="18"/>
                          </w:rPr>
                          <w:t>的</w:t>
                        </w:r>
                        <w:r>
                          <w:rPr>
                            <w:rFonts w:ascii="宋体" w:hAnsi="宋体" w:cs="宋体" w:eastAsia="宋体" w:hint="default"/>
                            <w:sz w:val="18"/>
                            <w:szCs w:val="18"/>
                          </w:rPr>
                          <w:t>《重大资产置换及发行股份购买资产并募集配套资金暨关联交易报告</w:t>
                        </w:r>
                        <w:r>
                          <w:rPr>
                            <w:rFonts w:ascii="宋体" w:hAnsi="宋体" w:cs="宋体" w:eastAsia="宋体" w:hint="default"/>
                            <w:spacing w:val="-39"/>
                            <w:sz w:val="18"/>
                            <w:szCs w:val="18"/>
                          </w:rPr>
                          <w:t>书</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6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《资产置换协议》损益归属期间的约定</w:t>
                        </w:r>
                        <w:r>
                          <w:rPr>
                            <w:rFonts w:ascii="宋体" w:hAnsi="宋体" w:cs="宋体" w:eastAsia="宋体" w:hint="default"/>
                            <w:spacing w:val="-92"/>
                            <w:sz w:val="18"/>
                            <w:szCs w:val="18"/>
                          </w:rPr>
                          <w:t>：</w:t>
                        </w:r>
                        <w:r>
                          <w:rPr>
                            <w:rFonts w:ascii="宋体" w:hAnsi="宋体" w:cs="宋体" w:eastAsia="宋体" w:hint="default"/>
                            <w:sz w:val="18"/>
                            <w:szCs w:val="18"/>
                          </w:rPr>
                          <w:t>“拟置出资产在损</w:t>
                        </w:r>
                        <w:r>
                          <w:rPr>
                            <w:rFonts w:ascii="宋体" w:hAnsi="宋体" w:cs="宋体" w:eastAsia="宋体" w:hint="default"/>
                            <w:spacing w:val="2"/>
                            <w:sz w:val="18"/>
                            <w:szCs w:val="18"/>
                          </w:rPr>
                          <w:t>益</w:t>
                        </w:r>
                        <w:r>
                          <w:rPr>
                            <w:rFonts w:ascii="宋体" w:hAnsi="宋体" w:cs="宋体" w:eastAsia="宋体" w:hint="default"/>
                            <w:sz w:val="18"/>
                            <w:szCs w:val="18"/>
                          </w:rPr>
                          <w:t>归属期间运营所产生的盈利或亏损、各项税费及任何原因造</w:t>
                        </w:r>
                        <w:r>
                          <w:rPr>
                            <w:rFonts w:ascii="宋体" w:hAnsi="宋体" w:cs="宋体" w:eastAsia="宋体" w:hint="default"/>
                            <w:sz w:val="18"/>
                            <w:szCs w:val="18"/>
                          </w:rPr>
                          <w:t> 成的权益变动均由资产承接方享有或承担</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后</w:t>
                        </w:r>
                        <w:r>
                          <w:rPr>
                            <w:rFonts w:ascii="宋体" w:hAnsi="宋体" w:cs="宋体" w:eastAsia="宋体" w:hint="default"/>
                            <w:spacing w:val="-10"/>
                            <w:sz w:val="18"/>
                            <w:szCs w:val="18"/>
                          </w:rPr>
                          <w:t>，</w:t>
                        </w:r>
                        <w:r>
                          <w:rPr>
                            <w:rFonts w:ascii="宋体" w:hAnsi="宋体" w:cs="宋体" w:eastAsia="宋体" w:hint="default"/>
                            <w:sz w:val="18"/>
                            <w:szCs w:val="18"/>
                          </w:rPr>
                          <w:t>期末可供</w:t>
                        </w:r>
                        <w:r>
                          <w:rPr>
                            <w:rFonts w:ascii="宋体" w:hAnsi="宋体" w:cs="宋体" w:eastAsia="宋体" w:hint="default"/>
                            <w:spacing w:val="2"/>
                            <w:sz w:val="18"/>
                            <w:szCs w:val="18"/>
                          </w:rPr>
                          <w:t>全</w:t>
                        </w:r>
                        <w:r>
                          <w:rPr>
                            <w:rFonts w:ascii="宋体" w:hAnsi="宋体" w:cs="宋体" w:eastAsia="宋体" w:hint="default"/>
                            <w:sz w:val="18"/>
                            <w:szCs w:val="18"/>
                          </w:rPr>
                          <w:t>体股东分配的利润为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z w:val="18"/>
                            <w:szCs w:val="18"/>
                          </w:rPr>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日公司合并报表期末资本公积余额为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1,315,080,527.29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元，母公司的资本公积余额为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4,489,272,536.17 </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元。公司经本次董事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会审议通过的利润分配预案为：以截止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1,210,741,353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股为基数，以资本公积金向全体股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股，合计转增股本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1,210,741,353 </w:t>
                        </w:r>
                        <w:r>
                          <w:rPr>
                            <w:rFonts w:ascii="宋体" w:hAnsi="宋体" w:cs="宋体" w:eastAsia="宋体" w:hint="default"/>
                            <w:sz w:val="18"/>
                            <w:szCs w:val="18"/>
                          </w:rPr>
                          <w:t>股，转增后公司总股本为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2,421,482,706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1"/>
        </w:rPr>
        <w:t> </w:t>
      </w:r>
      <w:r>
        <w:rPr>
          <w:spacing w:val="-61"/>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262"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本人及本人 控制的公司： </w:t>
            </w:r>
            <w:r>
              <w:rPr>
                <w:rFonts w:ascii="Times New Roman" w:hAnsi="Times New Roman" w:cs="Times New Roman" w:eastAsia="Times New Roman" w:hint="default"/>
                <w:sz w:val="18"/>
                <w:szCs w:val="18"/>
              </w:rPr>
              <w:t>1</w:t>
            </w:r>
            <w:r>
              <w:rPr>
                <w:rFonts w:ascii="宋体" w:hAnsi="宋体" w:cs="宋体" w:eastAsia="宋体" w:hint="default"/>
                <w:sz w:val="18"/>
                <w:szCs w:val="18"/>
              </w:rPr>
              <w:t>、不直接或 间接从事与 上市公司主 营业务相同 或相似的业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、不从 事与上市公 司存在竞争 或可能构成 竞争的业务 或活动，也不 以独资经营、 合资经营或 其他拥有股 票或权益的 方式在其他 公司或企业 从事与上市 公司存在竞 争或可能构 成竞争的业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262"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548.15pt;mso-position-horizontal-relative:page;mso-position-vertical-relative:page;z-index:-140144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72.47998pt;width:55.8pt;height:619.8pt;mso-position-horizontal-relative:page;mso-position-vertical-relative:page;z-index:-1401424" coordorigin="7353,1450" coordsize="1116,12396">
            <v:group style="position:absolute;left:7353;top:1450;width:1116;height:10963" coordorigin="7353,1450" coordsize="1116,10963">
              <v:shape style="position:absolute;left:7353;top:1450;width:1116;height:10963" coordorigin="7353,1450" coordsize="1116,10963" path="m7353,12412l8469,12412,8469,1450,7353,1450,7353,12412xe" filled="true" fillcolor="#ffffff" stroked="false">
                <v:path arrowok="t"/>
                <v:fill type="solid"/>
              </v:shape>
            </v:group>
            <v:group style="position:absolute;left:7353;top:12422;width:1116;height:1073" coordorigin="7353,12422" coordsize="1116,1073">
              <v:shape style="position:absolute;left:7353;top:12422;width:1116;height:1073" coordorigin="7353,12422" coordsize="1116,1073" path="m7353,13495l8469,13495,8469,12422,7353,12422,7353,13495xe" filled="true" fillcolor="#ffffff" stroked="false">
                <v:path arrowok="t"/>
                <v:fill type="solid"/>
              </v:shape>
            </v:group>
            <v:group style="position:absolute;left:7377;top:13495;width:1071;height:351" coordorigin="7377,13495" coordsize="1071,351">
              <v:shape style="position:absolute;left:7377;top:13495;width:1071;height:351" coordorigin="7377,13495" coordsize="1071,351" path="m7377,13845l8447,13845,8447,13495,7377,13495,7377,138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3</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在未来的投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资方向上，避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免投资与上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或相似的业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务及企业；对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经或拟投资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兴建的项目，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将不会进行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建设或投资；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、如未来经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营的业务与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成实质性竞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争，上市公司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有权优先收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购该等竞争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资产，或本人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通过解散、对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外转让等方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法，处理所持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从事竞争业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务公司的全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部股权，以消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除同业竞争；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、若本人违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反上述承诺，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则应对上市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公司因此而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遭受的损失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做出及时和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足额的赔偿。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6"/>
              <w:jc w:val="center"/>
              <w:rPr>
                <w:rFonts w:ascii="宋体" w:hAnsi="宋体" w:cs="宋体" w:eastAsia="宋体" w:hint="default"/>
                <w:sz w:val="18"/>
                <w:szCs w:val="18"/>
              </w:rPr>
            </w:pPr>
            <w:r>
              <w:rPr>
                <w:rFonts w:ascii="宋体" w:hAnsi="宋体" w:cs="宋体" w:eastAsia="宋体" w:hint="default"/>
                <w:sz w:val="18"/>
                <w:szCs w:val="18"/>
              </w:rPr>
              <w:t>对于不可避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免的关联交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3" w:right="7"/>
              <w:jc w:val="left"/>
              <w:rPr>
                <w:rFonts w:ascii="宋体" w:hAnsi="宋体" w:cs="宋体" w:eastAsia="宋体" w:hint="default"/>
                <w:sz w:val="18"/>
                <w:szCs w:val="18"/>
              </w:rPr>
            </w:pPr>
            <w:r>
              <w:rPr>
                <w:rFonts w:ascii="宋体" w:hAnsi="宋体" w:cs="宋体" w:eastAsia="宋体" w:hint="default"/>
                <w:sz w:val="18"/>
                <w:szCs w:val="18"/>
              </w:rPr>
              <w:t>易，本人将按 </w:t>
            </w:r>
            <w:r>
              <w:rPr>
                <w:rFonts w:ascii="宋体" w:hAnsi="宋体" w:cs="宋体" w:eastAsia="宋体" w:hint="default"/>
                <w:spacing w:val="-17"/>
                <w:sz w:val="18"/>
                <w:szCs w:val="18"/>
              </w:rPr>
              <w:t>照《公司法》</w:t>
            </w:r>
            <w:r>
              <w:rPr>
                <w:rFonts w:ascii="宋体" w:hAnsi="宋体" w:cs="宋体" w:eastAsia="宋体" w:hint="default"/>
                <w:sz w:val="18"/>
                <w:szCs w:val="18"/>
              </w:rPr>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《深圳证券</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86" w:lineRule="exact" w:before="11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66"/>
              <w:jc w:val="center"/>
              <w:rPr>
                <w:rFonts w:ascii="宋体" w:hAnsi="宋体" w:cs="宋体" w:eastAsia="宋体" w:hint="default"/>
                <w:sz w:val="18"/>
                <w:szCs w:val="18"/>
              </w:rPr>
            </w:pPr>
            <w:r>
              <w:rPr>
                <w:rFonts w:ascii="宋体" w:hAnsi="宋体" w:cs="宋体" w:eastAsia="宋体" w:hint="default"/>
                <w:sz w:val="18"/>
                <w:szCs w:val="18"/>
              </w:rPr>
              <w:t>交易所股票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上市规则》等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《江苏三友 集团股份有 限公司章程》 等有关规定 履行信息披 露义务和办 理有关报批 事宜，保证关 联交易决策 程序合法，交 易价格、交易 条件及其他 协议条款公 平合理，保证 不通过关联 交易损害上 市公司本身 及其他股东 的合法权益。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为了保证上 市公司的独 立运作，维护 广大投资者 特别是中小 投资者的合 法权益，本人 承诺：作为上 市公司的实 际控制人，将 保证与上市 公司在人员、 资产、财务、 机构、业务等 方面相互独 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85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 亿投资（集 </w:t>
            </w:r>
            <w:r>
              <w:rPr>
                <w:rFonts w:ascii="宋体" w:hAnsi="宋体" w:cs="宋体" w:eastAsia="宋体" w:hint="default"/>
                <w:spacing w:val="-9"/>
                <w:sz w:val="18"/>
                <w:szCs w:val="18"/>
              </w:rPr>
              <w:t>团）有限公司</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上海美馨投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 亿资产管理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京世纪长河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业在本次重 大资产重组 中认购的江 苏三友非公 开发行股份， 自该等股份 登记至本人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本企业证券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2018-8-28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59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科技集团有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 大中咨询管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上海和途投 </w:t>
            </w:r>
            <w:r>
              <w:rPr>
                <w:rFonts w:ascii="宋体" w:hAnsi="宋体" w:cs="宋体" w:eastAsia="宋体" w:hint="default"/>
                <w:spacing w:val="-3"/>
                <w:sz w:val="18"/>
                <w:szCs w:val="18"/>
              </w:rPr>
              <w:t>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中卫成</w:t>
            </w:r>
            <w:r>
              <w:rPr>
                <w:rFonts w:ascii="宋体" w:hAnsi="宋体" w:cs="宋体" w:eastAsia="宋体" w:hint="default"/>
                <w:spacing w:val="-87"/>
                <w:sz w:val="18"/>
                <w:szCs w:val="18"/>
              </w:rPr>
              <w:t> </w:t>
            </w:r>
            <w:r>
              <w:rPr>
                <w:rFonts w:ascii="宋体" w:hAnsi="宋体" w:cs="宋体" w:eastAsia="宋体" w:hint="default"/>
                <w:spacing w:val="-2"/>
                <w:sz w:val="18"/>
                <w:szCs w:val="18"/>
              </w:rPr>
              <w:t>长（上海）创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徐可</w:t>
            </w:r>
            <w:r>
              <w:rPr>
                <w:rFonts w:ascii="Times New Roman" w:hAnsi="Times New Roman" w:cs="Times New Roman" w:eastAsia="Times New Roman" w:hint="default"/>
                <w:sz w:val="18"/>
                <w:szCs w:val="18"/>
              </w:rPr>
              <w:t>;</w:t>
            </w:r>
            <w:r>
              <w:rPr>
                <w:rFonts w:ascii="宋体" w:hAnsi="宋体" w:cs="宋体" w:eastAsia="宋体" w:hint="default"/>
                <w:sz w:val="18"/>
                <w:szCs w:val="18"/>
              </w:rPr>
              <w:t>高 伟</w:t>
            </w:r>
            <w:r>
              <w:rPr>
                <w:rFonts w:ascii="Times New Roman" w:hAnsi="Times New Roman" w:cs="Times New Roman" w:eastAsia="Times New Roman" w:hint="default"/>
                <w:sz w:val="18"/>
                <w:szCs w:val="18"/>
              </w:rPr>
              <w:t>;</w:t>
            </w:r>
            <w:r>
              <w:rPr>
                <w:rFonts w:ascii="宋体" w:hAnsi="宋体" w:cs="宋体" w:eastAsia="宋体" w:hint="default"/>
                <w:sz w:val="18"/>
                <w:szCs w:val="18"/>
              </w:rPr>
              <w:t>余继业</w:t>
            </w:r>
            <w:r>
              <w:rPr>
                <w:rFonts w:ascii="Times New Roman" w:hAnsi="Times New Roman" w:cs="Times New Roman" w:eastAsia="Times New Roman" w:hint="default"/>
                <w:sz w:val="18"/>
                <w:szCs w:val="18"/>
              </w:rPr>
              <w:t>;</w:t>
            </w:r>
            <w:r>
              <w:rPr>
                <w:rFonts w:ascii="宋体" w:hAnsi="宋体" w:cs="宋体" w:eastAsia="宋体" w:hint="default"/>
                <w:sz w:val="18"/>
                <w:szCs w:val="18"/>
              </w:rPr>
              <w:t>温 海彦</w:t>
            </w:r>
            <w:r>
              <w:rPr>
                <w:rFonts w:ascii="Times New Roman" w:hAnsi="Times New Roman" w:cs="Times New Roman" w:eastAsia="Times New Roman" w:hint="default"/>
                <w:sz w:val="18"/>
                <w:szCs w:val="18"/>
              </w:rPr>
              <w:t>;</w:t>
            </w:r>
            <w:r>
              <w:rPr>
                <w:rFonts w:ascii="宋体" w:hAnsi="宋体" w:cs="宋体" w:eastAsia="宋体" w:hint="default"/>
                <w:sz w:val="18"/>
                <w:szCs w:val="18"/>
              </w:rPr>
              <w:t>林琳</w:t>
            </w:r>
            <w:r>
              <w:rPr>
                <w:rFonts w:ascii="Times New Roman" w:hAnsi="Times New Roman" w:cs="Times New Roman" w:eastAsia="Times New Roman" w:hint="default"/>
                <w:sz w:val="18"/>
                <w:szCs w:val="18"/>
              </w:rPr>
              <w:t>;</w:t>
            </w:r>
            <w:r>
              <w:rPr>
                <w:rFonts w:ascii="宋体" w:hAnsi="宋体" w:cs="宋体" w:eastAsia="宋体" w:hint="default"/>
                <w:sz w:val="18"/>
                <w:szCs w:val="18"/>
              </w:rPr>
              <w:t>胡 波</w:t>
            </w:r>
            <w:r>
              <w:rPr>
                <w:rFonts w:ascii="Times New Roman" w:hAnsi="Times New Roman" w:cs="Times New Roman" w:eastAsia="Times New Roman" w:hint="default"/>
                <w:sz w:val="18"/>
                <w:szCs w:val="18"/>
              </w:rPr>
              <w:t>;</w:t>
            </w:r>
            <w:r>
              <w:rPr>
                <w:rFonts w:ascii="宋体" w:hAnsi="宋体" w:cs="宋体" w:eastAsia="宋体" w:hint="default"/>
                <w:sz w:val="18"/>
                <w:szCs w:val="18"/>
              </w:rPr>
              <w:t>太平人寿 保险有限公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上海京瑞 </w:t>
            </w:r>
            <w:r>
              <w:rPr>
                <w:rFonts w:ascii="宋体" w:hAnsi="宋体" w:cs="宋体" w:eastAsia="宋体" w:hint="default"/>
                <w:spacing w:val="-3"/>
                <w:sz w:val="18"/>
                <w:szCs w:val="18"/>
              </w:rPr>
              <w:t>投资中心（有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北京</w:t>
            </w:r>
            <w:r>
              <w:rPr>
                <w:rFonts w:ascii="宋体" w:hAnsi="宋体" w:cs="宋体" w:eastAsia="宋体" w:hint="default"/>
                <w:spacing w:val="-87"/>
                <w:sz w:val="18"/>
                <w:szCs w:val="18"/>
              </w:rPr>
              <w:t> </w:t>
            </w:r>
            <w:r>
              <w:rPr>
                <w:rFonts w:ascii="宋体" w:hAnsi="宋体" w:cs="宋体" w:eastAsia="宋体" w:hint="default"/>
                <w:sz w:val="18"/>
                <w:szCs w:val="18"/>
              </w:rPr>
              <w:t>信中利盈佳 股权投资中 心（有限合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苏州纪源</w:t>
            </w:r>
            <w:r>
              <w:rPr>
                <w:rFonts w:ascii="宋体" w:hAnsi="宋体" w:cs="宋体" w:eastAsia="宋体" w:hint="default"/>
                <w:spacing w:val="-87"/>
                <w:sz w:val="18"/>
                <w:szCs w:val="18"/>
              </w:rPr>
              <w:t> </w:t>
            </w:r>
            <w:r>
              <w:rPr>
                <w:rFonts w:ascii="宋体" w:hAnsi="宋体" w:cs="宋体" w:eastAsia="宋体" w:hint="default"/>
                <w:sz w:val="18"/>
                <w:szCs w:val="18"/>
              </w:rPr>
              <w:t>源星股权投 资合伙企业</w:t>
            </w:r>
          </w:p>
          <w:p>
            <w:pPr>
              <w:pStyle w:val="TableParagraph"/>
              <w:spacing w:line="307" w:lineRule="auto" w:before="24"/>
              <w:ind w:left="23" w:right="17"/>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叶莉</w:t>
            </w:r>
            <w:r>
              <w:rPr>
                <w:rFonts w:ascii="Times New Roman" w:hAnsi="Times New Roman" w:cs="Times New Roman" w:eastAsia="Times New Roman" w:hint="default"/>
                <w:sz w:val="18"/>
                <w:szCs w:val="18"/>
              </w:rPr>
              <w:t>;</w:t>
            </w:r>
            <w:r>
              <w:rPr>
                <w:rFonts w:ascii="宋体" w:hAnsi="宋体" w:cs="宋体" w:eastAsia="宋体" w:hint="default"/>
                <w:sz w:val="18"/>
                <w:szCs w:val="18"/>
              </w:rPr>
              <w:t>赵泽伟</w:t>
            </w:r>
            <w:r>
              <w:rPr>
                <w:rFonts w:ascii="Times New Roman" w:hAnsi="Times New Roman" w:cs="Times New Roman" w:eastAsia="Times New Roman" w:hint="default"/>
                <w:sz w:val="18"/>
                <w:szCs w:val="18"/>
              </w:rPr>
              <w:t>; </w:t>
            </w:r>
            <w:r>
              <w:rPr>
                <w:rFonts w:ascii="宋体" w:hAnsi="宋体" w:cs="宋体" w:eastAsia="宋体" w:hint="default"/>
                <w:sz w:val="18"/>
                <w:szCs w:val="18"/>
              </w:rPr>
              <w:t>陈向东</w:t>
            </w:r>
            <w:r>
              <w:rPr>
                <w:rFonts w:ascii="Times New Roman" w:hAnsi="Times New Roman" w:cs="Times New Roman" w:eastAsia="Times New Roman" w:hint="default"/>
                <w:sz w:val="18"/>
                <w:szCs w:val="18"/>
              </w:rPr>
              <w:t>;</w:t>
            </w:r>
            <w:r>
              <w:rPr>
                <w:rFonts w:ascii="宋体" w:hAnsi="宋体" w:cs="宋体" w:eastAsia="宋体" w:hint="default"/>
                <w:sz w:val="18"/>
                <w:szCs w:val="18"/>
              </w:rPr>
              <w:t>岳仍 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上海秉鸿 嘉豪投资发 </w:t>
            </w:r>
            <w:r>
              <w:rPr>
                <w:rFonts w:ascii="宋体" w:hAnsi="宋体" w:cs="宋体" w:eastAsia="宋体" w:hint="default"/>
                <w:spacing w:val="-2"/>
                <w:sz w:val="18"/>
                <w:szCs w:val="18"/>
              </w:rPr>
              <w:t>展中心（有限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戚克 栴</w:t>
            </w:r>
            <w:r>
              <w:rPr>
                <w:rFonts w:ascii="Times New Roman" w:hAnsi="Times New Roman" w:cs="Times New Roman" w:eastAsia="Times New Roman" w:hint="default"/>
                <w:sz w:val="18"/>
                <w:szCs w:val="18"/>
              </w:rPr>
              <w:t>;</w:t>
            </w:r>
            <w:r>
              <w:rPr>
                <w:rFonts w:ascii="宋体" w:hAnsi="宋体" w:cs="宋体" w:eastAsia="宋体" w:hint="default"/>
                <w:sz w:val="18"/>
                <w:szCs w:val="18"/>
              </w:rPr>
              <w:t>孙彤</w:t>
            </w:r>
            <w:r>
              <w:rPr>
                <w:rFonts w:ascii="Times New Roman" w:hAnsi="Times New Roman" w:cs="Times New Roman" w:eastAsia="Times New Roman" w:hint="default"/>
                <w:sz w:val="18"/>
                <w:szCs w:val="18"/>
              </w:rPr>
              <w:t>;</w:t>
            </w:r>
            <w:r>
              <w:rPr>
                <w:rFonts w:ascii="宋体" w:hAnsi="宋体" w:cs="宋体" w:eastAsia="宋体" w:hint="default"/>
                <w:sz w:val="18"/>
                <w:szCs w:val="18"/>
              </w:rPr>
              <w:t>李林</w:t>
            </w:r>
            <w:r>
              <w:rPr>
                <w:rFonts w:ascii="Times New Roman" w:hAnsi="Times New Roman" w:cs="Times New Roman" w:eastAsia="Times New Roman" w:hint="default"/>
                <w:sz w:val="18"/>
                <w:szCs w:val="18"/>
              </w:rPr>
              <w:t>; </w:t>
            </w:r>
            <w:r>
              <w:rPr>
                <w:rFonts w:ascii="宋体" w:hAnsi="宋体" w:cs="宋体" w:eastAsia="宋体" w:hint="default"/>
                <w:sz w:val="18"/>
                <w:szCs w:val="18"/>
              </w:rPr>
              <w:t>河南秉鸿生 物高新技术 创业投资有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张瑞 霞</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账户之日起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 次重大资产 重组完成后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个月内如江 苏三友股票 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价低于发行 价，或者交易 完成后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期末收盘价 低于发行价 </w:t>
            </w:r>
            <w:r>
              <w:rPr>
                <w:rFonts w:ascii="宋体" w:hAnsi="宋体" w:cs="宋体" w:eastAsia="宋体" w:hint="default"/>
                <w:spacing w:val="-9"/>
                <w:sz w:val="18"/>
                <w:szCs w:val="18"/>
              </w:rPr>
              <w:t>的，本人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本企</w:t>
            </w:r>
            <w:r>
              <w:rPr>
                <w:rFonts w:ascii="宋体" w:hAnsi="宋体" w:cs="宋体" w:eastAsia="宋体" w:hint="default"/>
                <w:spacing w:val="-87"/>
                <w:sz w:val="18"/>
                <w:szCs w:val="18"/>
              </w:rPr>
              <w:t> </w:t>
            </w:r>
            <w:r>
              <w:rPr>
                <w:rFonts w:ascii="宋体" w:hAnsi="宋体" w:cs="宋体" w:eastAsia="宋体" w:hint="default"/>
                <w:sz w:val="18"/>
                <w:szCs w:val="18"/>
              </w:rPr>
              <w:t>业持有江苏 三友股票的 锁定期自动</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张学富</w:t>
            </w:r>
            <w:r>
              <w:rPr>
                <w:rFonts w:ascii="Times New Roman" w:hAnsi="Times New Roman" w:cs="Times New Roman" w:eastAsia="Times New Roman" w:hint="default"/>
                <w:sz w:val="18"/>
                <w:szCs w:val="18"/>
              </w:rPr>
              <w:t>;</w:t>
            </w:r>
            <w:r>
              <w:rPr>
                <w:rFonts w:ascii="宋体" w:hAnsi="宋体" w:cs="宋体" w:eastAsia="宋体" w:hint="default"/>
                <w:sz w:val="18"/>
                <w:szCs w:val="18"/>
              </w:rPr>
              <w:t>林锦 盘</w:t>
            </w:r>
            <w:r>
              <w:rPr>
                <w:rFonts w:ascii="Times New Roman" w:hAnsi="Times New Roman" w:cs="Times New Roman" w:eastAsia="Times New Roman" w:hint="default"/>
                <w:sz w:val="18"/>
                <w:szCs w:val="18"/>
              </w:rPr>
              <w:t>;</w:t>
            </w:r>
            <w:r>
              <w:rPr>
                <w:rFonts w:ascii="宋体" w:hAnsi="宋体" w:cs="宋体" w:eastAsia="宋体" w:hint="default"/>
                <w:sz w:val="18"/>
                <w:szCs w:val="18"/>
              </w:rPr>
              <w:t>相培恒</w:t>
            </w:r>
            <w:r>
              <w:rPr>
                <w:rFonts w:ascii="Times New Roman" w:hAnsi="Times New Roman" w:cs="Times New Roman" w:eastAsia="Times New Roman" w:hint="default"/>
                <w:sz w:val="18"/>
                <w:szCs w:val="18"/>
              </w:rPr>
              <w:t>;</w:t>
            </w:r>
            <w:r>
              <w:rPr>
                <w:rFonts w:ascii="宋体" w:hAnsi="宋体" w:cs="宋体" w:eastAsia="宋体" w:hint="default"/>
                <w:sz w:val="18"/>
                <w:szCs w:val="18"/>
              </w:rPr>
              <w:t>闫 丽宣</w:t>
            </w:r>
            <w:r>
              <w:rPr>
                <w:rFonts w:ascii="Times New Roman" w:hAnsi="Times New Roman" w:cs="Times New Roman" w:eastAsia="Times New Roman" w:hint="default"/>
                <w:sz w:val="18"/>
                <w:szCs w:val="18"/>
              </w:rPr>
              <w:t>;</w:t>
            </w:r>
            <w:r>
              <w:rPr>
                <w:rFonts w:ascii="宋体" w:hAnsi="宋体" w:cs="宋体" w:eastAsia="宋体" w:hint="default"/>
                <w:sz w:val="18"/>
                <w:szCs w:val="18"/>
              </w:rPr>
              <w:t>段泽彪</w:t>
            </w:r>
            <w:r>
              <w:rPr>
                <w:rFonts w:ascii="Times New Roman" w:hAnsi="Times New Roman" w:cs="Times New Roman" w:eastAsia="Times New Roman" w:hint="default"/>
                <w:sz w:val="18"/>
                <w:szCs w:val="18"/>
              </w:rPr>
              <w:t>; </w:t>
            </w:r>
            <w:r>
              <w:rPr>
                <w:rFonts w:ascii="宋体" w:hAnsi="宋体" w:cs="宋体" w:eastAsia="宋体" w:hint="default"/>
                <w:sz w:val="18"/>
                <w:szCs w:val="18"/>
              </w:rPr>
              <w:t>罗彤</w:t>
            </w:r>
            <w:r>
              <w:rPr>
                <w:rFonts w:ascii="Times New Roman" w:hAnsi="Times New Roman" w:cs="Times New Roman" w:eastAsia="Times New Roman" w:hint="default"/>
                <w:sz w:val="18"/>
                <w:szCs w:val="18"/>
              </w:rPr>
              <w:t>;</w:t>
            </w:r>
            <w:r>
              <w:rPr>
                <w:rFonts w:ascii="宋体" w:hAnsi="宋体" w:cs="宋体" w:eastAsia="宋体" w:hint="default"/>
                <w:sz w:val="18"/>
                <w:szCs w:val="18"/>
              </w:rPr>
              <w:t>张宇</w:t>
            </w:r>
            <w:r>
              <w:rPr>
                <w:rFonts w:ascii="Times New Roman" w:hAnsi="Times New Roman" w:cs="Times New Roman" w:eastAsia="Times New Roman" w:hint="default"/>
                <w:sz w:val="18"/>
                <w:szCs w:val="18"/>
              </w:rPr>
              <w:t>;</w:t>
            </w:r>
            <w:r>
              <w:rPr>
                <w:rFonts w:ascii="宋体" w:hAnsi="宋体" w:cs="宋体" w:eastAsia="宋体" w:hint="default"/>
                <w:sz w:val="18"/>
                <w:szCs w:val="18"/>
              </w:rPr>
              <w:t>李 翔</w:t>
            </w:r>
            <w:r>
              <w:rPr>
                <w:rFonts w:ascii="Times New Roman" w:hAnsi="Times New Roman" w:cs="Times New Roman" w:eastAsia="Times New Roman" w:hint="default"/>
                <w:sz w:val="18"/>
                <w:szCs w:val="18"/>
              </w:rPr>
              <w:t>;</w:t>
            </w:r>
            <w:r>
              <w:rPr>
                <w:rFonts w:ascii="宋体" w:hAnsi="宋体" w:cs="宋体" w:eastAsia="宋体" w:hint="default"/>
                <w:sz w:val="18"/>
                <w:szCs w:val="18"/>
              </w:rPr>
              <w:t>李若琳</w:t>
            </w:r>
            <w:r>
              <w:rPr>
                <w:rFonts w:ascii="Times New Roman" w:hAnsi="Times New Roman" w:cs="Times New Roman" w:eastAsia="Times New Roman" w:hint="default"/>
                <w:sz w:val="18"/>
                <w:szCs w:val="18"/>
              </w:rPr>
              <w:t>;</w:t>
            </w:r>
            <w:r>
              <w:rPr>
                <w:rFonts w:ascii="宋体" w:hAnsi="宋体" w:cs="宋体" w:eastAsia="宋体" w:hint="default"/>
                <w:sz w:val="18"/>
                <w:szCs w:val="18"/>
              </w:rPr>
              <w:t>喻 琰</w:t>
            </w:r>
            <w:r>
              <w:rPr>
                <w:rFonts w:ascii="Times New Roman" w:hAnsi="Times New Roman" w:cs="Times New Roman" w:eastAsia="Times New Roman" w:hint="default"/>
                <w:sz w:val="18"/>
                <w:szCs w:val="18"/>
              </w:rPr>
              <w:t>;</w:t>
            </w:r>
            <w:r>
              <w:rPr>
                <w:rFonts w:ascii="宋体" w:hAnsi="宋体" w:cs="宋体" w:eastAsia="宋体" w:hint="default"/>
                <w:sz w:val="18"/>
                <w:szCs w:val="18"/>
              </w:rPr>
              <w:t>李铁军</w:t>
            </w:r>
            <w:r>
              <w:rPr>
                <w:rFonts w:ascii="Times New Roman" w:hAnsi="Times New Roman" w:cs="Times New Roman" w:eastAsia="Times New Roman" w:hint="default"/>
                <w:sz w:val="18"/>
                <w:szCs w:val="18"/>
              </w:rPr>
              <w:t>;</w:t>
            </w:r>
            <w:r>
              <w:rPr>
                <w:rFonts w:ascii="宋体" w:hAnsi="宋体" w:cs="宋体" w:eastAsia="宋体" w:hint="default"/>
                <w:sz w:val="18"/>
                <w:szCs w:val="18"/>
              </w:rPr>
              <w:t>蒋 京湘</w:t>
            </w:r>
            <w:r>
              <w:rPr>
                <w:rFonts w:ascii="Times New Roman" w:hAnsi="Times New Roman" w:cs="Times New Roman" w:eastAsia="Times New Roman" w:hint="default"/>
                <w:sz w:val="18"/>
                <w:szCs w:val="18"/>
              </w:rPr>
              <w:t>;</w:t>
            </w:r>
            <w:r>
              <w:rPr>
                <w:rFonts w:ascii="宋体" w:hAnsi="宋体" w:cs="宋体" w:eastAsia="宋体" w:hint="default"/>
                <w:sz w:val="18"/>
                <w:szCs w:val="18"/>
              </w:rPr>
              <w:t>邓小俊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8"/>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业在本次重 大资产重组 中认购的江 苏三友非公 开发行股份， 自该等股份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5"/>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344.689972pt;width:61.8pt;height:194.1pt;mso-position-horizontal-relative:page;mso-position-vertical-relative:page;z-index:-1401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344.689972pt;width:55.8pt;height:194.1pt;mso-position-horizontal-relative:page;mso-position-vertical-relative:page;z-index:-1401376" coordorigin="7353,6894" coordsize="1116,3882">
            <v:shape style="position:absolute;left:7353;top:6894;width:1116;height:3882" coordorigin="7353,6894" coordsize="1116,3882" path="m7353,10775l8469,10775,8469,6894,7353,6894,7353,1077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登记至本人</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账户之日起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进行转让。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36"/>
              <w:jc w:val="left"/>
              <w:rPr>
                <w:rFonts w:ascii="宋体" w:hAnsi="宋体" w:cs="宋体" w:eastAsia="宋体" w:hint="default"/>
                <w:sz w:val="18"/>
                <w:szCs w:val="18"/>
              </w:rPr>
            </w:pPr>
            <w:r>
              <w:rPr>
                <w:rFonts w:ascii="宋体" w:hAnsi="宋体" w:cs="宋体" w:eastAsia="宋体" w:hint="default"/>
                <w:sz w:val="18"/>
                <w:szCs w:val="18"/>
              </w:rPr>
              <w:t>朱玉华</w:t>
            </w:r>
            <w:r>
              <w:rPr>
                <w:rFonts w:ascii="Times New Roman" w:hAnsi="Times New Roman" w:cs="Times New Roman" w:eastAsia="Times New Roman" w:hint="default"/>
                <w:sz w:val="18"/>
                <w:szCs w:val="18"/>
              </w:rPr>
              <w:t>;</w:t>
            </w:r>
            <w:r>
              <w:rPr>
                <w:rFonts w:ascii="宋体" w:hAnsi="宋体" w:cs="宋体" w:eastAsia="宋体" w:hint="default"/>
                <w:sz w:val="18"/>
                <w:szCs w:val="18"/>
              </w:rPr>
              <w:t>付桂 珍</w:t>
            </w:r>
            <w:r>
              <w:rPr>
                <w:rFonts w:ascii="Times New Roman" w:hAnsi="Times New Roman" w:cs="Times New Roman" w:eastAsia="Times New Roman" w:hint="default"/>
                <w:sz w:val="18"/>
                <w:szCs w:val="18"/>
              </w:rPr>
              <w:t>;</w:t>
            </w:r>
            <w:r>
              <w:rPr>
                <w:rFonts w:ascii="宋体" w:hAnsi="宋体" w:cs="宋体" w:eastAsia="宋体" w:hint="default"/>
                <w:sz w:val="18"/>
                <w:szCs w:val="18"/>
              </w:rPr>
              <w:t>秦阳</w:t>
            </w:r>
            <w:r>
              <w:rPr>
                <w:rFonts w:ascii="Times New Roman" w:hAnsi="Times New Roman" w:cs="Times New Roman" w:eastAsia="Times New Roman" w:hint="default"/>
                <w:sz w:val="18"/>
                <w:szCs w:val="18"/>
              </w:rPr>
              <w:t>;</w:t>
            </w:r>
            <w:r>
              <w:rPr>
                <w:rFonts w:ascii="宋体" w:hAnsi="宋体" w:cs="宋体" w:eastAsia="宋体" w:hint="default"/>
                <w:sz w:val="18"/>
                <w:szCs w:val="18"/>
              </w:rPr>
              <w:t>王织</w:t>
            </w:r>
            <w:r>
              <w:rPr>
                <w:rFonts w:ascii="Times New Roman" w:hAnsi="Times New Roman" w:cs="Times New Roman" w:eastAsia="Times New Roman" w:hint="default"/>
                <w:sz w:val="18"/>
                <w:szCs w:val="18"/>
              </w:rPr>
              <w:t>; </w:t>
            </w:r>
            <w:r>
              <w:rPr>
                <w:rFonts w:ascii="宋体" w:hAnsi="宋体" w:cs="宋体" w:eastAsia="宋体" w:hint="default"/>
                <w:sz w:val="18"/>
                <w:szCs w:val="18"/>
              </w:rPr>
              <w:t>丁子</w:t>
            </w:r>
            <w:r>
              <w:rPr>
                <w:rFonts w:ascii="Times New Roman" w:hAnsi="Times New Roman" w:cs="Times New Roman" w:eastAsia="Times New Roman" w:hint="default"/>
                <w:sz w:val="18"/>
                <w:szCs w:val="18"/>
              </w:rPr>
              <w:t>;</w:t>
            </w:r>
            <w:r>
              <w:rPr>
                <w:rFonts w:ascii="宋体" w:hAnsi="宋体" w:cs="宋体" w:eastAsia="宋体" w:hint="default"/>
                <w:sz w:val="18"/>
                <w:szCs w:val="18"/>
              </w:rPr>
              <w:t>邹炎平</w:t>
            </w:r>
            <w:r>
              <w:rPr>
                <w:rFonts w:ascii="Times New Roman" w:hAnsi="Times New Roman" w:cs="Times New Roman" w:eastAsia="Times New Roman" w:hint="default"/>
                <w:sz w:val="18"/>
                <w:szCs w:val="18"/>
              </w:rPr>
              <w:t>; </w:t>
            </w:r>
            <w:r>
              <w:rPr>
                <w:rFonts w:ascii="宋体" w:hAnsi="宋体" w:cs="宋体" w:eastAsia="宋体" w:hint="default"/>
                <w:sz w:val="18"/>
                <w:szCs w:val="18"/>
              </w:rPr>
              <w:t>骞虹</w:t>
            </w:r>
            <w:r>
              <w:rPr>
                <w:rFonts w:ascii="Times New Roman" w:hAnsi="Times New Roman" w:cs="Times New Roman" w:eastAsia="Times New Roman" w:hint="default"/>
                <w:sz w:val="18"/>
                <w:szCs w:val="18"/>
              </w:rPr>
              <w:t>;</w:t>
            </w:r>
            <w:r>
              <w:rPr>
                <w:rFonts w:ascii="宋体" w:hAnsi="宋体" w:cs="宋体" w:eastAsia="宋体" w:hint="default"/>
                <w:sz w:val="18"/>
                <w:szCs w:val="18"/>
              </w:rPr>
              <w:t>陈冷穆</w:t>
            </w:r>
            <w:r>
              <w:rPr>
                <w:rFonts w:ascii="Times New Roman" w:hAnsi="Times New Roman" w:cs="Times New Roman" w:eastAsia="Times New Roman" w:hint="default"/>
                <w:sz w:val="18"/>
                <w:szCs w:val="18"/>
              </w:rPr>
              <w:t>; </w:t>
            </w:r>
            <w:r>
              <w:rPr>
                <w:rFonts w:ascii="宋体" w:hAnsi="宋体" w:cs="宋体" w:eastAsia="宋体" w:hint="default"/>
                <w:sz w:val="18"/>
                <w:szCs w:val="18"/>
              </w:rPr>
              <w:t>张俊斌</w:t>
            </w:r>
            <w:r>
              <w:rPr>
                <w:rFonts w:ascii="Times New Roman" w:hAnsi="Times New Roman" w:cs="Times New Roman" w:eastAsia="Times New Roman" w:hint="default"/>
                <w:sz w:val="18"/>
                <w:szCs w:val="18"/>
              </w:rPr>
              <w:t>;</w:t>
            </w:r>
            <w:r>
              <w:rPr>
                <w:rFonts w:ascii="宋体" w:hAnsi="宋体" w:cs="宋体" w:eastAsia="宋体" w:hint="default"/>
                <w:sz w:val="18"/>
                <w:szCs w:val="18"/>
              </w:rPr>
              <w:t>宋启 军</w:t>
            </w:r>
            <w:r>
              <w:rPr>
                <w:rFonts w:ascii="Times New Roman" w:hAnsi="Times New Roman" w:cs="Times New Roman" w:eastAsia="Times New Roman" w:hint="default"/>
                <w:sz w:val="18"/>
                <w:szCs w:val="18"/>
              </w:rPr>
              <w:t>;</w:t>
            </w:r>
            <w:r>
              <w:rPr>
                <w:rFonts w:ascii="宋体" w:hAnsi="宋体" w:cs="宋体" w:eastAsia="宋体" w:hint="default"/>
                <w:sz w:val="18"/>
                <w:szCs w:val="18"/>
              </w:rPr>
              <w:t>周瑞山</w:t>
            </w:r>
            <w:r>
              <w:rPr>
                <w:rFonts w:ascii="Times New Roman" w:hAnsi="Times New Roman" w:cs="Times New Roman" w:eastAsia="Times New Roman" w:hint="default"/>
                <w:sz w:val="18"/>
                <w:szCs w:val="18"/>
              </w:rPr>
              <w:t>;</w:t>
            </w:r>
            <w:r>
              <w:rPr>
                <w:rFonts w:ascii="宋体" w:hAnsi="宋体" w:cs="宋体" w:eastAsia="宋体" w:hint="default"/>
                <w:sz w:val="18"/>
                <w:szCs w:val="18"/>
              </w:rPr>
              <w:t>马 国庆</w:t>
            </w:r>
            <w:r>
              <w:rPr>
                <w:rFonts w:ascii="Times New Roman" w:hAnsi="Times New Roman" w:cs="Times New Roman" w:eastAsia="Times New Roman" w:hint="default"/>
                <w:sz w:val="18"/>
                <w:szCs w:val="18"/>
              </w:rPr>
              <w:t>;</w:t>
            </w:r>
            <w:r>
              <w:rPr>
                <w:rFonts w:ascii="宋体" w:hAnsi="宋体" w:cs="宋体" w:eastAsia="宋体" w:hint="default"/>
                <w:sz w:val="18"/>
                <w:szCs w:val="18"/>
              </w:rPr>
              <w:t>和小东</w:t>
            </w:r>
            <w:r>
              <w:rPr>
                <w:rFonts w:ascii="Times New Roman" w:hAnsi="Times New Roman" w:cs="Times New Roman" w:eastAsia="Times New Roman" w:hint="default"/>
                <w:sz w:val="18"/>
                <w:szCs w:val="18"/>
              </w:rPr>
              <w:t>; </w:t>
            </w:r>
            <w:r>
              <w:rPr>
                <w:rFonts w:ascii="宋体" w:hAnsi="宋体" w:cs="宋体" w:eastAsia="宋体" w:hint="default"/>
                <w:sz w:val="18"/>
                <w:szCs w:val="18"/>
              </w:rPr>
              <w:t>杨翠英</w:t>
            </w:r>
            <w:r>
              <w:rPr>
                <w:rFonts w:ascii="Times New Roman" w:hAnsi="Times New Roman" w:cs="Times New Roman" w:eastAsia="Times New Roman" w:hint="default"/>
                <w:sz w:val="18"/>
                <w:szCs w:val="18"/>
              </w:rPr>
              <w:t>;</w:t>
            </w:r>
            <w:r>
              <w:rPr>
                <w:rFonts w:ascii="宋体" w:hAnsi="宋体" w:cs="宋体" w:eastAsia="宋体" w:hint="default"/>
                <w:sz w:val="18"/>
                <w:szCs w:val="18"/>
              </w:rPr>
              <w:t>李斌</w:t>
            </w:r>
            <w:r>
              <w:rPr>
                <w:rFonts w:ascii="Times New Roman" w:hAnsi="Times New Roman" w:cs="Times New Roman" w:eastAsia="Times New Roman" w:hint="default"/>
                <w:sz w:val="18"/>
                <w:szCs w:val="18"/>
              </w:rPr>
              <w:t>; </w:t>
            </w:r>
            <w:r>
              <w:rPr>
                <w:rFonts w:ascii="宋体" w:hAnsi="宋体" w:cs="宋体" w:eastAsia="宋体" w:hint="default"/>
                <w:sz w:val="18"/>
                <w:szCs w:val="18"/>
              </w:rPr>
              <w:t>刘群新</w:t>
            </w:r>
            <w:r>
              <w:rPr>
                <w:rFonts w:ascii="Times New Roman" w:hAnsi="Times New Roman" w:cs="Times New Roman" w:eastAsia="Times New Roman" w:hint="default"/>
                <w:sz w:val="18"/>
                <w:szCs w:val="18"/>
              </w:rPr>
              <w:t>;</w:t>
            </w:r>
            <w:r>
              <w:rPr>
                <w:rFonts w:ascii="宋体" w:hAnsi="宋体" w:cs="宋体" w:eastAsia="宋体" w:hint="default"/>
                <w:sz w:val="18"/>
                <w:szCs w:val="18"/>
              </w:rPr>
              <w:t>陈忠 桥</w:t>
            </w:r>
            <w:r>
              <w:rPr>
                <w:rFonts w:ascii="Times New Roman" w:hAnsi="Times New Roman" w:cs="Times New Roman" w:eastAsia="Times New Roman" w:hint="default"/>
                <w:sz w:val="18"/>
                <w:szCs w:val="18"/>
              </w:rPr>
              <w:t>;</w:t>
            </w:r>
            <w:r>
              <w:rPr>
                <w:rFonts w:ascii="宋体" w:hAnsi="宋体" w:cs="宋体" w:eastAsia="宋体" w:hint="default"/>
                <w:sz w:val="18"/>
                <w:szCs w:val="18"/>
              </w:rPr>
              <w:t>陈萍</w:t>
            </w:r>
            <w:r>
              <w:rPr>
                <w:rFonts w:ascii="Times New Roman" w:hAnsi="Times New Roman" w:cs="Times New Roman" w:eastAsia="Times New Roman" w:hint="default"/>
                <w:sz w:val="18"/>
                <w:szCs w:val="18"/>
              </w:rPr>
              <w:t>;</w:t>
            </w:r>
            <w:r>
              <w:rPr>
                <w:rFonts w:ascii="宋体" w:hAnsi="宋体" w:cs="宋体" w:eastAsia="宋体" w:hint="default"/>
                <w:sz w:val="18"/>
                <w:szCs w:val="18"/>
              </w:rPr>
              <w:t>吴宾</w:t>
            </w:r>
            <w:r>
              <w:rPr>
                <w:rFonts w:ascii="Times New Roman" w:hAnsi="Times New Roman" w:cs="Times New Roman" w:eastAsia="Times New Roman" w:hint="default"/>
                <w:sz w:val="18"/>
                <w:szCs w:val="18"/>
              </w:rPr>
              <w:t>; </w:t>
            </w:r>
            <w:r>
              <w:rPr>
                <w:rFonts w:ascii="宋体" w:hAnsi="宋体" w:cs="宋体" w:eastAsia="宋体" w:hint="default"/>
                <w:sz w:val="18"/>
                <w:szCs w:val="18"/>
              </w:rPr>
              <w:t>刘相国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业在本次重 大资产重组 中认购的江 苏三友非公 开发行股份， 自该等股份 登记至本人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本企业证券 账户之日起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进行转让。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2016-08-28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业在本次重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大资产重组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中认购的江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苏三友非公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自该等股份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登记至本人</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809"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3" w:right="86"/>
              <w:jc w:val="both"/>
              <w:rPr>
                <w:rFonts w:ascii="宋体" w:hAnsi="宋体" w:cs="宋体" w:eastAsia="宋体" w:hint="default"/>
                <w:sz w:val="18"/>
                <w:szCs w:val="18"/>
              </w:rPr>
            </w:pPr>
            <w:r>
              <w:rPr>
                <w:rFonts w:ascii="宋体" w:hAnsi="宋体" w:cs="宋体" w:eastAsia="宋体" w:hint="default"/>
                <w:sz w:val="18"/>
                <w:szCs w:val="18"/>
              </w:rPr>
              <w:t>何敏</w:t>
            </w:r>
            <w:r>
              <w:rPr>
                <w:rFonts w:ascii="Times New Roman" w:hAnsi="Times New Roman" w:cs="Times New Roman" w:eastAsia="Times New Roman" w:hint="default"/>
                <w:sz w:val="18"/>
                <w:szCs w:val="18"/>
              </w:rPr>
              <w:t>;</w:t>
            </w:r>
            <w:r>
              <w:rPr>
                <w:rFonts w:ascii="宋体" w:hAnsi="宋体" w:cs="宋体" w:eastAsia="宋体" w:hint="default"/>
                <w:sz w:val="18"/>
                <w:szCs w:val="18"/>
              </w:rPr>
              <w:t>董玉国</w:t>
            </w:r>
            <w:r>
              <w:rPr>
                <w:rFonts w:ascii="Times New Roman" w:hAnsi="Times New Roman" w:cs="Times New Roman" w:eastAsia="Times New Roman" w:hint="default"/>
                <w:sz w:val="18"/>
                <w:szCs w:val="18"/>
              </w:rPr>
              <w:t>; </w:t>
            </w:r>
            <w:r>
              <w:rPr>
                <w:rFonts w:ascii="宋体" w:hAnsi="宋体" w:cs="宋体" w:eastAsia="宋体" w:hint="default"/>
                <w:sz w:val="18"/>
                <w:szCs w:val="18"/>
              </w:rPr>
              <w:t>张建平</w:t>
            </w:r>
            <w:r>
              <w:rPr>
                <w:rFonts w:ascii="Times New Roman" w:hAnsi="Times New Roman" w:cs="Times New Roman" w:eastAsia="Times New Roman" w:hint="default"/>
                <w:sz w:val="18"/>
                <w:szCs w:val="18"/>
              </w:rPr>
              <w:t>;</w:t>
            </w:r>
            <w:r>
              <w:rPr>
                <w:rFonts w:ascii="宋体" w:hAnsi="宋体" w:cs="宋体" w:eastAsia="宋体" w:hint="default"/>
                <w:sz w:val="18"/>
                <w:szCs w:val="18"/>
              </w:rPr>
              <w:t>李磊</w:t>
            </w:r>
            <w:r>
              <w:rPr>
                <w:rFonts w:ascii="Times New Roman" w:hAnsi="Times New Roman" w:cs="Times New Roman" w:eastAsia="Times New Roman" w:hint="default"/>
                <w:sz w:val="18"/>
                <w:szCs w:val="18"/>
              </w:rPr>
              <w:t>; </w:t>
            </w:r>
            <w:r>
              <w:rPr>
                <w:rFonts w:ascii="宋体" w:hAnsi="宋体" w:cs="宋体" w:eastAsia="宋体" w:hint="default"/>
                <w:sz w:val="18"/>
                <w:szCs w:val="18"/>
              </w:rPr>
              <w:t>余清</w:t>
            </w:r>
            <w:r>
              <w:rPr>
                <w:rFonts w:ascii="Times New Roman" w:hAnsi="Times New Roman" w:cs="Times New Roman" w:eastAsia="Times New Roman" w:hint="default"/>
                <w:sz w:val="18"/>
                <w:szCs w:val="18"/>
              </w:rPr>
              <w:t>;</w:t>
            </w:r>
            <w:r>
              <w:rPr>
                <w:rFonts w:ascii="宋体" w:hAnsi="宋体" w:cs="宋体" w:eastAsia="宋体" w:hint="default"/>
                <w:sz w:val="18"/>
                <w:szCs w:val="18"/>
              </w:rPr>
              <w:t>卫东</w:t>
            </w:r>
            <w:r>
              <w:rPr>
                <w:rFonts w:ascii="Times New Roman" w:hAnsi="Times New Roman" w:cs="Times New Roman" w:eastAsia="Times New Roman" w:hint="default"/>
                <w:sz w:val="18"/>
                <w:szCs w:val="18"/>
              </w:rPr>
              <w:t>;</w:t>
            </w:r>
            <w:r>
              <w:rPr>
                <w:rFonts w:ascii="宋体" w:hAnsi="宋体" w:cs="宋体" w:eastAsia="宋体" w:hint="default"/>
                <w:sz w:val="18"/>
                <w:szCs w:val="18"/>
              </w:rPr>
              <w:t>刘 聚涛</w:t>
            </w:r>
            <w:r>
              <w:rPr>
                <w:rFonts w:ascii="Times New Roman" w:hAnsi="Times New Roman" w:cs="Times New Roman" w:eastAsia="Times New Roman" w:hint="default"/>
                <w:sz w:val="18"/>
                <w:szCs w:val="18"/>
              </w:rPr>
              <w:t>;</w:t>
            </w:r>
            <w:r>
              <w:rPr>
                <w:rFonts w:ascii="宋体" w:hAnsi="宋体" w:cs="宋体" w:eastAsia="宋体" w:hint="default"/>
                <w:sz w:val="18"/>
                <w:szCs w:val="18"/>
              </w:rPr>
              <w:t>滕娆</w:t>
            </w:r>
            <w:r>
              <w:rPr>
                <w:rFonts w:ascii="Times New Roman" w:hAnsi="Times New Roman" w:cs="Times New Roman" w:eastAsia="Times New Roman" w:hint="default"/>
                <w:sz w:val="18"/>
                <w:szCs w:val="18"/>
              </w:rPr>
              <w:t>;</w:t>
            </w:r>
            <w:r>
              <w:rPr>
                <w:rFonts w:ascii="宋体" w:hAnsi="宋体" w:cs="宋体" w:eastAsia="宋体" w:hint="default"/>
                <w:sz w:val="18"/>
                <w:szCs w:val="18"/>
              </w:rPr>
              <w:t>叶 春英</w:t>
            </w:r>
            <w:r>
              <w:rPr>
                <w:rFonts w:ascii="Times New Roman" w:hAnsi="Times New Roman" w:cs="Times New Roman" w:eastAsia="Times New Roman" w:hint="default"/>
                <w:sz w:val="18"/>
                <w:szCs w:val="18"/>
              </w:rPr>
              <w:t>;</w:t>
            </w:r>
            <w:r>
              <w:rPr>
                <w:rFonts w:ascii="宋体" w:hAnsi="宋体" w:cs="宋体" w:eastAsia="宋体" w:hint="default"/>
                <w:sz w:val="18"/>
                <w:szCs w:val="18"/>
              </w:rPr>
              <w:t>陈志超</w:t>
            </w:r>
            <w:r>
              <w:rPr>
                <w:rFonts w:ascii="Times New Roman" w:hAnsi="Times New Roman" w:cs="Times New Roman" w:eastAsia="Times New Roman" w:hint="default"/>
                <w:sz w:val="18"/>
                <w:szCs w:val="18"/>
              </w:rPr>
              <w:t>; </w:t>
            </w:r>
            <w:r>
              <w:rPr>
                <w:rFonts w:ascii="宋体" w:hAnsi="宋体" w:cs="宋体" w:eastAsia="宋体" w:hint="default"/>
                <w:sz w:val="18"/>
                <w:szCs w:val="18"/>
              </w:rPr>
              <w:t>朱桂芳</w:t>
            </w:r>
            <w:r>
              <w:rPr>
                <w:rFonts w:ascii="Times New Roman" w:hAnsi="Times New Roman" w:cs="Times New Roman" w:eastAsia="Times New Roman" w:hint="default"/>
                <w:sz w:val="18"/>
                <w:szCs w:val="18"/>
              </w:rPr>
              <w:t>;</w:t>
            </w:r>
            <w:r>
              <w:rPr>
                <w:rFonts w:ascii="宋体" w:hAnsi="宋体" w:cs="宋体" w:eastAsia="宋体" w:hint="default"/>
                <w:sz w:val="18"/>
                <w:szCs w:val="18"/>
              </w:rPr>
              <w:t>雷兴 雨</w:t>
            </w:r>
            <w:r>
              <w:rPr>
                <w:rFonts w:ascii="Times New Roman" w:hAnsi="Times New Roman" w:cs="Times New Roman" w:eastAsia="Times New Roman" w:hint="default"/>
                <w:sz w:val="18"/>
                <w:szCs w:val="18"/>
              </w:rPr>
              <w:t>;</w:t>
            </w:r>
            <w:r>
              <w:rPr>
                <w:rFonts w:ascii="宋体" w:hAnsi="宋体" w:cs="宋体" w:eastAsia="宋体" w:hint="default"/>
                <w:sz w:val="18"/>
                <w:szCs w:val="18"/>
              </w:rPr>
              <w:t>许建兵</w:t>
            </w:r>
            <w:r>
              <w:rPr>
                <w:rFonts w:ascii="Times New Roman" w:hAnsi="Times New Roman" w:cs="Times New Roman" w:eastAsia="Times New Roman" w:hint="default"/>
                <w:sz w:val="18"/>
                <w:szCs w:val="18"/>
              </w:rPr>
              <w:t>;</w:t>
            </w:r>
            <w:r>
              <w:rPr>
                <w:rFonts w:ascii="宋体" w:hAnsi="宋体" w:cs="宋体" w:eastAsia="宋体" w:hint="default"/>
                <w:sz w:val="18"/>
                <w:szCs w:val="18"/>
              </w:rPr>
              <w:t>王 景安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账户之日起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进行转让。</w:t>
            </w:r>
            <w:r>
              <w:rPr>
                <w:rFonts w:ascii="Times New Roman" w:hAnsi="Times New Roman" w:cs="Times New Roman" w:eastAsia="Times New Roman" w:hint="default"/>
                <w:sz w:val="18"/>
                <w:szCs w:val="18"/>
              </w:rPr>
              <w:t>2 </w:t>
            </w:r>
            <w:r>
              <w:rPr>
                <w:rFonts w:ascii="宋体" w:hAnsi="宋体" w:cs="宋体" w:eastAsia="宋体" w:hint="default"/>
                <w:sz w:val="18"/>
                <w:szCs w:val="18"/>
              </w:rPr>
              <w:t>本次重大资 产重组完成 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江苏三友股 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盘价低于发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行价，或者交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易完成后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价的，本人</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江苏三友股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06.22998pt;width:61.8pt;height:249.65pt;mso-position-horizontal-relative:page;mso-position-vertical-relative:page;z-index:-1401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自动延长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698"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深圳市平安 创新资本投 资有限公司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昆山高益咨 询管理有限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重庆德 凯科技发展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高 艳</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北京华新 博融投资咨 询有限责任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胡显光</w:t>
            </w:r>
            <w:r>
              <w:rPr>
                <w:rFonts w:ascii="Times New Roman" w:hAnsi="Times New Roman" w:cs="Times New Roman" w:eastAsia="Times New Roman" w:hint="default"/>
                <w:sz w:val="18"/>
                <w:szCs w:val="18"/>
              </w:rPr>
              <w:t>; </w:t>
            </w:r>
            <w:r>
              <w:rPr>
                <w:rFonts w:ascii="宋体" w:hAnsi="宋体" w:cs="宋体" w:eastAsia="宋体" w:hint="default"/>
                <w:sz w:val="18"/>
                <w:szCs w:val="18"/>
              </w:rPr>
              <w:t>华金（天津） 国际医药医 疗创业投资 </w:t>
            </w:r>
            <w:r>
              <w:rPr>
                <w:rFonts w:ascii="宋体" w:hAnsi="宋体" w:cs="宋体" w:eastAsia="宋体" w:hint="default"/>
                <w:spacing w:val="-3"/>
                <w:sz w:val="18"/>
                <w:szCs w:val="18"/>
              </w:rPr>
              <w:t>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湖南</w:t>
            </w:r>
            <w:r>
              <w:rPr>
                <w:rFonts w:ascii="宋体" w:hAnsi="宋体" w:cs="宋体" w:eastAsia="宋体" w:hint="default"/>
                <w:spacing w:val="-87"/>
                <w:sz w:val="18"/>
                <w:szCs w:val="18"/>
              </w:rPr>
              <w:t> </w:t>
            </w:r>
            <w:r>
              <w:rPr>
                <w:rFonts w:ascii="宋体" w:hAnsi="宋体" w:cs="宋体" w:eastAsia="宋体" w:hint="default"/>
                <w:sz w:val="18"/>
                <w:szCs w:val="18"/>
              </w:rPr>
              <w:t>晟果创业投 资有限公司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张雅军</w:t>
            </w:r>
            <w:r>
              <w:rPr>
                <w:rFonts w:ascii="Times New Roman" w:hAnsi="Times New Roman" w:cs="Times New Roman" w:eastAsia="Times New Roman" w:hint="default"/>
                <w:sz w:val="18"/>
                <w:szCs w:val="18"/>
              </w:rPr>
              <w:t>;</w:t>
            </w:r>
            <w:r>
              <w:rPr>
                <w:rFonts w:ascii="宋体" w:hAnsi="宋体" w:cs="宋体" w:eastAsia="宋体" w:hint="default"/>
                <w:sz w:val="18"/>
                <w:szCs w:val="18"/>
              </w:rPr>
              <w:t>昆山 分享股权投 </w:t>
            </w:r>
            <w:r>
              <w:rPr>
                <w:rFonts w:ascii="宋体" w:hAnsi="宋体" w:cs="宋体" w:eastAsia="宋体" w:hint="default"/>
                <w:spacing w:val="-3"/>
                <w:sz w:val="18"/>
                <w:szCs w:val="18"/>
              </w:rPr>
              <w:t>资企业（有限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赵奇</w:t>
            </w:r>
            <w:r>
              <w:rPr>
                <w:rFonts w:ascii="Times New Roman" w:hAnsi="Times New Roman" w:cs="Times New Roman" w:eastAsia="Times New Roman" w:hint="default"/>
                <w:sz w:val="18"/>
                <w:szCs w:val="18"/>
              </w:rPr>
              <w:t>; </w:t>
            </w:r>
            <w:r>
              <w:rPr>
                <w:rFonts w:ascii="宋体" w:hAnsi="宋体" w:cs="宋体" w:eastAsia="宋体" w:hint="default"/>
                <w:sz w:val="18"/>
                <w:szCs w:val="18"/>
              </w:rPr>
              <w:t>北京汇动融 创投资有限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魏宪书</w:t>
            </w:r>
            <w:r>
              <w:rPr>
                <w:rFonts w:ascii="Times New Roman" w:hAnsi="Times New Roman" w:cs="Times New Roman" w:eastAsia="Times New Roman" w:hint="default"/>
                <w:sz w:val="18"/>
                <w:szCs w:val="18"/>
              </w:rPr>
              <w:t>; </w:t>
            </w:r>
            <w:r>
              <w:rPr>
                <w:rFonts w:ascii="宋体" w:hAnsi="宋体" w:cs="宋体" w:eastAsia="宋体" w:hint="default"/>
                <w:sz w:val="18"/>
                <w:szCs w:val="18"/>
              </w:rPr>
              <w:t>张秀丽</w:t>
            </w:r>
            <w:r>
              <w:rPr>
                <w:rFonts w:ascii="Times New Roman" w:hAnsi="Times New Roman" w:cs="Times New Roman" w:eastAsia="Times New Roman" w:hint="default"/>
                <w:sz w:val="18"/>
                <w:szCs w:val="18"/>
              </w:rPr>
              <w:t>;</w:t>
            </w:r>
            <w:r>
              <w:rPr>
                <w:rFonts w:ascii="宋体" w:hAnsi="宋体" w:cs="宋体" w:eastAsia="宋体" w:hint="default"/>
                <w:sz w:val="18"/>
                <w:szCs w:val="18"/>
              </w:rPr>
              <w:t>俞昀</w:t>
            </w:r>
            <w:r>
              <w:rPr>
                <w:rFonts w:ascii="Times New Roman" w:hAnsi="Times New Roman" w:cs="Times New Roman" w:eastAsia="Times New Roman" w:hint="default"/>
                <w:sz w:val="18"/>
                <w:szCs w:val="18"/>
              </w:rPr>
              <w:t>; </w:t>
            </w:r>
            <w:r>
              <w:rPr>
                <w:rFonts w:ascii="宋体" w:hAnsi="宋体" w:cs="宋体" w:eastAsia="宋体" w:hint="default"/>
                <w:sz w:val="18"/>
                <w:szCs w:val="18"/>
              </w:rPr>
              <w:t>云南舜喜健 康产业投资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京天域医康 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刘伊</w:t>
            </w:r>
            <w:r>
              <w:rPr>
                <w:rFonts w:ascii="Times New Roman" w:hAnsi="Times New Roman" w:cs="Times New Roman" w:eastAsia="Times New Roman" w:hint="default"/>
                <w:sz w:val="18"/>
                <w:szCs w:val="18"/>
              </w:rPr>
              <w:t>; </w:t>
            </w:r>
            <w:r>
              <w:rPr>
                <w:rFonts w:ascii="宋体" w:hAnsi="宋体" w:cs="宋体" w:eastAsia="宋体" w:hint="default"/>
                <w:sz w:val="18"/>
                <w:szCs w:val="18"/>
              </w:rPr>
              <w:t>杨然</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业在本次重 大资产重组 中认购的江 苏三友非公 开发行股份， 自该等股份 登记至本人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本企业证券 账户之日起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进行转让。</w:t>
            </w:r>
            <w:r>
              <w:rPr>
                <w:rFonts w:ascii="Times New Roman" w:hAnsi="Times New Roman" w:cs="Times New Roman" w:eastAsia="Times New Roman" w:hint="default"/>
                <w:sz w:val="18"/>
                <w:szCs w:val="18"/>
              </w:rPr>
              <w:t>2 </w:t>
            </w:r>
            <w:r>
              <w:rPr>
                <w:rFonts w:ascii="宋体" w:hAnsi="宋体" w:cs="宋体" w:eastAsia="宋体" w:hint="default"/>
                <w:sz w:val="18"/>
                <w:szCs w:val="18"/>
              </w:rPr>
              <w:t>本次重大资 产重组完成</w:t>
            </w:r>
          </w:p>
          <w:p>
            <w:pPr>
              <w:pStyle w:val="TableParagraph"/>
              <w:spacing w:line="312" w:lineRule="auto" w:before="22"/>
              <w:ind w:left="23" w:right="17"/>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江苏三友股 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盘价低于发 行价，或者交 易完成后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月期末收盘 价低于发行 价的，本人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本企业持有 江苏三友股 票的锁定期 自动延长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99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pict>
                <v:group style="width:55.8pt;height:249.65pt;mso-position-horizontal-relative:char;mso-position-vertical-relative:line" coordorigin="0,0" coordsize="1116,4993">
                  <v:group style="position:absolute;left:0;top:0;width:1116;height:4993" coordorigin="0,0" coordsize="1116,4993">
                    <v:shape style="position:absolute;left:0;top:0;width:1116;height:4993" coordorigin="0,0" coordsize="1116,4993" path="m0,4992l1116,4992,1116,0,0,0,0,4992xe" filled="true" fillcolor="#ffffff" stroked="false">
                      <v:path arrowok="t"/>
                      <v:fill type="solid"/>
                    </v:shape>
                  </v:group>
                </v:group>
              </w:pict>
            </w:r>
            <w:r>
              <w:rPr>
                <w:rFonts w:ascii="Times New Roman" w:hAnsi="Times New Roman" w:cs="Times New Roman" w:eastAsia="Times New Roman" w:hint="default"/>
                <w:position w:val="-99"/>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0" w:lineRule="auto"/>
              <w:ind w:left="23" w:right="86"/>
              <w:jc w:val="both"/>
              <w:rPr>
                <w:rFonts w:ascii="宋体" w:hAnsi="宋体" w:cs="宋体" w:eastAsia="宋体" w:hint="default"/>
                <w:sz w:val="18"/>
                <w:szCs w:val="18"/>
              </w:rPr>
            </w:pPr>
            <w:r>
              <w:rPr>
                <w:rFonts w:ascii="宋体" w:hAnsi="宋体" w:cs="宋体" w:eastAsia="宋体" w:hint="default"/>
                <w:sz w:val="18"/>
                <w:szCs w:val="18"/>
              </w:rPr>
              <w:t>张宁</w:t>
            </w:r>
            <w:r>
              <w:rPr>
                <w:rFonts w:ascii="Times New Roman" w:hAnsi="Times New Roman" w:cs="Times New Roman" w:eastAsia="Times New Roman" w:hint="default"/>
                <w:sz w:val="18"/>
                <w:szCs w:val="18"/>
              </w:rPr>
              <w:t>;</w:t>
            </w:r>
            <w:r>
              <w:rPr>
                <w:rFonts w:ascii="宋体" w:hAnsi="宋体" w:cs="宋体" w:eastAsia="宋体" w:hint="default"/>
                <w:sz w:val="18"/>
                <w:szCs w:val="18"/>
              </w:rPr>
              <w:t>崔岚</w:t>
            </w:r>
            <w:r>
              <w:rPr>
                <w:rFonts w:ascii="Times New Roman" w:hAnsi="Times New Roman" w:cs="Times New Roman" w:eastAsia="Times New Roman" w:hint="default"/>
                <w:sz w:val="18"/>
                <w:szCs w:val="18"/>
              </w:rPr>
              <w:t>;</w:t>
            </w:r>
            <w:r>
              <w:rPr>
                <w:rFonts w:ascii="宋体" w:hAnsi="宋体" w:cs="宋体" w:eastAsia="宋体" w:hint="default"/>
                <w:sz w:val="18"/>
                <w:szCs w:val="18"/>
              </w:rPr>
              <w:t>张 胜江</w:t>
            </w:r>
            <w:r>
              <w:rPr>
                <w:rFonts w:ascii="Times New Roman" w:hAnsi="Times New Roman" w:cs="Times New Roman" w:eastAsia="Times New Roman" w:hint="default"/>
                <w:sz w:val="18"/>
                <w:szCs w:val="18"/>
              </w:rPr>
              <w:t>;</w:t>
            </w:r>
            <w:r>
              <w:rPr>
                <w:rFonts w:ascii="宋体" w:hAnsi="宋体" w:cs="宋体" w:eastAsia="宋体" w:hint="default"/>
                <w:sz w:val="18"/>
                <w:szCs w:val="18"/>
              </w:rPr>
              <w:t>赵路</w:t>
            </w:r>
            <w:r>
              <w:rPr>
                <w:rFonts w:ascii="Times New Roman" w:hAnsi="Times New Roman" w:cs="Times New Roman" w:eastAsia="Times New Roman" w:hint="default"/>
                <w:sz w:val="18"/>
                <w:szCs w:val="18"/>
              </w:rPr>
              <w:t>;</w:t>
            </w:r>
            <w:r>
              <w:rPr>
                <w:rFonts w:ascii="宋体" w:hAnsi="宋体" w:cs="宋体" w:eastAsia="宋体" w:hint="default"/>
                <w:sz w:val="18"/>
                <w:szCs w:val="18"/>
              </w:rPr>
              <w:t>吕 祖芹</w:t>
            </w:r>
            <w:r>
              <w:rPr>
                <w:rFonts w:ascii="Times New Roman" w:hAnsi="Times New Roman" w:cs="Times New Roman" w:eastAsia="Times New Roman" w:hint="default"/>
                <w:sz w:val="18"/>
                <w:szCs w:val="18"/>
              </w:rPr>
              <w:t>;</w:t>
            </w:r>
            <w:r>
              <w:rPr>
                <w:rFonts w:ascii="宋体" w:hAnsi="宋体" w:cs="宋体" w:eastAsia="宋体" w:hint="default"/>
                <w:sz w:val="18"/>
                <w:szCs w:val="18"/>
              </w:rPr>
              <w:t>周雷</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业在本次重 大资产重组 中认购的江 苏三友非公 开发行股份， 自该等股份 登记至本人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2018-08-28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本企业证券 账户之日起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 次重大资产 重组完成后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个月内如江 苏三友股票 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价低于发行 价，或者交易 完成后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期末收盘价 低于发行价 </w:t>
            </w:r>
            <w:r>
              <w:rPr>
                <w:rFonts w:ascii="宋体" w:hAnsi="宋体" w:cs="宋体" w:eastAsia="宋体" w:hint="default"/>
                <w:spacing w:val="-9"/>
                <w:sz w:val="18"/>
                <w:szCs w:val="18"/>
              </w:rPr>
              <w:t>的，本人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本企</w:t>
            </w:r>
            <w:r>
              <w:rPr>
                <w:rFonts w:ascii="宋体" w:hAnsi="宋体" w:cs="宋体" w:eastAsia="宋体" w:hint="default"/>
                <w:spacing w:val="-87"/>
                <w:sz w:val="18"/>
                <w:szCs w:val="18"/>
              </w:rPr>
              <w:t> </w:t>
            </w:r>
            <w:r>
              <w:rPr>
                <w:rFonts w:ascii="宋体" w:hAnsi="宋体" w:cs="宋体" w:eastAsia="宋体" w:hint="default"/>
                <w:sz w:val="18"/>
                <w:szCs w:val="18"/>
              </w:rPr>
              <w:t>业持有江苏 三友股票的 锁定期自动</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54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北京凯雷投 </w:t>
            </w:r>
            <w:r>
              <w:rPr>
                <w:rFonts w:ascii="宋体" w:hAnsi="宋体" w:cs="宋体" w:eastAsia="宋体" w:hint="default"/>
                <w:spacing w:val="-3"/>
                <w:sz w:val="18"/>
                <w:szCs w:val="18"/>
              </w:rPr>
              <w:t>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业在本次重 大资产重组 中认购的江 苏三友非公 开发行股份， 自该等股份 登记至本人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本企业证券 账户之日起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w:t>
            </w:r>
          </w:p>
          <w:p>
            <w:pPr>
              <w:pStyle w:val="TableParagraph"/>
              <w:spacing w:line="309" w:lineRule="auto" w:before="1"/>
              <w:ind w:left="23" w:right="-41"/>
              <w:jc w:val="left"/>
              <w:rPr>
                <w:rFonts w:ascii="宋体" w:hAnsi="宋体" w:cs="宋体" w:eastAsia="宋体" w:hint="default"/>
                <w:sz w:val="18"/>
                <w:szCs w:val="18"/>
              </w:rPr>
            </w:pPr>
            <w:r>
              <w:rPr>
                <w:rFonts w:ascii="宋体" w:hAnsi="宋体" w:cs="宋体" w:eastAsia="宋体" w:hint="default"/>
                <w:spacing w:val="-7"/>
                <w:sz w:val="18"/>
                <w:szCs w:val="18"/>
              </w:rPr>
              <w:t>进行转让。</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本次重大资</w:t>
            </w:r>
            <w:r>
              <w:rPr>
                <w:rFonts w:ascii="宋体" w:hAnsi="宋体" w:cs="宋体" w:eastAsia="宋体" w:hint="default"/>
                <w:sz w:val="18"/>
                <w:szCs w:val="18"/>
              </w:rPr>
              <w:t> 产重组完成</w:t>
            </w:r>
          </w:p>
          <w:p>
            <w:pPr>
              <w:pStyle w:val="TableParagraph"/>
              <w:spacing w:line="312" w:lineRule="auto" w:before="24"/>
              <w:ind w:left="2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江苏三友股 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盘价低于发 行价，或者交 易完成后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月期末收盘 价低于发行 价的，本人</w:t>
            </w:r>
            <w:r>
              <w:rPr>
                <w:rFonts w:ascii="Times New Roman" w:hAnsi="Times New Roman" w:cs="Times New Roman" w:eastAsia="Times New Roman" w:hint="default"/>
                <w:sz w:val="18"/>
                <w:szCs w:val="18"/>
              </w:rPr>
              <w:t>/</w:t>
            </w:r>
          </w:p>
        </w:tc>
        <w:tc>
          <w:tcPr>
            <w:tcW w:w="112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50"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5pt;height:17.55pt;mso-position-horizontal-relative:char;mso-position-vertical-relative:line" coordorigin="0,0" coordsize="1071,351">
                  <v:group style="position:absolute;left:0;top:0;width:1071;height:351" coordorigin="0,0" coordsize="1071,351">
                    <v:shape style="position:absolute;left:0;top:0;width:1071;height:351" coordorigin="0,0" coordsize="1071,351" path="m0,351l1070,351,1070,0,0,0,0,351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sz w:val="18"/>
              </w:rPr>
              <w:t>2016-08-28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61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本企业持有 江苏三友股 票的锁定期 自动延长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上海天亿投 </w:t>
            </w:r>
            <w:r>
              <w:rPr>
                <w:rFonts w:ascii="宋体" w:hAnsi="宋体" w:cs="宋体" w:eastAsia="宋体" w:hint="default"/>
                <w:spacing w:val="-2"/>
                <w:sz w:val="18"/>
                <w:szCs w:val="18"/>
              </w:rPr>
              <w:t>资（集团）有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 天亿资产管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上海美馨投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北京世 纪长河科技 集团有限公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中卫成长</w:t>
            </w:r>
          </w:p>
          <w:p>
            <w:pPr>
              <w:pStyle w:val="TableParagraph"/>
              <w:spacing w:line="302" w:lineRule="auto" w:before="3"/>
              <w:ind w:left="23" w:right="1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（上海）创业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投资合伙企 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徐 可</w:t>
            </w:r>
            <w:r>
              <w:rPr>
                <w:rFonts w:ascii="Times New Roman" w:hAnsi="Times New Roman" w:cs="Times New Roman" w:eastAsia="Times New Roman" w:hint="default"/>
                <w:sz w:val="18"/>
                <w:szCs w:val="18"/>
              </w:rPr>
              <w:t>;</w:t>
            </w:r>
            <w:r>
              <w:rPr>
                <w:rFonts w:ascii="宋体" w:hAnsi="宋体" w:cs="宋体" w:eastAsia="宋体" w:hint="default"/>
                <w:sz w:val="18"/>
                <w:szCs w:val="18"/>
              </w:rPr>
              <w:t>朱玉华</w:t>
            </w:r>
            <w:r>
              <w:rPr>
                <w:rFonts w:ascii="Times New Roman" w:hAnsi="Times New Roman" w:cs="Times New Roman" w:eastAsia="Times New Roman" w:hint="default"/>
                <w:sz w:val="18"/>
                <w:szCs w:val="18"/>
              </w:rPr>
              <w:t>;</w:t>
            </w:r>
            <w:r>
              <w:rPr>
                <w:rFonts w:ascii="宋体" w:hAnsi="宋体" w:cs="宋体" w:eastAsia="宋体" w:hint="default"/>
                <w:sz w:val="18"/>
                <w:szCs w:val="18"/>
              </w:rPr>
              <w:t>付 桂珍</w:t>
            </w:r>
            <w:r>
              <w:rPr>
                <w:rFonts w:ascii="Times New Roman" w:hAnsi="Times New Roman" w:cs="Times New Roman" w:eastAsia="Times New Roman" w:hint="default"/>
                <w:sz w:val="18"/>
                <w:szCs w:val="18"/>
              </w:rPr>
              <w:t>;</w:t>
            </w:r>
            <w:r>
              <w:rPr>
                <w:rFonts w:ascii="宋体" w:hAnsi="宋体" w:cs="宋体" w:eastAsia="宋体" w:hint="default"/>
                <w:sz w:val="18"/>
                <w:szCs w:val="18"/>
              </w:rPr>
              <w:t>高伟</w:t>
            </w:r>
            <w:r>
              <w:rPr>
                <w:rFonts w:ascii="Times New Roman" w:hAnsi="Times New Roman" w:cs="Times New Roman" w:eastAsia="Times New Roman" w:hint="default"/>
                <w:sz w:val="18"/>
                <w:szCs w:val="18"/>
              </w:rPr>
              <w:t>;</w:t>
            </w:r>
            <w:r>
              <w:rPr>
                <w:rFonts w:ascii="宋体" w:hAnsi="宋体" w:cs="宋体" w:eastAsia="宋体" w:hint="default"/>
                <w:sz w:val="18"/>
                <w:szCs w:val="18"/>
              </w:rPr>
              <w:t>温 海彦</w:t>
            </w:r>
            <w:r>
              <w:rPr>
                <w:rFonts w:ascii="Times New Roman" w:hAnsi="Times New Roman" w:cs="Times New Roman" w:eastAsia="Times New Roman" w:hint="default"/>
                <w:sz w:val="18"/>
                <w:szCs w:val="18"/>
              </w:rPr>
              <w:t>;</w:t>
            </w:r>
            <w:r>
              <w:rPr>
                <w:rFonts w:ascii="宋体" w:hAnsi="宋体" w:cs="宋体" w:eastAsia="宋体" w:hint="default"/>
                <w:sz w:val="18"/>
                <w:szCs w:val="18"/>
              </w:rPr>
              <w:t>林琳</w:t>
            </w:r>
            <w:r>
              <w:rPr>
                <w:rFonts w:ascii="Times New Roman" w:hAnsi="Times New Roman" w:cs="Times New Roman" w:eastAsia="Times New Roman" w:hint="default"/>
                <w:sz w:val="18"/>
                <w:szCs w:val="18"/>
              </w:rPr>
              <w:t>;</w:t>
            </w:r>
            <w:r>
              <w:rPr>
                <w:rFonts w:ascii="宋体" w:hAnsi="宋体" w:cs="宋体" w:eastAsia="宋体" w:hint="default"/>
                <w:sz w:val="18"/>
                <w:szCs w:val="18"/>
              </w:rPr>
              <w:t>秦 阳</w:t>
            </w:r>
            <w:r>
              <w:rPr>
                <w:rFonts w:ascii="Times New Roman" w:hAnsi="Times New Roman" w:cs="Times New Roman" w:eastAsia="Times New Roman" w:hint="default"/>
                <w:sz w:val="18"/>
                <w:szCs w:val="18"/>
              </w:rPr>
              <w:t>;</w:t>
            </w:r>
            <w:r>
              <w:rPr>
                <w:rFonts w:ascii="宋体" w:hAnsi="宋体" w:cs="宋体" w:eastAsia="宋体" w:hint="default"/>
                <w:sz w:val="18"/>
                <w:szCs w:val="18"/>
              </w:rPr>
              <w:t>岳仍丽</w:t>
            </w:r>
            <w:r>
              <w:rPr>
                <w:rFonts w:ascii="Times New Roman" w:hAnsi="Times New Roman" w:cs="Times New Roman" w:eastAsia="Times New Roman" w:hint="default"/>
                <w:sz w:val="18"/>
                <w:szCs w:val="18"/>
              </w:rPr>
              <w:t>;</w:t>
            </w:r>
            <w:r>
              <w:rPr>
                <w:rFonts w:ascii="宋体" w:hAnsi="宋体" w:cs="宋体" w:eastAsia="宋体" w:hint="default"/>
                <w:sz w:val="18"/>
                <w:szCs w:val="18"/>
              </w:rPr>
              <w:t>王 织</w:t>
            </w:r>
            <w:r>
              <w:rPr>
                <w:rFonts w:ascii="Times New Roman" w:hAnsi="Times New Roman" w:cs="Times New Roman" w:eastAsia="Times New Roman" w:hint="default"/>
                <w:sz w:val="18"/>
                <w:szCs w:val="18"/>
              </w:rPr>
              <w:t>;</w:t>
            </w:r>
            <w:r>
              <w:rPr>
                <w:rFonts w:ascii="宋体" w:hAnsi="宋体" w:cs="宋体" w:eastAsia="宋体" w:hint="default"/>
                <w:sz w:val="18"/>
                <w:szCs w:val="18"/>
              </w:rPr>
              <w:t>丁子</w:t>
            </w:r>
            <w:r>
              <w:rPr>
                <w:rFonts w:ascii="Times New Roman" w:hAnsi="Times New Roman" w:cs="Times New Roman" w:eastAsia="Times New Roman" w:hint="default"/>
                <w:sz w:val="18"/>
                <w:szCs w:val="18"/>
              </w:rPr>
              <w:t>;</w:t>
            </w:r>
            <w:r>
              <w:rPr>
                <w:rFonts w:ascii="宋体" w:hAnsi="宋体" w:cs="宋体" w:eastAsia="宋体" w:hint="default"/>
                <w:sz w:val="18"/>
                <w:szCs w:val="18"/>
              </w:rPr>
              <w:t>邹炎 平</w:t>
            </w:r>
            <w:r>
              <w:rPr>
                <w:rFonts w:ascii="Times New Roman" w:hAnsi="Times New Roman" w:cs="Times New Roman" w:eastAsia="Times New Roman" w:hint="default"/>
                <w:sz w:val="18"/>
                <w:szCs w:val="18"/>
              </w:rPr>
              <w:t>;</w:t>
            </w:r>
            <w:r>
              <w:rPr>
                <w:rFonts w:ascii="宋体" w:hAnsi="宋体" w:cs="宋体" w:eastAsia="宋体" w:hint="default"/>
                <w:sz w:val="18"/>
                <w:szCs w:val="18"/>
              </w:rPr>
              <w:t>骞虹</w:t>
            </w:r>
            <w:r>
              <w:rPr>
                <w:rFonts w:ascii="Times New Roman" w:hAnsi="Times New Roman" w:cs="Times New Roman" w:eastAsia="Times New Roman" w:hint="default"/>
                <w:sz w:val="18"/>
                <w:szCs w:val="18"/>
              </w:rPr>
              <w:t>;</w:t>
            </w:r>
            <w:r>
              <w:rPr>
                <w:rFonts w:ascii="宋体" w:hAnsi="宋体" w:cs="宋体" w:eastAsia="宋体" w:hint="default"/>
                <w:sz w:val="18"/>
                <w:szCs w:val="18"/>
              </w:rPr>
              <w:t>陈冷 穆</w:t>
            </w:r>
            <w:r>
              <w:rPr>
                <w:rFonts w:ascii="Times New Roman" w:hAnsi="Times New Roman" w:cs="Times New Roman" w:eastAsia="Times New Roman" w:hint="default"/>
                <w:sz w:val="18"/>
                <w:szCs w:val="18"/>
              </w:rPr>
              <w:t>;</w:t>
            </w:r>
            <w:r>
              <w:rPr>
                <w:rFonts w:ascii="宋体" w:hAnsi="宋体" w:cs="宋体" w:eastAsia="宋体" w:hint="default"/>
                <w:sz w:val="18"/>
                <w:szCs w:val="18"/>
              </w:rPr>
              <w:t>张俊斌</w:t>
            </w:r>
            <w:r>
              <w:rPr>
                <w:rFonts w:ascii="Times New Roman" w:hAnsi="Times New Roman" w:cs="Times New Roman" w:eastAsia="Times New Roman" w:hint="default"/>
                <w:sz w:val="18"/>
                <w:szCs w:val="18"/>
              </w:rPr>
              <w:t>;</w:t>
            </w:r>
            <w:r>
              <w:rPr>
                <w:rFonts w:ascii="宋体" w:hAnsi="宋体" w:cs="宋体" w:eastAsia="宋体" w:hint="default"/>
                <w:sz w:val="18"/>
                <w:szCs w:val="18"/>
              </w:rPr>
              <w:t>赵 路</w:t>
            </w:r>
            <w:r>
              <w:rPr>
                <w:rFonts w:ascii="Times New Roman" w:hAnsi="Times New Roman" w:cs="Times New Roman" w:eastAsia="Times New Roman" w:hint="default"/>
                <w:sz w:val="18"/>
                <w:szCs w:val="18"/>
              </w:rPr>
              <w:t>;</w:t>
            </w:r>
            <w:r>
              <w:rPr>
                <w:rFonts w:ascii="宋体" w:hAnsi="宋体" w:cs="宋体" w:eastAsia="宋体" w:hint="default"/>
                <w:sz w:val="18"/>
                <w:szCs w:val="18"/>
              </w:rPr>
              <w:t>孙彤</w:t>
            </w:r>
            <w:r>
              <w:rPr>
                <w:rFonts w:ascii="Times New Roman" w:hAnsi="Times New Roman" w:cs="Times New Roman" w:eastAsia="Times New Roman" w:hint="default"/>
                <w:sz w:val="18"/>
                <w:szCs w:val="18"/>
              </w:rPr>
              <w:t>;</w:t>
            </w:r>
            <w:r>
              <w:rPr>
                <w:rFonts w:ascii="宋体" w:hAnsi="宋体" w:cs="宋体" w:eastAsia="宋体" w:hint="default"/>
                <w:sz w:val="18"/>
                <w:szCs w:val="18"/>
              </w:rPr>
              <w:t>宋启 军</w:t>
            </w:r>
            <w:r>
              <w:rPr>
                <w:rFonts w:ascii="Times New Roman" w:hAnsi="Times New Roman" w:cs="Times New Roman" w:eastAsia="Times New Roman" w:hint="default"/>
                <w:sz w:val="18"/>
                <w:szCs w:val="18"/>
              </w:rPr>
              <w:t>;</w:t>
            </w:r>
            <w:r>
              <w:rPr>
                <w:rFonts w:ascii="宋体" w:hAnsi="宋体" w:cs="宋体" w:eastAsia="宋体" w:hint="default"/>
                <w:sz w:val="18"/>
                <w:szCs w:val="18"/>
              </w:rPr>
              <w:t>周瑞山</w:t>
            </w:r>
            <w:r>
              <w:rPr>
                <w:rFonts w:ascii="Times New Roman" w:hAnsi="Times New Roman" w:cs="Times New Roman" w:eastAsia="Times New Roman" w:hint="default"/>
                <w:sz w:val="18"/>
                <w:szCs w:val="18"/>
              </w:rPr>
              <w:t>;</w:t>
            </w:r>
            <w:r>
              <w:rPr>
                <w:rFonts w:ascii="宋体" w:hAnsi="宋体" w:cs="宋体" w:eastAsia="宋体" w:hint="default"/>
                <w:sz w:val="18"/>
                <w:szCs w:val="18"/>
              </w:rPr>
              <w:t>马 国庆</w:t>
            </w:r>
            <w:r>
              <w:rPr>
                <w:rFonts w:ascii="Times New Roman" w:hAnsi="Times New Roman" w:cs="Times New Roman" w:eastAsia="Times New Roman" w:hint="default"/>
                <w:sz w:val="18"/>
                <w:szCs w:val="18"/>
              </w:rPr>
              <w:t>;</w:t>
            </w:r>
            <w:r>
              <w:rPr>
                <w:rFonts w:ascii="宋体" w:hAnsi="宋体" w:cs="宋体" w:eastAsia="宋体" w:hint="default"/>
                <w:sz w:val="18"/>
                <w:szCs w:val="18"/>
              </w:rPr>
              <w:t>和小东</w:t>
            </w:r>
            <w:r>
              <w:rPr>
                <w:rFonts w:ascii="Times New Roman" w:hAnsi="Times New Roman" w:cs="Times New Roman" w:eastAsia="Times New Roman" w:hint="default"/>
                <w:sz w:val="18"/>
                <w:szCs w:val="18"/>
              </w:rPr>
              <w:t>; </w:t>
            </w:r>
            <w:r>
              <w:rPr>
                <w:rFonts w:ascii="宋体" w:hAnsi="宋体" w:cs="宋体" w:eastAsia="宋体" w:hint="default"/>
                <w:sz w:val="18"/>
                <w:szCs w:val="18"/>
              </w:rPr>
              <w:t>李林</w:t>
            </w:r>
            <w:r>
              <w:rPr>
                <w:rFonts w:ascii="Times New Roman" w:hAnsi="Times New Roman" w:cs="Times New Roman" w:eastAsia="Times New Roman" w:hint="default"/>
                <w:sz w:val="18"/>
                <w:szCs w:val="18"/>
              </w:rPr>
              <w:t>;</w:t>
            </w:r>
            <w:r>
              <w:rPr>
                <w:rFonts w:ascii="宋体" w:hAnsi="宋体" w:cs="宋体" w:eastAsia="宋体" w:hint="default"/>
                <w:sz w:val="18"/>
                <w:szCs w:val="18"/>
              </w:rPr>
              <w:t>杨翠英</w:t>
            </w:r>
            <w:r>
              <w:rPr>
                <w:rFonts w:ascii="Times New Roman" w:hAnsi="Times New Roman" w:cs="Times New Roman" w:eastAsia="Times New Roman" w:hint="default"/>
                <w:sz w:val="18"/>
                <w:szCs w:val="18"/>
              </w:rPr>
              <w:t>; </w:t>
            </w:r>
            <w:r>
              <w:rPr>
                <w:rFonts w:ascii="宋体" w:hAnsi="宋体" w:cs="宋体" w:eastAsia="宋体" w:hint="default"/>
                <w:sz w:val="18"/>
                <w:szCs w:val="18"/>
              </w:rPr>
              <w:t>李斌</w:t>
            </w:r>
            <w:r>
              <w:rPr>
                <w:rFonts w:ascii="Times New Roman" w:hAnsi="Times New Roman" w:cs="Times New Roman" w:eastAsia="Times New Roman" w:hint="default"/>
                <w:sz w:val="18"/>
                <w:szCs w:val="18"/>
              </w:rPr>
              <w:t>;</w:t>
            </w:r>
            <w:r>
              <w:rPr>
                <w:rFonts w:ascii="宋体" w:hAnsi="宋体" w:cs="宋体" w:eastAsia="宋体" w:hint="default"/>
                <w:sz w:val="18"/>
                <w:szCs w:val="18"/>
              </w:rPr>
              <w:t>张丽</w:t>
            </w:r>
            <w:r>
              <w:rPr>
                <w:rFonts w:ascii="Times New Roman" w:hAnsi="Times New Roman" w:cs="Times New Roman" w:eastAsia="Times New Roman" w:hint="default"/>
                <w:sz w:val="18"/>
                <w:szCs w:val="18"/>
              </w:rPr>
              <w:t>;</w:t>
            </w:r>
            <w:r>
              <w:rPr>
                <w:rFonts w:ascii="宋体" w:hAnsi="宋体" w:cs="宋体" w:eastAsia="宋体" w:hint="default"/>
                <w:sz w:val="18"/>
                <w:szCs w:val="18"/>
              </w:rPr>
              <w:t>刘 群新</w:t>
            </w:r>
            <w:r>
              <w:rPr>
                <w:rFonts w:ascii="Times New Roman" w:hAnsi="Times New Roman" w:cs="Times New Roman" w:eastAsia="Times New Roman" w:hint="default"/>
                <w:sz w:val="18"/>
                <w:szCs w:val="18"/>
              </w:rPr>
              <w:t>;</w:t>
            </w:r>
            <w:r>
              <w:rPr>
                <w:rFonts w:ascii="宋体" w:hAnsi="宋体" w:cs="宋体" w:eastAsia="宋体" w:hint="default"/>
                <w:sz w:val="18"/>
                <w:szCs w:val="18"/>
              </w:rPr>
              <w:t>张宁</w:t>
            </w:r>
            <w:r>
              <w:rPr>
                <w:rFonts w:ascii="Times New Roman" w:hAnsi="Times New Roman" w:cs="Times New Roman" w:eastAsia="Times New Roman" w:hint="default"/>
                <w:sz w:val="18"/>
                <w:szCs w:val="18"/>
              </w:rPr>
              <w:t>;</w:t>
            </w:r>
            <w:r>
              <w:rPr>
                <w:rFonts w:ascii="宋体" w:hAnsi="宋体" w:cs="宋体" w:eastAsia="宋体" w:hint="default"/>
                <w:sz w:val="18"/>
                <w:szCs w:val="18"/>
              </w:rPr>
              <w:t>周 宝福</w:t>
            </w:r>
            <w:r>
              <w:rPr>
                <w:rFonts w:ascii="Times New Roman" w:hAnsi="Times New Roman" w:cs="Times New Roman" w:eastAsia="Times New Roman" w:hint="default"/>
                <w:sz w:val="18"/>
                <w:szCs w:val="18"/>
              </w:rPr>
              <w:t>;</w:t>
            </w:r>
            <w:r>
              <w:rPr>
                <w:rFonts w:ascii="宋体" w:hAnsi="宋体" w:cs="宋体" w:eastAsia="宋体" w:hint="default"/>
                <w:sz w:val="18"/>
                <w:szCs w:val="18"/>
              </w:rPr>
              <w:t>陈忠桥</w:t>
            </w:r>
            <w:r>
              <w:rPr>
                <w:rFonts w:ascii="Times New Roman" w:hAnsi="Times New Roman" w:cs="Times New Roman" w:eastAsia="Times New Roman" w:hint="default"/>
                <w:sz w:val="18"/>
                <w:szCs w:val="18"/>
              </w:rPr>
              <w:t>; </w:t>
            </w:r>
            <w:r>
              <w:rPr>
                <w:rFonts w:ascii="宋体" w:hAnsi="宋体" w:cs="宋体" w:eastAsia="宋体" w:hint="default"/>
                <w:sz w:val="18"/>
                <w:szCs w:val="18"/>
              </w:rPr>
              <w:t>陈萍</w:t>
            </w:r>
            <w:r>
              <w:rPr>
                <w:rFonts w:ascii="Times New Roman" w:hAnsi="Times New Roman" w:cs="Times New Roman" w:eastAsia="Times New Roman" w:hint="default"/>
                <w:sz w:val="18"/>
                <w:szCs w:val="18"/>
              </w:rPr>
              <w:t>;</w:t>
            </w:r>
            <w:r>
              <w:rPr>
                <w:rFonts w:ascii="宋体" w:hAnsi="宋体" w:cs="宋体" w:eastAsia="宋体" w:hint="default"/>
                <w:sz w:val="18"/>
                <w:szCs w:val="18"/>
              </w:rPr>
              <w:t>崔岚</w:t>
            </w:r>
            <w:r>
              <w:rPr>
                <w:rFonts w:ascii="Times New Roman" w:hAnsi="Times New Roman" w:cs="Times New Roman" w:eastAsia="Times New Roman" w:hint="default"/>
                <w:sz w:val="18"/>
                <w:szCs w:val="18"/>
              </w:rPr>
              <w:t>;</w:t>
            </w:r>
            <w:r>
              <w:rPr>
                <w:rFonts w:ascii="宋体" w:hAnsi="宋体" w:cs="宋体" w:eastAsia="宋体" w:hint="default"/>
                <w:sz w:val="18"/>
                <w:szCs w:val="18"/>
              </w:rPr>
              <w:t>张 胜江</w:t>
            </w:r>
            <w:r>
              <w:rPr>
                <w:rFonts w:ascii="Times New Roman" w:hAnsi="Times New Roman" w:cs="Times New Roman" w:eastAsia="Times New Roman" w:hint="default"/>
                <w:sz w:val="18"/>
                <w:szCs w:val="18"/>
              </w:rPr>
              <w:t>;</w:t>
            </w:r>
            <w:r>
              <w:rPr>
                <w:rFonts w:ascii="宋体" w:hAnsi="宋体" w:cs="宋体" w:eastAsia="宋体" w:hint="default"/>
                <w:sz w:val="18"/>
                <w:szCs w:val="18"/>
              </w:rPr>
              <w:t>吴宾</w:t>
            </w:r>
            <w:r>
              <w:rPr>
                <w:rFonts w:ascii="Times New Roman" w:hAnsi="Times New Roman" w:cs="Times New Roman" w:eastAsia="Times New Roman" w:hint="default"/>
                <w:sz w:val="18"/>
                <w:szCs w:val="18"/>
              </w:rPr>
              <w:t>;</w:t>
            </w:r>
            <w:r>
              <w:rPr>
                <w:rFonts w:ascii="宋体" w:hAnsi="宋体" w:cs="宋体" w:eastAsia="宋体" w:hint="default"/>
                <w:sz w:val="18"/>
                <w:szCs w:val="18"/>
              </w:rPr>
              <w:t>刘 相国</w:t>
            </w:r>
            <w:r>
              <w:rPr>
                <w:rFonts w:ascii="Times New Roman" w:hAnsi="Times New Roman" w:cs="Times New Roman" w:eastAsia="Times New Roman" w:hint="default"/>
                <w:sz w:val="18"/>
                <w:szCs w:val="18"/>
              </w:rPr>
              <w:t>;</w:t>
            </w:r>
            <w:r>
              <w:rPr>
                <w:rFonts w:ascii="宋体" w:hAnsi="宋体" w:cs="宋体" w:eastAsia="宋体" w:hint="default"/>
                <w:sz w:val="18"/>
                <w:szCs w:val="18"/>
              </w:rPr>
              <w:t>张学富</w:t>
            </w:r>
            <w:r>
              <w:rPr>
                <w:rFonts w:ascii="Times New Roman" w:hAnsi="Times New Roman" w:cs="Times New Roman" w:eastAsia="Times New Roman" w:hint="default"/>
                <w:sz w:val="18"/>
                <w:szCs w:val="18"/>
              </w:rPr>
              <w:t>; </w:t>
            </w:r>
            <w:r>
              <w:rPr>
                <w:rFonts w:ascii="宋体" w:hAnsi="宋体" w:cs="宋体" w:eastAsia="宋体" w:hint="default"/>
                <w:sz w:val="18"/>
                <w:szCs w:val="18"/>
              </w:rPr>
              <w:t>林锦盘</w:t>
            </w:r>
            <w:r>
              <w:rPr>
                <w:rFonts w:ascii="Times New Roman" w:hAnsi="Times New Roman" w:cs="Times New Roman" w:eastAsia="Times New Roman" w:hint="default"/>
                <w:sz w:val="18"/>
                <w:szCs w:val="18"/>
              </w:rPr>
              <w:t>;</w:t>
            </w:r>
            <w:r>
              <w:rPr>
                <w:rFonts w:ascii="宋体" w:hAnsi="宋体" w:cs="宋体" w:eastAsia="宋体" w:hint="default"/>
                <w:sz w:val="18"/>
                <w:szCs w:val="18"/>
              </w:rPr>
              <w:t>李翔</w:t>
            </w:r>
            <w:r>
              <w:rPr>
                <w:rFonts w:ascii="Times New Roman" w:hAnsi="Times New Roman" w:cs="Times New Roman" w:eastAsia="Times New Roman" w:hint="default"/>
                <w:sz w:val="18"/>
                <w:szCs w:val="18"/>
              </w:rPr>
              <w:t>; </w:t>
            </w:r>
            <w:r>
              <w:rPr>
                <w:rFonts w:ascii="宋体" w:hAnsi="宋体" w:cs="宋体" w:eastAsia="宋体" w:hint="default"/>
                <w:sz w:val="18"/>
                <w:szCs w:val="18"/>
              </w:rPr>
              <w:t>相培恒</w:t>
            </w:r>
            <w:r>
              <w:rPr>
                <w:rFonts w:ascii="Times New Roman" w:hAnsi="Times New Roman" w:cs="Times New Roman" w:eastAsia="Times New Roman" w:hint="default"/>
                <w:sz w:val="18"/>
                <w:szCs w:val="18"/>
              </w:rPr>
              <w:t>;</w:t>
            </w:r>
            <w:r>
              <w:rPr>
                <w:rFonts w:ascii="宋体" w:hAnsi="宋体" w:cs="宋体" w:eastAsia="宋体" w:hint="default"/>
                <w:sz w:val="18"/>
                <w:szCs w:val="18"/>
              </w:rPr>
              <w:t>闫丽 宣</w:t>
            </w:r>
            <w:r>
              <w:rPr>
                <w:rFonts w:ascii="Times New Roman" w:hAnsi="Times New Roman" w:cs="Times New Roman" w:eastAsia="Times New Roman" w:hint="default"/>
                <w:sz w:val="18"/>
                <w:szCs w:val="18"/>
              </w:rPr>
              <w:t>;</w:t>
            </w:r>
            <w:r>
              <w:rPr>
                <w:rFonts w:ascii="宋体" w:hAnsi="宋体" w:cs="宋体" w:eastAsia="宋体" w:hint="default"/>
                <w:sz w:val="18"/>
                <w:szCs w:val="18"/>
              </w:rPr>
              <w:t>段泽彪</w:t>
            </w:r>
            <w:r>
              <w:rPr>
                <w:rFonts w:ascii="Times New Roman" w:hAnsi="Times New Roman" w:cs="Times New Roman" w:eastAsia="Times New Roman" w:hint="default"/>
                <w:sz w:val="18"/>
                <w:szCs w:val="18"/>
              </w:rPr>
              <w:t>;</w:t>
            </w:r>
            <w:r>
              <w:rPr>
                <w:rFonts w:ascii="宋体" w:hAnsi="宋体" w:cs="宋体" w:eastAsia="宋体" w:hint="default"/>
                <w:sz w:val="18"/>
                <w:szCs w:val="18"/>
              </w:rPr>
              <w:t>罗 彤</w:t>
            </w:r>
            <w:r>
              <w:rPr>
                <w:rFonts w:ascii="Times New Roman" w:hAnsi="Times New Roman" w:cs="Times New Roman" w:eastAsia="Times New Roman" w:hint="default"/>
                <w:sz w:val="18"/>
                <w:szCs w:val="18"/>
              </w:rPr>
              <w:t>;</w:t>
            </w:r>
            <w:r>
              <w:rPr>
                <w:rFonts w:ascii="宋体" w:hAnsi="宋体" w:cs="宋体" w:eastAsia="宋体" w:hint="default"/>
                <w:sz w:val="18"/>
                <w:szCs w:val="18"/>
              </w:rPr>
              <w:t>张宇</w:t>
            </w:r>
            <w:r>
              <w:rPr>
                <w:rFonts w:ascii="Times New Roman" w:hAnsi="Times New Roman" w:cs="Times New Roman" w:eastAsia="Times New Roman" w:hint="default"/>
                <w:sz w:val="18"/>
                <w:szCs w:val="18"/>
              </w:rPr>
              <w:t>;</w:t>
            </w:r>
            <w:r>
              <w:rPr>
                <w:rFonts w:ascii="宋体" w:hAnsi="宋体" w:cs="宋体" w:eastAsia="宋体" w:hint="default"/>
                <w:sz w:val="18"/>
                <w:szCs w:val="18"/>
              </w:rPr>
              <w:t>李若 琳</w:t>
            </w:r>
            <w:r>
              <w:rPr>
                <w:rFonts w:ascii="Times New Roman" w:hAnsi="Times New Roman" w:cs="Times New Roman" w:eastAsia="Times New Roman" w:hint="default"/>
                <w:sz w:val="18"/>
                <w:szCs w:val="18"/>
              </w:rPr>
              <w:t>;</w:t>
            </w:r>
            <w:r>
              <w:rPr>
                <w:rFonts w:ascii="宋体" w:hAnsi="宋体" w:cs="宋体" w:eastAsia="宋体" w:hint="default"/>
                <w:sz w:val="18"/>
                <w:szCs w:val="18"/>
              </w:rPr>
              <w:t>喻琰</w:t>
            </w:r>
            <w:r>
              <w:rPr>
                <w:rFonts w:ascii="Times New Roman" w:hAnsi="Times New Roman" w:cs="Times New Roman" w:eastAsia="Times New Roman" w:hint="default"/>
                <w:sz w:val="18"/>
                <w:szCs w:val="18"/>
              </w:rPr>
              <w:t>;</w:t>
            </w:r>
            <w:r>
              <w:rPr>
                <w:rFonts w:ascii="宋体" w:hAnsi="宋体" w:cs="宋体" w:eastAsia="宋体" w:hint="default"/>
                <w:sz w:val="18"/>
                <w:szCs w:val="18"/>
              </w:rPr>
              <w:t>李铁 军</w:t>
            </w:r>
            <w:r>
              <w:rPr>
                <w:rFonts w:ascii="Times New Roman" w:hAnsi="Times New Roman" w:cs="Times New Roman" w:eastAsia="Times New Roman" w:hint="default"/>
                <w:sz w:val="18"/>
                <w:szCs w:val="18"/>
              </w:rPr>
              <w:t>;</w:t>
            </w:r>
            <w:r>
              <w:rPr>
                <w:rFonts w:ascii="宋体" w:hAnsi="宋体" w:cs="宋体" w:eastAsia="宋体" w:hint="default"/>
                <w:sz w:val="18"/>
                <w:szCs w:val="18"/>
              </w:rPr>
              <w:t>蒋京湘</w:t>
            </w:r>
            <w:r>
              <w:rPr>
                <w:rFonts w:ascii="Times New Roman" w:hAnsi="Times New Roman" w:cs="Times New Roman" w:eastAsia="Times New Roman" w:hint="default"/>
                <w:sz w:val="18"/>
                <w:szCs w:val="18"/>
              </w:rPr>
              <w:t>;</w:t>
            </w:r>
            <w:r>
              <w:rPr>
                <w:rFonts w:ascii="宋体" w:hAnsi="宋体" w:cs="宋体" w:eastAsia="宋体" w:hint="default"/>
                <w:sz w:val="18"/>
                <w:szCs w:val="18"/>
              </w:rPr>
              <w:t>邓 小俊</w:t>
            </w:r>
            <w:r>
              <w:rPr>
                <w:rFonts w:ascii="Times New Roman" w:hAnsi="Times New Roman" w:cs="Times New Roman" w:eastAsia="Times New Roman" w:hint="default"/>
                <w:sz w:val="18"/>
                <w:szCs w:val="18"/>
              </w:rPr>
              <w:t>;</w:t>
            </w:r>
            <w:r>
              <w:rPr>
                <w:rFonts w:ascii="宋体" w:hAnsi="宋体" w:cs="宋体" w:eastAsia="宋体" w:hint="default"/>
                <w:sz w:val="18"/>
                <w:szCs w:val="18"/>
              </w:rPr>
              <w:t>张瑞霞</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美年大健康</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年度及</w:t>
            </w:r>
          </w:p>
          <w:p>
            <w:pPr>
              <w:pStyle w:val="TableParagraph"/>
              <w:spacing w:line="314" w:lineRule="auto" w:before="6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 并报表口径 下扣除非经 常性损益后 归属于母公 司股东的净 利润预测数 分别为 </w:t>
            </w:r>
            <w:r>
              <w:rPr>
                <w:rFonts w:ascii="Times New Roman" w:hAnsi="Times New Roman" w:cs="Times New Roman" w:eastAsia="Times New Roman" w:hint="default"/>
                <w:sz w:val="18"/>
                <w:szCs w:val="18"/>
              </w:rPr>
              <w:t>22,315.76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33,136.66</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42,437.48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元和</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48,779.23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2019-04-30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吕祖芹</w:t>
            </w:r>
            <w:r>
              <w:rPr>
                <w:rFonts w:ascii="Times New Roman" w:hAnsi="Times New Roman" w:cs="Times New Roman" w:eastAsia="Times New Roman" w:hint="default"/>
                <w:sz w:val="18"/>
                <w:szCs w:val="18"/>
              </w:rPr>
              <w:t>;</w:t>
            </w:r>
            <w:r>
              <w:rPr>
                <w:rFonts w:ascii="宋体" w:hAnsi="宋体" w:cs="宋体" w:eastAsia="宋体" w:hint="default"/>
                <w:sz w:val="18"/>
                <w:szCs w:val="18"/>
              </w:rPr>
              <w:t>周雷</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 亿投资（集 </w:t>
            </w:r>
            <w:r>
              <w:rPr>
                <w:rFonts w:ascii="宋体" w:hAnsi="宋体" w:cs="宋体" w:eastAsia="宋体" w:hint="default"/>
                <w:spacing w:val="-9"/>
                <w:sz w:val="18"/>
                <w:szCs w:val="18"/>
              </w:rPr>
              <w:t>团）有限公司</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上海天亿资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 馨投资管理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京世纪长河 科技集团有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本企业所控 制的其他子 </w:t>
            </w:r>
            <w:r>
              <w:rPr>
                <w:rFonts w:ascii="宋体" w:hAnsi="宋体" w:cs="宋体" w:eastAsia="宋体" w:hint="default"/>
                <w:spacing w:val="-2"/>
                <w:sz w:val="18"/>
                <w:szCs w:val="18"/>
              </w:rPr>
              <w:t>公司、分公司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及其他任何 </w:t>
            </w:r>
            <w:r>
              <w:rPr>
                <w:rFonts w:ascii="宋体" w:hAnsi="宋体" w:cs="宋体" w:eastAsia="宋体" w:hint="default"/>
                <w:spacing w:val="-2"/>
                <w:sz w:val="18"/>
                <w:szCs w:val="18"/>
              </w:rPr>
              <w:t>类型企业（以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相关 </w:t>
            </w:r>
            <w:r>
              <w:rPr>
                <w:rFonts w:ascii="宋体" w:hAnsi="宋体" w:cs="宋体" w:eastAsia="宋体" w:hint="default"/>
                <w:spacing w:val="-13"/>
                <w:w w:val="100"/>
                <w:sz w:val="18"/>
                <w:szCs w:val="18"/>
              </w:rPr>
              <w:t>企业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）未从事</w:t>
            </w:r>
            <w:r>
              <w:rPr>
                <w:rFonts w:ascii="宋体" w:hAnsi="宋体" w:cs="宋体" w:eastAsia="宋体" w:hint="default"/>
                <w:sz w:val="18"/>
                <w:szCs w:val="18"/>
              </w:rPr>
              <w:t> 任何对江苏 三友及其子 公司构成直 接或间接竞 争的生产经 营业务或活 </w:t>
            </w:r>
            <w:r>
              <w:rPr>
                <w:rFonts w:ascii="宋体" w:hAnsi="宋体" w:cs="宋体" w:eastAsia="宋体" w:hint="default"/>
                <w:spacing w:val="-2"/>
                <w:sz w:val="18"/>
                <w:szCs w:val="18"/>
              </w:rPr>
              <w:t>动；并保证将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来亦不从事 任何对江苏 三友及其子 公司构成直 接或间接竞 争的生产经 营业务或活 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业将对自身 及相关企业 的经营活动 进行监督和 </w:t>
            </w:r>
            <w:r>
              <w:rPr>
                <w:rFonts w:ascii="宋体" w:hAnsi="宋体" w:cs="宋体" w:eastAsia="宋体" w:hint="default"/>
                <w:spacing w:val="-2"/>
                <w:sz w:val="18"/>
                <w:szCs w:val="18"/>
              </w:rPr>
              <w:t>约束，如果将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 相关企业的 产品或业务 与江苏三友 及其子公司 的产品或业 务出现相同 或类似的情 </w:t>
            </w:r>
            <w:r>
              <w:rPr>
                <w:rFonts w:ascii="宋体" w:hAnsi="宋体" w:cs="宋体" w:eastAsia="宋体" w:hint="default"/>
                <w:spacing w:val="-9"/>
                <w:sz w:val="18"/>
                <w:szCs w:val="18"/>
              </w:rPr>
              <w:t>况，本人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7"/>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 诺将采取以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5"/>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下措施解决：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友认为必要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时，本人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进行减持直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至全部转让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本企业及相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关企业持有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和业务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江苏三友在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认为必要时，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可以通过适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当方式优先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资产和业务；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业及相关企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业与江苏三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友及其子公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司因同业竞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争产生利益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冲突，则优先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考虑江苏三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友及其子公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）有利于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争的其他措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施。本人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函出具之日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起，赔偿江苏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三友因本人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业及相关企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84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业违反本承 诺任何条款 而遭受或产 生的任何损 失或开支。本 承诺函在江 苏三友合法 有效存续且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本企业作为 江苏三友的 实际控制人 一致行动人 期间持续有 效。江苏三友 与俞熔及其 控制的天亿 投资、美馨投 资、和途投 资、天亿资 管、中卫成长 和郭美玲控 制的世纪长 河不存在同 业竞争，且俞 熔及其控制 的天亿投资、 美馨投资、和 途投资、天亿 资管、中卫成 长和郭美玲 控制的世纪 长河已就解 决和避免同 业竞争问题 出具承诺，前 述承诺的内 容合法有效， 有利于避免 同业竞争问 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 亿投资（集 </w:t>
            </w:r>
            <w:r>
              <w:rPr>
                <w:rFonts w:ascii="宋体" w:hAnsi="宋体" w:cs="宋体" w:eastAsia="宋体" w:hint="default"/>
                <w:spacing w:val="-9"/>
                <w:sz w:val="18"/>
                <w:szCs w:val="18"/>
              </w:rPr>
              <w:t>团）有限公司</w:t>
            </w:r>
            <w:r>
              <w:rPr>
                <w:rFonts w:ascii="Times New Roman" w:hAnsi="Times New Roman" w:cs="Times New Roman" w:eastAsia="Times New Roman" w:hint="default"/>
                <w:spacing w:val="-9"/>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、保证江苏 三友人员独 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37"/>
              <w:jc w:val="both"/>
              <w:rPr>
                <w:rFonts w:ascii="宋体" w:hAnsi="宋体" w:cs="宋体" w:eastAsia="宋体" w:hint="default"/>
                <w:sz w:val="18"/>
                <w:szCs w:val="18"/>
              </w:rPr>
            </w:pPr>
            <w:r>
              <w:rPr>
                <w:rFonts w:ascii="宋体" w:hAnsi="宋体" w:cs="宋体" w:eastAsia="宋体" w:hint="default"/>
                <w:sz w:val="18"/>
                <w:szCs w:val="18"/>
              </w:rPr>
              <w:t>上海天亿资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 馨投资管理 有限公司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江苏三友生 产经营与行 政管理（包括 劳动、人事及 工资管理等） 完全独立于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本企业及本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企业下属其 他公司、企 </w:t>
            </w:r>
            <w:r>
              <w:rPr>
                <w:rFonts w:ascii="宋体" w:hAnsi="宋体" w:cs="宋体" w:eastAsia="宋体" w:hint="default"/>
                <w:spacing w:val="-15"/>
                <w:sz w:val="18"/>
                <w:szCs w:val="18"/>
              </w:rPr>
              <w:t>业。（</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）保证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江苏三友总 经理、副总经</w:t>
            </w:r>
            <w:r>
              <w:rPr>
                <w:rFonts w:ascii="宋体" w:hAnsi="宋体" w:cs="宋体" w:eastAsia="宋体" w:hint="default"/>
                <w:sz w:val="18"/>
                <w:szCs w:val="18"/>
              </w:rPr>
              <w:t> 理、财务负责 人、董事会秘 书等高级管 理人员专职 在江苏三友 工作、并在江 苏三友领取 薪酬，不在本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企业及本人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业下属其他 公司、企业兼 职担任除董 事、监事以外 的其他职务， 且不在本人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下属其他公 司或企业中 </w:t>
            </w:r>
            <w:r>
              <w:rPr>
                <w:rFonts w:ascii="宋体" w:hAnsi="宋体" w:cs="宋体" w:eastAsia="宋体" w:hint="default"/>
                <w:spacing w:val="-15"/>
                <w:sz w:val="18"/>
                <w:szCs w:val="18"/>
              </w:rPr>
              <w:t>领薪。（</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）保</w:t>
            </w:r>
            <w:r>
              <w:rPr>
                <w:rFonts w:ascii="宋体" w:hAnsi="宋体" w:cs="宋体" w:eastAsia="宋体" w:hint="default"/>
                <w:spacing w:val="-5"/>
                <w:sz w:val="18"/>
                <w:szCs w:val="18"/>
              </w:rPr>
              <w:t> </w:t>
            </w:r>
            <w:r>
              <w:rPr>
                <w:rFonts w:ascii="宋体" w:hAnsi="宋体" w:cs="宋体" w:eastAsia="宋体" w:hint="default"/>
                <w:sz w:val="18"/>
                <w:szCs w:val="18"/>
              </w:rPr>
              <w:t>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本企业推 荐出任江苏 三友董事、监 事和高级管 理人员的人 选均通过合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998pt;width:61.95pt;height:686.55pt;mso-position-horizontal-relative:page;mso-position-vertical-relative:page;z-index:-1401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5"/>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法程序进行，</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本企业除依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法定程序行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使表决权外，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不干预江苏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三友董事会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作出的人事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任免决定。</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保证江苏三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友设置独立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部门和拥有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核算体系，具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有规范、独立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制度和财务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苏三友在财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务决策方面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保持独立，本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业下属其他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干涉江苏三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友的资金使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50"/>
                <w:sz w:val="18"/>
                <w:szCs w:val="18"/>
              </w:rPr>
              <w:t>、</w:t>
            </w:r>
            <w:r>
              <w:rPr>
                <w:rFonts w:ascii="宋体" w:hAnsi="宋体" w:cs="宋体" w:eastAsia="宋体" w:hint="default"/>
                <w:sz w:val="18"/>
                <w:szCs w:val="18"/>
              </w:rPr>
              <w:t>调度</w:t>
            </w:r>
            <w:r>
              <w:rPr>
                <w:rFonts w:ascii="宋体" w:hAnsi="宋体" w:cs="宋体" w:eastAsia="宋体" w:hint="default"/>
                <w:spacing w:val="-14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友保持自己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帐户，不与本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业下属其他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用一个银行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证江苏三友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Times New Roman" w:hAnsi="Times New Roman" w:cs="Times New Roman" w:eastAsia="Times New Roman" w:hint="default"/>
                <w:sz w:val="18"/>
                <w:szCs w:val="18"/>
              </w:rPr>
              <w:t>3</w:t>
            </w:r>
            <w:r>
              <w:rPr>
                <w:rFonts w:ascii="宋体" w:hAnsi="宋体" w:cs="宋体" w:eastAsia="宋体" w:hint="default"/>
                <w:sz w:val="18"/>
                <w:szCs w:val="18"/>
              </w:rPr>
              <w:t>、机构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证江苏三友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依法建立和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完善法人治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理结构，并与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完全分开；保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证江苏三友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业之间在办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公机构和生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产经营场所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等方面完全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分开，不存在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机构混同的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证江苏三友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独立自主运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作，本人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会超越江苏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三友董事会、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预江苏三友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的决策和经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江苏三友的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员等依照法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401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律、法规和公</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司章程独立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行使职权。</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资产独立、完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江苏三友及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其子公司资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产的独立完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整，且该等资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产全部处于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江苏三友及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控制之下，并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为江苏三友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独立拥有和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运营；保证本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次置入江苏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三友的资产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权属清晰、不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存在瑕疵。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5"/>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业下属其他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违规占用江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苏三友资产、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资金及其他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资源。</w:t>
            </w:r>
            <w:r>
              <w:rPr>
                <w:rFonts w:ascii="Times New Roman" w:hAnsi="Times New Roman" w:cs="Times New Roman" w:eastAsia="Times New Roman" w:hint="default"/>
                <w:sz w:val="18"/>
                <w:szCs w:val="18"/>
              </w:rPr>
              <w:t>5</w:t>
            </w:r>
            <w:r>
              <w:rPr>
                <w:rFonts w:ascii="宋体" w:hAnsi="宋体" w:cs="宋体" w:eastAsia="宋体" w:hint="default"/>
                <w:sz w:val="18"/>
                <w:szCs w:val="18"/>
              </w:rPr>
              <w:t>、业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4"/>
              <w:jc w:val="center"/>
              <w:rPr>
                <w:rFonts w:ascii="宋体" w:hAnsi="宋体" w:cs="宋体" w:eastAsia="宋体" w:hint="default"/>
                <w:sz w:val="18"/>
                <w:szCs w:val="18"/>
              </w:rPr>
            </w:pPr>
            <w:r>
              <w:rPr>
                <w:rFonts w:ascii="宋体" w:hAnsi="宋体" w:cs="宋体" w:eastAsia="宋体" w:hint="default"/>
                <w:sz w:val="18"/>
                <w:szCs w:val="18"/>
              </w:rPr>
              <w:t>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保证江苏三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友拥有独立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的生产和销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售体系；在本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次重大资产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重组完成后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拥有独立开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展经营活动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员、资质以及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具有独立面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向市场自主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经营的能力，</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在产、供、销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等环节不依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赖于本人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属其他公司、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业避免与江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苏三友及其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格控制关联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交易事项，尽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可能减少江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苏三友及其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业下属其他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间的持续性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绝非法占用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江苏三友资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金、资产的行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为，并不要求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江苏三友及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其子公司向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企业下属其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提供任何形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式的担保。对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51001pt;margin-top:72.47998pt;width:79.95pt;height:376.55pt;mso-position-horizontal-relative:page;mso-position-vertical-relative:page;z-index:-1401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公平、</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54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于无法避免 的关联交易 将本着</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公正、公开</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的原则，与对 非关联企业 的交易价格 保持一致，并 及时进行信 </w:t>
            </w:r>
            <w:r>
              <w:rPr>
                <w:rFonts w:ascii="宋体" w:hAnsi="宋体" w:cs="宋体" w:eastAsia="宋体" w:hint="default"/>
                <w:spacing w:val="-13"/>
                <w:sz w:val="18"/>
                <w:szCs w:val="18"/>
              </w:rPr>
              <w:t>息披露。（</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 保证不通过 单独或一致 行动的途径， 以依法行使 股东权利以 外的任何方 式，干预江苏</w:t>
            </w:r>
            <w:r>
              <w:rPr>
                <w:rFonts w:ascii="宋体" w:hAnsi="宋体" w:cs="宋体" w:eastAsia="宋体" w:hint="default"/>
                <w:sz w:val="18"/>
                <w:szCs w:val="18"/>
              </w:rPr>
              <w:t> 三友的重大 决策事项，影 响江苏三友 资产、人员、 财务、机构、 业务的独立 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5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55.8pt;height:376.55pt;mso-position-horizontal-relative:char;mso-position-vertical-relative:line" coordorigin="0,0" coordsize="1116,7531">
                  <v:group style="position:absolute;left:0;top:0;width:1116;height:7531" coordorigin="0,0" coordsize="1116,7531">
                    <v:shape style="position:absolute;left:0;top:0;width:1116;height:7531" coordorigin="0,0" coordsize="1116,7531" path="m0,7530l1116,7530,1116,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上海天亿投 </w:t>
            </w:r>
            <w:r>
              <w:rPr>
                <w:rFonts w:ascii="宋体" w:hAnsi="宋体" w:cs="宋体" w:eastAsia="宋体" w:hint="default"/>
                <w:spacing w:val="-2"/>
                <w:sz w:val="18"/>
                <w:szCs w:val="18"/>
              </w:rPr>
              <w:t>资（集团）有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 美馨投资管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上海天亿资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俞熔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若《江苏三友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集团股份有 限公司重大 资产置换及 发行股份购 买资产并募 集配套资金 暨关联交易 </w:t>
            </w:r>
            <w:r>
              <w:rPr>
                <w:rFonts w:ascii="宋体" w:hAnsi="宋体" w:cs="宋体" w:eastAsia="宋体" w:hint="default"/>
                <w:spacing w:val="-2"/>
                <w:sz w:val="18"/>
                <w:szCs w:val="18"/>
              </w:rPr>
              <w:t>报告书》中披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露的门诊部 </w:t>
            </w:r>
            <w:r>
              <w:rPr>
                <w:rFonts w:ascii="宋体" w:hAnsi="宋体" w:cs="宋体" w:eastAsia="宋体" w:hint="default"/>
                <w:spacing w:val="-2"/>
                <w:sz w:val="18"/>
                <w:szCs w:val="18"/>
              </w:rPr>
              <w:t>持有的《医疗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机构执业许 </w:t>
            </w:r>
            <w:r>
              <w:rPr>
                <w:rFonts w:ascii="宋体" w:hAnsi="宋体" w:cs="宋体" w:eastAsia="宋体" w:hint="default"/>
                <w:spacing w:val="-2"/>
                <w:sz w:val="18"/>
                <w:szCs w:val="18"/>
              </w:rPr>
              <w:t>可证》到期未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能通过有效 </w:t>
            </w:r>
            <w:r>
              <w:rPr>
                <w:rFonts w:ascii="宋体" w:hAnsi="宋体" w:cs="宋体" w:eastAsia="宋体" w:hint="default"/>
                <w:spacing w:val="-2"/>
                <w:sz w:val="18"/>
                <w:szCs w:val="18"/>
              </w:rPr>
              <w:t>期的续展，并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因此导致上 述主体受到 相应的行政 </w:t>
            </w:r>
            <w:r>
              <w:rPr>
                <w:rFonts w:ascii="宋体" w:hAnsi="宋体" w:cs="宋体" w:eastAsia="宋体" w:hint="default"/>
                <w:spacing w:val="-2"/>
                <w:sz w:val="18"/>
                <w:szCs w:val="18"/>
              </w:rPr>
              <w:t>处罚、无法正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常经营、遭受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5"/>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68.61998pt;width:61.8pt;height:279.9pt;mso-position-horizontal-relative:page;mso-position-vertical-relative:page;z-index:-14010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61.630005pt;margin-top:483.669983pt;width:61.8pt;height:279.9pt;mso-position-horizontal-relative:page;mso-position-vertical-relative:page;z-index:-1401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其他任何损 失的，将向江 苏三友及时、 足额承担前 述损失赔偿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190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、承诺：（</w:t>
            </w:r>
            <w:r>
              <w:rPr>
                <w:rFonts w:ascii="Times New Roman" w:hAnsi="Times New Roman" w:cs="Times New Roman" w:eastAsia="Times New Roman" w:hint="default"/>
                <w:spacing w:val="-15"/>
                <w:sz w:val="18"/>
                <w:szCs w:val="18"/>
              </w:rPr>
              <w:t>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所投资的企 业不存在与 美年大健康 主营业务直 接或间接同 业竞争的情 </w:t>
            </w:r>
            <w:r>
              <w:rPr>
                <w:rFonts w:ascii="宋体" w:hAnsi="宋体" w:cs="宋体" w:eastAsia="宋体" w:hint="default"/>
                <w:spacing w:val="-15"/>
                <w:sz w:val="18"/>
                <w:szCs w:val="18"/>
              </w:rPr>
              <w:t>形；（</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）在其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担任美年大 健康或上市 </w:t>
            </w:r>
            <w:r>
              <w:rPr>
                <w:rFonts w:ascii="宋体" w:hAnsi="宋体" w:cs="宋体" w:eastAsia="宋体" w:hint="default"/>
                <w:spacing w:val="-2"/>
                <w:sz w:val="18"/>
                <w:szCs w:val="18"/>
              </w:rPr>
              <w:t>公司董事、监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人员期间，不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投资与美年 大健康主营 业务构成直 接或间接竞 争的业务；</w:t>
            </w:r>
          </w:p>
          <w:p>
            <w:pPr>
              <w:pStyle w:val="TableParagraph"/>
              <w:spacing w:line="314" w:lineRule="auto" w:before="1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）若违反 </w:t>
            </w:r>
            <w:r>
              <w:rPr>
                <w:rFonts w:ascii="宋体" w:hAnsi="宋体" w:cs="宋体" w:eastAsia="宋体" w:hint="default"/>
                <w:spacing w:val="-2"/>
                <w:sz w:val="18"/>
                <w:szCs w:val="18"/>
              </w:rPr>
              <w:t>上述承诺，将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对美年大健 康和</w:t>
            </w:r>
            <w:r>
              <w:rPr>
                <w:rFonts w:ascii="Times New Roman" w:hAnsi="Times New Roman" w:cs="Times New Roman" w:eastAsia="Times New Roman" w:hint="default"/>
                <w:sz w:val="18"/>
                <w:szCs w:val="18"/>
              </w:rPr>
              <w:t>/</w:t>
            </w:r>
            <w:r>
              <w:rPr>
                <w:rFonts w:ascii="宋体" w:hAnsi="宋体" w:cs="宋体" w:eastAsia="宋体" w:hint="default"/>
                <w:sz w:val="18"/>
                <w:szCs w:val="18"/>
              </w:rPr>
              <w:t>或本次 交易完成后 的上市公司 因此而遭受 的任何损失 或开支予以 全额赔偿。</w:t>
            </w:r>
            <w:r>
              <w:rPr>
                <w:rFonts w:ascii="Times New Roman" w:hAnsi="Times New Roman" w:cs="Times New Roman" w:eastAsia="Times New Roman" w:hint="default"/>
                <w:sz w:val="18"/>
                <w:szCs w:val="18"/>
              </w:rPr>
              <w:t>2 </w:t>
            </w:r>
            <w:r>
              <w:rPr>
                <w:rFonts w:ascii="宋体" w:hAnsi="宋体" w:cs="宋体" w:eastAsia="宋体" w:hint="default"/>
                <w:sz w:val="18"/>
                <w:szCs w:val="18"/>
              </w:rPr>
              <w:t>在本次重大 资产重组完 </w:t>
            </w:r>
            <w:r>
              <w:rPr>
                <w:rFonts w:ascii="宋体" w:hAnsi="宋体" w:cs="宋体" w:eastAsia="宋体" w:hint="default"/>
                <w:spacing w:val="-2"/>
                <w:sz w:val="18"/>
                <w:szCs w:val="18"/>
              </w:rPr>
              <w:t>成后，将提名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符合独立董 事任职资格 的人员担任 上市公司的 独立董事。</w:t>
            </w:r>
            <w:r>
              <w:rPr>
                <w:rFonts w:ascii="Times New Roman" w:hAnsi="Times New Roman" w:cs="Times New Roman" w:eastAsia="Times New Roman" w:hint="default"/>
                <w:sz w:val="18"/>
                <w:szCs w:val="18"/>
              </w:rPr>
              <w:t>3 </w:t>
            </w:r>
            <w:r>
              <w:rPr>
                <w:rFonts w:ascii="宋体" w:hAnsi="宋体" w:cs="宋体" w:eastAsia="宋体" w:hint="default"/>
                <w:sz w:val="18"/>
                <w:szCs w:val="18"/>
              </w:rPr>
              <w:t>承诺在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59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1"/>
                <w:sz w:val="20"/>
                <w:szCs w:val="20"/>
              </w:rPr>
              <w:pict>
                <v:group style="width:55.8pt;height:279.9pt;mso-position-horizontal-relative:char;mso-position-vertical-relative:line" coordorigin="0,0" coordsize="1116,5598">
                  <v:group style="position:absolute;left:0;top:0;width:1116;height:5598" coordorigin="0,0" coordsize="1116,5598">
                    <v:shape style="position:absolute;left:0;top:0;width:1116;height:5598" coordorigin="0,0" coordsize="1116,5598" path="m0,5598l1116,5598,1116,0,0,0,0,5598xe" filled="true" fillcolor="#ffffff" stroked="false">
                      <v:path arrowok="t"/>
                      <v:fill type="solid"/>
                    </v:shape>
                  </v:group>
                </v:group>
              </w:pict>
            </w:r>
            <w:r>
              <w:rPr>
                <w:rFonts w:ascii="Times New Roman" w:hAnsi="Times New Roman" w:cs="Times New Roman" w:eastAsia="Times New Roman" w:hint="default"/>
                <w:position w:val="-111"/>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559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1"/>
                <w:sz w:val="20"/>
                <w:szCs w:val="20"/>
              </w:rPr>
              <w:pict>
                <v:group style="width:55.8pt;height:279.9pt;mso-position-horizontal-relative:char;mso-position-vertical-relative:line" coordorigin="0,0" coordsize="1116,5598">
                  <v:group style="position:absolute;left:0;top:0;width:1116;height:5598" coordorigin="0,0" coordsize="1116,5598">
                    <v:shape style="position:absolute;left:0;top:0;width:1116;height:5598" coordorigin="0,0" coordsize="1116,5598" path="m0,5598l1116,5598,1116,0,0,0,0,5598xe" filled="true" fillcolor="#ffffff" stroked="false">
                      <v:path arrowok="t"/>
                      <v:fill type="solid"/>
                    </v:shape>
                  </v:group>
                </v:group>
              </w:pict>
            </w:r>
            <w:r>
              <w:rPr>
                <w:rFonts w:ascii="Times New Roman" w:hAnsi="Times New Roman" w:cs="Times New Roman" w:eastAsia="Times New Roman" w:hint="default"/>
                <w:position w:val="-111"/>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401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前将上海尚</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医拓远投资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司注销或转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第三方。</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本人将根据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相关法规及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江苏三友《公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司章程》的要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求，向公司申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报所持有的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公司股份及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其变动情况，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并根据《深圳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股票上市规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10"/>
                <w:sz w:val="18"/>
                <w:szCs w:val="18"/>
              </w:rPr>
              <w:t>则（</w:t>
            </w:r>
            <w:r>
              <w:rPr>
                <w:rFonts w:ascii="Times New Roman" w:hAnsi="Times New Roman" w:cs="Times New Roman" w:eastAsia="Times New Roman" w:hint="default"/>
                <w:spacing w:val="-10"/>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7"/>
              <w:jc w:val="center"/>
              <w:rPr>
                <w:rFonts w:ascii="宋体" w:hAnsi="宋体" w:cs="宋体" w:eastAsia="宋体" w:hint="default"/>
                <w:sz w:val="18"/>
                <w:szCs w:val="18"/>
              </w:rPr>
            </w:pPr>
            <w:r>
              <w:rPr>
                <w:rFonts w:ascii="宋体" w:hAnsi="宋体" w:cs="宋体" w:eastAsia="宋体" w:hint="default"/>
                <w:sz w:val="18"/>
                <w:szCs w:val="18"/>
              </w:rPr>
              <w:t>订</w:t>
            </w:r>
            <w:r>
              <w:rPr>
                <w:rFonts w:ascii="宋体" w:hAnsi="宋体" w:cs="宋体" w:eastAsia="宋体" w:hint="default"/>
                <w:spacing w:val="-92"/>
                <w:sz w:val="18"/>
                <w:szCs w:val="18"/>
              </w:rPr>
              <w:t>）</w:t>
            </w:r>
            <w:r>
              <w:rPr>
                <w:rFonts w:ascii="宋体" w:hAnsi="宋体" w:cs="宋体" w:eastAsia="宋体" w:hint="default"/>
                <w:sz w:val="18"/>
                <w:szCs w:val="18"/>
              </w:rPr>
              <w:t>》和《公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司章程》中关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于本人转让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份的限制性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规定，向深圳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申请在相应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期间锁定本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部或者部分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本人在任职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超过本人所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份自公司股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票上市交易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之日起一年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人离职后半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年内，不转让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48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所持有的公 司股份。本人 若将所持有 公司的股票 在买入后六 个月内卖出， 或者在卖出 后六个月内 又买入，由此 所得收益归 该公司所有。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34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 亿投资（集 </w:t>
            </w:r>
            <w:r>
              <w:rPr>
                <w:rFonts w:ascii="宋体" w:hAnsi="宋体" w:cs="宋体" w:eastAsia="宋体" w:hint="default"/>
                <w:spacing w:val="-9"/>
                <w:sz w:val="18"/>
                <w:szCs w:val="18"/>
              </w:rPr>
              <w:t>团）有限公司</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上海天亿资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 馨投资管理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京世纪长河 科技集团有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 凯雷投资中 心（有限合 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身对江苏三 友的股东地 位及控制性 影响谋求江 苏三友及其 子公司在业 务合作等方 面给予优于 市场第三方 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 不利用自身 对江苏三友 的股东地位 及控制性影 响谋求与江 苏三友及其 子公司达成 交易的优先 权利；</w:t>
            </w:r>
            <w:r>
              <w:rPr>
                <w:rFonts w:ascii="Times New Roman" w:hAnsi="Times New Roman" w:cs="Times New Roman" w:eastAsia="Times New Roman" w:hint="default"/>
                <w:sz w:val="18"/>
                <w:szCs w:val="18"/>
              </w:rPr>
              <w:t>3</w:t>
            </w:r>
            <w:r>
              <w:rPr>
                <w:rFonts w:ascii="宋体" w:hAnsi="宋体" w:cs="宋体" w:eastAsia="宋体" w:hint="default"/>
                <w:sz w:val="18"/>
                <w:szCs w:val="18"/>
              </w:rPr>
              <w:t>、不 以低于（如江 苏三友为买 方则</w:t>
            </w:r>
            <w:r>
              <w:rPr>
                <w:rFonts w:ascii="Times New Roman" w:hAnsi="Times New Roman" w:cs="Times New Roman" w:eastAsia="Times New Roman" w:hint="default"/>
                <w:sz w:val="18"/>
                <w:szCs w:val="18"/>
              </w:rPr>
              <w:t>“</w:t>
            </w:r>
            <w:r>
              <w:rPr>
                <w:rFonts w:ascii="宋体" w:hAnsi="宋体" w:cs="宋体" w:eastAsia="宋体" w:hint="default"/>
                <w:sz w:val="18"/>
                <w:szCs w:val="18"/>
              </w:rPr>
              <w:t>不以高 </w:t>
            </w:r>
            <w:r>
              <w:rPr>
                <w:rFonts w:ascii="宋体" w:hAnsi="宋体" w:cs="宋体" w:eastAsia="宋体" w:hint="default"/>
                <w:spacing w:val="-13"/>
                <w:w w:val="100"/>
                <w:sz w:val="18"/>
                <w:szCs w:val="18"/>
              </w:rPr>
              <w:t>于</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）市场价格</w:t>
            </w:r>
            <w:r>
              <w:rPr>
                <w:rFonts w:ascii="宋体" w:hAnsi="宋体" w:cs="宋体" w:eastAsia="宋体" w:hint="default"/>
                <w:sz w:val="18"/>
                <w:szCs w:val="18"/>
              </w:rPr>
              <w:t> 的条件与江 苏三友及其 子公司进行 交易，亦不利 用该类交易 从事任何损 害江苏三友 及其子公司 利益的行为。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5"/>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73pt;mso-position-horizontal-relative:page;mso-position-vertical-relative:page;z-index:-1400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46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同时，本人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业将保证江 苏三友及其 子公司在对 待将来可能 产生的与本 公司的关联 交易方面，将 采取如下措 施规范可能 发生的关联 交易：</w:t>
            </w:r>
            <w:r>
              <w:rPr>
                <w:rFonts w:ascii="Times New Roman" w:hAnsi="Times New Roman" w:cs="Times New Roman" w:eastAsia="Times New Roman" w:hint="default"/>
                <w:sz w:val="18"/>
                <w:szCs w:val="18"/>
              </w:rPr>
              <w:t>1</w:t>
            </w:r>
            <w:r>
              <w:rPr>
                <w:rFonts w:ascii="宋体" w:hAnsi="宋体" w:cs="宋体" w:eastAsia="宋体" w:hint="default"/>
                <w:sz w:val="18"/>
                <w:szCs w:val="18"/>
              </w:rPr>
              <w:t>、若 有关联交易， 均严格履行 合法程序，及 时详细进行 信息披露；</w:t>
            </w:r>
            <w:r>
              <w:rPr>
                <w:rFonts w:ascii="Times New Roman" w:hAnsi="Times New Roman" w:cs="Times New Roman" w:eastAsia="Times New Roman" w:hint="default"/>
                <w:sz w:val="18"/>
                <w:szCs w:val="18"/>
              </w:rPr>
              <w:t>2 </w:t>
            </w:r>
            <w:r>
              <w:rPr>
                <w:rFonts w:ascii="宋体" w:hAnsi="宋体" w:cs="宋体" w:eastAsia="宋体" w:hint="default"/>
                <w:sz w:val="18"/>
                <w:szCs w:val="18"/>
              </w:rPr>
              <w:t>对于采购、销 售等均严格 按照公开、公 平、公正的市 场经济原则， 采用公开招 标或者市场 定价等方式 进行，以充分 保障江苏三 友及其全体 股东的合法 权益。如违反 上述承诺与 江苏三友及 其全资、控股 子公司进行 交易，而给江 苏三友及其 全资、控股子 公司造成损 失，由本人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业承担赔偿 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345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5.8pt;height:673pt;mso-position-horizontal-relative:char;mso-position-vertical-relative:line" coordorigin="0,0" coordsize="1116,13460">
                  <v:group style="position:absolute;left:0;top:0;width:1116;height:13460" coordorigin="0,0" coordsize="1116,13460">
                    <v:shape style="position:absolute;left:0;top:0;width:1116;height:13460" coordorigin="0,0" coordsize="1116,13460" path="m0,13459l1116,13459,1116,0,0,0,0,13459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北京世纪长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、若美年大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7"/>
              <w:jc w:val="left"/>
              <w:rPr>
                <w:rFonts w:ascii="宋体" w:hAnsi="宋体" w:cs="宋体" w:eastAsia="宋体" w:hint="default"/>
                <w:sz w:val="18"/>
                <w:szCs w:val="18"/>
              </w:rPr>
            </w:pPr>
            <w:r>
              <w:rPr>
                <w:rFonts w:ascii="宋体" w:hAnsi="宋体" w:cs="宋体" w:eastAsia="宋体" w:hint="default"/>
                <w:sz w:val="18"/>
                <w:szCs w:val="18"/>
              </w:rPr>
              <w:t>河科技集团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 海美馨投资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上海天亿 投资（集团）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海天亿资产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俞熔</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健康和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或上 </w:t>
            </w:r>
            <w:r>
              <w:rPr>
                <w:rFonts w:ascii="宋体" w:hAnsi="宋体" w:cs="宋体" w:eastAsia="宋体" w:hint="default"/>
                <w:spacing w:val="-2"/>
                <w:sz w:val="18"/>
                <w:szCs w:val="18"/>
              </w:rPr>
              <w:t>市公司因《江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苏三友集团 股份有限公 司重大资产 置换及发行 股份购买资 产并募集配 套资金暨关 联交易报告 </w:t>
            </w:r>
            <w:r>
              <w:rPr>
                <w:rFonts w:ascii="宋体" w:hAnsi="宋体" w:cs="宋体" w:eastAsia="宋体" w:hint="default"/>
                <w:spacing w:val="-2"/>
                <w:sz w:val="18"/>
                <w:szCs w:val="18"/>
              </w:rPr>
              <w:t>书》披露的租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赁瑕疵而遭 受任何处罚 </w:t>
            </w:r>
            <w:r>
              <w:rPr>
                <w:rFonts w:ascii="宋体" w:hAnsi="宋体" w:cs="宋体" w:eastAsia="宋体" w:hint="default"/>
                <w:spacing w:val="-2"/>
                <w:sz w:val="18"/>
                <w:szCs w:val="18"/>
              </w:rPr>
              <w:t>或损失的，由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其按各自相 应的持股比 例予以全额 补偿。</w:t>
            </w:r>
            <w:r>
              <w:rPr>
                <w:rFonts w:ascii="Times New Roman" w:hAnsi="Times New Roman" w:cs="Times New Roman" w:eastAsia="Times New Roman" w:hint="default"/>
                <w:sz w:val="18"/>
                <w:szCs w:val="18"/>
              </w:rPr>
              <w:t>2</w:t>
            </w:r>
            <w:r>
              <w:rPr>
                <w:rFonts w:ascii="宋体" w:hAnsi="宋体" w:cs="宋体" w:eastAsia="宋体" w:hint="default"/>
                <w:sz w:val="18"/>
                <w:szCs w:val="18"/>
              </w:rPr>
              <w:t>、如 美年大健康 及其各子公 </w:t>
            </w:r>
            <w:r>
              <w:rPr>
                <w:rFonts w:ascii="宋体" w:hAnsi="宋体" w:cs="宋体" w:eastAsia="宋体" w:hint="default"/>
                <w:spacing w:val="-2"/>
                <w:sz w:val="18"/>
                <w:szCs w:val="18"/>
              </w:rPr>
              <w:t>司、分公司因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未足额缴纳 社会保险和</w:t>
            </w:r>
            <w:r>
              <w:rPr>
                <w:rFonts w:ascii="Times New Roman" w:hAnsi="Times New Roman" w:cs="Times New Roman" w:eastAsia="Times New Roman" w:hint="default"/>
                <w:sz w:val="18"/>
                <w:szCs w:val="18"/>
              </w:rPr>
              <w:t>/ </w:t>
            </w:r>
            <w:r>
              <w:rPr>
                <w:rFonts w:ascii="宋体" w:hAnsi="宋体" w:cs="宋体" w:eastAsia="宋体" w:hint="default"/>
                <w:sz w:val="18"/>
                <w:szCs w:val="18"/>
              </w:rPr>
              <w:t>或住房公积 金而对美年 大健康和</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宋体" w:hAnsi="宋体" w:cs="宋体" w:eastAsia="宋体" w:hint="default"/>
                <w:spacing w:val="-2"/>
                <w:sz w:val="18"/>
                <w:szCs w:val="18"/>
              </w:rPr>
              <w:t>其子公司、分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公司以及本 次重大资产 重组完成后 的江苏三友 造成任何损 </w:t>
            </w:r>
            <w:r>
              <w:rPr>
                <w:rFonts w:ascii="宋体" w:hAnsi="宋体" w:cs="宋体" w:eastAsia="宋体" w:hint="default"/>
                <w:spacing w:val="-2"/>
                <w:sz w:val="18"/>
                <w:szCs w:val="18"/>
              </w:rPr>
              <w:t>失的，按各自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相应的持股 比例予以全 额补偿。</w:t>
            </w:r>
            <w:r>
              <w:rPr>
                <w:rFonts w:ascii="Times New Roman" w:hAnsi="Times New Roman" w:cs="Times New Roman" w:eastAsia="Times New Roman" w:hint="default"/>
                <w:sz w:val="18"/>
                <w:szCs w:val="18"/>
              </w:rPr>
              <w:t>3</w:t>
            </w:r>
            <w:r>
              <w:rPr>
                <w:rFonts w:ascii="宋体" w:hAnsi="宋体" w:cs="宋体" w:eastAsia="宋体" w:hint="default"/>
                <w:sz w:val="18"/>
                <w:szCs w:val="18"/>
              </w:rPr>
              <w:t>、 保证为本次 重大资产重 组所提供的 有关信息真 </w:t>
            </w:r>
            <w:r>
              <w:rPr>
                <w:rFonts w:ascii="宋体" w:hAnsi="宋体" w:cs="宋体" w:eastAsia="宋体" w:hint="default"/>
                <w:spacing w:val="-2"/>
                <w:sz w:val="18"/>
                <w:szCs w:val="18"/>
              </w:rPr>
              <w:t>实、准确和完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整，不存在虚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267.3pt;mso-position-horizontal-relative:page;mso-position-vertical-relative:page;z-index:-1400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35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重大遗漏，并 对所提供信 息的真实性、 准确性和完 整性承担个 别和连带的 法律责任。</w:t>
            </w:r>
            <w:r>
              <w:rPr>
                <w:rFonts w:ascii="Times New Roman" w:hAnsi="Times New Roman" w:cs="Times New Roman" w:eastAsia="Times New Roman" w:hint="default"/>
                <w:sz w:val="18"/>
                <w:szCs w:val="18"/>
              </w:rPr>
              <w:t>4 </w:t>
            </w:r>
            <w:r>
              <w:rPr>
                <w:rFonts w:ascii="宋体" w:hAnsi="宋体" w:cs="宋体" w:eastAsia="宋体" w:hint="default"/>
                <w:sz w:val="18"/>
                <w:szCs w:val="18"/>
              </w:rPr>
              <w:t>最近五年内 未受过行政 处罚（与证券 市场明显无 </w:t>
            </w:r>
            <w:r>
              <w:rPr>
                <w:rFonts w:ascii="宋体" w:hAnsi="宋体" w:cs="宋体" w:eastAsia="宋体" w:hint="default"/>
                <w:spacing w:val="-16"/>
                <w:sz w:val="18"/>
                <w:szCs w:val="18"/>
              </w:rPr>
              <w:t>关的除外）、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刑事处罚，未</w:t>
            </w:r>
            <w:r>
              <w:rPr>
                <w:rFonts w:ascii="宋体" w:hAnsi="宋体" w:cs="宋体" w:eastAsia="宋体" w:hint="default"/>
                <w:sz w:val="18"/>
                <w:szCs w:val="18"/>
              </w:rPr>
              <w:t> 涉及与经济 纠纷有关的 重大民事诉 讼或者仲裁。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34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6"/>
                <w:sz w:val="20"/>
                <w:szCs w:val="20"/>
              </w:rPr>
              <w:pict>
                <v:group style="width:55.8pt;height:267.3pt;mso-position-horizontal-relative:char;mso-position-vertical-relative:line" coordorigin="0,0" coordsize="1116,5346">
                  <v:group style="position:absolute;left:0;top:0;width:1116;height:5346" coordorigin="0,0" coordsize="1116,5346">
                    <v:shape style="position:absolute;left:0;top:0;width:1116;height:5346" coordorigin="0,0" coordsize="1116,5346" path="m0,5346l1116,5346,1116,0,0,0,0,5346xe" filled="true" fillcolor="#ffffff" stroked="false">
                      <v:path arrowok="t"/>
                      <v:fill type="solid"/>
                    </v:shape>
                  </v:group>
                </v:group>
              </w:pict>
            </w:r>
            <w:r>
              <w:rPr>
                <w:rFonts w:ascii="Times New Roman" w:hAnsi="Times New Roman" w:cs="Times New Roman" w:eastAsia="Times New Roman" w:hint="default"/>
                <w:position w:val="-10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南通友谊实 业有限公司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若《江苏三友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集团股份有 限公司重大 资产置换及 发行股份购 买资产并募 集配套资金 暨关联交易 </w:t>
            </w:r>
            <w:r>
              <w:rPr>
                <w:rFonts w:ascii="宋体" w:hAnsi="宋体" w:cs="宋体" w:eastAsia="宋体" w:hint="default"/>
                <w:spacing w:val="-2"/>
                <w:sz w:val="18"/>
                <w:szCs w:val="18"/>
              </w:rPr>
              <w:t>报告书》披露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的房产无法 置出给资产 </w:t>
            </w:r>
            <w:r>
              <w:rPr>
                <w:rFonts w:ascii="宋体" w:hAnsi="宋体" w:cs="宋体" w:eastAsia="宋体" w:hint="default"/>
                <w:spacing w:val="-2"/>
                <w:sz w:val="18"/>
                <w:szCs w:val="18"/>
              </w:rPr>
              <w:t>承接方，则南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通友谊作为 上述房产的 土地使用权 </w:t>
            </w:r>
            <w:r>
              <w:rPr>
                <w:rFonts w:ascii="宋体" w:hAnsi="宋体" w:cs="宋体" w:eastAsia="宋体" w:hint="default"/>
                <w:spacing w:val="-2"/>
                <w:sz w:val="18"/>
                <w:szCs w:val="18"/>
              </w:rPr>
              <w:t>人，将按照上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述房产的评 估值以现金 方式购买该 等房产。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如《江苏三友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集团股份有 限公司重大 资产置换及 发行股份购 买资产并募 集配套资金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29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暨关联交易 报告书》披露 的本次重大 次产重组交 割时担保责 任转移存在 障碍，其将于 资产交割时 将不少于实 际担保金额 的现金存入 上市公司指 定的银行账 户，作为江苏 三友不再承 担担保义务 的保障，直至 担保期限届 满或担保责 任完成转移。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浙江浙商证 券资产管理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 通基金管理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 国太平洋保 </w:t>
            </w:r>
            <w:r>
              <w:rPr>
                <w:rFonts w:ascii="宋体" w:hAnsi="宋体" w:cs="宋体" w:eastAsia="宋体" w:hint="default"/>
                <w:spacing w:val="-2"/>
                <w:sz w:val="18"/>
                <w:szCs w:val="18"/>
              </w:rPr>
              <w:t>险（集团）股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西部证券股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创金合信基 金管理有限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华安基 金管理有限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博时基 金管理有限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 金管理有限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 金管理有限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1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承诺所认购 的江苏三友 本次非公开 发行的股份， 自股份发行 结束并上市 交易之日起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sz w:val="18"/>
              </w:rPr>
              <w:t>2016-09-23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8"/>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南通友谊实 业有限公司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日本三轮株</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作为公司股 </w:t>
            </w:r>
            <w:r>
              <w:rPr>
                <w:rFonts w:ascii="宋体" w:hAnsi="宋体" w:cs="宋体" w:eastAsia="宋体" w:hint="default"/>
                <w:spacing w:val="-2"/>
                <w:sz w:val="18"/>
                <w:szCs w:val="18"/>
              </w:rPr>
              <w:t>东期间，本公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司不会在中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both"/>
              <w:rPr>
                <w:rFonts w:ascii="宋体" w:hAnsi="宋体" w:cs="宋体" w:eastAsia="宋体" w:hint="default"/>
                <w:sz w:val="18"/>
                <w:szCs w:val="18"/>
              </w:rPr>
            </w:pPr>
            <w:r>
              <w:rPr>
                <w:rFonts w:ascii="宋体" w:hAnsi="宋体" w:cs="宋体" w:eastAsia="宋体" w:hint="default"/>
                <w:sz w:val="18"/>
                <w:szCs w:val="18"/>
              </w:rPr>
              <w:t>日本三轮株 式会社持有 公司股份已</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41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37"/>
              <w:jc w:val="both"/>
              <w:rPr>
                <w:rFonts w:ascii="宋体" w:hAnsi="宋体" w:cs="宋体" w:eastAsia="宋体" w:hint="default"/>
                <w:sz w:val="18"/>
                <w:szCs w:val="18"/>
              </w:rPr>
            </w:pPr>
            <w:r>
              <w:rPr>
                <w:rFonts w:ascii="宋体" w:hAnsi="宋体" w:cs="宋体" w:eastAsia="宋体" w:hint="default"/>
                <w:sz w:val="18"/>
                <w:szCs w:val="18"/>
              </w:rPr>
              <w:t>式会社</w:t>
            </w:r>
            <w:r>
              <w:rPr>
                <w:rFonts w:ascii="Times New Roman" w:hAnsi="Times New Roman" w:cs="Times New Roman" w:eastAsia="Times New Roman" w:hint="default"/>
                <w:sz w:val="18"/>
                <w:szCs w:val="18"/>
              </w:rPr>
              <w:t>;</w:t>
            </w:r>
            <w:r>
              <w:rPr>
                <w:rFonts w:ascii="宋体" w:hAnsi="宋体" w:cs="宋体" w:eastAsia="宋体" w:hint="default"/>
                <w:sz w:val="18"/>
                <w:szCs w:val="18"/>
              </w:rPr>
              <w:t>株式 会社飞马日 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国境内或境 外，以任何方 式（包括但不 限于单独经 营、通过合资 或拥有另一 家公司或企 业的股份及 其他权益）直 接或间接控 制任何与股 份公司构成 竞争的任何 业务或活动。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5"/>
                <w:sz w:val="18"/>
                <w:szCs w:val="18"/>
              </w:rPr>
              <w:t>减持完毕，不</w:t>
            </w:r>
            <w:r>
              <w:rPr>
                <w:rFonts w:ascii="宋体" w:hAnsi="宋体" w:cs="宋体" w:eastAsia="宋体" w:hint="default"/>
                <w:sz w:val="18"/>
                <w:szCs w:val="18"/>
              </w:rPr>
              <w:t> 再是公司股 东。</w:t>
            </w:r>
          </w:p>
        </w:tc>
      </w:tr>
      <w:tr>
        <w:trPr>
          <w:trHeight w:val="539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23" w:right="137"/>
              <w:jc w:val="both"/>
              <w:rPr>
                <w:rFonts w:ascii="宋体" w:hAnsi="宋体" w:cs="宋体" w:eastAsia="宋体" w:hint="default"/>
                <w:sz w:val="18"/>
                <w:szCs w:val="18"/>
              </w:rPr>
            </w:pPr>
            <w:r>
              <w:rPr>
                <w:rFonts w:ascii="宋体" w:hAnsi="宋体" w:cs="宋体" w:eastAsia="宋体" w:hint="default"/>
                <w:sz w:val="18"/>
                <w:szCs w:val="18"/>
              </w:rPr>
              <w:t>南通热电厂</w:t>
            </w:r>
            <w:r>
              <w:rPr>
                <w:rFonts w:ascii="Times New Roman" w:hAnsi="Times New Roman" w:cs="Times New Roman" w:eastAsia="Times New Roman" w:hint="default"/>
                <w:sz w:val="18"/>
                <w:szCs w:val="18"/>
              </w:rPr>
              <w:t>; </w:t>
            </w:r>
            <w:r>
              <w:rPr>
                <w:rFonts w:ascii="宋体" w:hAnsi="宋体" w:cs="宋体" w:eastAsia="宋体" w:hint="default"/>
                <w:sz w:val="18"/>
                <w:szCs w:val="18"/>
              </w:rPr>
              <w:t>上海德鸿科 贸有限公司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作为公司股 东期间，本公 司不会在中 国境内或境 外，以任何方 式（包括但不 限于单独经 营、通过合资 或拥有另一 家公司或企 业的股份及 其他权益）直 接或间接控 制任何与股 份公司构成 竞争的任何 业务或活动。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3" w:right="87"/>
              <w:jc w:val="both"/>
              <w:rPr>
                <w:rFonts w:ascii="宋体" w:hAnsi="宋体" w:cs="宋体" w:eastAsia="宋体" w:hint="default"/>
                <w:sz w:val="18"/>
                <w:szCs w:val="18"/>
              </w:rPr>
            </w:pPr>
            <w:r>
              <w:rPr>
                <w:rFonts w:ascii="宋体" w:hAnsi="宋体" w:cs="宋体" w:eastAsia="宋体" w:hint="default"/>
                <w:sz w:val="18"/>
                <w:szCs w:val="18"/>
              </w:rPr>
              <w:t>蔡国新</w:t>
            </w:r>
            <w:r>
              <w:rPr>
                <w:rFonts w:ascii="Times New Roman" w:hAnsi="Times New Roman" w:cs="Times New Roman" w:eastAsia="Times New Roman" w:hint="default"/>
                <w:sz w:val="18"/>
                <w:szCs w:val="18"/>
              </w:rPr>
              <w:t>;</w:t>
            </w:r>
            <w:r>
              <w:rPr>
                <w:rFonts w:ascii="宋体" w:hAnsi="宋体" w:cs="宋体" w:eastAsia="宋体" w:hint="default"/>
                <w:sz w:val="18"/>
                <w:szCs w:val="18"/>
              </w:rPr>
              <w:t>葛秋</w:t>
            </w:r>
            <w:r>
              <w:rPr>
                <w:rFonts w:ascii="Times New Roman" w:hAnsi="Times New Roman" w:cs="Times New Roman" w:eastAsia="Times New Roman" w:hint="default"/>
                <w:sz w:val="18"/>
                <w:szCs w:val="18"/>
              </w:rPr>
              <w:t>; </w:t>
            </w:r>
            <w:r>
              <w:rPr>
                <w:rFonts w:ascii="宋体" w:hAnsi="宋体" w:cs="宋体" w:eastAsia="宋体" w:hint="default"/>
                <w:sz w:val="18"/>
                <w:szCs w:val="18"/>
              </w:rPr>
              <w:t>李强</w:t>
            </w:r>
            <w:r>
              <w:rPr>
                <w:rFonts w:ascii="Times New Roman" w:hAnsi="Times New Roman" w:cs="Times New Roman" w:eastAsia="Times New Roman" w:hint="default"/>
                <w:sz w:val="18"/>
                <w:szCs w:val="18"/>
              </w:rPr>
              <w:t>;</w:t>
            </w:r>
            <w:r>
              <w:rPr>
                <w:rFonts w:ascii="宋体" w:hAnsi="宋体" w:cs="宋体" w:eastAsia="宋体" w:hint="default"/>
                <w:sz w:val="18"/>
                <w:szCs w:val="18"/>
              </w:rPr>
              <w:t>沈永炎</w:t>
            </w:r>
            <w:r>
              <w:rPr>
                <w:rFonts w:ascii="Times New Roman" w:hAnsi="Times New Roman" w:cs="Times New Roman" w:eastAsia="Times New Roman" w:hint="default"/>
                <w:sz w:val="18"/>
                <w:szCs w:val="18"/>
              </w:rPr>
              <w:t>; </w:t>
            </w:r>
            <w:r>
              <w:rPr>
                <w:rFonts w:ascii="宋体" w:hAnsi="宋体" w:cs="宋体" w:eastAsia="宋体" w:hint="default"/>
                <w:sz w:val="18"/>
                <w:szCs w:val="18"/>
              </w:rPr>
              <w:t>陶泉波</w:t>
            </w:r>
            <w:r>
              <w:rPr>
                <w:rFonts w:ascii="Times New Roman" w:hAnsi="Times New Roman" w:cs="Times New Roman" w:eastAsia="Times New Roman" w:hint="default"/>
                <w:sz w:val="18"/>
                <w:szCs w:val="18"/>
              </w:rPr>
              <w:t>;</w:t>
            </w:r>
            <w:r>
              <w:rPr>
                <w:rFonts w:ascii="宋体" w:hAnsi="宋体" w:cs="宋体" w:eastAsia="宋体" w:hint="default"/>
                <w:sz w:val="18"/>
                <w:szCs w:val="18"/>
              </w:rPr>
              <w:t>徐向 东</w:t>
            </w:r>
            <w:r>
              <w:rPr>
                <w:rFonts w:ascii="Times New Roman" w:hAnsi="Times New Roman" w:cs="Times New Roman" w:eastAsia="Times New Roman" w:hint="default"/>
                <w:sz w:val="18"/>
                <w:szCs w:val="18"/>
              </w:rPr>
              <w:t>;</w:t>
            </w:r>
            <w:r>
              <w:rPr>
                <w:rFonts w:ascii="宋体" w:hAnsi="宋体" w:cs="宋体" w:eastAsia="宋体" w:hint="default"/>
                <w:sz w:val="18"/>
                <w:szCs w:val="18"/>
              </w:rPr>
              <w:t>张松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承诺严格遵 守有关规定， 在法定期限 内不减持所 持有的江苏 三友股份，不 进行内幕交 易及短线交 易，不在敏感 期买卖股票。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2016-01-06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8"/>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25"/>
        <w:gridCol w:w="6743"/>
      </w:tblGrid>
      <w:tr>
        <w:trPr>
          <w:trHeight w:val="334" w:hRule="exact"/>
        </w:trPr>
        <w:tc>
          <w:tcPr>
            <w:tcW w:w="2825" w:type="dxa"/>
            <w:tcBorders>
              <w:top w:val="nil" w:sz="6" w:space="0" w:color="auto"/>
              <w:left w:val="nil" w:sz="6" w:space="0" w:color="auto"/>
              <w:bottom w:val="single" w:sz="4" w:space="0" w:color="000000"/>
              <w:right w:val="nil" w:sz="6" w:space="0" w:color="auto"/>
            </w:tcBorders>
          </w:tcPr>
          <w:p>
            <w:pPr/>
          </w:p>
        </w:tc>
        <w:tc>
          <w:tcPr>
            <w:tcW w:w="6743" w:type="dxa"/>
            <w:tcBorders>
              <w:top w:val="nil" w:sz="6" w:space="0" w:color="auto"/>
              <w:left w:val="nil" w:sz="6" w:space="0" w:color="auto"/>
              <w:bottom w:val="single" w:sz="4" w:space="0" w:color="000000"/>
              <w:right w:val="nil" w:sz="6" w:space="0" w:color="auto"/>
            </w:tcBorders>
          </w:tcPr>
          <w:p>
            <w:pPr/>
          </w:p>
        </w:tc>
      </w:tr>
      <w:tr>
        <w:trPr>
          <w:trHeight w:val="1028"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r>
        <w:rPr/>
        <w:pict>
          <v:group style="position:absolute;margin-left:55.200001pt;margin-top:-80.876343pt;width:484.9pt;height:.1pt;mso-position-horizontal-relative:page;mso-position-vertical-relative:paragraph;z-index:-1400896" coordorigin="1104,-1618" coordsize="9698,2">
            <v:shape style="position:absolute;left:1104;top:-1618;width:9698;height:2" coordorigin="1104,-1618" coordsize="9698,0" path="m1104,-1618l10802,-1618e" filled="false" stroked="true" strokeweight=".72pt" strokecolor="#000000">
              <v:path arrowok="t"/>
            </v:shape>
            <w10:wrap type="none"/>
          </v:group>
        </w:pict>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before="0"/>
        <w:ind w:right="0"/>
        <w:jc w:val="left"/>
      </w:pPr>
      <w:r>
        <w:rPr/>
        <w:t>√ 适用 □</w:t>
      </w:r>
      <w:r>
        <w:rPr>
          <w:spacing w:val="1"/>
        </w:rPr>
        <w:t> </w:t>
      </w:r>
      <w:r>
        <w:rPr/>
        <w:t>不适用</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6"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90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美年大健康产 </w:t>
            </w:r>
            <w:r>
              <w:rPr>
                <w:rFonts w:ascii="宋体" w:hAnsi="宋体" w:cs="宋体" w:eastAsia="宋体" w:hint="default"/>
                <w:spacing w:val="-2"/>
                <w:sz w:val="18"/>
                <w:szCs w:val="18"/>
              </w:rPr>
              <w:t>业（集团）有限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22,315.76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22,611.01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 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14" w:lineRule="auto"/>
              <w:ind w:left="23" w:right="-2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 的《重大资产 置换及发行股 份购买资产并 募集配套资金 暨关联交易报 </w:t>
            </w:r>
            <w:r>
              <w:rPr>
                <w:rFonts w:ascii="宋体" w:hAnsi="宋体" w:cs="宋体" w:eastAsia="宋体" w:hint="default"/>
                <w:spacing w:val="-14"/>
                <w:sz w:val="18"/>
                <w:szCs w:val="18"/>
              </w:rPr>
              <w:t>告书（草案）》</w:t>
            </w:r>
          </w:p>
        </w:tc>
      </w:tr>
    </w:tbl>
    <w:p>
      <w:pPr>
        <w:pStyle w:val="BodyText"/>
        <w:spacing w:line="240" w:lineRule="auto" w:before="28"/>
        <w:ind w:right="0"/>
        <w:jc w:val="both"/>
      </w:pPr>
      <w:r>
        <w:rPr/>
        <w:t>公司股东、交易对手方在报告年度经营业绩做出的承诺情况</w:t>
      </w:r>
    </w:p>
    <w:p>
      <w:pPr>
        <w:pStyle w:val="BodyText"/>
        <w:spacing w:line="374" w:lineRule="auto" w:before="76"/>
        <w:ind w:left="573" w:right="0" w:hanging="421"/>
        <w:jc w:val="left"/>
      </w:pPr>
      <w:r>
        <w:rPr/>
        <w:t>√ 适用 □ 不适用</w:t>
      </w:r>
      <w:r>
        <w:rPr>
          <w:spacing w:val="-104"/>
        </w:rPr>
        <w:t> </w:t>
      </w:r>
      <w:r>
        <w:rPr>
          <w:spacing w:val="-104"/>
        </w:rPr>
      </w:r>
      <w:r>
        <w:rPr>
          <w:spacing w:val="-2"/>
        </w:rPr>
        <w:t>公司</w:t>
      </w:r>
      <w:r>
        <w:rPr>
          <w:rFonts w:ascii="宋体" w:hAnsi="宋体" w:cs="宋体" w:eastAsia="宋体" w:hint="default"/>
          <w:spacing w:val="-2"/>
        </w:rPr>
        <w:t>2015</w:t>
      </w:r>
      <w:r>
        <w:rPr>
          <w:spacing w:val="-2"/>
        </w:rPr>
        <w:t>年重大资产重组过程中，根据《上市公司重大资产重组管理办法》第三十四条的规定，对采</w:t>
      </w:r>
    </w:p>
    <w:p>
      <w:pPr>
        <w:pStyle w:val="BodyText"/>
        <w:spacing w:line="408" w:lineRule="auto" w:before="75"/>
        <w:ind w:right="146"/>
        <w:jc w:val="both"/>
      </w:pPr>
      <w:r>
        <w:rPr>
          <w:spacing w:val="-2"/>
        </w:rPr>
        <w:t>用假设开发法、收益现值法等基于未来收益的方法评估作价的相关资产实际盈利数不足评估报告中利润预</w:t>
      </w:r>
      <w:r>
        <w:rPr>
          <w:spacing w:val="-42"/>
        </w:rPr>
        <w:t> </w:t>
      </w:r>
      <w:r>
        <w:rPr>
          <w:spacing w:val="-42"/>
        </w:rPr>
      </w:r>
      <w:r>
        <w:rPr>
          <w:spacing w:val="-2"/>
        </w:rPr>
        <w:t>测数的情况，交易各方应当签订明确可行的补偿协议。本次交易北京中同华资产评估有限公司对美年大健</w:t>
      </w:r>
      <w:r>
        <w:rPr>
          <w:spacing w:val="-44"/>
        </w:rPr>
        <w:t> </w:t>
      </w:r>
      <w:r>
        <w:rPr>
          <w:spacing w:val="-44"/>
        </w:rPr>
      </w:r>
      <w:r>
        <w:rPr>
          <w:spacing w:val="-6"/>
          <w:w w:val="100"/>
        </w:rPr>
        <w:t>康产业（集团）有限公司全部股东权益价值进行评估并出具了《资产评估报告书》（“中同华评报字</w:t>
      </w:r>
      <w:r>
        <w:rPr>
          <w:rFonts w:ascii="宋体" w:hAnsi="宋体" w:cs="宋体" w:eastAsia="宋体" w:hint="default"/>
          <w:spacing w:val="-6"/>
          <w:w w:val="100"/>
        </w:rPr>
        <w:t>(2015)</w:t>
      </w:r>
      <w:r>
        <w:rPr>
          <w:rFonts w:ascii="宋体" w:hAnsi="宋体" w:cs="宋体" w:eastAsia="宋体" w:hint="default"/>
          <w:w w:val="100"/>
        </w:rPr>
        <w:t> </w:t>
      </w:r>
      <w:r>
        <w:rPr/>
        <w:t>第</w:t>
      </w:r>
      <w:r>
        <w:rPr>
          <w:rFonts w:ascii="宋体" w:hAnsi="宋体" w:cs="宋体" w:eastAsia="宋体" w:hint="default"/>
        </w:rPr>
        <w:t>110</w:t>
      </w:r>
      <w:r>
        <w:rPr/>
        <w:t>号”），评估方法使用了收益法。</w:t>
      </w:r>
    </w:p>
    <w:p>
      <w:pPr>
        <w:pStyle w:val="BodyText"/>
        <w:spacing w:line="408" w:lineRule="auto" w:before="87"/>
        <w:ind w:right="146" w:firstLine="422"/>
        <w:jc w:val="both"/>
      </w:pPr>
      <w:r>
        <w:rPr>
          <w:spacing w:val="-2"/>
        </w:rPr>
        <w:t>为保障公司及股东尤其是中小股东的合法权益，根据《中华人民共和国公司法》、《中华人民共和国</w:t>
      </w:r>
      <w:r>
        <w:rPr>
          <w:w w:val="100"/>
        </w:rPr>
        <w:t> </w:t>
      </w:r>
      <w:r>
        <w:rPr>
          <w:spacing w:val="-2"/>
        </w:rPr>
        <w:t>证券法》、《中华人民共和国合同法》及《上市公司重大资产重组管理办法》等法律法规的相关规定，公</w:t>
      </w:r>
      <w:r>
        <w:rPr>
          <w:spacing w:val="-44"/>
        </w:rPr>
        <w:t> </w:t>
      </w:r>
      <w:r>
        <w:rPr>
          <w:spacing w:val="-44"/>
        </w:rPr>
      </w:r>
      <w:r>
        <w:rPr>
          <w:spacing w:val="-2"/>
        </w:rPr>
        <w:t>司就本次发行股份购买资产涉及盈利补偿与美年大健康产业（集团）有限公司部分股东（</w:t>
      </w:r>
      <w:r>
        <w:rPr>
          <w:rFonts w:ascii="宋体" w:hAnsi="宋体" w:cs="宋体" w:eastAsia="宋体" w:hint="default"/>
          <w:spacing w:val="-2"/>
        </w:rPr>
        <w:t>55</w:t>
      </w:r>
      <w:r>
        <w:rPr>
          <w:spacing w:val="-2"/>
        </w:rPr>
        <w:t>名）签订《盈</w:t>
      </w:r>
      <w:r>
        <w:rPr>
          <w:spacing w:val="-41"/>
        </w:rPr>
        <w:t> </w:t>
      </w:r>
      <w:r>
        <w:rPr>
          <w:spacing w:val="-41"/>
        </w:rPr>
      </w:r>
      <w:r>
        <w:rPr>
          <w:spacing w:val="-2"/>
        </w:rPr>
        <w:t>利预测补偿协议》。上述</w:t>
      </w:r>
      <w:r>
        <w:rPr>
          <w:rFonts w:ascii="宋体" w:hAnsi="宋体" w:cs="宋体" w:eastAsia="宋体" w:hint="default"/>
          <w:spacing w:val="-2"/>
        </w:rPr>
        <w:t>55</w:t>
      </w:r>
      <w:r>
        <w:rPr>
          <w:spacing w:val="-2"/>
        </w:rPr>
        <w:t>名股东承诺，美年大健康产业（集团）有限公司在盈利补偿期间内每个会计年</w:t>
      </w:r>
      <w:r>
        <w:rPr>
          <w:spacing w:val="-44"/>
        </w:rPr>
        <w:t> </w:t>
      </w:r>
      <w:r>
        <w:rPr>
          <w:spacing w:val="-44"/>
        </w:rPr>
      </w:r>
      <w:r>
        <w:rPr>
          <w:spacing w:val="-2"/>
        </w:rPr>
        <w:t>度经审计的扣除非经常性损益后归属于母公司股东的净利润数应不低于《资产评估报告》中当年的净利润</w:t>
      </w:r>
      <w:r>
        <w:rPr>
          <w:spacing w:val="-43"/>
        </w:rPr>
        <w:t> </w:t>
      </w:r>
      <w:r>
        <w:rPr>
          <w:spacing w:val="-43"/>
        </w:rPr>
      </w:r>
      <w:r>
        <w:rPr>
          <w:spacing w:val="-7"/>
        </w:rPr>
        <w:t>预测数。否则，上述</w:t>
      </w:r>
      <w:r>
        <w:rPr>
          <w:rFonts w:ascii="宋体" w:hAnsi="宋体" w:cs="宋体" w:eastAsia="宋体" w:hint="default"/>
          <w:spacing w:val="-7"/>
        </w:rPr>
        <w:t>55</w:t>
      </w:r>
      <w:r>
        <w:rPr>
          <w:spacing w:val="-7"/>
        </w:rPr>
        <w:t>名股东应按照本协议的规定予以补偿。根据《资产评估报告》，美年大健康产业（集</w:t>
      </w:r>
      <w:r>
        <w:rPr>
          <w:spacing w:val="-12"/>
        </w:rPr>
        <w:t> </w:t>
      </w:r>
      <w:r>
        <w:rPr>
          <w:spacing w:val="-12"/>
        </w:rPr>
      </w:r>
      <w:r>
        <w:rPr/>
        <w:t>团）有限公司</w:t>
      </w:r>
      <w:r>
        <w:rPr>
          <w:rFonts w:ascii="宋体" w:hAnsi="宋体" w:cs="宋体" w:eastAsia="宋体" w:hint="default"/>
        </w:rPr>
        <w:t>2015</w:t>
      </w:r>
      <w:r>
        <w:rPr/>
        <w:t>年度扣除非经常性损益后归属于母公司股东的净利润预测数为</w:t>
      </w:r>
      <w:r>
        <w:rPr>
          <w:rFonts w:ascii="宋体" w:hAnsi="宋体" w:cs="宋体" w:eastAsia="宋体" w:hint="default"/>
        </w:rPr>
        <w:t>22,315.76</w:t>
      </w:r>
      <w:r>
        <w:rPr/>
        <w:t>万元，低于本</w:t>
      </w:r>
      <w:r>
        <w:rPr>
          <w:spacing w:val="-27"/>
        </w:rPr>
        <w:t> </w:t>
      </w:r>
      <w:r>
        <w:rPr>
          <w:spacing w:val="-27"/>
        </w:rPr>
      </w:r>
      <w:r>
        <w:rPr/>
        <w:t>期实现扣除非经常性损益后归属于母公司股东净利润</w:t>
      </w:r>
      <w:r>
        <w:rPr>
          <w:rFonts w:ascii="宋体" w:hAnsi="宋体" w:cs="宋体" w:eastAsia="宋体" w:hint="default"/>
        </w:rPr>
        <w:t>22,611.01</w:t>
      </w:r>
      <w:r>
        <w:rPr/>
        <w:t>万元，因此上述</w:t>
      </w:r>
      <w:r>
        <w:rPr>
          <w:rFonts w:ascii="宋体" w:hAnsi="宋体" w:cs="宋体" w:eastAsia="宋体" w:hint="default"/>
        </w:rPr>
        <w:t>55</w:t>
      </w:r>
      <w:r>
        <w:rPr/>
        <w:t>名股东无需进行补偿。</w:t>
      </w:r>
    </w:p>
    <w:p>
      <w:pPr>
        <w:spacing w:after="0" w:line="408" w:lineRule="auto"/>
        <w:jc w:val="both"/>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r>
        <w:rPr/>
        <w:t>四、控股股东及其关联方对上市公司的非经营性占用资金情况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right="1587"/>
        <w:jc w:val="left"/>
      </w:pPr>
      <w:r>
        <w:rPr/>
        <w:t>□ 适用 √ 不适用</w:t>
      </w:r>
      <w:r>
        <w:rPr>
          <w:spacing w:val="-104"/>
        </w:rPr>
        <w:t> </w:t>
      </w:r>
      <w:r>
        <w:rPr>
          <w:spacing w:val="-104"/>
        </w:rPr>
      </w:r>
      <w:r>
        <w:rPr>
          <w:spacing w:val="-2"/>
        </w:rPr>
        <w:t>公司报告期不存在控股股东及其关联方对上市公司的非经营性占用资金。</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29"/>
          <w:szCs w:val="29"/>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12"/>
        <w:rPr>
          <w:rFonts w:ascii="宋体" w:hAnsi="宋体" w:cs="宋体" w:eastAsia="宋体" w:hint="default"/>
          <w:sz w:val="17"/>
          <w:szCs w:val="17"/>
        </w:rPr>
      </w:pPr>
    </w:p>
    <w:p>
      <w:pPr>
        <w:pStyle w:val="BodyText"/>
        <w:spacing w:line="408" w:lineRule="auto" w:before="0"/>
        <w:ind w:left="633" w:right="0" w:hanging="481"/>
        <w:jc w:val="left"/>
      </w:pPr>
      <w:r>
        <w:rPr/>
        <w:t>（一）重大资产重组后相关会计政策及会计估计的变更</w:t>
      </w:r>
      <w:r>
        <w:rPr>
          <w:w w:val="100"/>
        </w:rPr>
        <w:t> </w:t>
      </w:r>
      <w:r>
        <w:rPr>
          <w:spacing w:val="-4"/>
        </w:rPr>
        <w:t>公司因进行重大资产重组，重组后公司的主营业务重大变化，为了使提供的财务信息能更真实、可靠</w:t>
      </w:r>
    </w:p>
    <w:p>
      <w:pPr>
        <w:pStyle w:val="BodyText"/>
        <w:spacing w:line="408" w:lineRule="auto"/>
        <w:ind w:left="702" w:right="0" w:hanging="551"/>
        <w:jc w:val="left"/>
      </w:pPr>
      <w:r>
        <w:rPr>
          <w:spacing w:val="-2"/>
        </w:rPr>
        <w:t>的反映公司经营状况，现对原会计政策、会计估计不适合公司新业务的部分进行变更。具体内容如下：</w:t>
      </w:r>
      <w:r>
        <w:rPr>
          <w:spacing w:val="-21"/>
        </w:rPr>
        <w:t> </w:t>
      </w:r>
      <w:r>
        <w:rPr>
          <w:spacing w:val="-21"/>
        </w:rPr>
      </w:r>
      <w:r>
        <w:rPr/>
        <w:t>一）、</w:t>
      </w:r>
      <w:r>
        <w:rPr>
          <w:spacing w:val="-2"/>
        </w:rPr>
        <w:t> </w:t>
      </w:r>
      <w:r>
        <w:rPr/>
        <w:t>变更日期：</w:t>
      </w:r>
      <w:r>
        <w:rPr>
          <w:rFonts w:ascii="宋体" w:hAnsi="宋体" w:cs="宋体" w:eastAsia="宋体" w:hint="default"/>
        </w:rPr>
        <w:t>2015</w:t>
      </w:r>
      <w:r>
        <w:rPr/>
        <w:t>年</w:t>
      </w:r>
      <w:r>
        <w:rPr>
          <w:rFonts w:ascii="宋体" w:hAnsi="宋体" w:cs="宋体" w:eastAsia="宋体" w:hint="default"/>
        </w:rPr>
        <w:t>08</w:t>
      </w:r>
      <w:r>
        <w:rPr/>
        <w:t>月</w:t>
      </w:r>
      <w:r>
        <w:rPr>
          <w:rFonts w:ascii="宋体" w:hAnsi="宋体" w:cs="宋体" w:eastAsia="宋体" w:hint="default"/>
        </w:rPr>
        <w:t>10</w:t>
      </w:r>
      <w:r>
        <w:rPr/>
        <w:t>日</w:t>
      </w:r>
    </w:p>
    <w:p>
      <w:pPr>
        <w:pStyle w:val="BodyText"/>
        <w:spacing w:line="408" w:lineRule="auto"/>
        <w:ind w:left="702" w:right="4344"/>
        <w:jc w:val="left"/>
      </w:pPr>
      <w:r>
        <w:rPr/>
        <w:t>二）、 变更事项：</w:t>
      </w:r>
      <w:r>
        <w:rPr>
          <w:spacing w:val="-104"/>
        </w:rPr>
        <w:t> </w:t>
      </w:r>
      <w:r>
        <w:rPr>
          <w:spacing w:val="-104"/>
        </w:rPr>
      </w:r>
      <w:r>
        <w:rPr>
          <w:rFonts w:ascii="宋体" w:hAnsi="宋体" w:cs="宋体" w:eastAsia="宋体" w:hint="default"/>
          <w:spacing w:val="-2"/>
        </w:rPr>
        <w:t>1</w:t>
      </w:r>
      <w:r>
        <w:rPr>
          <w:spacing w:val="-2"/>
        </w:rPr>
        <w:t>、坏帐准备会计政策及会计估计变更情况概述：</w:t>
      </w:r>
    </w:p>
    <w:p>
      <w:pPr>
        <w:pStyle w:val="BodyText"/>
        <w:spacing w:line="408" w:lineRule="auto"/>
        <w:ind w:left="1031" w:right="4344" w:hanging="440"/>
        <w:jc w:val="left"/>
      </w:pPr>
      <w:r>
        <w:rPr/>
        <w:t>（</w:t>
      </w:r>
      <w:r>
        <w:rPr>
          <w:rFonts w:ascii="宋体" w:hAnsi="宋体" w:cs="宋体" w:eastAsia="宋体" w:hint="default"/>
        </w:rPr>
        <w:t>1</w:t>
      </w:r>
      <w:r>
        <w:rPr/>
        <w:t>）、变更前采用的会计政策及会计估计：</w:t>
      </w:r>
      <w:r>
        <w:rPr>
          <w:w w:val="100"/>
        </w:rPr>
        <w:t> </w:t>
      </w:r>
      <w:r>
        <w:rPr>
          <w:rFonts w:ascii="宋体" w:hAnsi="宋体" w:cs="宋体" w:eastAsia="宋体" w:hint="default"/>
          <w:spacing w:val="-2"/>
        </w:rPr>
        <w:t>1</w:t>
      </w:r>
      <w:r>
        <w:rPr>
          <w:spacing w:val="-2"/>
        </w:rPr>
        <w:t>）单项金额重大并单项计提坏账准备的应收款项</w:t>
      </w:r>
    </w:p>
    <w:p>
      <w:pPr>
        <w:spacing w:before="77"/>
        <w:ind w:left="0" w:right="1179" w:firstLine="0"/>
        <w:jc w:val="right"/>
        <w:rPr>
          <w:rFonts w:ascii="宋体" w:hAnsi="宋体" w:cs="宋体" w:eastAsia="宋体" w:hint="default"/>
          <w:sz w:val="20"/>
          <w:szCs w:val="20"/>
        </w:rPr>
      </w:pPr>
      <w:r>
        <w:rPr/>
        <w:pict>
          <v:shape style="position:absolute;margin-left:56.279999pt;margin-top:-.910327pt;width:427.3pt;height:191.4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4263"/>
                  </w:tblGrid>
                  <w:tr>
                    <w:trPr>
                      <w:trHeight w:val="970"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429" w:lineRule="auto" w:before="81"/>
                          <w:ind w:left="4" w:right="45"/>
                          <w:jc w:val="left"/>
                          <w:rPr>
                            <w:rFonts w:ascii="宋体" w:hAnsi="宋体" w:cs="宋体" w:eastAsia="宋体" w:hint="default"/>
                            <w:sz w:val="20"/>
                            <w:szCs w:val="20"/>
                          </w:rPr>
                        </w:pPr>
                        <w:r>
                          <w:rPr>
                            <w:rFonts w:ascii="宋体" w:hAnsi="宋体" w:cs="宋体" w:eastAsia="宋体" w:hint="default"/>
                            <w:sz w:val="20"/>
                            <w:szCs w:val="20"/>
                          </w:rPr>
                          <w:t>本公司将金额为人民币 </w:t>
                        </w:r>
                        <w:r>
                          <w:rPr>
                            <w:rFonts w:ascii="宋体" w:hAnsi="宋体" w:cs="宋体" w:eastAsia="宋体" w:hint="default"/>
                            <w:sz w:val="20"/>
                            <w:szCs w:val="20"/>
                          </w:rPr>
                          <w:t>100 </w:t>
                        </w:r>
                        <w:r>
                          <w:rPr>
                            <w:rFonts w:ascii="宋体" w:hAnsi="宋体" w:cs="宋体" w:eastAsia="宋体" w:hint="default"/>
                            <w:spacing w:val="-16"/>
                            <w:sz w:val="20"/>
                            <w:szCs w:val="20"/>
                          </w:rPr>
                          <w:t>万元（含 </w:t>
                        </w:r>
                        <w:r>
                          <w:rPr>
                            <w:rFonts w:ascii="宋体" w:hAnsi="宋体" w:cs="宋体" w:eastAsia="宋体" w:hint="default"/>
                            <w:sz w:val="20"/>
                            <w:szCs w:val="20"/>
                          </w:rPr>
                          <w:t>100</w:t>
                        </w:r>
                        <w:r>
                          <w:rPr>
                            <w:rFonts w:ascii="宋体" w:hAnsi="宋体" w:cs="宋体" w:eastAsia="宋体" w:hint="default"/>
                            <w:spacing w:val="18"/>
                            <w:sz w:val="20"/>
                            <w:szCs w:val="20"/>
                          </w:rPr>
                          <w:t> </w:t>
                        </w:r>
                        <w:r>
                          <w:rPr>
                            <w:rFonts w:ascii="宋体" w:hAnsi="宋体" w:cs="宋体" w:eastAsia="宋体" w:hint="default"/>
                            <w:sz w:val="20"/>
                            <w:szCs w:val="20"/>
                          </w:rPr>
                          <w:t>万元</w:t>
                        </w:r>
                        <w:r>
                          <w:rPr>
                            <w:rFonts w:ascii="宋体" w:hAnsi="宋体" w:cs="宋体" w:eastAsia="宋体" w:hint="default"/>
                            <w:w w:val="99"/>
                            <w:sz w:val="20"/>
                            <w:szCs w:val="20"/>
                          </w:rPr>
                          <w:t> </w:t>
                        </w:r>
                        <w:r>
                          <w:rPr>
                            <w:rFonts w:ascii="宋体" w:hAnsi="宋体" w:cs="宋体" w:eastAsia="宋体" w:hint="default"/>
                            <w:sz w:val="20"/>
                            <w:szCs w:val="20"/>
                          </w:rPr>
                          <w:t>以上的应收款项确认为单项金额重大的应收款项</w:t>
                        </w:r>
                      </w:p>
                    </w:tc>
                  </w:tr>
                  <w:tr>
                    <w:trPr>
                      <w:trHeight w:val="2845"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单项金额重大并单项计提坏账准备的计提方法</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429" w:lineRule="auto" w:before="83"/>
                          <w:ind w:left="4" w:right="5"/>
                          <w:jc w:val="both"/>
                          <w:rPr>
                            <w:rFonts w:ascii="宋体" w:hAnsi="宋体" w:cs="宋体" w:eastAsia="宋体" w:hint="default"/>
                            <w:sz w:val="20"/>
                            <w:szCs w:val="20"/>
                          </w:rPr>
                        </w:pPr>
                        <w:r>
                          <w:rPr>
                            <w:rFonts w:ascii="宋体" w:hAnsi="宋体" w:cs="宋体" w:eastAsia="宋体" w:hint="default"/>
                            <w:spacing w:val="2"/>
                            <w:sz w:val="20"/>
                            <w:szCs w:val="20"/>
                          </w:rPr>
                          <w:t>本公司对单项金额重大的应收款项单独进行减值</w:t>
                        </w:r>
                        <w:r>
                          <w:rPr>
                            <w:rFonts w:ascii="宋体" w:hAnsi="宋体" w:cs="宋体" w:eastAsia="宋体" w:hint="default"/>
                            <w:w w:val="99"/>
                            <w:sz w:val="20"/>
                            <w:szCs w:val="20"/>
                          </w:rPr>
                          <w:t> </w:t>
                        </w:r>
                        <w:r>
                          <w:rPr>
                            <w:rFonts w:ascii="宋体" w:hAnsi="宋体" w:cs="宋体" w:eastAsia="宋体" w:hint="default"/>
                            <w:spacing w:val="2"/>
                            <w:sz w:val="20"/>
                            <w:szCs w:val="20"/>
                          </w:rPr>
                          <w:t>测试，单独测试未发生减值的金融资产，包括在</w:t>
                        </w:r>
                        <w:r>
                          <w:rPr>
                            <w:rFonts w:ascii="宋体" w:hAnsi="宋体" w:cs="宋体" w:eastAsia="宋体" w:hint="default"/>
                            <w:w w:val="99"/>
                            <w:sz w:val="20"/>
                            <w:szCs w:val="20"/>
                          </w:rPr>
                          <w:t> </w:t>
                        </w:r>
                        <w:r>
                          <w:rPr>
                            <w:rFonts w:ascii="宋体" w:hAnsi="宋体" w:cs="宋体" w:eastAsia="宋体" w:hint="default"/>
                            <w:spacing w:val="2"/>
                            <w:sz w:val="20"/>
                            <w:szCs w:val="20"/>
                          </w:rPr>
                          <w:t>具有类似信用风险特征的金融资产组合中进行减</w:t>
                        </w:r>
                        <w:r>
                          <w:rPr>
                            <w:rFonts w:ascii="宋体" w:hAnsi="宋体" w:cs="宋体" w:eastAsia="宋体" w:hint="default"/>
                            <w:w w:val="99"/>
                            <w:sz w:val="20"/>
                            <w:szCs w:val="20"/>
                          </w:rPr>
                          <w:t> </w:t>
                        </w:r>
                        <w:r>
                          <w:rPr>
                            <w:rFonts w:ascii="宋体" w:hAnsi="宋体" w:cs="宋体" w:eastAsia="宋体" w:hint="default"/>
                            <w:spacing w:val="2"/>
                            <w:sz w:val="20"/>
                            <w:szCs w:val="20"/>
                          </w:rPr>
                          <w:t>值测试。单项测试已确认减值损失的应收款项，</w:t>
                        </w:r>
                        <w:r>
                          <w:rPr>
                            <w:rFonts w:ascii="宋体" w:hAnsi="宋体" w:cs="宋体" w:eastAsia="宋体" w:hint="default"/>
                            <w:w w:val="99"/>
                            <w:sz w:val="20"/>
                            <w:szCs w:val="20"/>
                          </w:rPr>
                          <w:t> </w:t>
                        </w:r>
                        <w:r>
                          <w:rPr>
                            <w:rFonts w:ascii="宋体" w:hAnsi="宋体" w:cs="宋体" w:eastAsia="宋体" w:hint="default"/>
                            <w:spacing w:val="2"/>
                            <w:sz w:val="20"/>
                            <w:szCs w:val="20"/>
                          </w:rPr>
                          <w:t>不再包括在具有类似信用风险特征的应收款项组</w:t>
                        </w:r>
                        <w:r>
                          <w:rPr>
                            <w:rFonts w:ascii="宋体" w:hAnsi="宋体" w:cs="宋体" w:eastAsia="宋体" w:hint="default"/>
                            <w:w w:val="99"/>
                            <w:sz w:val="20"/>
                            <w:szCs w:val="20"/>
                          </w:rPr>
                          <w:t> </w:t>
                        </w:r>
                        <w:r>
                          <w:rPr>
                            <w:rFonts w:ascii="宋体" w:hAnsi="宋体" w:cs="宋体" w:eastAsia="宋体" w:hint="default"/>
                            <w:sz w:val="20"/>
                            <w:szCs w:val="20"/>
                          </w:rPr>
                          <w:t>合中进行减值测试。</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6"/>
        <w:ind w:left="854" w:right="0"/>
        <w:jc w:val="left"/>
      </w:pPr>
      <w:r>
        <w:rPr>
          <w:rFonts w:ascii="宋体" w:hAnsi="宋体" w:cs="宋体" w:eastAsia="宋体" w:hint="default"/>
        </w:rPr>
        <w:t>2</w:t>
      </w:r>
      <w:r>
        <w:rPr/>
        <w:t>）按信用风险特征组合计提坏账准备的应收款项</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261"/>
        <w:gridCol w:w="4263"/>
      </w:tblGrid>
      <w:tr>
        <w:trPr>
          <w:trHeight w:val="504"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325" w:right="0"/>
              <w:jc w:val="left"/>
              <w:rPr>
                <w:rFonts w:ascii="宋体" w:hAnsi="宋体" w:cs="宋体" w:eastAsia="宋体" w:hint="default"/>
                <w:sz w:val="20"/>
                <w:szCs w:val="20"/>
              </w:rPr>
            </w:pPr>
            <w:r>
              <w:rPr>
                <w:rFonts w:ascii="宋体" w:hAnsi="宋体" w:cs="宋体" w:eastAsia="宋体" w:hint="default"/>
                <w:sz w:val="20"/>
                <w:szCs w:val="20"/>
              </w:rPr>
              <w:t>坏账准备计提方法</w:t>
            </w:r>
          </w:p>
        </w:tc>
      </w:tr>
      <w:tr>
        <w:trPr>
          <w:trHeight w:val="502"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应收出口退税（不计提坏账）</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其他办法</w:t>
            </w:r>
          </w:p>
        </w:tc>
      </w:tr>
      <w:tr>
        <w:trPr>
          <w:trHeight w:val="504"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按账龄组合</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账龄分析法</w:t>
            </w:r>
          </w:p>
        </w:tc>
      </w:tr>
    </w:tbl>
    <w:p>
      <w:pPr>
        <w:spacing w:after="0" w:line="240" w:lineRule="auto"/>
        <w:jc w:val="left"/>
        <w:rPr>
          <w:rFonts w:ascii="宋体" w:hAnsi="宋体" w:cs="宋体" w:eastAsia="宋体" w:hint="default"/>
          <w:sz w:val="20"/>
          <w:szCs w:val="20"/>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组合中，采用账龄分析法计提坏账准备的：</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840"/>
        <w:gridCol w:w="2842"/>
        <w:gridCol w:w="2842"/>
      </w:tblGrid>
      <w:tr>
        <w:trPr>
          <w:trHeight w:val="504"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应收账款计提比例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sz w:val="20"/>
                <w:szCs w:val="20"/>
              </w:rPr>
              <w:t>其他应收款计提比例</w:t>
            </w:r>
          </w:p>
        </w:tc>
      </w:tr>
      <w:tr>
        <w:trPr>
          <w:trHeight w:val="502"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年以内（含</w:t>
            </w:r>
            <w:r>
              <w:rPr>
                <w:rFonts w:ascii="宋体" w:hAnsi="宋体" w:cs="宋体" w:eastAsia="宋体" w:hint="default"/>
                <w:sz w:val="20"/>
                <w:szCs w:val="20"/>
              </w:rPr>
              <w:t>1</w:t>
            </w:r>
            <w:r>
              <w:rPr>
                <w:rFonts w:ascii="宋体" w:hAnsi="宋体" w:cs="宋体" w:eastAsia="宋体" w:hint="default"/>
                <w:sz w:val="20"/>
                <w:szCs w:val="20"/>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6.00%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6.00%</w:t>
            </w:r>
          </w:p>
        </w:tc>
      </w:tr>
      <w:tr>
        <w:trPr>
          <w:trHeight w:val="504"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z w:val="20"/>
                <w:szCs w:val="20"/>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15.00%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15.00%</w:t>
            </w:r>
          </w:p>
        </w:tc>
      </w:tr>
      <w:tr>
        <w:trPr>
          <w:trHeight w:val="502"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z w:val="20"/>
                <w:szCs w:val="20"/>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30.00%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30.00%</w:t>
            </w:r>
          </w:p>
        </w:tc>
      </w:tr>
      <w:tr>
        <w:trPr>
          <w:trHeight w:val="504"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z w:val="20"/>
                <w:szCs w:val="20"/>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50.00%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50.00%</w:t>
            </w:r>
          </w:p>
        </w:tc>
      </w:tr>
      <w:tr>
        <w:trPr>
          <w:trHeight w:val="502"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z w:val="20"/>
                <w:szCs w:val="20"/>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80.00%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80.00%</w:t>
            </w:r>
          </w:p>
        </w:tc>
      </w:tr>
      <w:tr>
        <w:trPr>
          <w:trHeight w:val="504"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100.00%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100.00%</w:t>
            </w:r>
          </w:p>
        </w:tc>
      </w:tr>
    </w:tbl>
    <w:p>
      <w:pPr>
        <w:pStyle w:val="BodyText"/>
        <w:spacing w:line="240" w:lineRule="auto" w:before="64"/>
        <w:ind w:left="796" w:right="0"/>
        <w:jc w:val="left"/>
      </w:pPr>
      <w:r>
        <w:rPr>
          <w:rFonts w:ascii="宋体" w:hAnsi="宋体" w:cs="宋体" w:eastAsia="宋体" w:hint="default"/>
        </w:rPr>
        <w:t>3</w:t>
      </w:r>
      <w:r>
        <w:rPr/>
        <w:t>）单项金额不重大但单独计提坏账准备的应收款项</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261"/>
        <w:gridCol w:w="4263"/>
      </w:tblGrid>
      <w:tr>
        <w:trPr>
          <w:trHeight w:val="504"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有客观证据表明其发生了减值的</w:t>
            </w:r>
          </w:p>
        </w:tc>
      </w:tr>
      <w:tr>
        <w:trPr>
          <w:trHeight w:val="972"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429" w:lineRule="auto" w:before="81"/>
              <w:ind w:left="4" w:right="8"/>
              <w:jc w:val="left"/>
              <w:rPr>
                <w:rFonts w:ascii="宋体" w:hAnsi="宋体" w:cs="宋体" w:eastAsia="宋体" w:hint="default"/>
                <w:sz w:val="20"/>
                <w:szCs w:val="20"/>
              </w:rPr>
            </w:pPr>
            <w:r>
              <w:rPr>
                <w:rFonts w:ascii="宋体" w:hAnsi="宋体" w:cs="宋体" w:eastAsia="宋体" w:hint="default"/>
                <w:spacing w:val="12"/>
                <w:sz w:val="20"/>
                <w:szCs w:val="20"/>
              </w:rPr>
              <w:t>根据其未来现金流量现值低于其账面价值的差</w:t>
            </w:r>
            <w:r>
              <w:rPr>
                <w:rFonts w:ascii="宋体" w:hAnsi="宋体" w:cs="宋体" w:eastAsia="宋体" w:hint="default"/>
                <w:w w:val="99"/>
                <w:sz w:val="20"/>
                <w:szCs w:val="20"/>
              </w:rPr>
              <w:t> </w:t>
            </w:r>
            <w:r>
              <w:rPr>
                <w:rFonts w:ascii="宋体" w:hAnsi="宋体" w:cs="宋体" w:eastAsia="宋体" w:hint="default"/>
                <w:sz w:val="20"/>
                <w:szCs w:val="20"/>
              </w:rPr>
              <w:t>额，确认减值损失，计提坏账准备</w:t>
            </w:r>
          </w:p>
        </w:tc>
      </w:tr>
    </w:tbl>
    <w:p>
      <w:pPr>
        <w:pStyle w:val="BodyText"/>
        <w:spacing w:line="408" w:lineRule="auto" w:before="64"/>
        <w:ind w:left="633" w:right="0"/>
        <w:jc w:val="left"/>
      </w:pPr>
      <w:r>
        <w:rPr>
          <w:rFonts w:ascii="宋体" w:hAnsi="宋体" w:cs="宋体" w:eastAsia="宋体" w:hint="default"/>
        </w:rPr>
        <w:t>4</w:t>
      </w:r>
      <w:r>
        <w:rPr/>
        <w:t>）坏账准备的转回</w:t>
      </w:r>
      <w:r>
        <w:rPr>
          <w:w w:val="100"/>
        </w:rPr>
        <w:t> </w:t>
      </w:r>
      <w:r>
        <w:rPr>
          <w:spacing w:val="-4"/>
        </w:rPr>
        <w:t>如有客观证据表明该应收款项价值已恢复，且客观上与确认该损失后发生的事项有关，原确认的减值</w:t>
      </w:r>
    </w:p>
    <w:p>
      <w:pPr>
        <w:pStyle w:val="BodyText"/>
        <w:spacing w:line="408" w:lineRule="auto"/>
        <w:ind w:right="0"/>
        <w:jc w:val="left"/>
      </w:pPr>
      <w:r>
        <w:rPr>
          <w:spacing w:val="-2"/>
        </w:rPr>
        <w:t>损失予以转回，计入当期损益。但是，该转回后的账面价值不超过假定不计提减值准备情况下该应收款项</w:t>
      </w:r>
      <w:r>
        <w:rPr>
          <w:spacing w:val="-44"/>
        </w:rPr>
        <w:t> </w:t>
      </w:r>
      <w:r>
        <w:rPr>
          <w:spacing w:val="-44"/>
        </w:rPr>
      </w:r>
      <w:r>
        <w:rPr/>
        <w:t>在转回日的摊余成本。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633" w:right="4344" w:hanging="164"/>
        <w:jc w:val="left"/>
      </w:pPr>
      <w:r>
        <w:rPr>
          <w:spacing w:val="-2"/>
        </w:rPr>
        <w:t>（</w:t>
      </w:r>
      <w:r>
        <w:rPr>
          <w:rFonts w:ascii="宋体" w:hAnsi="宋体" w:cs="宋体" w:eastAsia="宋体" w:hint="default"/>
          <w:spacing w:val="-2"/>
        </w:rPr>
        <w:t>2</w:t>
      </w:r>
      <w:r>
        <w:rPr>
          <w:spacing w:val="-2"/>
        </w:rPr>
        <w:t>）、变更后采用的会计政策及会计估计</w:t>
      </w:r>
      <w:r>
        <w:rPr>
          <w:spacing w:val="-69"/>
        </w:rPr>
        <w:t> </w:t>
      </w:r>
      <w:r>
        <w:rPr>
          <w:spacing w:val="-69"/>
        </w:rPr>
      </w:r>
      <w:r>
        <w:rPr>
          <w:rFonts w:ascii="宋体" w:hAnsi="宋体" w:cs="宋体" w:eastAsia="宋体" w:hint="default"/>
        </w:rPr>
        <w:t>1</w:t>
      </w:r>
      <w:r>
        <w:rPr/>
        <w:t>）坏账准备的确认标准</w:t>
      </w:r>
    </w:p>
    <w:p>
      <w:pPr>
        <w:pStyle w:val="BodyText"/>
        <w:spacing w:line="408" w:lineRule="auto"/>
        <w:ind w:right="149" w:firstLine="480"/>
        <w:jc w:val="both"/>
      </w:pPr>
      <w:r>
        <w:rPr/>
        <w:t>本公司在资产负债表日对应收款项账面价值进行检查，对存在下列客观证据表明应收款项发生减值</w:t>
      </w:r>
      <w:r>
        <w:rPr>
          <w:w w:val="100"/>
        </w:rPr>
        <w:t> </w:t>
      </w:r>
      <w:r>
        <w:rPr>
          <w:spacing w:val="-2"/>
        </w:rPr>
        <w:t>的，计提减值准备：①债务人发生严重的财务困难；②债务人违反合同条款（如偿付利息或本金发生违约</w:t>
      </w:r>
      <w:r>
        <w:rPr>
          <w:spacing w:val="-47"/>
        </w:rPr>
        <w:t> </w:t>
      </w:r>
      <w:r>
        <w:rPr>
          <w:spacing w:val="-47"/>
        </w:rPr>
      </w:r>
      <w:r>
        <w:rPr/>
        <w:t>或逾期等）； ③债务人很可能倒闭或进行其他财务重组；</w:t>
      </w:r>
      <w:r>
        <w:rPr>
          <w:spacing w:val="-8"/>
        </w:rPr>
        <w:t> </w:t>
      </w:r>
      <w:r>
        <w:rPr/>
        <w:t>④其他表明应收款项发生减值的客观依据。</w:t>
      </w:r>
    </w:p>
    <w:p>
      <w:pPr>
        <w:pStyle w:val="BodyText"/>
        <w:spacing w:line="240" w:lineRule="auto"/>
        <w:ind w:left="633" w:right="0"/>
        <w:jc w:val="left"/>
      </w:pPr>
      <w:r>
        <w:rPr>
          <w:rFonts w:ascii="宋体" w:hAnsi="宋体" w:cs="宋体" w:eastAsia="宋体" w:hint="default"/>
        </w:rPr>
        <w:t>2</w:t>
      </w:r>
      <w:r>
        <w:rPr/>
        <w:t>）坏账准备的计提方法</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t>①单项金额重大并单项计提坏账准备的应收款项坏账准备的确认标准、计提方法</w:t>
      </w:r>
      <w:r>
        <w:rPr>
          <w:w w:val="100"/>
        </w:rPr>
        <w:t> </w:t>
      </w:r>
      <w:r>
        <w:rPr/>
        <w:t>本公司将金额为人民币</w:t>
      </w:r>
      <w:r>
        <w:rPr>
          <w:rFonts w:ascii="宋体" w:hAnsi="宋体" w:cs="宋体" w:eastAsia="宋体" w:hint="default"/>
        </w:rPr>
        <w:t>100</w:t>
      </w:r>
      <w:r>
        <w:rPr/>
        <w:t>万元以上的应收款项确认为单项金额重大的应收款项。</w:t>
      </w:r>
      <w:r>
        <w:rPr>
          <w:w w:val="100"/>
        </w:rPr>
        <w:t> </w:t>
      </w:r>
      <w:r>
        <w:rPr>
          <w:spacing w:val="-4"/>
        </w:rPr>
        <w:t>本公司对单项金额重大的应收款项单独进行减值测试，单独测试未发生减值的金融资产，包括在具有</w:t>
      </w:r>
    </w:p>
    <w:p>
      <w:pPr>
        <w:pStyle w:val="BodyText"/>
        <w:spacing w:line="408" w:lineRule="auto"/>
        <w:ind w:right="0"/>
        <w:jc w:val="left"/>
      </w:pPr>
      <w:r>
        <w:rPr>
          <w:spacing w:val="-2"/>
        </w:rPr>
        <w:t>类似信用风险特征的金融资产组合中进行减值测试。单项测试已确认减值损失的应收款项，不再包括在具</w:t>
      </w:r>
      <w:r>
        <w:rPr>
          <w:spacing w:val="-43"/>
        </w:rPr>
        <w:t> </w:t>
      </w:r>
      <w:r>
        <w:rPr>
          <w:spacing w:val="-43"/>
        </w:rPr>
      </w:r>
      <w:r>
        <w:rPr/>
        <w:t>有类似信用风险特征的应收款项组合中进行减值测试。</w:t>
      </w:r>
    </w:p>
    <w:p>
      <w:pPr>
        <w:pStyle w:val="BodyText"/>
        <w:spacing w:line="240" w:lineRule="auto"/>
        <w:ind w:left="633" w:right="0"/>
        <w:jc w:val="left"/>
      </w:pPr>
      <w:r>
        <w:rPr/>
        <w:t>②按信用风险组合计提坏账准备的应收款项的确定依据、坏账准备计提方法</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0"/>
        <w:jc w:val="left"/>
      </w:pPr>
      <w:r>
        <w:rPr>
          <w:rFonts w:ascii="宋体" w:hAnsi="宋体" w:cs="宋体" w:eastAsia="宋体" w:hint="default"/>
        </w:rPr>
        <w:t>A</w:t>
      </w:r>
      <w:r>
        <w:rPr/>
        <w:t>．信用风险特征组合的确定依据</w:t>
      </w:r>
      <w:r>
        <w:rPr>
          <w:w w:val="100"/>
        </w:rPr>
        <w:t> </w:t>
      </w:r>
      <w:r>
        <w:rPr>
          <w:spacing w:val="-4"/>
        </w:rPr>
        <w:t>本公司对单项金额不重大以及金额重大但单项测试未发生减值的应收款项，按信用风险特征的相似性</w:t>
      </w:r>
    </w:p>
    <w:p>
      <w:pPr>
        <w:pStyle w:val="BodyText"/>
        <w:spacing w:line="408" w:lineRule="auto"/>
        <w:ind w:right="0"/>
        <w:jc w:val="left"/>
      </w:pPr>
      <w:r>
        <w:rPr>
          <w:spacing w:val="-2"/>
        </w:rPr>
        <w:t>和相关性对金融资产进行分组。这些信用风险通常反映债务人按照该等资产的合同条款偿还所有到期金额</w:t>
      </w:r>
      <w:r>
        <w:rPr>
          <w:spacing w:val="-43"/>
        </w:rPr>
        <w:t> </w:t>
      </w:r>
      <w:r>
        <w:rPr>
          <w:spacing w:val="-43"/>
        </w:rPr>
      </w:r>
      <w:r>
        <w:rPr/>
        <w:t>的能力，并且与被检查资产的未来现金流量测算相关。</w:t>
      </w:r>
    </w:p>
    <w:p>
      <w:pPr>
        <w:pStyle w:val="BodyText"/>
        <w:spacing w:line="240" w:lineRule="auto"/>
        <w:ind w:left="633" w:right="0"/>
        <w:jc w:val="left"/>
      </w:pPr>
      <w:r>
        <w:rPr/>
        <w:t>不同组合的确定依据：</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696"/>
        <w:gridCol w:w="5954"/>
      </w:tblGrid>
      <w:tr>
        <w:trPr>
          <w:trHeight w:val="504"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3"/>
              <w:jc w:val="center"/>
              <w:rPr>
                <w:rFonts w:ascii="宋体" w:hAnsi="宋体" w:cs="宋体" w:eastAsia="宋体" w:hint="default"/>
                <w:sz w:val="20"/>
                <w:szCs w:val="20"/>
              </w:rPr>
            </w:pPr>
            <w:r>
              <w:rPr>
                <w:rFonts w:ascii="宋体" w:hAnsi="宋体" w:cs="宋体" w:eastAsia="宋体" w:hint="default"/>
                <w:sz w:val="20"/>
                <w:szCs w:val="20"/>
              </w:rPr>
              <w:t>确定组合的依据</w:t>
            </w:r>
          </w:p>
        </w:tc>
      </w:tr>
      <w:tr>
        <w:trPr>
          <w:trHeight w:val="502"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合并范围内关联方组合</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sz w:val="20"/>
                <w:szCs w:val="20"/>
              </w:rPr>
              <w:t>应收合并范围内关联方款项</w:t>
            </w:r>
          </w:p>
        </w:tc>
      </w:tr>
      <w:tr>
        <w:trPr>
          <w:trHeight w:val="505"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left"/>
              <w:rPr>
                <w:rFonts w:ascii="宋体" w:hAnsi="宋体" w:cs="宋体" w:eastAsia="宋体" w:hint="default"/>
                <w:sz w:val="20"/>
                <w:szCs w:val="20"/>
              </w:rPr>
            </w:pPr>
            <w:r>
              <w:rPr>
                <w:rFonts w:ascii="宋体" w:hAnsi="宋体" w:cs="宋体" w:eastAsia="宋体" w:hint="default"/>
                <w:sz w:val="20"/>
                <w:szCs w:val="20"/>
              </w:rPr>
              <w:t>特殊款项性质组合</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center"/>
              <w:rPr>
                <w:rFonts w:ascii="宋体" w:hAnsi="宋体" w:cs="宋体" w:eastAsia="宋体" w:hint="default"/>
                <w:sz w:val="20"/>
                <w:szCs w:val="20"/>
              </w:rPr>
            </w:pPr>
            <w:r>
              <w:rPr>
                <w:rFonts w:ascii="宋体" w:hAnsi="宋体" w:cs="宋体" w:eastAsia="宋体" w:hint="default"/>
                <w:sz w:val="20"/>
                <w:szCs w:val="20"/>
              </w:rPr>
              <w:t>押金、保证金、与发行权益性证券相关款项等特殊款项</w:t>
            </w:r>
          </w:p>
        </w:tc>
      </w:tr>
      <w:tr>
        <w:trPr>
          <w:trHeight w:val="504"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
              <w:jc w:val="center"/>
              <w:rPr>
                <w:rFonts w:ascii="宋体" w:hAnsi="宋体" w:cs="宋体" w:eastAsia="宋体" w:hint="default"/>
                <w:sz w:val="20"/>
                <w:szCs w:val="20"/>
              </w:rPr>
            </w:pPr>
            <w:r>
              <w:rPr>
                <w:rFonts w:ascii="宋体" w:hAnsi="宋体" w:cs="宋体" w:eastAsia="宋体" w:hint="default"/>
                <w:sz w:val="20"/>
                <w:szCs w:val="20"/>
              </w:rPr>
              <w:t>按账龄计提坏账准备的应收款项</w:t>
            </w:r>
          </w:p>
        </w:tc>
      </w:tr>
    </w:tbl>
    <w:p>
      <w:pPr>
        <w:pStyle w:val="BodyText"/>
        <w:spacing w:line="408" w:lineRule="auto" w:before="64"/>
        <w:ind w:left="633" w:right="0"/>
        <w:jc w:val="left"/>
      </w:pPr>
      <w:r>
        <w:rPr>
          <w:rFonts w:ascii="宋体" w:hAnsi="宋体" w:cs="宋体" w:eastAsia="宋体" w:hint="default"/>
        </w:rPr>
        <w:t>B</w:t>
      </w:r>
      <w:r>
        <w:rPr/>
        <w:t>．根据信用风险特征组合确定的坏账准备计提方法</w:t>
      </w:r>
      <w:r>
        <w:rPr>
          <w:w w:val="100"/>
        </w:rPr>
        <w:t> </w:t>
      </w:r>
      <w:r>
        <w:rPr>
          <w:spacing w:val="-4"/>
        </w:rPr>
        <w:t>按组合方式实施减值测试时，坏账准备金额系根据应收款项组合结构及类似信用风险特征（债务人根</w:t>
      </w:r>
    </w:p>
    <w:p>
      <w:pPr>
        <w:pStyle w:val="BodyText"/>
        <w:spacing w:line="408" w:lineRule="auto"/>
        <w:ind w:right="0"/>
        <w:jc w:val="left"/>
      </w:pPr>
      <w:r>
        <w:rPr>
          <w:spacing w:val="-2"/>
        </w:rPr>
        <w:t>据合同条款偿还欠款的能力）按历史损失经验及目前经济状况与预计应收款项组合中已经存在的损失评估</w:t>
      </w:r>
      <w:r>
        <w:rPr>
          <w:spacing w:val="-42"/>
        </w:rPr>
        <w:t> </w:t>
      </w:r>
      <w:r>
        <w:rPr>
          <w:spacing w:val="-42"/>
        </w:rPr>
      </w:r>
      <w:r>
        <w:rPr/>
        <w:t>确定。</w:t>
      </w:r>
    </w:p>
    <w:p>
      <w:pPr>
        <w:pStyle w:val="BodyText"/>
        <w:spacing w:line="240" w:lineRule="auto"/>
        <w:ind w:left="633" w:right="0"/>
        <w:jc w:val="left"/>
      </w:pPr>
      <w:r>
        <w:rPr/>
        <w:t>不同组合计提坏账准备的计提方法：</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696"/>
        <w:gridCol w:w="5954"/>
      </w:tblGrid>
      <w:tr>
        <w:trPr>
          <w:trHeight w:val="502"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tabs>
                <w:tab w:pos="605" w:val="left" w:leader="none"/>
              </w:tabs>
              <w:spacing w:line="240" w:lineRule="auto" w:before="81"/>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3"/>
              <w:jc w:val="center"/>
              <w:rPr>
                <w:rFonts w:ascii="宋体" w:hAnsi="宋体" w:cs="宋体" w:eastAsia="宋体" w:hint="default"/>
                <w:sz w:val="20"/>
                <w:szCs w:val="20"/>
              </w:rPr>
            </w:pPr>
            <w:r>
              <w:rPr>
                <w:rFonts w:ascii="宋体" w:hAnsi="宋体" w:cs="宋体" w:eastAsia="宋体" w:hint="default"/>
                <w:sz w:val="20"/>
                <w:szCs w:val="20"/>
              </w:rPr>
              <w:t>计提方法</w:t>
            </w:r>
          </w:p>
        </w:tc>
      </w:tr>
      <w:tr>
        <w:trPr>
          <w:trHeight w:val="504"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合并范围内关联方组合</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center"/>
              <w:rPr>
                <w:rFonts w:ascii="宋体" w:hAnsi="宋体" w:cs="宋体" w:eastAsia="宋体" w:hint="default"/>
                <w:sz w:val="20"/>
                <w:szCs w:val="20"/>
              </w:rPr>
            </w:pPr>
            <w:r>
              <w:rPr>
                <w:rFonts w:ascii="宋体" w:hAnsi="宋体" w:cs="宋体" w:eastAsia="宋体" w:hint="default"/>
                <w:sz w:val="20"/>
                <w:szCs w:val="20"/>
              </w:rPr>
              <w:t>一般情况下不计提坏账准备</w:t>
            </w:r>
          </w:p>
        </w:tc>
      </w:tr>
      <w:tr>
        <w:trPr>
          <w:trHeight w:val="502"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特殊款项性质组合</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20"/>
                <w:szCs w:val="20"/>
              </w:rPr>
            </w:pPr>
            <w:r>
              <w:rPr>
                <w:rFonts w:ascii="宋体" w:hAnsi="宋体" w:cs="宋体" w:eastAsia="宋体" w:hint="default"/>
                <w:sz w:val="20"/>
                <w:szCs w:val="20"/>
              </w:rPr>
              <w:t>一般情况下不计提坏账准备</w:t>
            </w:r>
          </w:p>
        </w:tc>
      </w:tr>
      <w:tr>
        <w:trPr>
          <w:trHeight w:val="504"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
              <w:jc w:val="center"/>
              <w:rPr>
                <w:rFonts w:ascii="宋体" w:hAnsi="宋体" w:cs="宋体" w:eastAsia="宋体" w:hint="default"/>
                <w:sz w:val="20"/>
                <w:szCs w:val="20"/>
              </w:rPr>
            </w:pPr>
            <w:r>
              <w:rPr>
                <w:rFonts w:ascii="宋体" w:hAnsi="宋体" w:cs="宋体" w:eastAsia="宋体" w:hint="default"/>
                <w:sz w:val="20"/>
                <w:szCs w:val="20"/>
              </w:rPr>
              <w:t>账龄分析法</w:t>
            </w:r>
          </w:p>
        </w:tc>
      </w:tr>
    </w:tbl>
    <w:p>
      <w:pPr>
        <w:pStyle w:val="BodyText"/>
        <w:spacing w:line="240" w:lineRule="auto" w:before="64"/>
        <w:ind w:left="635" w:right="0"/>
        <w:jc w:val="left"/>
      </w:pPr>
      <w:r>
        <w:rPr/>
        <w:t>组合中，采用账龄分析法计提坏账准备的组合计提方法</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881"/>
        <w:gridCol w:w="2880"/>
        <w:gridCol w:w="2917"/>
      </w:tblGrid>
      <w:tr>
        <w:trPr>
          <w:trHeight w:val="504"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tabs>
                <w:tab w:pos="506" w:val="left" w:leader="none"/>
              </w:tabs>
              <w:spacing w:line="240" w:lineRule="auto" w:before="83"/>
              <w:ind w:left="4" w:right="0"/>
              <w:jc w:val="center"/>
              <w:rPr>
                <w:rFonts w:ascii="宋体" w:hAnsi="宋体" w:cs="宋体" w:eastAsia="宋体" w:hint="default"/>
                <w:sz w:val="20"/>
                <w:szCs w:val="20"/>
              </w:rPr>
            </w:pPr>
            <w:r>
              <w:rPr>
                <w:rFonts w:ascii="宋体" w:hAnsi="宋体" w:cs="宋体" w:eastAsia="宋体" w:hint="default"/>
                <w:w w:val="95"/>
                <w:sz w:val="20"/>
                <w:szCs w:val="20"/>
              </w:rPr>
              <w:t>账</w:t>
              <w:tab/>
            </w:r>
            <w:r>
              <w:rPr>
                <w:rFonts w:ascii="宋体" w:hAnsi="宋体" w:cs="宋体" w:eastAsia="宋体" w:hint="default"/>
                <w:sz w:val="20"/>
                <w:szCs w:val="20"/>
              </w:rPr>
              <w:t>龄</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83" w:right="0"/>
              <w:jc w:val="left"/>
              <w:rPr>
                <w:rFonts w:ascii="宋体" w:hAnsi="宋体" w:cs="宋体" w:eastAsia="宋体" w:hint="default"/>
                <w:sz w:val="20"/>
                <w:szCs w:val="20"/>
              </w:rPr>
            </w:pPr>
            <w:r>
              <w:rPr>
                <w:rFonts w:ascii="宋体" w:hAnsi="宋体" w:cs="宋体" w:eastAsia="宋体" w:hint="default"/>
                <w:sz w:val="20"/>
                <w:szCs w:val="20"/>
              </w:rPr>
              <w:t>应收账款计提比例（</w:t>
            </w:r>
            <w:r>
              <w:rPr>
                <w:rFonts w:ascii="宋体" w:hAnsi="宋体" w:cs="宋体" w:eastAsia="宋体" w:hint="default"/>
                <w:sz w:val="20"/>
                <w:szCs w:val="20"/>
              </w:rPr>
              <w:t>%</w:t>
            </w:r>
            <w:r>
              <w:rPr>
                <w:rFonts w:ascii="宋体" w:hAnsi="宋体" w:cs="宋体" w:eastAsia="宋体" w:hint="default"/>
                <w:sz w:val="20"/>
                <w:szCs w:val="20"/>
              </w:rPr>
              <w:t>）</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02" w:right="0"/>
              <w:jc w:val="left"/>
              <w:rPr>
                <w:rFonts w:ascii="宋体" w:hAnsi="宋体" w:cs="宋体" w:eastAsia="宋体" w:hint="default"/>
                <w:sz w:val="20"/>
                <w:szCs w:val="20"/>
              </w:rPr>
            </w:pPr>
            <w:r>
              <w:rPr>
                <w:rFonts w:ascii="宋体" w:hAnsi="宋体" w:cs="宋体" w:eastAsia="宋体" w:hint="default"/>
                <w:sz w:val="20"/>
                <w:szCs w:val="20"/>
              </w:rPr>
              <w:t>其他应收款计提比例（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502"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年以内（含</w:t>
            </w:r>
            <w:r>
              <w:rPr>
                <w:rFonts w:ascii="宋体" w:hAnsi="宋体" w:cs="宋体" w:eastAsia="宋体" w:hint="default"/>
                <w:sz w:val="20"/>
                <w:szCs w:val="20"/>
              </w:rPr>
              <w:t>1</w:t>
            </w:r>
            <w:r>
              <w:rPr>
                <w:rFonts w:ascii="宋体" w:hAnsi="宋体" w:cs="宋体" w:eastAsia="宋体" w:hint="default"/>
                <w:sz w:val="20"/>
                <w:szCs w:val="20"/>
              </w:rPr>
              <w:t>年，下同）</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608" w:right="0"/>
              <w:jc w:val="center"/>
              <w:rPr>
                <w:rFonts w:ascii="宋体" w:hAnsi="宋体" w:cs="宋体" w:eastAsia="宋体" w:hint="default"/>
                <w:sz w:val="20"/>
                <w:szCs w:val="20"/>
              </w:rPr>
            </w:pPr>
            <w:r>
              <w:rPr>
                <w:rFonts w:ascii="宋体"/>
                <w:w w:val="99"/>
                <w:sz w:val="20"/>
              </w:rPr>
              <w:t>0</w:t>
            </w:r>
            <w:r>
              <w:rPr>
                <w:rFonts w:ascii="宋体"/>
                <w:sz w:val="20"/>
              </w:rPr>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639" w:right="0"/>
              <w:jc w:val="center"/>
              <w:rPr>
                <w:rFonts w:ascii="宋体" w:hAnsi="宋体" w:cs="宋体" w:eastAsia="宋体" w:hint="default"/>
                <w:sz w:val="20"/>
                <w:szCs w:val="20"/>
              </w:rPr>
            </w:pPr>
            <w:r>
              <w:rPr>
                <w:rFonts w:ascii="宋体"/>
                <w:w w:val="99"/>
                <w:sz w:val="20"/>
              </w:rPr>
              <w:t>0</w:t>
            </w:r>
            <w:r>
              <w:rPr>
                <w:rFonts w:ascii="宋体"/>
                <w:sz w:val="20"/>
              </w:rPr>
            </w:r>
          </w:p>
        </w:tc>
      </w:tr>
      <w:tr>
        <w:trPr>
          <w:trHeight w:val="504"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z w:val="20"/>
                <w:szCs w:val="20"/>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513" w:right="0"/>
              <w:jc w:val="center"/>
              <w:rPr>
                <w:rFonts w:ascii="宋体" w:hAnsi="宋体" w:cs="宋体" w:eastAsia="宋体" w:hint="default"/>
                <w:sz w:val="20"/>
                <w:szCs w:val="20"/>
              </w:rPr>
            </w:pPr>
            <w:r>
              <w:rPr>
                <w:rFonts w:ascii="宋体"/>
                <w:sz w:val="20"/>
              </w:rPr>
              <w:t>30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544" w:right="0"/>
              <w:jc w:val="center"/>
              <w:rPr>
                <w:rFonts w:ascii="宋体" w:hAnsi="宋体" w:cs="宋体" w:eastAsia="宋体" w:hint="default"/>
                <w:sz w:val="20"/>
                <w:szCs w:val="20"/>
              </w:rPr>
            </w:pPr>
            <w:r>
              <w:rPr>
                <w:rFonts w:ascii="宋体"/>
                <w:sz w:val="20"/>
              </w:rPr>
              <w:t>30</w:t>
            </w:r>
          </w:p>
        </w:tc>
      </w:tr>
      <w:tr>
        <w:trPr>
          <w:trHeight w:val="502"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z w:val="20"/>
                <w:szCs w:val="20"/>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513" w:right="0"/>
              <w:jc w:val="center"/>
              <w:rPr>
                <w:rFonts w:ascii="宋体" w:hAnsi="宋体" w:cs="宋体" w:eastAsia="宋体" w:hint="default"/>
                <w:sz w:val="20"/>
                <w:szCs w:val="20"/>
              </w:rPr>
            </w:pPr>
            <w:r>
              <w:rPr>
                <w:rFonts w:ascii="宋体"/>
                <w:sz w:val="20"/>
              </w:rPr>
              <w:t>50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544" w:right="0"/>
              <w:jc w:val="center"/>
              <w:rPr>
                <w:rFonts w:ascii="宋体" w:hAnsi="宋体" w:cs="宋体" w:eastAsia="宋体" w:hint="default"/>
                <w:sz w:val="20"/>
                <w:szCs w:val="20"/>
              </w:rPr>
            </w:pPr>
            <w:r>
              <w:rPr>
                <w:rFonts w:ascii="宋体"/>
                <w:sz w:val="20"/>
              </w:rPr>
              <w:t>50</w:t>
            </w:r>
          </w:p>
        </w:tc>
      </w:tr>
      <w:tr>
        <w:trPr>
          <w:trHeight w:val="504"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z w:val="20"/>
                <w:szCs w:val="20"/>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12" w:right="0"/>
              <w:jc w:val="center"/>
              <w:rPr>
                <w:rFonts w:ascii="宋体" w:hAnsi="宋体" w:cs="宋体" w:eastAsia="宋体" w:hint="default"/>
                <w:sz w:val="20"/>
                <w:szCs w:val="20"/>
              </w:rPr>
            </w:pPr>
            <w:r>
              <w:rPr>
                <w:rFonts w:ascii="宋体"/>
                <w:sz w:val="20"/>
              </w:rPr>
              <w:t>100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43" w:right="0"/>
              <w:jc w:val="center"/>
              <w:rPr>
                <w:rFonts w:ascii="宋体" w:hAnsi="宋体" w:cs="宋体" w:eastAsia="宋体" w:hint="default"/>
                <w:sz w:val="20"/>
                <w:szCs w:val="20"/>
              </w:rPr>
            </w:pPr>
            <w:r>
              <w:rPr>
                <w:rFonts w:ascii="宋体"/>
                <w:sz w:val="20"/>
              </w:rPr>
              <w:t>100</w:t>
            </w:r>
          </w:p>
        </w:tc>
      </w:tr>
      <w:tr>
        <w:trPr>
          <w:trHeight w:val="504"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z w:val="20"/>
                <w:szCs w:val="20"/>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12" w:right="0"/>
              <w:jc w:val="center"/>
              <w:rPr>
                <w:rFonts w:ascii="宋体" w:hAnsi="宋体" w:cs="宋体" w:eastAsia="宋体" w:hint="default"/>
                <w:sz w:val="20"/>
                <w:szCs w:val="20"/>
              </w:rPr>
            </w:pPr>
            <w:r>
              <w:rPr>
                <w:rFonts w:ascii="宋体"/>
                <w:sz w:val="20"/>
              </w:rPr>
              <w:t>100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43" w:right="0"/>
              <w:jc w:val="center"/>
              <w:rPr>
                <w:rFonts w:ascii="宋体" w:hAnsi="宋体" w:cs="宋体" w:eastAsia="宋体" w:hint="default"/>
                <w:sz w:val="20"/>
                <w:szCs w:val="20"/>
              </w:rPr>
            </w:pPr>
            <w:r>
              <w:rPr>
                <w:rFonts w:ascii="宋体"/>
                <w:sz w:val="20"/>
              </w:rPr>
              <w:t>100</w:t>
            </w:r>
          </w:p>
        </w:tc>
      </w:tr>
      <w:tr>
        <w:trPr>
          <w:trHeight w:val="502"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年以上</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12" w:right="0"/>
              <w:jc w:val="center"/>
              <w:rPr>
                <w:rFonts w:ascii="宋体" w:hAnsi="宋体" w:cs="宋体" w:eastAsia="宋体" w:hint="default"/>
                <w:sz w:val="20"/>
                <w:szCs w:val="20"/>
              </w:rPr>
            </w:pPr>
            <w:r>
              <w:rPr>
                <w:rFonts w:ascii="宋体"/>
                <w:sz w:val="20"/>
              </w:rPr>
              <w:t>100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43" w:right="0"/>
              <w:jc w:val="center"/>
              <w:rPr>
                <w:rFonts w:ascii="宋体" w:hAnsi="宋体" w:cs="宋体" w:eastAsia="宋体" w:hint="default"/>
                <w:sz w:val="20"/>
                <w:szCs w:val="20"/>
              </w:rPr>
            </w:pPr>
            <w:r>
              <w:rPr>
                <w:rFonts w:ascii="宋体"/>
                <w:sz w:val="20"/>
              </w:rPr>
              <w:t>100</w:t>
            </w:r>
          </w:p>
        </w:tc>
      </w:tr>
    </w:tbl>
    <w:p>
      <w:pPr>
        <w:pStyle w:val="BodyText"/>
        <w:spacing w:line="408" w:lineRule="auto" w:before="64"/>
        <w:ind w:left="633" w:right="0"/>
        <w:jc w:val="left"/>
      </w:pPr>
      <w:r>
        <w:rPr/>
        <w:t>③</w:t>
      </w:r>
      <w:r>
        <w:rPr>
          <w:spacing w:val="-1"/>
        </w:rPr>
        <w:t> </w:t>
      </w:r>
      <w:r>
        <w:rPr/>
        <w:t>单项金额虽不重大但单项计提坏账准备的应收款项</w:t>
      </w:r>
      <w:r>
        <w:rPr>
          <w:w w:val="100"/>
        </w:rPr>
        <w:t> </w:t>
      </w:r>
      <w:r>
        <w:rPr>
          <w:spacing w:val="-4"/>
        </w:rPr>
        <w:t>本公司对于单项金额虽不重大但具备以下特征（应收关联方款项；与对方存在争议或涉及诉讼、仲裁</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46"/>
        <w:jc w:val="both"/>
      </w:pPr>
      <w:r>
        <w:rPr>
          <w:spacing w:val="-2"/>
        </w:rPr>
        <w:t>的应收款项；已有明显迹象表明债务人很可能无法履行还款义务的应收款项等）的应收款项，单独进行减</w:t>
      </w:r>
      <w:r>
        <w:rPr>
          <w:spacing w:val="-42"/>
        </w:rPr>
        <w:t> </w:t>
      </w:r>
      <w:r>
        <w:rPr>
          <w:spacing w:val="-42"/>
        </w:rPr>
      </w:r>
      <w:r>
        <w:rPr>
          <w:spacing w:val="-2"/>
        </w:rPr>
        <w:t>值测试，有客观证据表明其发生了减值的，根据其未来现金流量现值低于其账面价值的差额，确认减值损</w:t>
      </w:r>
      <w:r>
        <w:rPr>
          <w:spacing w:val="-44"/>
        </w:rPr>
        <w:t> </w:t>
      </w:r>
      <w:r>
        <w:rPr>
          <w:spacing w:val="-44"/>
        </w:rPr>
      </w:r>
      <w:r>
        <w:rPr/>
        <w:t>失。</w:t>
      </w:r>
    </w:p>
    <w:p>
      <w:pPr>
        <w:pStyle w:val="BodyText"/>
        <w:spacing w:line="408" w:lineRule="auto"/>
        <w:ind w:left="650" w:right="0" w:hanging="17"/>
        <w:jc w:val="left"/>
      </w:pPr>
      <w:r>
        <w:rPr>
          <w:rFonts w:ascii="宋体" w:hAnsi="宋体" w:cs="宋体" w:eastAsia="宋体" w:hint="default"/>
        </w:rPr>
        <w:t>3</w:t>
      </w:r>
      <w:r>
        <w:rPr/>
        <w:t>）坏账准备的转回</w:t>
      </w:r>
      <w:r>
        <w:rPr>
          <w:w w:val="100"/>
        </w:rPr>
        <w:t> </w:t>
      </w:r>
      <w:r>
        <w:rPr>
          <w:spacing w:val="-4"/>
        </w:rPr>
        <w:t>如有客观证据表明该应收款项价值已恢复，且客观上与确认该损失后发生的事项有关，原确认的减值</w:t>
      </w:r>
    </w:p>
    <w:p>
      <w:pPr>
        <w:pStyle w:val="BodyText"/>
        <w:spacing w:line="408" w:lineRule="auto"/>
        <w:ind w:right="146"/>
        <w:jc w:val="both"/>
      </w:pPr>
      <w:r>
        <w:rPr>
          <w:spacing w:val="-2"/>
        </w:rPr>
        <w:t>损失予以转回，计入当期损益。但是，该转回后的账面价值不超过假定不计提减值准备情况下该应收款项</w:t>
      </w:r>
      <w:r>
        <w:rPr>
          <w:spacing w:val="-44"/>
        </w:rPr>
        <w:t> </w:t>
      </w:r>
      <w:r>
        <w:rPr>
          <w:spacing w:val="-44"/>
        </w:rPr>
      </w:r>
      <w:r>
        <w:rPr/>
        <w:t>在转回日的摊余成本。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575" w:right="0"/>
        <w:jc w:val="left"/>
      </w:pPr>
      <w:r>
        <w:rPr>
          <w:rFonts w:ascii="宋体" w:hAnsi="宋体" w:cs="宋体" w:eastAsia="宋体" w:hint="default"/>
        </w:rPr>
        <w:t>2</w:t>
      </w:r>
      <w:r>
        <w:rPr/>
        <w:t>、存货会计估计变更情况概述：</w:t>
      </w:r>
    </w:p>
    <w:p>
      <w:pPr>
        <w:spacing w:line="240" w:lineRule="auto" w:before="10"/>
        <w:rPr>
          <w:rFonts w:ascii="宋体" w:hAnsi="宋体" w:cs="宋体" w:eastAsia="宋体" w:hint="default"/>
          <w:sz w:val="14"/>
          <w:szCs w:val="14"/>
        </w:rPr>
      </w:pPr>
    </w:p>
    <w:p>
      <w:pPr>
        <w:pStyle w:val="BodyText"/>
        <w:spacing w:line="408" w:lineRule="auto" w:before="0"/>
        <w:ind w:left="633" w:right="6835" w:hanging="164"/>
        <w:jc w:val="left"/>
      </w:pPr>
      <w:r>
        <w:rPr>
          <w:spacing w:val="-2"/>
        </w:rPr>
        <w:t>（</w:t>
      </w:r>
      <w:r>
        <w:rPr>
          <w:rFonts w:ascii="宋体" w:hAnsi="宋体" w:cs="宋体" w:eastAsia="宋体" w:hint="default"/>
          <w:spacing w:val="-2"/>
        </w:rPr>
        <w:t>1</w:t>
      </w:r>
      <w:r>
        <w:rPr>
          <w:spacing w:val="-2"/>
        </w:rPr>
        <w:t>）、变更前的会计估计：</w:t>
      </w:r>
      <w:r>
        <w:rPr>
          <w:spacing w:val="-79"/>
        </w:rPr>
        <w:t> </w:t>
      </w:r>
      <w:r>
        <w:rPr>
          <w:spacing w:val="-79"/>
        </w:rPr>
      </w:r>
      <w:r>
        <w:rPr>
          <w:rFonts w:ascii="宋体" w:hAnsi="宋体" w:cs="宋体" w:eastAsia="宋体" w:hint="default"/>
        </w:rPr>
        <w:t>1</w:t>
      </w:r>
      <w:r>
        <w:rPr/>
        <w:t>）存货的分类</w:t>
      </w:r>
    </w:p>
    <w:p>
      <w:pPr>
        <w:pStyle w:val="BodyText"/>
        <w:spacing w:line="408" w:lineRule="auto"/>
        <w:ind w:left="633" w:right="1587"/>
        <w:jc w:val="left"/>
      </w:pPr>
      <w:r>
        <w:rPr>
          <w:spacing w:val="-2"/>
        </w:rPr>
        <w:t>存货主要包括原材料、在产品、产成品、库存商品等。</w:t>
      </w:r>
      <w:r>
        <w:rPr>
          <w:spacing w:val="-59"/>
        </w:rPr>
        <w:t> </w:t>
      </w:r>
      <w:r>
        <w:rPr>
          <w:spacing w:val="-59"/>
        </w:rPr>
      </w:r>
      <w:r>
        <w:rPr>
          <w:rFonts w:ascii="宋体" w:hAnsi="宋体" w:cs="宋体" w:eastAsia="宋体" w:hint="default"/>
        </w:rPr>
        <w:t>2</w:t>
      </w:r>
      <w:r>
        <w:rPr/>
        <w:t>）存货取得和发出的计价方法</w:t>
      </w:r>
    </w:p>
    <w:p>
      <w:pPr>
        <w:pStyle w:val="BodyText"/>
        <w:spacing w:line="408" w:lineRule="auto"/>
        <w:ind w:right="148" w:firstLine="480"/>
        <w:jc w:val="both"/>
      </w:pPr>
      <w:r>
        <w:rPr>
          <w:spacing w:val="-4"/>
        </w:rPr>
        <w:t>存货在取得时按实际成本计价，存货成本包括采购成本、加工成本和其他成本。领用和发出时按加权</w:t>
      </w:r>
      <w:r>
        <w:rPr>
          <w:w w:val="100"/>
        </w:rPr>
        <w:t> </w:t>
      </w:r>
      <w:r>
        <w:rPr/>
        <w:t>平均法计价。</w:t>
      </w:r>
    </w:p>
    <w:p>
      <w:pPr>
        <w:pStyle w:val="BodyText"/>
        <w:spacing w:line="408" w:lineRule="auto"/>
        <w:ind w:left="633" w:right="0"/>
        <w:jc w:val="left"/>
      </w:pPr>
      <w:r>
        <w:rPr>
          <w:rFonts w:ascii="宋体" w:hAnsi="宋体" w:cs="宋体" w:eastAsia="宋体" w:hint="default"/>
        </w:rPr>
        <w:t>3</w:t>
      </w:r>
      <w:r>
        <w:rPr/>
        <w:t>）存货可变现净值的确认和跌价准备的计提方法</w:t>
      </w:r>
      <w:r>
        <w:rPr>
          <w:w w:val="100"/>
        </w:rPr>
        <w:t> </w:t>
      </w:r>
      <w:r>
        <w:rPr>
          <w:spacing w:val="-4"/>
        </w:rPr>
        <w:t>可变现净值是指在日常活动中，存货的估计售价减去至完工时估计将要发生的成本、估计的销售费用</w:t>
      </w:r>
    </w:p>
    <w:p>
      <w:pPr>
        <w:pStyle w:val="BodyText"/>
        <w:spacing w:line="408" w:lineRule="auto"/>
        <w:ind w:right="146"/>
        <w:jc w:val="both"/>
      </w:pPr>
      <w:r>
        <w:rPr>
          <w:spacing w:val="-2"/>
        </w:rPr>
        <w:t>以及相关税费后的金额。在确定存货的可变现净值时，以取得的确凿证据为基础，同时考虑持有存货的目</w:t>
      </w:r>
      <w:r>
        <w:rPr>
          <w:spacing w:val="-43"/>
        </w:rPr>
        <w:t> </w:t>
      </w:r>
      <w:r>
        <w:rPr>
          <w:spacing w:val="-43"/>
        </w:rPr>
      </w:r>
      <w:r>
        <w:rPr/>
        <w:t>的以及资产负债表日后事项的影响。</w:t>
      </w:r>
    </w:p>
    <w:p>
      <w:pPr>
        <w:pStyle w:val="BodyText"/>
        <w:spacing w:line="408" w:lineRule="auto"/>
        <w:ind w:right="146" w:firstLine="480"/>
        <w:jc w:val="both"/>
      </w:pPr>
      <w:r>
        <w:rPr>
          <w:spacing w:val="-4"/>
        </w:rPr>
        <w:t>在资产负债表日，存货按照成本与可变现净值孰低计量。当其可变现净值低于成本时，提取存货跌价</w:t>
      </w:r>
      <w:r>
        <w:rPr>
          <w:w w:val="100"/>
        </w:rPr>
        <w:t> </w:t>
      </w:r>
      <w:r>
        <w:rPr>
          <w:spacing w:val="-2"/>
        </w:rPr>
        <w:t>准备。存货跌价准备通常按单个存货项目的成本高于其可变现净值的差额提取。对于数量繁多、单价较低</w:t>
      </w:r>
      <w:r>
        <w:rPr>
          <w:spacing w:val="-44"/>
        </w:rPr>
        <w:t> </w:t>
      </w:r>
      <w:r>
        <w:rPr>
          <w:spacing w:val="-44"/>
        </w:rPr>
      </w:r>
      <w:r>
        <w:rPr/>
        <w:t>的存货，按存货类别计提存货跌价准备。</w:t>
      </w:r>
    </w:p>
    <w:p>
      <w:pPr>
        <w:pStyle w:val="BodyText"/>
        <w:spacing w:line="408" w:lineRule="auto"/>
        <w:ind w:right="149" w:firstLine="480"/>
        <w:jc w:val="both"/>
      </w:pPr>
      <w:r>
        <w:rPr>
          <w:spacing w:val="-4"/>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pStyle w:val="BodyText"/>
        <w:spacing w:line="240" w:lineRule="auto"/>
        <w:ind w:left="633" w:right="0"/>
        <w:jc w:val="left"/>
      </w:pPr>
      <w:r>
        <w:rPr>
          <w:rFonts w:ascii="宋体" w:hAnsi="宋体" w:cs="宋体" w:eastAsia="宋体" w:hint="default"/>
        </w:rPr>
        <w:t>4</w:t>
      </w:r>
      <w:r>
        <w:rPr/>
        <w:t>）存货的盘存制度一般为永续盘存制，对于在产品及库存商品采用年末定期盘存制。</w:t>
      </w:r>
    </w:p>
    <w:p>
      <w:pPr>
        <w:spacing w:line="240" w:lineRule="auto" w:before="10"/>
        <w:rPr>
          <w:rFonts w:ascii="宋体" w:hAnsi="宋体" w:cs="宋体" w:eastAsia="宋体" w:hint="default"/>
          <w:sz w:val="14"/>
          <w:szCs w:val="14"/>
        </w:rPr>
      </w:pPr>
    </w:p>
    <w:p>
      <w:pPr>
        <w:pStyle w:val="BodyText"/>
        <w:spacing w:line="408" w:lineRule="auto" w:before="0"/>
        <w:ind w:left="633" w:right="4344"/>
        <w:jc w:val="left"/>
      </w:pPr>
      <w:r>
        <w:rPr>
          <w:rFonts w:ascii="宋体" w:hAnsi="宋体" w:cs="宋体" w:eastAsia="宋体" w:hint="default"/>
        </w:rPr>
        <w:t>5</w:t>
      </w:r>
      <w:r>
        <w:rPr/>
        <w:t>）低值易耗品和包装物的摊销方法</w:t>
      </w:r>
      <w:r>
        <w:rPr>
          <w:w w:val="100"/>
        </w:rPr>
        <w:t> </w:t>
      </w:r>
      <w:r>
        <w:rPr>
          <w:spacing w:val="-2"/>
        </w:rPr>
        <w:t>低值易耗品、包装物于领用时按一次摊销法摊销。</w:t>
      </w:r>
    </w:p>
    <w:p>
      <w:pPr>
        <w:pStyle w:val="BodyText"/>
        <w:spacing w:line="408" w:lineRule="auto"/>
        <w:ind w:left="633" w:right="6835" w:hanging="481"/>
        <w:jc w:val="left"/>
      </w:pPr>
      <w:r>
        <w:rPr>
          <w:spacing w:val="-2"/>
        </w:rPr>
        <w:t>（</w:t>
      </w:r>
      <w:r>
        <w:rPr>
          <w:rFonts w:ascii="宋体" w:hAnsi="宋体" w:cs="宋体" w:eastAsia="宋体" w:hint="default"/>
          <w:spacing w:val="-2"/>
        </w:rPr>
        <w:t>2</w:t>
      </w:r>
      <w:r>
        <w:rPr>
          <w:spacing w:val="-2"/>
        </w:rPr>
        <w:t>）、变更后的会计估计</w:t>
      </w:r>
      <w:r>
        <w:rPr>
          <w:spacing w:val="-83"/>
        </w:rPr>
        <w:t> </w:t>
      </w:r>
      <w:r>
        <w:rPr>
          <w:spacing w:val="-83"/>
        </w:rPr>
      </w:r>
      <w:r>
        <w:rPr>
          <w:rFonts w:ascii="宋体" w:hAnsi="宋体" w:cs="宋体" w:eastAsia="宋体" w:hint="default"/>
        </w:rPr>
        <w:t>1</w:t>
      </w:r>
      <w:r>
        <w:rPr/>
        <w:t>）存货的分类</w:t>
      </w:r>
    </w:p>
    <w:p>
      <w:pPr>
        <w:pStyle w:val="BodyText"/>
        <w:spacing w:line="240" w:lineRule="auto"/>
        <w:ind w:left="635" w:right="0"/>
        <w:jc w:val="left"/>
      </w:pPr>
      <w:r>
        <w:rPr/>
        <w:t>存货主要包括试剂及耗材、低值易耗品等。</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0"/>
        <w:jc w:val="left"/>
      </w:pPr>
      <w:r>
        <w:rPr>
          <w:rFonts w:ascii="宋体" w:hAnsi="宋体" w:cs="宋体" w:eastAsia="宋体" w:hint="default"/>
        </w:rPr>
        <w:t>2</w:t>
      </w:r>
      <w:r>
        <w:rPr/>
        <w:t>）存货取得和发出的计价方法</w:t>
      </w:r>
      <w:r>
        <w:rPr>
          <w:w w:val="100"/>
        </w:rPr>
        <w:t> </w:t>
      </w:r>
      <w:r>
        <w:rPr>
          <w:spacing w:val="-4"/>
        </w:rPr>
        <w:t>存货在取得时按实际成本计价，存货成本包括采购成本、加工成本和其他成本。领用和发出时按先进</w:t>
      </w:r>
    </w:p>
    <w:p>
      <w:pPr>
        <w:pStyle w:val="BodyText"/>
        <w:spacing w:line="240" w:lineRule="auto"/>
        <w:ind w:right="0"/>
        <w:jc w:val="left"/>
      </w:pPr>
      <w:r>
        <w:rPr/>
        <w:t>先出法计价。</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rFonts w:ascii="宋体" w:hAnsi="宋体" w:cs="宋体" w:eastAsia="宋体" w:hint="default"/>
        </w:rPr>
        <w:t>3</w:t>
      </w:r>
      <w:r>
        <w:rPr/>
        <w:t>）存货可变现净值的确认和跌价准备的计提方法</w:t>
      </w:r>
      <w:r>
        <w:rPr>
          <w:w w:val="100"/>
        </w:rPr>
        <w:t> </w:t>
      </w:r>
      <w:r>
        <w:rPr>
          <w:spacing w:val="-4"/>
        </w:rPr>
        <w:t>可变现净值是指在日常活动中，存货的估计售价减去至完工时估计将要发生的成本、估计的销售费用</w:t>
      </w:r>
    </w:p>
    <w:p>
      <w:pPr>
        <w:pStyle w:val="BodyText"/>
        <w:spacing w:line="408" w:lineRule="auto"/>
        <w:ind w:right="0"/>
        <w:jc w:val="left"/>
      </w:pPr>
      <w:r>
        <w:rPr>
          <w:spacing w:val="-2"/>
        </w:rPr>
        <w:t>以及相关税费后的金额。在确定存货的可变现净值时，以取得的确凿证据为基础，同时考虑持有存货的目</w:t>
      </w:r>
      <w:r>
        <w:rPr>
          <w:spacing w:val="-43"/>
        </w:rPr>
        <w:t> </w:t>
      </w:r>
      <w:r>
        <w:rPr>
          <w:spacing w:val="-43"/>
        </w:rPr>
      </w:r>
      <w:r>
        <w:rPr/>
        <w:t>的以及资产负债表日后事项的影响。</w:t>
      </w:r>
    </w:p>
    <w:p>
      <w:pPr>
        <w:pStyle w:val="BodyText"/>
        <w:spacing w:line="408" w:lineRule="auto"/>
        <w:ind w:right="148" w:firstLine="480"/>
        <w:jc w:val="both"/>
      </w:pPr>
      <w:r>
        <w:rPr>
          <w:spacing w:val="-4"/>
        </w:rPr>
        <w:t>在资产负债表日，存货按照成本与可变现净值孰低计量。当其可变现净值低于成本时，提取存货跌价</w:t>
      </w:r>
      <w:r>
        <w:rPr>
          <w:w w:val="100"/>
        </w:rPr>
        <w:t> </w:t>
      </w:r>
      <w:r>
        <w:rPr/>
        <w:t>准备。存货跌价准备按单个存货项目的成本高于其可变现净值的差额提取。</w:t>
      </w:r>
    </w:p>
    <w:p>
      <w:pPr>
        <w:pStyle w:val="BodyText"/>
        <w:spacing w:line="408" w:lineRule="auto"/>
        <w:ind w:right="149" w:firstLine="480"/>
        <w:jc w:val="both"/>
      </w:pPr>
      <w:r>
        <w:rPr>
          <w:spacing w:val="-4"/>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pStyle w:val="BodyText"/>
        <w:spacing w:line="240" w:lineRule="auto"/>
        <w:ind w:left="633" w:right="0"/>
        <w:jc w:val="left"/>
      </w:pPr>
      <w:r>
        <w:rPr>
          <w:rFonts w:ascii="宋体" w:hAnsi="宋体" w:cs="宋体" w:eastAsia="宋体" w:hint="default"/>
        </w:rPr>
        <w:t>4</w:t>
      </w:r>
      <w:r>
        <w:rPr/>
        <w:t>）存货的盘存制度为永续盘存制。</w:t>
      </w:r>
    </w:p>
    <w:p>
      <w:pPr>
        <w:spacing w:line="240" w:lineRule="auto" w:before="10"/>
        <w:rPr>
          <w:rFonts w:ascii="宋体" w:hAnsi="宋体" w:cs="宋体" w:eastAsia="宋体" w:hint="default"/>
          <w:sz w:val="14"/>
          <w:szCs w:val="14"/>
        </w:rPr>
      </w:pPr>
    </w:p>
    <w:p>
      <w:pPr>
        <w:pStyle w:val="BodyText"/>
        <w:spacing w:line="408" w:lineRule="auto" w:before="0"/>
        <w:ind w:left="575" w:right="4344" w:firstLine="57"/>
        <w:jc w:val="left"/>
      </w:pPr>
      <w:r>
        <w:rPr>
          <w:rFonts w:ascii="宋体" w:hAnsi="宋体" w:cs="宋体" w:eastAsia="宋体" w:hint="default"/>
        </w:rPr>
        <w:t>5</w:t>
      </w:r>
      <w:r>
        <w:rPr/>
        <w:t>）低值易耗品和包装物的摊销方法</w:t>
      </w:r>
      <w:r>
        <w:rPr>
          <w:w w:val="100"/>
        </w:rPr>
        <w:t> </w:t>
      </w:r>
      <w:r>
        <w:rPr/>
        <w:t>低值易耗品于领用时按一次摊销法摊销。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575" w:right="0"/>
        <w:jc w:val="left"/>
      </w:pPr>
      <w:r>
        <w:rPr>
          <w:rFonts w:ascii="宋体" w:hAnsi="宋体" w:cs="宋体" w:eastAsia="宋体" w:hint="default"/>
        </w:rPr>
        <w:t>3</w:t>
      </w:r>
      <w:r>
        <w:rPr/>
        <w:t>、固定资产会计估计变更情况</w:t>
      </w:r>
    </w:p>
    <w:p>
      <w:pPr>
        <w:spacing w:line="240" w:lineRule="auto" w:before="10"/>
        <w:rPr>
          <w:rFonts w:ascii="宋体" w:hAnsi="宋体" w:cs="宋体" w:eastAsia="宋体" w:hint="default"/>
          <w:sz w:val="14"/>
          <w:szCs w:val="14"/>
        </w:rPr>
      </w:pPr>
    </w:p>
    <w:p>
      <w:pPr>
        <w:pStyle w:val="BodyText"/>
        <w:spacing w:line="408" w:lineRule="auto" w:before="0"/>
        <w:ind w:left="633" w:right="6835" w:hanging="164"/>
        <w:jc w:val="left"/>
      </w:pPr>
      <w:r>
        <w:rPr/>
        <w:t>（</w:t>
      </w:r>
      <w:r>
        <w:rPr>
          <w:rFonts w:ascii="宋体" w:hAnsi="宋体" w:cs="宋体" w:eastAsia="宋体" w:hint="default"/>
        </w:rPr>
        <w:t>1</w:t>
      </w:r>
      <w:r>
        <w:rPr/>
        <w:t>）、</w:t>
      </w:r>
      <w:r>
        <w:rPr>
          <w:spacing w:val="-3"/>
        </w:rPr>
        <w:t> </w:t>
      </w:r>
      <w:r>
        <w:rPr/>
        <w:t>变更前的会计估计</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rPr>
        <w:t>1</w:t>
      </w:r>
      <w:r>
        <w:rPr/>
        <w:t>）确认条件</w:t>
      </w:r>
    </w:p>
    <w:p>
      <w:pPr>
        <w:pStyle w:val="BodyText"/>
        <w:spacing w:line="408" w:lineRule="auto"/>
        <w:ind w:right="146" w:firstLine="480"/>
        <w:jc w:val="both"/>
      </w:pPr>
      <w:r>
        <w:rPr>
          <w:spacing w:val="-4"/>
        </w:rPr>
        <w:t>固定资产是指为生产商品、提供劳务、出租或经营管理而持有的，使用寿命超过一个会计年度的有形</w:t>
      </w:r>
      <w:r>
        <w:rPr>
          <w:w w:val="100"/>
        </w:rPr>
        <w:t> </w:t>
      </w:r>
      <w:r>
        <w:rPr>
          <w:spacing w:val="-2"/>
        </w:rPr>
        <w:t>资产。固定资产仅在与其有关的经济利益很可能流入本公司，且其成本能够可靠地计量时才予以确认。固</w:t>
      </w:r>
      <w:r>
        <w:rPr>
          <w:spacing w:val="-44"/>
        </w:rPr>
        <w:t> </w:t>
      </w:r>
      <w:r>
        <w:rPr>
          <w:spacing w:val="-44"/>
        </w:rPr>
      </w:r>
      <w:r>
        <w:rPr/>
        <w:t>定资产按成本并考虑预计弃置费用因素的影响进行初始计量。</w:t>
      </w:r>
    </w:p>
    <w:p>
      <w:pPr>
        <w:pStyle w:val="BodyText"/>
        <w:spacing w:line="240" w:lineRule="auto"/>
        <w:ind w:left="633" w:right="0"/>
        <w:jc w:val="left"/>
      </w:pPr>
      <w:r>
        <w:rPr>
          <w:rFonts w:ascii="宋体" w:hAnsi="宋体" w:cs="宋体" w:eastAsia="宋体" w:hint="default"/>
        </w:rPr>
        <w:t>2</w:t>
      </w:r>
      <w:r>
        <w:rPr/>
        <w:t>）折旧方法</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50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折旧方法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折旧年限</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547" w:right="0"/>
              <w:jc w:val="left"/>
              <w:rPr>
                <w:rFonts w:ascii="宋体" w:hAnsi="宋体" w:cs="宋体" w:eastAsia="宋体" w:hint="default"/>
                <w:sz w:val="20"/>
                <w:szCs w:val="20"/>
              </w:rPr>
            </w:pPr>
            <w:r>
              <w:rPr>
                <w:rFonts w:ascii="宋体" w:hAnsi="宋体" w:cs="宋体" w:eastAsia="宋体" w:hint="default"/>
                <w:sz w:val="20"/>
                <w:szCs w:val="20"/>
              </w:rPr>
              <w:t>残值率</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2"/>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50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年限平均法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z w:val="20"/>
                <w:szCs w:val="20"/>
              </w:rPr>
              <w:t>年</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4.50-4.75</w:t>
            </w:r>
          </w:p>
        </w:tc>
      </w:tr>
      <w:tr>
        <w:trPr>
          <w:trHeight w:val="50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年限平均法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sz w:val="20"/>
              </w:rPr>
              <w:t>9.00-9.50</w:t>
            </w:r>
          </w:p>
        </w:tc>
      </w:tr>
      <w:tr>
        <w:trPr>
          <w:trHeight w:val="50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年限平均法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center"/>
              <w:rPr>
                <w:rFonts w:ascii="宋体" w:hAnsi="宋体" w:cs="宋体" w:eastAsia="宋体" w:hint="default"/>
                <w:sz w:val="20"/>
                <w:szCs w:val="20"/>
              </w:rPr>
            </w:pPr>
            <w:r>
              <w:rPr>
                <w:rFonts w:ascii="宋体"/>
                <w:sz w:val="20"/>
              </w:rPr>
              <w:t>18.00-19.00</w:t>
            </w:r>
          </w:p>
        </w:tc>
      </w:tr>
      <w:tr>
        <w:trPr>
          <w:trHeight w:val="50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年限平均法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20"/>
                <w:szCs w:val="20"/>
              </w:rPr>
            </w:pPr>
            <w:r>
              <w:rPr>
                <w:rFonts w:ascii="宋体"/>
                <w:sz w:val="20"/>
              </w:rPr>
              <w:t>18.00-19.00</w:t>
            </w:r>
          </w:p>
        </w:tc>
      </w:tr>
      <w:tr>
        <w:trPr>
          <w:trHeight w:val="50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年限平均法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04"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center"/>
              <w:rPr>
                <w:rFonts w:ascii="宋体" w:hAnsi="宋体" w:cs="宋体" w:eastAsia="宋体" w:hint="default"/>
                <w:sz w:val="20"/>
                <w:szCs w:val="20"/>
              </w:rPr>
            </w:pPr>
            <w:r>
              <w:rPr>
                <w:rFonts w:ascii="宋体"/>
                <w:sz w:val="20"/>
              </w:rPr>
              <w:t>18.00-19.00</w:t>
            </w:r>
          </w:p>
        </w:tc>
      </w:tr>
    </w:tbl>
    <w:p>
      <w:pPr>
        <w:pStyle w:val="BodyText"/>
        <w:spacing w:line="240" w:lineRule="auto" w:before="64"/>
        <w:ind w:left="738" w:right="0"/>
        <w:jc w:val="left"/>
      </w:pPr>
      <w:r>
        <w:rPr>
          <w:rFonts w:ascii="宋体" w:hAnsi="宋体" w:cs="宋体" w:eastAsia="宋体" w:hint="default"/>
        </w:rPr>
        <w:t>3</w:t>
      </w:r>
      <w:r>
        <w:rPr/>
        <w:t>）融资租入固定资产的认定依据、计价和折旧方法</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333" w:right="209" w:firstLine="405"/>
        <w:jc w:val="both"/>
      </w:pPr>
      <w:r>
        <w:rPr>
          <w:spacing w:val="-1"/>
        </w:rPr>
        <w:t>融资租赁为实质上转移了与资产所有权有关的全部风险和报酬的租赁，其所有权最终可能转移，也</w:t>
      </w:r>
      <w:r>
        <w:rPr>
          <w:w w:val="100"/>
        </w:rPr>
        <w:t> </w:t>
      </w:r>
      <w:r>
        <w:rPr>
          <w:spacing w:val="-2"/>
        </w:rPr>
        <w:t>可能不转移。以融资租赁方式租入的固定资产采用与自有固定资产一致的政策计提租赁资产折旧。能够</w:t>
      </w:r>
      <w:r>
        <w:rPr>
          <w:spacing w:val="-21"/>
        </w:rPr>
        <w:t> </w:t>
      </w:r>
      <w:r>
        <w:rPr>
          <w:spacing w:val="-21"/>
        </w:rPr>
      </w:r>
      <w:r>
        <w:rPr>
          <w:spacing w:val="-2"/>
        </w:rPr>
        <w:t>合理确定租赁期届满时取得租赁资产所有权的在租赁资产使用寿命内计提折旧，无法合理确定租赁期届</w:t>
      </w:r>
      <w:r>
        <w:rPr>
          <w:spacing w:val="-21"/>
        </w:rPr>
        <w:t> </w:t>
      </w:r>
      <w:r>
        <w:rPr>
          <w:spacing w:val="-21"/>
        </w:rPr>
      </w:r>
      <w:r>
        <w:rPr/>
        <w:t>满能够取得租赁资产所有权的，在租赁期与租赁资产使用寿命两者中较短的期间内计提折旧。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813" w:right="6712" w:hanging="269"/>
        <w:jc w:val="left"/>
      </w:pPr>
      <w:r>
        <w:rPr/>
        <w:t>（</w:t>
      </w:r>
      <w:r>
        <w:rPr>
          <w:rFonts w:ascii="宋体" w:hAnsi="宋体" w:cs="宋体" w:eastAsia="宋体" w:hint="default"/>
        </w:rPr>
        <w:t>2</w:t>
      </w:r>
      <w:r>
        <w:rPr/>
        <w:t>）、 变更后的会计估计：</w:t>
      </w:r>
      <w:r>
        <w:rPr>
          <w:w w:val="100"/>
        </w:rPr>
        <w:t> </w:t>
      </w:r>
      <w:r>
        <w:rPr>
          <w:rFonts w:ascii="宋体" w:hAnsi="宋体" w:cs="宋体" w:eastAsia="宋体" w:hint="default"/>
        </w:rPr>
        <w:t>1</w:t>
      </w:r>
      <w:r>
        <w:rPr/>
        <w:t>）固定资产确认条件</w:t>
      </w:r>
    </w:p>
    <w:p>
      <w:pPr>
        <w:pStyle w:val="BodyText"/>
        <w:spacing w:line="408" w:lineRule="auto"/>
        <w:ind w:left="333" w:right="92" w:firstLine="480"/>
        <w:jc w:val="left"/>
      </w:pPr>
      <w:r>
        <w:rPr>
          <w:spacing w:val="-3"/>
        </w:rPr>
        <w:t>固定资产是指为生产商品、提供劳务、出租或经营管理而持有的，使用寿命超过一个会计年度的有</w:t>
      </w:r>
      <w:r>
        <w:rPr>
          <w:w w:val="100"/>
        </w:rPr>
        <w:t> </w:t>
      </w:r>
      <w:r>
        <w:rPr>
          <w:spacing w:val="-4"/>
        </w:rPr>
        <w:t>形资产。固定资产仅在与其有关的经济利益很可能流入本公司，且其成本能够可靠地计量时才予以确认。</w:t>
      </w:r>
      <w:r>
        <w:rPr>
          <w:spacing w:val="-28"/>
        </w:rPr>
        <w:t> </w:t>
      </w:r>
      <w:r>
        <w:rPr>
          <w:spacing w:val="-28"/>
        </w:rPr>
      </w:r>
      <w:r>
        <w:rPr/>
        <w:t>固定资产按成本并考虑预计弃置费用因素的影响进行初始计量。</w:t>
      </w:r>
    </w:p>
    <w:p>
      <w:pPr>
        <w:pStyle w:val="BodyText"/>
        <w:spacing w:line="408" w:lineRule="auto"/>
        <w:ind w:left="813" w:right="92"/>
        <w:jc w:val="left"/>
      </w:pPr>
      <w:r>
        <w:rPr>
          <w:rFonts w:ascii="宋体" w:hAnsi="宋体" w:cs="宋体" w:eastAsia="宋体" w:hint="default"/>
        </w:rPr>
        <w:t>2</w:t>
      </w:r>
      <w:r>
        <w:rPr/>
        <w:t>）各类固定资产的折旧方法</w:t>
      </w:r>
      <w:r>
        <w:rPr>
          <w:w w:val="100"/>
        </w:rPr>
        <w:t> </w:t>
      </w:r>
      <w:r>
        <w:rPr>
          <w:spacing w:val="-3"/>
        </w:rPr>
        <w:t>固定资产从达到预定可使用状态的次月起，采用年限平均法在使用寿命内计提折旧。各类固定资产</w:t>
      </w:r>
    </w:p>
    <w:p>
      <w:pPr>
        <w:pStyle w:val="BodyText"/>
        <w:spacing w:line="240" w:lineRule="auto"/>
        <w:ind w:left="333" w:right="92"/>
        <w:jc w:val="left"/>
      </w:pPr>
      <w:r>
        <w:rPr/>
        <w:t>的使用寿命、预计净残值和年折旧率如下：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364"/>
        <w:gridCol w:w="1705"/>
        <w:gridCol w:w="1853"/>
        <w:gridCol w:w="1558"/>
        <w:gridCol w:w="1702"/>
      </w:tblGrid>
      <w:tr>
        <w:trPr>
          <w:trHeight w:val="504" w:hRule="exact"/>
        </w:trPr>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20"/>
                <w:szCs w:val="20"/>
              </w:rPr>
            </w:pPr>
            <w:r>
              <w:rPr>
                <w:rFonts w:ascii="宋体" w:hAnsi="宋体" w:cs="宋体" w:eastAsia="宋体" w:hint="default"/>
                <w:sz w:val="20"/>
                <w:szCs w:val="20"/>
              </w:rPr>
              <w:t>折旧方法</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折旧年限（年）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20"/>
                <w:szCs w:val="20"/>
              </w:rPr>
            </w:pPr>
            <w:r>
              <w:rPr>
                <w:rFonts w:ascii="宋体" w:hAnsi="宋体" w:cs="宋体" w:eastAsia="宋体" w:hint="default"/>
                <w:sz w:val="20"/>
                <w:szCs w:val="20"/>
              </w:rPr>
              <w:t>残值率（</w:t>
            </w:r>
            <w:r>
              <w:rPr>
                <w:rFonts w:ascii="宋体" w:hAnsi="宋体" w:cs="宋体" w:eastAsia="宋体" w:hint="default"/>
                <w:sz w:val="20"/>
                <w:szCs w:val="20"/>
              </w:rPr>
              <w:t>%</w:t>
            </w:r>
            <w:r>
              <w:rPr>
                <w:rFonts w:ascii="宋体" w:hAnsi="宋体" w:cs="宋体" w:eastAsia="宋体" w:hint="default"/>
                <w:sz w:val="20"/>
                <w:szCs w:val="20"/>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年折旧率（</w:t>
            </w:r>
            <w:r>
              <w:rPr>
                <w:rFonts w:ascii="宋体" w:hAnsi="宋体" w:cs="宋体" w:eastAsia="宋体" w:hint="default"/>
                <w:sz w:val="20"/>
                <w:szCs w:val="20"/>
              </w:rPr>
              <w:t>%</w:t>
            </w:r>
            <w:r>
              <w:rPr>
                <w:rFonts w:ascii="宋体" w:hAnsi="宋体" w:cs="宋体" w:eastAsia="宋体" w:hint="default"/>
                <w:sz w:val="20"/>
                <w:szCs w:val="20"/>
              </w:rPr>
              <w:t>）</w:t>
            </w:r>
          </w:p>
        </w:tc>
      </w:tr>
      <w:tr>
        <w:trPr>
          <w:trHeight w:val="502" w:hRule="exact"/>
        </w:trPr>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20"/>
                <w:szCs w:val="20"/>
              </w:rPr>
            </w:pPr>
            <w:r>
              <w:rPr>
                <w:rFonts w:ascii="宋体" w:hAnsi="宋体" w:cs="宋体" w:eastAsia="宋体" w:hint="default"/>
                <w:sz w:val="20"/>
                <w:szCs w:val="20"/>
              </w:rPr>
              <w:t>平均年限法</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sz w:val="20"/>
              </w:rPr>
              <w:t>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20"/>
                <w:szCs w:val="20"/>
              </w:rPr>
            </w:pPr>
            <w:r>
              <w:rPr>
                <w:rFonts w:ascii="宋体"/>
                <w:w w:val="99"/>
                <w:sz w:val="20"/>
              </w:rPr>
              <w:t>5</w:t>
            </w:r>
            <w:r>
              <w:rPr>
                <w:rFonts w:ascii="宋体"/>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sz w:val="20"/>
              </w:rPr>
              <w:t>2.375</w:t>
            </w:r>
          </w:p>
        </w:tc>
      </w:tr>
      <w:tr>
        <w:trPr>
          <w:trHeight w:val="504" w:hRule="exact"/>
        </w:trPr>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left"/>
              <w:rPr>
                <w:rFonts w:ascii="宋体" w:hAnsi="宋体" w:cs="宋体" w:eastAsia="宋体" w:hint="default"/>
                <w:sz w:val="20"/>
                <w:szCs w:val="20"/>
              </w:rPr>
            </w:pPr>
            <w:r>
              <w:rPr>
                <w:rFonts w:ascii="宋体" w:hAnsi="宋体" w:cs="宋体" w:eastAsia="宋体" w:hint="default"/>
                <w:sz w:val="20"/>
                <w:szCs w:val="20"/>
              </w:rPr>
              <w:t>平均年限法</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w:t>
            </w:r>
            <w:r>
              <w:rPr>
                <w:rFonts w:ascii="宋体" w:hAnsi="宋体" w:cs="宋体" w:eastAsia="宋体" w:hint="default"/>
                <w:sz w:val="20"/>
                <w:szCs w:val="20"/>
              </w:rPr>
              <w:t>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left"/>
              <w:rPr>
                <w:rFonts w:ascii="宋体" w:hAnsi="宋体" w:cs="宋体" w:eastAsia="宋体" w:hint="default"/>
                <w:sz w:val="20"/>
                <w:szCs w:val="20"/>
              </w:rPr>
            </w:pPr>
            <w:r>
              <w:rPr>
                <w:rFonts w:ascii="宋体"/>
                <w:w w:val="99"/>
                <w:sz w:val="20"/>
              </w:rPr>
              <w:t>5</w:t>
            </w:r>
            <w:r>
              <w:rPr>
                <w:rFonts w:ascii="宋体"/>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9.50</w:t>
            </w:r>
            <w:r>
              <w:rPr>
                <w:rFonts w:ascii="宋体" w:hAnsi="宋体" w:cs="宋体" w:eastAsia="宋体" w:hint="default"/>
                <w:sz w:val="20"/>
                <w:szCs w:val="20"/>
              </w:rPr>
              <w:t>、</w:t>
            </w:r>
            <w:r>
              <w:rPr>
                <w:rFonts w:ascii="宋体" w:hAnsi="宋体" w:cs="宋体" w:eastAsia="宋体" w:hint="default"/>
                <w:sz w:val="20"/>
                <w:szCs w:val="20"/>
              </w:rPr>
              <w:t>19.00</w:t>
            </w:r>
          </w:p>
        </w:tc>
      </w:tr>
      <w:tr>
        <w:trPr>
          <w:trHeight w:val="502" w:hRule="exact"/>
        </w:trPr>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20"/>
                <w:szCs w:val="20"/>
              </w:rPr>
            </w:pPr>
            <w:r>
              <w:rPr>
                <w:rFonts w:ascii="宋体" w:hAnsi="宋体" w:cs="宋体" w:eastAsia="宋体" w:hint="default"/>
                <w:sz w:val="20"/>
                <w:szCs w:val="20"/>
              </w:rPr>
              <w:t>平均年限法</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w w:val="99"/>
                <w:sz w:val="20"/>
              </w:rPr>
              <w:t>8</w:t>
            </w:r>
            <w:r>
              <w:rPr>
                <w:rFonts w:ascii="宋体"/>
                <w:sz w:val="20"/>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 w:right="0"/>
              <w:jc w:val="left"/>
              <w:rPr>
                <w:rFonts w:ascii="宋体" w:hAnsi="宋体" w:cs="宋体" w:eastAsia="宋体" w:hint="default"/>
                <w:sz w:val="20"/>
                <w:szCs w:val="20"/>
              </w:rPr>
            </w:pPr>
            <w:r>
              <w:rPr>
                <w:rFonts w:ascii="宋体"/>
                <w:w w:val="99"/>
                <w:sz w:val="20"/>
              </w:rPr>
              <w:t>5</w:t>
            </w:r>
            <w:r>
              <w:rPr>
                <w:rFonts w:ascii="宋体"/>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sz w:val="20"/>
              </w:rPr>
              <w:t>11.88</w:t>
            </w:r>
          </w:p>
        </w:tc>
      </w:tr>
      <w:tr>
        <w:trPr>
          <w:trHeight w:val="504" w:hRule="exact"/>
        </w:trPr>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left"/>
              <w:rPr>
                <w:rFonts w:ascii="宋体" w:hAnsi="宋体" w:cs="宋体" w:eastAsia="宋体" w:hint="default"/>
                <w:sz w:val="20"/>
                <w:szCs w:val="20"/>
              </w:rPr>
            </w:pPr>
            <w:r>
              <w:rPr>
                <w:rFonts w:ascii="宋体" w:hAnsi="宋体" w:cs="宋体" w:eastAsia="宋体" w:hint="default"/>
                <w:sz w:val="20"/>
                <w:szCs w:val="20"/>
              </w:rPr>
              <w:t>平均年限法</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left"/>
              <w:rPr>
                <w:rFonts w:ascii="宋体" w:hAnsi="宋体" w:cs="宋体" w:eastAsia="宋体" w:hint="default"/>
                <w:sz w:val="20"/>
                <w:szCs w:val="20"/>
              </w:rPr>
            </w:pPr>
            <w:r>
              <w:rPr>
                <w:rFonts w:ascii="宋体"/>
                <w:w w:val="99"/>
                <w:sz w:val="20"/>
              </w:rPr>
              <w:t>5</w:t>
            </w:r>
            <w:r>
              <w:rPr>
                <w:rFonts w:ascii="宋体"/>
                <w:sz w:val="20"/>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19.00</w:t>
            </w:r>
            <w:r>
              <w:rPr>
                <w:rFonts w:ascii="宋体" w:hAnsi="宋体" w:cs="宋体" w:eastAsia="宋体" w:hint="default"/>
                <w:sz w:val="20"/>
                <w:szCs w:val="20"/>
              </w:rPr>
              <w:t>、</w:t>
            </w:r>
            <w:r>
              <w:rPr>
                <w:rFonts w:ascii="宋体" w:hAnsi="宋体" w:cs="宋体" w:eastAsia="宋体" w:hint="default"/>
                <w:sz w:val="20"/>
                <w:szCs w:val="20"/>
              </w:rPr>
              <w:t>31.67</w:t>
            </w:r>
          </w:p>
        </w:tc>
      </w:tr>
    </w:tbl>
    <w:p>
      <w:pPr>
        <w:pStyle w:val="BodyText"/>
        <w:spacing w:line="408" w:lineRule="auto" w:before="64"/>
        <w:ind w:right="206" w:firstLine="480"/>
        <w:jc w:val="both"/>
      </w:pPr>
      <w:r>
        <w:rPr>
          <w:spacing w:val="-4"/>
          <w:w w:val="100"/>
        </w:rPr>
        <w:t>预计净残值是指假定固定资产预计使用寿命已满并处于使用寿命终了时的预期状态，本公司目前从该</w:t>
      </w:r>
      <w:r>
        <w:rPr>
          <w:w w:val="100"/>
        </w:rPr>
        <w:t> </w:t>
      </w:r>
      <w:r>
        <w:rPr/>
        <w:t>项资产处置中获得的扣除预计处置费用后的金额。</w:t>
      </w:r>
    </w:p>
    <w:p>
      <w:pPr>
        <w:pStyle w:val="BodyText"/>
        <w:spacing w:line="408" w:lineRule="auto"/>
        <w:ind w:left="633" w:right="92"/>
        <w:jc w:val="left"/>
      </w:pPr>
      <w:r>
        <w:rPr>
          <w:rFonts w:ascii="宋体" w:hAnsi="宋体" w:cs="宋体" w:eastAsia="宋体" w:hint="default"/>
        </w:rPr>
        <w:t>3</w:t>
      </w:r>
      <w:r>
        <w:rPr/>
        <w:t>）固定资产的减值测试方法及减值准备计提方法</w:t>
      </w:r>
      <w:r>
        <w:rPr>
          <w:w w:val="100"/>
        </w:rPr>
        <w:t> </w:t>
      </w:r>
      <w:r>
        <w:rPr>
          <w:spacing w:val="-2"/>
        </w:rPr>
        <w:t>对于固定资产、在建工程、使用寿命有限的无形资产、以成本模式计量的投资性房地产及对子公司、</w:t>
      </w:r>
    </w:p>
    <w:p>
      <w:pPr>
        <w:pStyle w:val="BodyText"/>
        <w:spacing w:line="408" w:lineRule="auto"/>
        <w:ind w:right="92"/>
        <w:jc w:val="left"/>
      </w:pPr>
      <w:r>
        <w:rPr>
          <w:spacing w:val="-5"/>
        </w:rPr>
        <w:t>合营企业、联营企业的长期股权投资等非流动非金融资产，本公司于资产负债表日判断是否存在减值迹象。 </w:t>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408" w:lineRule="auto"/>
        <w:ind w:right="206" w:firstLine="480"/>
        <w:jc w:val="both"/>
      </w:pPr>
      <w:r>
        <w:rPr>
          <w:spacing w:val="-4"/>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65"/>
        <w:jc w:val="both"/>
      </w:pP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pStyle w:val="BodyText"/>
        <w:spacing w:line="408" w:lineRule="auto"/>
        <w:ind w:left="633" w:right="0"/>
        <w:jc w:val="left"/>
      </w:pPr>
      <w:r>
        <w:rPr/>
        <w:t>上述资产减值损失一经确认，以后期间不予转回价值得以恢复的部分。</w:t>
      </w:r>
      <w:r>
        <w:rPr>
          <w:w w:val="100"/>
        </w:rPr>
        <w:t> </w:t>
      </w:r>
      <w:r>
        <w:rPr>
          <w:rFonts w:ascii="宋体" w:hAnsi="宋体" w:cs="宋体" w:eastAsia="宋体" w:hint="default"/>
        </w:rPr>
        <w:t>4</w:t>
      </w:r>
      <w:r>
        <w:rPr/>
        <w:t>）融资租入固定资产的认定依据及计价方法</w:t>
      </w:r>
      <w:r>
        <w:rPr>
          <w:w w:val="100"/>
        </w:rPr>
        <w:t> </w:t>
      </w:r>
      <w:r>
        <w:rPr>
          <w:spacing w:val="-4"/>
        </w:rPr>
        <w:t>融资租赁为实质上转移了与资产所有权有关的全部风险和报酬的租赁，其所有权最终可能转移，也可</w:t>
      </w:r>
    </w:p>
    <w:p>
      <w:pPr>
        <w:pStyle w:val="BodyText"/>
        <w:spacing w:line="408" w:lineRule="auto"/>
        <w:ind w:right="186"/>
        <w:jc w:val="both"/>
      </w:pPr>
      <w:r>
        <w:rPr>
          <w:spacing w:val="-2"/>
        </w:rPr>
        <w:t>能不转移。以融资租赁方式租入的固定资产采用与自有固定资产一致的政策计提租赁资产折旧。能够合理</w:t>
      </w:r>
      <w:r>
        <w:rPr>
          <w:spacing w:val="-42"/>
        </w:rPr>
        <w:t> </w:t>
      </w:r>
      <w:r>
        <w:rPr>
          <w:spacing w:val="-42"/>
        </w:rPr>
      </w:r>
      <w:r>
        <w:rPr>
          <w:spacing w:val="-2"/>
        </w:rPr>
        <w:t>确定租赁期届满时取得租赁资产所有权的在租赁资产使用寿命内计提折旧，无法合理确定租赁期届满能够</w:t>
      </w:r>
      <w:r>
        <w:rPr>
          <w:spacing w:val="-43"/>
        </w:rPr>
        <w:t> </w:t>
      </w:r>
      <w:r>
        <w:rPr>
          <w:spacing w:val="-43"/>
        </w:rPr>
      </w:r>
      <w:r>
        <w:rPr/>
        <w:t>取得租赁资产所有权的，在租赁期与租赁资产使用寿命两者中较短的期间内计提折旧。</w:t>
      </w:r>
    </w:p>
    <w:p>
      <w:pPr>
        <w:pStyle w:val="BodyText"/>
        <w:spacing w:line="408" w:lineRule="auto"/>
        <w:ind w:left="633" w:right="0"/>
        <w:jc w:val="left"/>
      </w:pPr>
      <w:r>
        <w:rPr>
          <w:rFonts w:ascii="宋体" w:hAnsi="宋体" w:cs="宋体" w:eastAsia="宋体" w:hint="default"/>
        </w:rPr>
        <w:t>5</w:t>
      </w:r>
      <w:r>
        <w:rPr/>
        <w:t>）其他说明</w:t>
      </w:r>
      <w:r>
        <w:rPr>
          <w:w w:val="100"/>
        </w:rPr>
        <w:t> </w:t>
      </w:r>
      <w:r>
        <w:rPr>
          <w:spacing w:val="-2"/>
        </w:rPr>
        <w:t>与固定资产有关的后续支出，如果与该固定资产有关的经济利益很可能流入且其成本能可靠地计量，</w:t>
      </w:r>
    </w:p>
    <w:p>
      <w:pPr>
        <w:pStyle w:val="BodyText"/>
        <w:spacing w:line="408" w:lineRule="auto"/>
        <w:ind w:right="186"/>
        <w:jc w:val="both"/>
      </w:pPr>
      <w:r>
        <w:rPr>
          <w:spacing w:val="-2"/>
        </w:rPr>
        <w:t>则计入固定资产成本，并终止确认被替换部分的账面价值。除此以外的其他后续支出，在发生时计入当期</w:t>
      </w:r>
      <w:r>
        <w:rPr>
          <w:spacing w:val="-44"/>
        </w:rPr>
        <w:t> </w:t>
      </w:r>
      <w:r>
        <w:rPr>
          <w:spacing w:val="-44"/>
        </w:rPr>
      </w:r>
      <w:r>
        <w:rPr/>
        <w:t>损益。</w:t>
      </w:r>
    </w:p>
    <w:p>
      <w:pPr>
        <w:pStyle w:val="BodyText"/>
        <w:spacing w:line="408" w:lineRule="auto"/>
        <w:ind w:right="188" w:firstLine="480"/>
        <w:jc w:val="both"/>
      </w:pPr>
      <w:r>
        <w:rPr>
          <w:spacing w:val="-4"/>
        </w:rPr>
        <w:t>当固定资产处于处置状态或预期通过使用或处置不能产生经济利益时，终止确认该固定资产。固定资</w:t>
      </w:r>
      <w:r>
        <w:rPr>
          <w:w w:val="100"/>
        </w:rPr>
        <w:t> </w:t>
      </w:r>
      <w:r>
        <w:rPr/>
        <w:t>产出售、转让、报废或毁损的处置收入扣除其账面价值和相关税费后的差额计入当期损益。</w:t>
      </w:r>
    </w:p>
    <w:p>
      <w:pPr>
        <w:pStyle w:val="BodyText"/>
        <w:spacing w:line="408" w:lineRule="auto"/>
        <w:ind w:right="188" w:firstLine="480"/>
        <w:jc w:val="both"/>
      </w:pPr>
      <w:r>
        <w:rPr>
          <w:spacing w:val="-4"/>
        </w:rPr>
        <w:t>本公司至少于年度终了对固定资产的使用寿命、预计净残值和折旧方法进行复核，如发生改变则作为</w:t>
      </w:r>
      <w:r>
        <w:rPr>
          <w:w w:val="100"/>
        </w:rPr>
        <w:t> </w:t>
      </w:r>
      <w:r>
        <w:rPr/>
        <w:t>会计估计变更处理。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575" w:right="0"/>
        <w:jc w:val="left"/>
      </w:pPr>
      <w:r>
        <w:rPr>
          <w:rFonts w:ascii="宋体" w:hAnsi="宋体" w:cs="宋体" w:eastAsia="宋体" w:hint="default"/>
        </w:rPr>
        <w:t>4</w:t>
      </w:r>
      <w:r>
        <w:rPr/>
        <w:t>、无形资产摊销</w:t>
      </w:r>
    </w:p>
    <w:p>
      <w:pPr>
        <w:spacing w:line="240" w:lineRule="auto" w:before="11"/>
        <w:rPr>
          <w:rFonts w:ascii="宋体" w:hAnsi="宋体" w:cs="宋体" w:eastAsia="宋体" w:hint="default"/>
          <w:sz w:val="14"/>
          <w:szCs w:val="14"/>
        </w:rPr>
      </w:pPr>
    </w:p>
    <w:p>
      <w:pPr>
        <w:pStyle w:val="BodyText"/>
        <w:spacing w:line="408" w:lineRule="auto" w:before="0"/>
        <w:ind w:left="633" w:right="4084" w:hanging="164"/>
        <w:jc w:val="left"/>
      </w:pPr>
      <w:r>
        <w:rPr/>
        <w:t>（</w:t>
      </w:r>
      <w:r>
        <w:rPr>
          <w:rFonts w:ascii="宋体" w:hAnsi="宋体" w:cs="宋体" w:eastAsia="宋体" w:hint="default"/>
        </w:rPr>
        <w:t>1</w:t>
      </w:r>
      <w:r>
        <w:rPr/>
        <w:t>）、变更前的会计估计</w:t>
      </w:r>
      <w:r>
        <w:rPr>
          <w:w w:val="100"/>
        </w:rPr>
        <w:t> </w:t>
      </w:r>
      <w:r>
        <w:rPr>
          <w:rFonts w:ascii="宋体" w:hAnsi="宋体" w:cs="宋体" w:eastAsia="宋体" w:hint="default"/>
          <w:spacing w:val="-2"/>
        </w:rPr>
        <w:t>1</w:t>
      </w:r>
      <w:r>
        <w:rPr>
          <w:spacing w:val="-2"/>
        </w:rPr>
        <w:t>）计价方法、使用寿命、减值测试</w:t>
      </w:r>
    </w:p>
    <w:p>
      <w:pPr>
        <w:pStyle w:val="BodyText"/>
        <w:spacing w:line="408" w:lineRule="auto"/>
        <w:ind w:right="188" w:firstLine="480"/>
        <w:jc w:val="both"/>
      </w:pPr>
      <w:r>
        <w:rPr>
          <w:spacing w:val="-4"/>
        </w:rPr>
        <w:t>无形资产按成本进行初始计量。与无形资产有关的支出，如果相关的经济利益很可能流入本公司且其</w:t>
      </w:r>
      <w:r>
        <w:rPr>
          <w:w w:val="100"/>
        </w:rPr>
        <w:t> </w:t>
      </w:r>
      <w:r>
        <w:rPr/>
        <w:t>成本能可靠地计量，则计入无形资产成本。除此以外的其他项目的支出，在发生时计入当期损益。</w:t>
      </w:r>
    </w:p>
    <w:p>
      <w:pPr>
        <w:pStyle w:val="BodyText"/>
        <w:spacing w:line="408" w:lineRule="auto"/>
        <w:ind w:right="186" w:firstLine="480"/>
        <w:jc w:val="both"/>
      </w:pPr>
      <w:r>
        <w:rPr>
          <w:spacing w:val="-4"/>
        </w:rPr>
        <w:t>取得的土地使用权通常作为无形资产核算。自行开发建造厂房等建筑物，相关的土地使用权支出和建</w:t>
      </w:r>
      <w:r>
        <w:rPr>
          <w:w w:val="100"/>
        </w:rPr>
        <w:t> </w:t>
      </w:r>
      <w:r>
        <w:rPr>
          <w:spacing w:val="-2"/>
        </w:rPr>
        <w:t>筑物建造成本则分别作为无形资产和固定资产核算。如为外购的房屋及建筑物，则将有关价款在土地使用</w:t>
      </w:r>
      <w:r>
        <w:rPr>
          <w:spacing w:val="-44"/>
        </w:rPr>
        <w:t> </w:t>
      </w:r>
      <w:r>
        <w:rPr>
          <w:spacing w:val="-44"/>
        </w:rPr>
      </w:r>
      <w:r>
        <w:rPr/>
        <w:t>权和建筑物之间进行分配，难以合理分配的，全部作为固定资产处理。</w:t>
      </w:r>
    </w:p>
    <w:p>
      <w:pPr>
        <w:pStyle w:val="BodyText"/>
        <w:spacing w:line="408" w:lineRule="auto"/>
        <w:ind w:right="186" w:firstLine="480"/>
        <w:jc w:val="both"/>
      </w:pPr>
      <w:r>
        <w:rPr>
          <w:spacing w:val="-4"/>
          <w:w w:val="100"/>
        </w:rPr>
        <w:t>使用寿命有限的无形资产自可供使用时起，对其原值减去预计净残值和已计提的减值准备累计金额在</w:t>
      </w:r>
      <w:r>
        <w:rPr>
          <w:w w:val="100"/>
        </w:rPr>
        <w:t> </w:t>
      </w:r>
      <w:r>
        <w:rPr/>
        <w:t>其预计使用寿命内采用直线法分期平均摊销。使用寿命不确定的无形资产不予摊销。</w:t>
      </w:r>
    </w:p>
    <w:p>
      <w:pPr>
        <w:spacing w:after="0" w:line="408"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408" w:lineRule="auto" w:before="176"/>
        <w:ind w:right="187" w:firstLine="480"/>
        <w:jc w:val="both"/>
      </w:pPr>
      <w:r>
        <w:rPr>
          <w:spacing w:val="-4"/>
        </w:rPr>
        <w:t>期末，对使用寿命有限的无形资产的使用寿命和摊销方法进行复核，如发生变更则作为会计估计变更</w:t>
      </w:r>
      <w:r>
        <w:rPr>
          <w:w w:val="100"/>
        </w:rPr>
        <w:t> </w:t>
      </w:r>
      <w:r>
        <w:rPr>
          <w:spacing w:val="-2"/>
        </w:rPr>
        <w:t>处理。此外，还对使用寿命不确定的无形资产的使用寿命进行复核，如果有证据表明该无形资产为企业带</w:t>
      </w:r>
      <w:r>
        <w:rPr>
          <w:spacing w:val="-44"/>
        </w:rPr>
        <w:t> </w:t>
      </w:r>
      <w:r>
        <w:rPr>
          <w:spacing w:val="-44"/>
        </w:rPr>
      </w:r>
      <w:r>
        <w:rPr>
          <w:spacing w:val="-2"/>
        </w:rPr>
        <w:t>来经济利益的期限是可预见的，则估计其使用寿命并按照使用寿命有限的无形资产的摊销政策进行摊销。</w:t>
      </w:r>
    </w:p>
    <w:p>
      <w:pPr>
        <w:pStyle w:val="BodyText"/>
        <w:spacing w:line="240" w:lineRule="auto"/>
        <w:ind w:left="633" w:right="92"/>
        <w:jc w:val="left"/>
      </w:pPr>
      <w:r>
        <w:rPr/>
        <w:t>具体如下：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261"/>
        <w:gridCol w:w="4263"/>
      </w:tblGrid>
      <w:tr>
        <w:trPr>
          <w:trHeight w:val="504"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使用寿命</w:t>
            </w:r>
          </w:p>
        </w:tc>
      </w:tr>
      <w:tr>
        <w:trPr>
          <w:trHeight w:val="502"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土地使用权（注</w:t>
            </w:r>
            <w:r>
              <w:rPr>
                <w:rFonts w:ascii="宋体" w:hAnsi="宋体" w:cs="宋体" w:eastAsia="宋体" w:hint="default"/>
                <w:sz w:val="20"/>
                <w:szCs w:val="20"/>
              </w:rPr>
              <w:t>1</w:t>
            </w:r>
            <w:r>
              <w:rPr>
                <w:rFonts w:ascii="宋体" w:hAnsi="宋体" w:cs="宋体" w:eastAsia="宋体" w:hint="default"/>
                <w:sz w:val="20"/>
                <w:szCs w:val="20"/>
              </w:rPr>
              <w:t>）</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48</w:t>
            </w:r>
            <w:r>
              <w:rPr>
                <w:rFonts w:ascii="宋体" w:hAnsi="宋体" w:cs="宋体" w:eastAsia="宋体" w:hint="default"/>
                <w:sz w:val="20"/>
                <w:szCs w:val="20"/>
              </w:rPr>
              <w:t>年</w:t>
            </w:r>
          </w:p>
        </w:tc>
      </w:tr>
      <w:tr>
        <w:trPr>
          <w:trHeight w:val="504"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土地使用权（注</w:t>
            </w:r>
            <w:r>
              <w:rPr>
                <w:rFonts w:ascii="宋体" w:hAnsi="宋体" w:cs="宋体" w:eastAsia="宋体" w:hint="default"/>
                <w:sz w:val="20"/>
                <w:szCs w:val="20"/>
              </w:rPr>
              <w:t>2</w:t>
            </w:r>
            <w:r>
              <w:rPr>
                <w:rFonts w:ascii="宋体" w:hAnsi="宋体" w:cs="宋体" w:eastAsia="宋体" w:hint="default"/>
                <w:sz w:val="20"/>
                <w:szCs w:val="20"/>
              </w:rPr>
              <w:t>）</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50</w:t>
            </w:r>
            <w:r>
              <w:rPr>
                <w:rFonts w:ascii="宋体" w:hAnsi="宋体" w:cs="宋体" w:eastAsia="宋体" w:hint="default"/>
                <w:sz w:val="20"/>
                <w:szCs w:val="20"/>
              </w:rPr>
              <w:t>年</w:t>
            </w:r>
          </w:p>
        </w:tc>
      </w:tr>
      <w:tr>
        <w:trPr>
          <w:trHeight w:val="504"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r>
    </w:tbl>
    <w:p>
      <w:pPr>
        <w:pStyle w:val="BodyText"/>
        <w:spacing w:line="408" w:lineRule="auto" w:before="64"/>
        <w:ind w:right="4491" w:hanging="109"/>
        <w:jc w:val="center"/>
      </w:pPr>
      <w:r>
        <w:rPr/>
        <w:t>注</w:t>
      </w:r>
      <w:r>
        <w:rPr>
          <w:rFonts w:ascii="宋体" w:hAnsi="宋体" w:cs="宋体" w:eastAsia="宋体" w:hint="default"/>
        </w:rPr>
        <w:t>1</w:t>
      </w:r>
      <w:r>
        <w:rPr/>
        <w:t>：位于江苏省南通市崇川区城山路</w:t>
      </w:r>
      <w:r>
        <w:rPr>
          <w:rFonts w:ascii="宋体" w:hAnsi="宋体" w:cs="宋体" w:eastAsia="宋体" w:hint="default"/>
        </w:rPr>
        <w:t>111</w:t>
      </w:r>
      <w:r>
        <w:rPr/>
        <w:t>号土地使用权。</w:t>
      </w:r>
      <w:r>
        <w:rPr>
          <w:w w:val="100"/>
        </w:rPr>
        <w:t> </w:t>
      </w:r>
      <w:r>
        <w:rPr>
          <w:spacing w:val="-2"/>
        </w:rPr>
        <w:t>注</w:t>
      </w:r>
      <w:r>
        <w:rPr>
          <w:rFonts w:ascii="宋体" w:hAnsi="宋体" w:cs="宋体" w:eastAsia="宋体" w:hint="default"/>
          <w:spacing w:val="-2"/>
        </w:rPr>
        <w:t>2</w:t>
      </w:r>
      <w:r>
        <w:rPr>
          <w:spacing w:val="-2"/>
        </w:rPr>
        <w:t>：子公司江苏三友集团南通色织有限公司土地使用权。</w:t>
      </w:r>
      <w:r>
        <w:rPr>
          <w:w w:val="100"/>
        </w:rPr>
        <w:t> </w:t>
      </w:r>
      <w:r>
        <w:rPr/>
        <w:t>无形资产的减值测试方法和减值准备计提方法：</w:t>
      </w:r>
    </w:p>
    <w:p>
      <w:pPr>
        <w:pStyle w:val="BodyText"/>
        <w:spacing w:line="408" w:lineRule="auto"/>
        <w:ind w:right="92" w:firstLine="480"/>
        <w:jc w:val="left"/>
      </w:pPr>
      <w:r>
        <w:rPr>
          <w:spacing w:val="-2"/>
        </w:rPr>
        <w:t>对于固定资产、在建工程、使用寿命有限的无形资产、以成本模式计量的投资性房地产及对子公司、</w:t>
      </w:r>
      <w:r>
        <w:rPr>
          <w:w w:val="100"/>
        </w:rPr>
        <w:t> </w:t>
      </w:r>
      <w:r>
        <w:rPr>
          <w:spacing w:val="-5"/>
        </w:rPr>
        <w:t>合营企业、联营企业的长期股权投资等非流动非金融资产，本公司于资产负债表日判断是否存在减值迹象。 </w:t>
      </w:r>
      <w:r>
        <w:rPr>
          <w:spacing w:val="-5"/>
        </w:rPr>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408" w:lineRule="auto"/>
        <w:ind w:right="185" w:firstLine="480"/>
        <w:jc w:val="both"/>
      </w:pPr>
      <w:r>
        <w:rPr>
          <w:spacing w:val="-4"/>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2"/>
        </w:rPr>
        <w:t> </w:t>
      </w:r>
      <w:r>
        <w:rPr>
          <w:spacing w:val="-42"/>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pStyle w:val="BodyText"/>
        <w:spacing w:line="408" w:lineRule="auto"/>
        <w:ind w:left="633" w:right="1583"/>
        <w:jc w:val="left"/>
      </w:pPr>
      <w:r>
        <w:rPr>
          <w:spacing w:val="-2"/>
        </w:rPr>
        <w:t>上述资产减值损失一经确认，以后期间不予转回价值得以恢复的部分。</w:t>
      </w:r>
      <w:r>
        <w:rPr>
          <w:spacing w:val="-45"/>
        </w:rPr>
        <w:t> </w:t>
      </w:r>
      <w:r>
        <w:rPr>
          <w:spacing w:val="-45"/>
        </w:rPr>
      </w:r>
      <w:r>
        <w:rPr>
          <w:rFonts w:ascii="宋体" w:hAnsi="宋体" w:cs="宋体" w:eastAsia="宋体" w:hint="default"/>
        </w:rPr>
        <w:t>2</w:t>
      </w:r>
      <w:r>
        <w:rPr/>
        <w:t>）内部研究开发支出会计政策</w:t>
      </w:r>
      <w:r>
        <w:rPr>
          <w:w w:val="100"/>
        </w:rPr>
        <w:t> </w:t>
      </w:r>
      <w:r>
        <w:rPr/>
        <w:t>本公司内部研究开发项目的支出分为研究阶段支出与开发阶段支出。</w:t>
      </w:r>
      <w:r>
        <w:rPr>
          <w:w w:val="100"/>
        </w:rPr>
        <w:t> </w:t>
      </w:r>
      <w:r>
        <w:rPr/>
        <w:t>研究阶段的支出，于发生时计入当期损益。</w:t>
      </w:r>
    </w:p>
    <w:p>
      <w:pPr>
        <w:pStyle w:val="BodyText"/>
        <w:spacing w:line="240" w:lineRule="auto"/>
        <w:ind w:left="633" w:right="92"/>
        <w:jc w:val="left"/>
      </w:pPr>
      <w:r>
        <w:rPr>
          <w:spacing w:val="-4"/>
        </w:rPr>
        <w:t>开发阶段的支出同时满足下列条件的，确认为无形资产，不能满足下述条件的开发阶段的支出计入当</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期损益：</w:t>
      </w:r>
    </w:p>
    <w:p>
      <w:pPr>
        <w:spacing w:line="240" w:lineRule="auto" w:before="10"/>
        <w:rPr>
          <w:rFonts w:ascii="宋体" w:hAnsi="宋体" w:cs="宋体" w:eastAsia="宋体" w:hint="default"/>
          <w:sz w:val="14"/>
          <w:szCs w:val="14"/>
        </w:rPr>
      </w:pPr>
    </w:p>
    <w:p>
      <w:pPr>
        <w:pStyle w:val="BodyText"/>
        <w:spacing w:line="240" w:lineRule="auto" w:before="0"/>
        <w:ind w:left="633" w:right="0"/>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633" w:right="0"/>
        <w:jc w:val="left"/>
      </w:pPr>
      <w:r>
        <w:rPr/>
        <w:t>②具有完成该无形资产并使用或出售的意图；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0" w:firstLine="480"/>
        <w:jc w:val="left"/>
      </w:pPr>
      <w:r>
        <w:rPr>
          <w:spacing w:val="-4"/>
          <w:w w:val="100"/>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408" w:lineRule="auto"/>
        <w:ind w:right="0" w:firstLine="480"/>
        <w:jc w:val="left"/>
      </w:pPr>
      <w:r>
        <w:rPr>
          <w:spacing w:val="-4"/>
        </w:rPr>
        <w:t>④有足够的技术、财务资源和其他资源支持，以完成该无形资产的开发，并有能力使用或出售该无形</w:t>
      </w:r>
      <w:r>
        <w:rPr>
          <w:w w:val="100"/>
        </w:rPr>
        <w:t> </w:t>
      </w:r>
      <w:r>
        <w:rPr/>
        <w:t>资产；</w:t>
      </w:r>
    </w:p>
    <w:p>
      <w:pPr>
        <w:pStyle w:val="BodyText"/>
        <w:spacing w:line="408" w:lineRule="auto"/>
        <w:ind w:left="633" w:right="0"/>
        <w:jc w:val="left"/>
      </w:pPr>
      <w:r>
        <w:rPr/>
        <w:t>⑤归属于该无形资产开发阶段的支出能够可靠地计量。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633" w:right="6835" w:hanging="58"/>
        <w:jc w:val="left"/>
      </w:pPr>
      <w:r>
        <w:rPr>
          <w:spacing w:val="-2"/>
        </w:rPr>
        <w:t>（</w:t>
      </w:r>
      <w:r>
        <w:rPr>
          <w:rFonts w:ascii="宋体" w:hAnsi="宋体" w:cs="宋体" w:eastAsia="宋体" w:hint="default"/>
          <w:spacing w:val="-2"/>
        </w:rPr>
        <w:t>2</w:t>
      </w:r>
      <w:r>
        <w:rPr>
          <w:spacing w:val="-2"/>
        </w:rPr>
        <w:t>）、变更后的会计估计</w:t>
      </w:r>
      <w:r>
        <w:rPr>
          <w:spacing w:val="-86"/>
        </w:rPr>
        <w:t> </w:t>
      </w:r>
      <w:r>
        <w:rPr>
          <w:spacing w:val="-86"/>
        </w:rPr>
      </w:r>
      <w:r>
        <w:rPr>
          <w:rFonts w:ascii="宋体" w:hAnsi="宋体" w:cs="宋体" w:eastAsia="宋体" w:hint="default"/>
        </w:rPr>
        <w:t>1</w:t>
      </w:r>
      <w:r>
        <w:rPr/>
        <w:t>）无形资产</w:t>
      </w:r>
    </w:p>
    <w:p>
      <w:pPr>
        <w:pStyle w:val="BodyText"/>
        <w:spacing w:line="408" w:lineRule="auto"/>
        <w:ind w:left="633" w:right="0"/>
        <w:jc w:val="left"/>
      </w:pPr>
      <w:r>
        <w:rPr/>
        <w:t>无形资产是指本公司拥有或者控制的没有实物形态的可辨认非货币性资产。</w:t>
      </w:r>
      <w:r>
        <w:rPr>
          <w:w w:val="100"/>
        </w:rPr>
        <w:t> </w:t>
      </w:r>
      <w:r>
        <w:rPr>
          <w:spacing w:val="-4"/>
        </w:rPr>
        <w:t>无形资产按成本进行初始计量。与无形资产有关的支出，如果相关的经济利益很可能流入本公司且其</w:t>
      </w:r>
    </w:p>
    <w:p>
      <w:pPr>
        <w:pStyle w:val="BodyText"/>
        <w:spacing w:line="408" w:lineRule="auto"/>
        <w:ind w:left="633" w:right="0" w:hanging="481"/>
        <w:jc w:val="left"/>
      </w:pPr>
      <w:r>
        <w:rPr/>
        <w:t>成本能可靠地计量，则计入无形资产成本。除此以外的其他项目的支出，在发生时计入当期损益。</w:t>
      </w:r>
      <w:r>
        <w:rPr>
          <w:w w:val="100"/>
        </w:rPr>
        <w:t> </w:t>
      </w:r>
      <w:r>
        <w:rPr>
          <w:spacing w:val="-4"/>
        </w:rPr>
        <w:t>取得的土地使用权通常作为无形资产核算。自行开发建造厂房等建筑物，相关的土地使用权支出和建</w:t>
      </w:r>
    </w:p>
    <w:p>
      <w:pPr>
        <w:pStyle w:val="BodyText"/>
        <w:spacing w:line="408" w:lineRule="auto"/>
        <w:ind w:right="0"/>
        <w:jc w:val="left"/>
      </w:pPr>
      <w:r>
        <w:rPr>
          <w:spacing w:val="-2"/>
        </w:rPr>
        <w:t>筑物建造成本则分别作为无形资产和固定资产核算。如为外购的房屋及建筑物，则将有关价款在土地使用</w:t>
      </w:r>
      <w:r>
        <w:rPr>
          <w:spacing w:val="-44"/>
        </w:rPr>
        <w:t> </w:t>
      </w:r>
      <w:r>
        <w:rPr>
          <w:spacing w:val="-44"/>
        </w:rPr>
      </w:r>
      <w:r>
        <w:rPr/>
        <w:t>权和建筑物之间进行分配，难以合理分配的，全部作为固定资产处理。</w:t>
      </w:r>
    </w:p>
    <w:p>
      <w:pPr>
        <w:pStyle w:val="BodyText"/>
        <w:spacing w:line="408" w:lineRule="auto"/>
        <w:ind w:right="0" w:firstLine="480"/>
        <w:jc w:val="left"/>
      </w:pPr>
      <w:r>
        <w:rPr>
          <w:spacing w:val="-4"/>
          <w:w w:val="100"/>
        </w:rPr>
        <w:t>使用寿命有限的无形资产自可供使用时起，对其原值在其预计使用寿命内或</w:t>
      </w:r>
      <w:r>
        <w:rPr>
          <w:rFonts w:ascii="宋体" w:hAnsi="宋体" w:cs="宋体" w:eastAsia="宋体" w:hint="default"/>
          <w:spacing w:val="-4"/>
          <w:w w:val="100"/>
        </w:rPr>
        <w:t>10</w:t>
      </w:r>
      <w:r>
        <w:rPr>
          <w:spacing w:val="-4"/>
          <w:w w:val="100"/>
        </w:rPr>
        <w:t>年孰短年限内用直线法</w:t>
      </w:r>
      <w:r>
        <w:rPr>
          <w:w w:val="100"/>
        </w:rPr>
        <w:t> </w:t>
      </w:r>
      <w:r>
        <w:rPr/>
        <w:t>分期平均摊销。使用寿命不确定的无形资产不予摊销。</w:t>
      </w:r>
    </w:p>
    <w:p>
      <w:pPr>
        <w:pStyle w:val="BodyText"/>
        <w:spacing w:line="410" w:lineRule="auto"/>
        <w:ind w:left="633" w:right="0"/>
        <w:jc w:val="left"/>
      </w:pPr>
      <w:r>
        <w:rPr/>
        <w:t>软件按其预计使用寿命或</w:t>
      </w:r>
      <w:r>
        <w:rPr>
          <w:rFonts w:ascii="宋体" w:hAnsi="宋体" w:cs="宋体" w:eastAsia="宋体" w:hint="default"/>
        </w:rPr>
        <w:t>10</w:t>
      </w:r>
      <w:r>
        <w:rPr/>
        <w:t>年孰短年限内采用直线法分期平均摊销。</w:t>
      </w:r>
      <w:r>
        <w:rPr>
          <w:w w:val="100"/>
        </w:rPr>
        <w:t> </w:t>
      </w:r>
      <w:r>
        <w:rPr>
          <w:spacing w:val="-4"/>
        </w:rPr>
        <w:t>期末，对使用寿命有限的无形资产的使用寿命和摊销方法进行复核，如发生变更则作为会计估计变更</w:t>
      </w:r>
    </w:p>
    <w:p>
      <w:pPr>
        <w:pStyle w:val="BodyText"/>
        <w:spacing w:line="408" w:lineRule="auto" w:before="44"/>
        <w:ind w:right="0"/>
        <w:jc w:val="left"/>
      </w:pPr>
      <w:r>
        <w:rPr>
          <w:spacing w:val="-2"/>
        </w:rPr>
        <w:t>处理。此外，还对使用寿命不确定的无形资产的使用寿命进行复核，如果有证据表明该无形资产为企业带</w:t>
      </w:r>
      <w:r>
        <w:rPr>
          <w:spacing w:val="-44"/>
        </w:rPr>
        <w:t> </w:t>
      </w:r>
      <w:r>
        <w:rPr>
          <w:spacing w:val="-44"/>
        </w:rPr>
      </w:r>
      <w:r>
        <w:rPr>
          <w:spacing w:val="-2"/>
        </w:rPr>
        <w:t>来经济利益的期限是可预见的，则估计其使用寿命并按照使用寿命有限的无形资产的摊销政策进行摊销。</w:t>
      </w:r>
    </w:p>
    <w:p>
      <w:pPr>
        <w:pStyle w:val="BodyText"/>
        <w:spacing w:line="408" w:lineRule="auto"/>
        <w:ind w:left="633" w:right="1587"/>
        <w:jc w:val="left"/>
      </w:pPr>
      <w:r>
        <w:rPr>
          <w:rFonts w:ascii="宋体" w:hAnsi="宋体" w:cs="宋体" w:eastAsia="宋体" w:hint="default"/>
        </w:rPr>
        <w:t>2</w:t>
      </w:r>
      <w:r>
        <w:rPr/>
        <w:t>）研究与开发支出</w:t>
      </w:r>
      <w:r>
        <w:rPr>
          <w:w w:val="100"/>
        </w:rPr>
        <w:t> </w:t>
      </w:r>
      <w:r>
        <w:rPr>
          <w:spacing w:val="-2"/>
        </w:rPr>
        <w:t>本公司内部研究开发项目的支出分为研究阶段支出与开发阶段支出。</w:t>
      </w:r>
      <w:r>
        <w:rPr>
          <w:spacing w:val="-48"/>
        </w:rPr>
        <w:t> </w:t>
      </w:r>
      <w:r>
        <w:rPr>
          <w:spacing w:val="-48"/>
        </w:rPr>
      </w:r>
      <w:r>
        <w:rPr/>
        <w:t>研究阶段的支出，于发生时计入当期损益。</w:t>
      </w:r>
    </w:p>
    <w:p>
      <w:pPr>
        <w:pStyle w:val="BodyText"/>
        <w:spacing w:line="408" w:lineRule="auto"/>
        <w:ind w:right="0" w:firstLine="480"/>
        <w:jc w:val="left"/>
      </w:pPr>
      <w:r>
        <w:rPr>
          <w:spacing w:val="-4"/>
        </w:rPr>
        <w:t>开发阶段的支出同时满足下列条件的，确认为无形资产，不能满足下述条件的开发阶段的支出计入当</w:t>
      </w:r>
      <w:r>
        <w:rPr>
          <w:w w:val="100"/>
        </w:rPr>
        <w:t> </w:t>
      </w:r>
      <w:r>
        <w:rPr/>
        <w:t>期损益：</w:t>
      </w:r>
    </w:p>
    <w:p>
      <w:pPr>
        <w:pStyle w:val="BodyText"/>
        <w:spacing w:line="240" w:lineRule="auto"/>
        <w:ind w:left="633" w:right="0"/>
        <w:jc w:val="left"/>
      </w:pPr>
      <w:r>
        <w:rPr/>
        <w:t>①</w:t>
      </w:r>
      <w:r>
        <w:rPr>
          <w:spacing w:val="-6"/>
        </w:rPr>
        <w:t> </w:t>
      </w:r>
      <w:r>
        <w:rPr/>
        <w:t>完成该无形资产以使其能够使用或出售在技术上具有可行性；</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left="633" w:right="92"/>
        <w:jc w:val="left"/>
      </w:pPr>
      <w:r>
        <w:rPr/>
        <w:t>②</w:t>
      </w:r>
      <w:r>
        <w:rPr>
          <w:spacing w:val="-3"/>
        </w:rPr>
        <w:t> </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226" w:firstLine="480"/>
        <w:jc w:val="left"/>
      </w:pPr>
      <w:r>
        <w:rPr/>
        <w:t>③</w:t>
      </w:r>
      <w:r>
        <w:rPr>
          <w:spacing w:val="-7"/>
        </w:rPr>
        <w:t> </w:t>
      </w:r>
      <w:r>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408" w:lineRule="auto"/>
        <w:ind w:right="226" w:firstLine="480"/>
        <w:jc w:val="left"/>
      </w:pPr>
      <w:r>
        <w:rPr/>
        <w:t>④</w:t>
      </w:r>
      <w:r>
        <w:rPr>
          <w:spacing w:val="-7"/>
        </w:rPr>
        <w:t> </w:t>
      </w:r>
      <w:r>
        <w:rPr/>
        <w:t>有足够的技术、财务资源和其他资源支持，以完成该无形资产的开发，并有能力使用或出售该无</w:t>
      </w:r>
      <w:r>
        <w:rPr>
          <w:w w:val="100"/>
        </w:rPr>
        <w:t> </w:t>
      </w:r>
      <w:r>
        <w:rPr/>
        <w:t>形资产；</w:t>
      </w:r>
    </w:p>
    <w:p>
      <w:pPr>
        <w:pStyle w:val="BodyText"/>
        <w:spacing w:line="408" w:lineRule="auto"/>
        <w:ind w:left="633" w:right="1583"/>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r>
        <w:rPr>
          <w:spacing w:val="-35"/>
        </w:rPr>
        <w:t> </w:t>
      </w:r>
      <w:r>
        <w:rPr>
          <w:spacing w:val="-35"/>
        </w:rPr>
      </w:r>
      <w:r>
        <w:rPr>
          <w:rFonts w:ascii="宋体" w:hAnsi="宋体" w:cs="宋体" w:eastAsia="宋体" w:hint="default"/>
        </w:rPr>
        <w:t>3</w:t>
      </w:r>
      <w:r>
        <w:rPr/>
        <w:t>）无形资产的减值测试方法及减值准备计提方法</w:t>
      </w:r>
      <w:r>
        <w:rPr>
          <w:w w:val="100"/>
        </w:rPr>
        <w:t> </w:t>
      </w:r>
      <w:r>
        <w:rPr/>
        <w:t>无形资产的减值测试方法和减值准备计提方法：</w:t>
      </w:r>
    </w:p>
    <w:p>
      <w:pPr>
        <w:pStyle w:val="BodyText"/>
        <w:spacing w:line="408" w:lineRule="auto"/>
        <w:ind w:right="92" w:firstLine="480"/>
        <w:jc w:val="left"/>
      </w:pPr>
      <w:r>
        <w:rPr>
          <w:spacing w:val="-2"/>
        </w:rPr>
        <w:t>对于固定资产、在建工程、使用寿命有限的无形资产、以成本模式计量的投资性房地产及对子公司、</w:t>
      </w:r>
      <w:r>
        <w:rPr>
          <w:w w:val="100"/>
        </w:rPr>
        <w:t> </w:t>
      </w:r>
      <w:r>
        <w:rPr>
          <w:spacing w:val="-5"/>
        </w:rPr>
        <w:t>合营企业、联营企业的长期股权投资等非流动非金融资产，本公司于资产负债表日判断是否存在减值迹象。 </w:t>
      </w:r>
      <w:r>
        <w:rPr>
          <w:spacing w:val="-5"/>
        </w:rPr>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408" w:lineRule="auto"/>
        <w:ind w:right="185" w:firstLine="480"/>
        <w:jc w:val="both"/>
      </w:pPr>
      <w:r>
        <w:rPr>
          <w:spacing w:val="-4"/>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pStyle w:val="BodyText"/>
        <w:spacing w:line="240" w:lineRule="auto"/>
        <w:ind w:left="633" w:right="92"/>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470" w:right="92"/>
        <w:jc w:val="left"/>
      </w:pPr>
      <w:r>
        <w:rPr>
          <w:rFonts w:ascii="宋体" w:hAnsi="宋体" w:cs="宋体" w:eastAsia="宋体" w:hint="default"/>
        </w:rPr>
        <w:t>5</w:t>
      </w:r>
      <w:r>
        <w:rPr/>
        <w:t>、收入确认原则</w:t>
      </w:r>
    </w:p>
    <w:p>
      <w:pPr>
        <w:spacing w:line="240" w:lineRule="auto" w:before="10"/>
        <w:rPr>
          <w:rFonts w:ascii="宋体" w:hAnsi="宋体" w:cs="宋体" w:eastAsia="宋体" w:hint="default"/>
          <w:sz w:val="14"/>
          <w:szCs w:val="14"/>
        </w:rPr>
      </w:pPr>
    </w:p>
    <w:p>
      <w:pPr>
        <w:pStyle w:val="BodyText"/>
        <w:spacing w:line="408" w:lineRule="auto" w:before="0"/>
        <w:ind w:left="633" w:right="6712" w:hanging="164"/>
        <w:jc w:val="left"/>
      </w:pPr>
      <w:r>
        <w:rPr>
          <w:spacing w:val="-2"/>
        </w:rPr>
        <w:t>（</w:t>
      </w:r>
      <w:r>
        <w:rPr>
          <w:rFonts w:ascii="宋体" w:hAnsi="宋体" w:cs="宋体" w:eastAsia="宋体" w:hint="default"/>
          <w:spacing w:val="-2"/>
        </w:rPr>
        <w:t>1</w:t>
      </w:r>
      <w:r>
        <w:rPr>
          <w:spacing w:val="-2"/>
        </w:rPr>
        <w:t>）、变更前收入确认原则</w:t>
      </w:r>
      <w:r>
        <w:rPr>
          <w:spacing w:val="-79"/>
        </w:rPr>
        <w:t> </w:t>
      </w:r>
      <w:r>
        <w:rPr>
          <w:spacing w:val="-79"/>
        </w:rPr>
      </w:r>
      <w:r>
        <w:rPr>
          <w:rFonts w:ascii="宋体" w:hAnsi="宋体" w:cs="宋体" w:eastAsia="宋体" w:hint="default"/>
        </w:rPr>
        <w:t>1</w:t>
      </w:r>
      <w:r>
        <w:rPr/>
        <w:t>）商品销售收入</w:t>
      </w:r>
    </w:p>
    <w:p>
      <w:pPr>
        <w:pStyle w:val="BodyText"/>
        <w:spacing w:line="408" w:lineRule="auto"/>
        <w:ind w:right="92" w:firstLine="480"/>
        <w:jc w:val="left"/>
      </w:pPr>
      <w:r>
        <w:rPr>
          <w:spacing w:val="-2"/>
        </w:rPr>
        <w:t>在已将商品所有权上的主要风险和报酬转移给买方，既没有保留通常与所有权相联系的继续管理权，</w:t>
      </w:r>
      <w:r>
        <w:rPr>
          <w:w w:val="100"/>
        </w:rPr>
        <w:t> </w:t>
      </w:r>
      <w:r>
        <w:rPr>
          <w:spacing w:val="-2"/>
        </w:rPr>
        <w:t>也没有对已售商品实施有效控制，收入的金额能够可靠地计量，相关的经济利益很可能流入企业，相关的</w:t>
      </w:r>
      <w:r>
        <w:rPr>
          <w:spacing w:val="-43"/>
        </w:rPr>
        <w:t> </w:t>
      </w:r>
      <w:r>
        <w:rPr>
          <w:spacing w:val="-43"/>
        </w:rPr>
      </w:r>
      <w:r>
        <w:rPr/>
        <w:t>已发生或将发生的成本能够可靠地计量时，确认商品销售收入的实现。</w:t>
      </w:r>
    </w:p>
    <w:p>
      <w:pPr>
        <w:spacing w:after="0" w:line="408" w:lineRule="auto"/>
        <w:jc w:val="left"/>
        <w:sectPr>
          <w:footerReference w:type="default" r:id="rId13"/>
          <w:pgSz w:w="11910" w:h="16840"/>
          <w:pgMar w:footer="979" w:header="745" w:top="1060" w:bottom="1160" w:left="980" w:right="920"/>
          <w:pgNumType w:start="71"/>
        </w:sectPr>
      </w:pPr>
    </w:p>
    <w:p>
      <w:pPr>
        <w:spacing w:line="240" w:lineRule="auto" w:before="0"/>
        <w:rPr>
          <w:rFonts w:ascii="宋体" w:hAnsi="宋体" w:cs="宋体" w:eastAsia="宋体" w:hint="default"/>
          <w:sz w:val="20"/>
          <w:szCs w:val="20"/>
        </w:rPr>
      </w:pPr>
    </w:p>
    <w:p>
      <w:pPr>
        <w:pStyle w:val="BodyText"/>
        <w:spacing w:line="408" w:lineRule="auto" w:before="176"/>
        <w:ind w:right="92" w:firstLine="480"/>
        <w:jc w:val="left"/>
      </w:pPr>
      <w:r>
        <w:rPr/>
        <w:t>根据不同销售模式，本公司销售商品收入确认方法具体如下：①</w:t>
      </w:r>
      <w:r>
        <w:rPr>
          <w:spacing w:val="9"/>
        </w:rPr>
        <w:t> </w:t>
      </w:r>
      <w:r>
        <w:rPr/>
        <w:t>服装出口业务：收到购货方给予的</w:t>
      </w:r>
      <w:r>
        <w:rPr>
          <w:w w:val="100"/>
        </w:rPr>
        <w:t> </w:t>
      </w:r>
      <w:r>
        <w:rPr/>
        <w:t>信用证或收到购货方其他相关结算单证，服装发出并办理出口报关手续确认销售收入；②</w:t>
      </w:r>
      <w:r>
        <w:rPr>
          <w:spacing w:val="-23"/>
        </w:rPr>
        <w:t> </w:t>
      </w:r>
      <w:r>
        <w:rPr/>
        <w:t>服装内销收入：</w:t>
      </w:r>
      <w:r>
        <w:rPr>
          <w:w w:val="100"/>
        </w:rPr>
        <w:t> </w:t>
      </w:r>
      <w:r>
        <w:rPr/>
        <w:t>商品发出后经贸易部与客户确认检验合格后通知财务部确认销售收入。</w:t>
      </w:r>
    </w:p>
    <w:p>
      <w:pPr>
        <w:pStyle w:val="BodyText"/>
        <w:spacing w:line="408" w:lineRule="auto"/>
        <w:ind w:left="633" w:right="92"/>
        <w:jc w:val="left"/>
      </w:pPr>
      <w:r>
        <w:rPr>
          <w:rFonts w:ascii="宋体" w:hAnsi="宋体" w:cs="宋体" w:eastAsia="宋体" w:hint="default"/>
        </w:rPr>
        <w:t>2</w:t>
      </w:r>
      <w:r>
        <w:rPr/>
        <w:t>）利息收入和支出</w:t>
      </w:r>
      <w:r>
        <w:rPr>
          <w:w w:val="100"/>
        </w:rPr>
        <w:t> </w:t>
      </w:r>
      <w:r>
        <w:rPr>
          <w:spacing w:val="-4"/>
          <w:w w:val="100"/>
        </w:rPr>
        <w:t>以摊余成本计量的金融工具及可供出售金融资产中的计息金融工具，利息收入和支出根据权责发生制</w:t>
      </w:r>
    </w:p>
    <w:p>
      <w:pPr>
        <w:pStyle w:val="BodyText"/>
        <w:spacing w:line="408" w:lineRule="auto"/>
        <w:ind w:right="92"/>
        <w:jc w:val="left"/>
      </w:pPr>
      <w:r>
        <w:rPr>
          <w:spacing w:val="-2"/>
        </w:rPr>
        <w:t>原则按实际利率法在利润表中确认。实际利率法是一种计算某项金融资产或负债的摊余成本以及在相关期</w:t>
      </w:r>
      <w:r>
        <w:rPr>
          <w:spacing w:val="-43"/>
        </w:rPr>
        <w:t> </w:t>
      </w:r>
      <w:r>
        <w:rPr>
          <w:spacing w:val="-43"/>
        </w:rPr>
      </w:r>
      <w:r>
        <w:rPr>
          <w:spacing w:val="-2"/>
        </w:rPr>
        <w:t>间分摊利息收入和利息支出的方法。实际利率是在金融工具预计到期日或某一恰当较短期限内，将其未来</w:t>
      </w:r>
      <w:r>
        <w:rPr>
          <w:spacing w:val="-42"/>
        </w:rPr>
        <w:t> </w:t>
      </w:r>
      <w:r>
        <w:rPr>
          <w:spacing w:val="-42"/>
        </w:rPr>
      </w:r>
      <w:r>
        <w:rPr>
          <w:spacing w:val="-5"/>
        </w:rPr>
        <w:t>现金流量贴现为账面净额所使用的利率。本公司在估计未来现金流量时，会考虑金融工具的所有合同条款， </w:t>
      </w:r>
      <w:r>
        <w:rPr>
          <w:spacing w:val="-5"/>
        </w:rPr>
      </w:r>
      <w:r>
        <w:rPr>
          <w:spacing w:val="-2"/>
        </w:rPr>
        <w:t>但不会考虑未来的信用损失。计算实际利率会考虑交易成本、折溢价和合同各方之间收付的所有与实际利</w:t>
      </w:r>
      <w:r>
        <w:rPr>
          <w:spacing w:val="-43"/>
        </w:rPr>
        <w:t> </w:t>
      </w:r>
      <w:r>
        <w:rPr>
          <w:spacing w:val="-43"/>
        </w:rPr>
      </w:r>
      <w:r>
        <w:rPr/>
        <w:t>率相关的费用。</w:t>
      </w:r>
    </w:p>
    <w:p>
      <w:pPr>
        <w:pStyle w:val="BodyText"/>
        <w:spacing w:line="408" w:lineRule="auto"/>
        <w:ind w:right="92" w:firstLine="480"/>
        <w:jc w:val="left"/>
      </w:pPr>
      <w:r>
        <w:rPr>
          <w:spacing w:val="-4"/>
          <w:w w:val="100"/>
        </w:rPr>
        <w:t>若金融资产发生减值，确认其利息收入的实际利率按照计量损失的未来现金流贴现利率确定按照他人</w:t>
      </w:r>
      <w:r>
        <w:rPr>
          <w:w w:val="100"/>
        </w:rPr>
        <w:t> </w:t>
      </w:r>
      <w:r>
        <w:rPr/>
        <w:t>使用本公司货币资金的时间和实际利率计算确定。</w:t>
      </w:r>
    </w:p>
    <w:p>
      <w:pPr>
        <w:pStyle w:val="BodyText"/>
        <w:spacing w:line="408" w:lineRule="auto"/>
        <w:ind w:left="633" w:right="92"/>
        <w:jc w:val="left"/>
      </w:pPr>
      <w:r>
        <w:rPr>
          <w:rFonts w:ascii="宋体" w:hAnsi="宋体" w:cs="宋体" w:eastAsia="宋体" w:hint="default"/>
        </w:rPr>
        <w:t>3</w:t>
      </w:r>
      <w:r>
        <w:rPr/>
        <w:t>）担保费收入</w:t>
      </w:r>
      <w:r>
        <w:rPr>
          <w:w w:val="100"/>
        </w:rPr>
        <w:t> </w:t>
      </w:r>
      <w:r>
        <w:rPr>
          <w:spacing w:val="-4"/>
        </w:rPr>
        <w:t>担保费收入于担保合同成立并承担相应担保责任，与担保合同相关的经济利益能够流入，并与担保合</w:t>
      </w:r>
    </w:p>
    <w:p>
      <w:pPr>
        <w:pStyle w:val="BodyText"/>
        <w:spacing w:line="408" w:lineRule="auto"/>
        <w:ind w:right="92"/>
        <w:jc w:val="left"/>
      </w:pPr>
      <w:r>
        <w:rPr>
          <w:spacing w:val="-2"/>
        </w:rPr>
        <w:t>同相关的净收入能够可靠计量时予以确认。担保费收入的金额按担保合同规定的应向被担保人收取的金额</w:t>
      </w:r>
      <w:r>
        <w:rPr>
          <w:spacing w:val="-43"/>
        </w:rPr>
        <w:t> </w:t>
      </w:r>
      <w:r>
        <w:rPr>
          <w:spacing w:val="-43"/>
        </w:rPr>
      </w:r>
      <w:r>
        <w:rPr>
          <w:spacing w:val="-2"/>
        </w:rPr>
        <w:t>确定；采取趸收方式向被担保人收取担保费的，一次性确认为担保费收入。担保合同成立并开始承担担保</w:t>
      </w:r>
      <w:r>
        <w:rPr>
          <w:spacing w:val="-44"/>
        </w:rPr>
        <w:t> </w:t>
      </w:r>
      <w:r>
        <w:rPr>
          <w:spacing w:val="-44"/>
        </w:rPr>
      </w:r>
      <w:r>
        <w:rPr>
          <w:spacing w:val="-5"/>
        </w:rPr>
        <w:t>责任前，收到的被担保人交纳的担保费，确认为负债，作为预收担保费处理，在符合上述规定确认条件时，</w:t>
      </w:r>
      <w:r>
        <w:rPr>
          <w:spacing w:val="-12"/>
        </w:rPr>
        <w:t> </w:t>
      </w:r>
      <w:r>
        <w:rPr>
          <w:spacing w:val="-12"/>
        </w:rPr>
      </w:r>
      <w:r>
        <w:rPr>
          <w:spacing w:val="-2"/>
        </w:rPr>
        <w:t>确认为担保费收入。担保合同成立并开始承担担保责任后，被担保人提前清偿被担保的主债务而解除担保</w:t>
      </w:r>
      <w:r>
        <w:rPr>
          <w:spacing w:val="-43"/>
        </w:rPr>
        <w:t> </w:t>
      </w:r>
      <w:r>
        <w:rPr>
          <w:spacing w:val="-43"/>
        </w:rPr>
      </w:r>
      <w:r>
        <w:rPr/>
        <w:t>责任，按担保合同规定向被担保人退还部分担保费的，按实际退还的担保费冲减当期的担保费收入。</w:t>
      </w:r>
    </w:p>
    <w:p>
      <w:pPr>
        <w:pStyle w:val="BodyText"/>
        <w:spacing w:line="408" w:lineRule="auto"/>
        <w:ind w:left="633" w:right="1583"/>
        <w:jc w:val="left"/>
      </w:pPr>
      <w:r>
        <w:rPr>
          <w:rFonts w:ascii="宋体" w:hAnsi="宋体" w:cs="宋体" w:eastAsia="宋体" w:hint="default"/>
        </w:rPr>
        <w:t>4</w:t>
      </w:r>
      <w:r>
        <w:rPr/>
        <w:t>）手续费及佣金收入</w:t>
      </w:r>
      <w:r>
        <w:rPr>
          <w:w w:val="100"/>
        </w:rPr>
        <w:t> </w:t>
      </w:r>
      <w:r>
        <w:rPr>
          <w:spacing w:val="-2"/>
        </w:rPr>
        <w:t>手续费及佣金收入通常在提供相关服务时按权责发生制原则确认。</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633" w:right="5738" w:hanging="164"/>
        <w:jc w:val="left"/>
      </w:pPr>
      <w:r>
        <w:rPr>
          <w:spacing w:val="-2"/>
        </w:rPr>
        <w:t>（</w:t>
      </w:r>
      <w:r>
        <w:rPr>
          <w:rFonts w:ascii="宋体" w:hAnsi="宋体" w:cs="宋体" w:eastAsia="宋体" w:hint="default"/>
          <w:spacing w:val="-2"/>
        </w:rPr>
        <w:t>2</w:t>
      </w:r>
      <w:r>
        <w:rPr>
          <w:spacing w:val="-2"/>
        </w:rPr>
        <w:t>）、变更后收入确认原则：</w:t>
      </w:r>
      <w:r>
        <w:rPr>
          <w:spacing w:val="-79"/>
        </w:rPr>
        <w:t> </w:t>
      </w:r>
      <w:r>
        <w:rPr>
          <w:spacing w:val="-79"/>
        </w:rPr>
      </w:r>
      <w:r>
        <w:rPr>
          <w:rFonts w:ascii="宋体" w:hAnsi="宋体" w:cs="宋体" w:eastAsia="宋体" w:hint="default"/>
        </w:rPr>
        <w:t>1</w:t>
      </w:r>
      <w:r>
        <w:rPr/>
        <w:t>）商品销售收入</w:t>
      </w:r>
    </w:p>
    <w:p>
      <w:pPr>
        <w:pStyle w:val="BodyText"/>
        <w:spacing w:line="408" w:lineRule="auto"/>
        <w:ind w:right="92" w:firstLine="480"/>
        <w:jc w:val="left"/>
      </w:pPr>
      <w:r>
        <w:rPr>
          <w:spacing w:val="-2"/>
        </w:rPr>
        <w:t>在已将商品所有权上的主要风险和报酬转移给买方，既没有保留通常与所有权相联系的继续管理权，</w:t>
      </w:r>
      <w:r>
        <w:rPr>
          <w:w w:val="100"/>
        </w:rPr>
        <w:t> </w:t>
      </w:r>
      <w:r>
        <w:rPr>
          <w:spacing w:val="-2"/>
        </w:rPr>
        <w:t>也没有对已售商品实施有效控制，收入的金额能够可靠地计量，相关的经济利益很可能流入企业，相关的</w:t>
      </w:r>
      <w:r>
        <w:rPr>
          <w:spacing w:val="-43"/>
        </w:rPr>
        <w:t> </w:t>
      </w:r>
      <w:r>
        <w:rPr>
          <w:spacing w:val="-43"/>
        </w:rPr>
      </w:r>
      <w:r>
        <w:rPr/>
        <w:t>已发生或将发生的成本能够可靠地计量时，确认商品销售收入的实现。</w:t>
      </w:r>
    </w:p>
    <w:p>
      <w:pPr>
        <w:pStyle w:val="BodyText"/>
        <w:spacing w:line="408" w:lineRule="auto"/>
        <w:ind w:left="633" w:right="1583"/>
        <w:jc w:val="left"/>
      </w:pPr>
      <w:r>
        <w:rPr>
          <w:rFonts w:ascii="宋体" w:hAnsi="宋体" w:cs="宋体" w:eastAsia="宋体" w:hint="default"/>
        </w:rPr>
        <w:t>2</w:t>
      </w:r>
      <w:r>
        <w:rPr/>
        <w:t>）提供劳务收入</w:t>
      </w:r>
      <w:r>
        <w:rPr>
          <w:w w:val="100"/>
        </w:rPr>
        <w:t> </w:t>
      </w:r>
      <w:r>
        <w:rPr>
          <w:spacing w:val="-2"/>
        </w:rPr>
        <w:t>在提供劳务交易的结果能够可靠估计的情况下，按合同约定价格确认收入。</w:t>
      </w:r>
    </w:p>
    <w:p>
      <w:pPr>
        <w:pStyle w:val="BodyText"/>
        <w:spacing w:line="240" w:lineRule="auto"/>
        <w:ind w:left="633" w:right="92"/>
        <w:jc w:val="left"/>
      </w:pPr>
      <w:r>
        <w:rPr>
          <w:spacing w:val="-4"/>
        </w:rPr>
        <w:t>提供劳务交易的结果能够可靠估计是指同时满足：①收入的金额能够可靠地计量；②相关的经济利益</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left="0" w:right="187"/>
        <w:jc w:val="right"/>
      </w:pPr>
      <w:r>
        <w:rPr>
          <w:spacing w:val="-2"/>
        </w:rPr>
        <w:t>很可能流入企业；③交易的完工程度能够可靠地确定；④交易中已发生和将发生的成本能够可靠地计量。</w:t>
      </w:r>
      <w:r>
        <w:rPr>
          <w:spacing w:val="-46"/>
        </w:rPr>
        <w:t> </w:t>
      </w:r>
      <w:r>
        <w:rPr>
          <w:spacing w:val="-46"/>
        </w:rPr>
      </w:r>
      <w:r>
        <w:rPr>
          <w:spacing w:val="-4"/>
          <w:w w:val="100"/>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p>
    <w:p>
      <w:pPr>
        <w:pStyle w:val="BodyText"/>
        <w:spacing w:line="240" w:lineRule="auto"/>
        <w:ind w:right="92"/>
        <w:jc w:val="left"/>
      </w:pPr>
      <w:r>
        <w:rPr/>
        <w:t>确认收入。</w:t>
      </w:r>
    </w:p>
    <w:p>
      <w:pPr>
        <w:spacing w:line="240" w:lineRule="auto" w:before="10"/>
        <w:rPr>
          <w:rFonts w:ascii="宋体" w:hAnsi="宋体" w:cs="宋体" w:eastAsia="宋体" w:hint="default"/>
          <w:sz w:val="14"/>
          <w:szCs w:val="14"/>
        </w:rPr>
      </w:pPr>
    </w:p>
    <w:p>
      <w:pPr>
        <w:pStyle w:val="BodyText"/>
        <w:spacing w:line="408" w:lineRule="auto" w:before="0"/>
        <w:ind w:left="633" w:right="3873"/>
        <w:jc w:val="left"/>
      </w:pPr>
      <w:r>
        <w:rPr/>
        <w:t>本公司体检业务收入以完成体检业务为收入确认时点。</w:t>
      </w:r>
      <w:r>
        <w:rPr>
          <w:w w:val="100"/>
        </w:rPr>
        <w:t> </w:t>
      </w:r>
      <w:r>
        <w:rPr>
          <w:rFonts w:ascii="宋体" w:hAnsi="宋体" w:cs="宋体" w:eastAsia="宋体" w:hint="default"/>
        </w:rPr>
        <w:t>3</w:t>
      </w:r>
      <w:r>
        <w:rPr/>
        <w:t>）使用费收入</w:t>
      </w:r>
      <w:r>
        <w:rPr>
          <w:w w:val="100"/>
        </w:rPr>
        <w:t> </w:t>
      </w:r>
      <w:r>
        <w:rPr/>
        <w:t>根据有关合同或协议，按权责发生制确认收入。</w:t>
      </w:r>
      <w:r>
        <w:rPr>
          <w:w w:val="100"/>
        </w:rPr>
        <w:t> </w:t>
      </w:r>
      <w:r>
        <w:rPr>
          <w:rFonts w:ascii="宋体" w:hAnsi="宋体" w:cs="宋体" w:eastAsia="宋体" w:hint="default"/>
        </w:rPr>
        <w:t>4</w:t>
      </w:r>
      <w:r>
        <w:rPr/>
        <w:t>）利息收入</w:t>
      </w:r>
      <w:r>
        <w:rPr>
          <w:w w:val="100"/>
        </w:rPr>
        <w:t> </w:t>
      </w:r>
      <w:r>
        <w:rPr>
          <w:spacing w:val="-2"/>
        </w:rPr>
        <w:t>按照他人使用本公司货币资金的时间和实际利率计算确定。</w:t>
      </w:r>
      <w:r>
        <w:rPr>
          <w:spacing w:val="-55"/>
        </w:rPr>
        <w:t> </w:t>
      </w:r>
      <w:r>
        <w:rPr>
          <w:spacing w:val="-55"/>
        </w:rPr>
      </w:r>
      <w:r>
        <w:rPr>
          <w:rFonts w:ascii="宋体" w:hAnsi="宋体" w:cs="宋体" w:eastAsia="宋体" w:hint="default"/>
        </w:rPr>
        <w:t>5</w:t>
      </w:r>
      <w:r>
        <w:rPr/>
        <w:t>）融资租赁收入</w:t>
      </w:r>
    </w:p>
    <w:p>
      <w:pPr>
        <w:pStyle w:val="BodyText"/>
        <w:spacing w:line="408" w:lineRule="auto"/>
        <w:ind w:left="633" w:right="92"/>
        <w:jc w:val="left"/>
      </w:pPr>
      <w:r>
        <w:rPr/>
        <w:t>①租赁开始日的处理</w:t>
      </w:r>
      <w:r>
        <w:rPr>
          <w:w w:val="100"/>
        </w:rPr>
        <w:t> </w:t>
      </w:r>
      <w:r>
        <w:rPr>
          <w:spacing w:val="-4"/>
        </w:rPr>
        <w:t>在租赁期开始日，本公司将应收融资租赁款、未担保余值之和与其现值、未实现融资租赁增值税的差</w:t>
      </w:r>
    </w:p>
    <w:p>
      <w:pPr>
        <w:pStyle w:val="BodyText"/>
        <w:spacing w:line="408" w:lineRule="auto"/>
        <w:ind w:right="92"/>
        <w:jc w:val="left"/>
      </w:pPr>
      <w:r>
        <w:rPr>
          <w:spacing w:val="-2"/>
        </w:rPr>
        <w:t>额确认为未实现融资收益，在将来收到租金的各期内确认为租赁收入。公司发生的初始直接费用，应包括</w:t>
      </w:r>
      <w:r>
        <w:rPr>
          <w:spacing w:val="-44"/>
        </w:rPr>
        <w:t> </w:t>
      </w:r>
      <w:r>
        <w:rPr>
          <w:spacing w:val="-44"/>
        </w:rPr>
      </w:r>
      <w:r>
        <w:rPr>
          <w:spacing w:val="-2"/>
        </w:rPr>
        <w:t>在应收融资租赁款的初始计量中，并减少租赁期内确认的收益金额。租赁开始日是指租赁协议日与租赁各</w:t>
      </w:r>
      <w:r>
        <w:rPr>
          <w:spacing w:val="-44"/>
        </w:rPr>
        <w:t> </w:t>
      </w:r>
      <w:r>
        <w:rPr>
          <w:spacing w:val="-44"/>
        </w:rPr>
      </w:r>
      <w:r>
        <w:rPr>
          <w:spacing w:val="-5"/>
        </w:rPr>
        <w:t>方就主要条款作出承诺日中的较早者。在租赁开始日，本公司和承租人将租赁认定为融资租赁或经营租赁，</w:t>
      </w:r>
      <w:r>
        <w:rPr>
          <w:spacing w:val="-4"/>
        </w:rPr>
        <w:t> </w:t>
      </w:r>
      <w:r>
        <w:rPr>
          <w:spacing w:val="-4"/>
        </w:rPr>
      </w:r>
      <w:r>
        <w:rPr/>
        <w:t>并确定在租赁期开始日应确认的金额。</w:t>
      </w:r>
    </w:p>
    <w:p>
      <w:pPr>
        <w:pStyle w:val="BodyText"/>
        <w:spacing w:line="408" w:lineRule="auto"/>
        <w:ind w:left="633" w:right="92"/>
        <w:jc w:val="left"/>
      </w:pPr>
      <w:r>
        <w:rPr/>
        <w:t>②未实现融资收益的分配</w:t>
      </w:r>
      <w:r>
        <w:rPr>
          <w:w w:val="100"/>
        </w:rPr>
        <w:t> </w:t>
      </w:r>
      <w:r>
        <w:rPr>
          <w:spacing w:val="-2"/>
        </w:rPr>
        <w:t>根据租赁准则的规定，未实现融资收益应当在租赁期内各个期间进行分配，确认为各期的租赁收入。</w:t>
      </w:r>
    </w:p>
    <w:p>
      <w:pPr>
        <w:pStyle w:val="BodyText"/>
        <w:spacing w:line="408" w:lineRule="auto"/>
        <w:ind w:right="92"/>
        <w:jc w:val="left"/>
      </w:pPr>
      <w:r>
        <w:rPr>
          <w:spacing w:val="-2"/>
        </w:rPr>
        <w:t>分配时，本公司采用实际利率法计算当期应当确认的租赁收入。实际利率是指在租赁开始日，使最低租赁</w:t>
      </w:r>
      <w:r>
        <w:rPr>
          <w:spacing w:val="-43"/>
        </w:rPr>
        <w:t> </w:t>
      </w:r>
      <w:r>
        <w:rPr>
          <w:spacing w:val="-43"/>
        </w:rPr>
      </w:r>
      <w:r>
        <w:rPr/>
        <w:t>收款额的现值与未担保余值的现值之和等于等于租赁资产公允价值与公司发生的初始直接费用之和的折</w:t>
      </w:r>
      <w:r>
        <w:rPr>
          <w:w w:val="100"/>
        </w:rPr>
        <w:t> </w:t>
      </w:r>
      <w:r>
        <w:rPr/>
        <w:t>现率。</w:t>
      </w:r>
    </w:p>
    <w:p>
      <w:pPr>
        <w:pStyle w:val="BodyText"/>
        <w:spacing w:line="408" w:lineRule="auto"/>
        <w:ind w:left="633" w:right="92" w:firstLine="105"/>
        <w:jc w:val="left"/>
      </w:pPr>
      <w:r>
        <w:rPr/>
        <w:t>③未担保余值发生变动时的处理</w:t>
      </w:r>
      <w:r>
        <w:rPr>
          <w:w w:val="100"/>
        </w:rPr>
        <w:t> </w:t>
      </w:r>
      <w:r>
        <w:rPr>
          <w:spacing w:val="-4"/>
        </w:rPr>
        <w:t>在未担保余值发生减少和已确认损失的未担保余值得以恢复的情况下，均重新计算租赁内含利率，以</w:t>
      </w:r>
    </w:p>
    <w:p>
      <w:pPr>
        <w:pStyle w:val="BodyText"/>
        <w:spacing w:line="408" w:lineRule="auto"/>
        <w:ind w:right="92"/>
        <w:jc w:val="left"/>
      </w:pPr>
      <w:r>
        <w:rPr>
          <w:spacing w:val="-2"/>
        </w:rPr>
        <w:t>后各期根据修正后的租赁投资净额和重新计算的租赁内含利率确定应确认的租赁收入。在未担保余值增加</w:t>
      </w:r>
      <w:r>
        <w:rPr>
          <w:spacing w:val="-43"/>
        </w:rPr>
        <w:t> </w:t>
      </w:r>
      <w:r>
        <w:rPr>
          <w:spacing w:val="-43"/>
        </w:rPr>
      </w:r>
      <w:r>
        <w:rPr/>
        <w:t>时，不做任何调整。未担保余值，指租赁资产余值中扣除就出租人而言的担保余值以后的资产余值。</w:t>
      </w:r>
    </w:p>
    <w:p>
      <w:pPr>
        <w:pStyle w:val="BodyText"/>
        <w:spacing w:line="408" w:lineRule="auto"/>
        <w:ind w:left="633" w:right="4524" w:firstLine="105"/>
        <w:jc w:val="left"/>
      </w:pPr>
      <w:r>
        <w:rPr/>
        <w:t>④或有租金的处理</w:t>
      </w:r>
      <w:r>
        <w:rPr>
          <w:w w:val="100"/>
        </w:rPr>
        <w:t> </w:t>
      </w:r>
      <w:r>
        <w:rPr>
          <w:spacing w:val="-2"/>
        </w:rPr>
        <w:t>本公司在融资租赁下收到的或有租金计入当期损益。</w:t>
      </w:r>
      <w:r>
        <w:rPr>
          <w:spacing w:val="-62"/>
        </w:rPr>
        <w:t> </w:t>
      </w:r>
      <w:r>
        <w:rPr>
          <w:spacing w:val="-62"/>
        </w:rPr>
      </w:r>
      <w:r>
        <w:rPr>
          <w:rFonts w:ascii="宋体" w:hAnsi="宋体" w:cs="宋体" w:eastAsia="宋体" w:hint="default"/>
        </w:rPr>
        <w:t>6</w:t>
      </w:r>
      <w:r>
        <w:rPr/>
        <w:t>）保理收入</w:t>
      </w:r>
      <w:r>
        <w:rPr>
          <w:w w:val="100"/>
        </w:rPr>
        <w:t> </w:t>
      </w:r>
      <w:r>
        <w:rPr/>
        <w:t>本公司于保理合同生效时确认保理收入。</w:t>
      </w:r>
      <w:r>
        <w:rPr>
          <w:w w:val="100"/>
        </w:rPr>
        <w:t> </w:t>
      </w:r>
      <w:r>
        <w:rPr>
          <w:rFonts w:ascii="宋体" w:hAnsi="宋体" w:cs="宋体" w:eastAsia="宋体" w:hint="default"/>
        </w:rPr>
        <w:t>7</w:t>
      </w:r>
      <w:r>
        <w:rPr/>
        <w:t>）咨询费收入</w:t>
      </w:r>
    </w:p>
    <w:p>
      <w:pPr>
        <w:spacing w:after="0" w:line="408" w:lineRule="auto"/>
        <w:jc w:val="left"/>
        <w:sectPr>
          <w:footerReference w:type="default" r:id="rId14"/>
          <w:pgSz w:w="11910" w:h="16840"/>
          <w:pgMar w:footer="979" w:header="745" w:top="1060" w:bottom="1160" w:left="980" w:right="920"/>
          <w:pgNumType w:start="73"/>
        </w:sectPr>
      </w:pPr>
    </w:p>
    <w:p>
      <w:pPr>
        <w:spacing w:line="240" w:lineRule="auto" w:before="0"/>
        <w:rPr>
          <w:rFonts w:ascii="宋体" w:hAnsi="宋体" w:cs="宋体" w:eastAsia="宋体" w:hint="default"/>
          <w:sz w:val="20"/>
          <w:szCs w:val="20"/>
        </w:rPr>
      </w:pPr>
    </w:p>
    <w:p>
      <w:pPr>
        <w:pStyle w:val="BodyText"/>
        <w:spacing w:line="240" w:lineRule="auto" w:before="176"/>
        <w:ind w:left="633" w:right="0"/>
        <w:jc w:val="left"/>
      </w:pPr>
      <w:r>
        <w:rPr/>
        <w:t>根据有关合同或协议，按权责发生制确认收入。</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right="4344"/>
        <w:jc w:val="left"/>
      </w:pPr>
      <w:r>
        <w:rPr/>
        <w:t>□ 适用 √ 不适用</w:t>
      </w:r>
      <w:r>
        <w:rPr>
          <w:spacing w:val="-104"/>
        </w:rPr>
        <w:t> </w:t>
      </w:r>
      <w:r>
        <w:rPr>
          <w:spacing w:val="-104"/>
        </w:rPr>
      </w:r>
      <w:r>
        <w:rPr>
          <w:spacing w:val="-2"/>
        </w:rPr>
        <w:t>公司报告期无重大会计差错更正需追溯重述的情况。</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11"/>
        <w:rPr>
          <w:rFonts w:ascii="宋体" w:hAnsi="宋体" w:cs="宋体" w:eastAsia="宋体" w:hint="default"/>
          <w:b/>
          <w:bCs/>
          <w:sz w:val="30"/>
          <w:szCs w:val="30"/>
        </w:rPr>
      </w:pPr>
    </w:p>
    <w:p>
      <w:pPr>
        <w:pStyle w:val="BodyText"/>
        <w:spacing w:line="441" w:lineRule="auto" w:before="0"/>
        <w:ind w:left="633" w:right="0" w:hanging="481"/>
        <w:jc w:val="left"/>
      </w:pPr>
      <w:r>
        <w:rPr/>
        <w:t>√ 适用 □ 不适用</w:t>
      </w:r>
      <w:r>
        <w:rPr>
          <w:spacing w:val="-104"/>
        </w:rPr>
        <w:t> </w:t>
      </w:r>
      <w:r>
        <w:rPr>
          <w:spacing w:val="-104"/>
        </w:rPr>
      </w:r>
      <w:r>
        <w:rPr>
          <w:spacing w:val="-3"/>
        </w:rPr>
        <w:t>证监许可</w:t>
      </w:r>
      <w:r>
        <w:rPr>
          <w:rFonts w:ascii="宋体" w:hAnsi="宋体" w:cs="宋体" w:eastAsia="宋体" w:hint="default"/>
          <w:spacing w:val="-3"/>
        </w:rPr>
        <w:t>[2015]1718</w:t>
      </w:r>
      <w:r>
        <w:rPr>
          <w:spacing w:val="-3"/>
        </w:rPr>
        <w:t>号核准本公司以全部资产及负债（包括或有负债）与天亿投资等</w:t>
      </w:r>
      <w:r>
        <w:rPr>
          <w:rFonts w:ascii="宋体" w:hAnsi="宋体" w:cs="宋体" w:eastAsia="宋体" w:hint="default"/>
          <w:spacing w:val="-3"/>
        </w:rPr>
        <w:t>24</w:t>
      </w:r>
      <w:r>
        <w:rPr>
          <w:spacing w:val="-3"/>
        </w:rPr>
        <w:t>家机构股东及</w:t>
      </w:r>
    </w:p>
    <w:p>
      <w:pPr>
        <w:pStyle w:val="BodyText"/>
        <w:spacing w:line="408" w:lineRule="auto" w:before="16"/>
        <w:ind w:right="0"/>
        <w:jc w:val="left"/>
      </w:pPr>
      <w:r>
        <w:rPr>
          <w:spacing w:val="-2"/>
        </w:rPr>
        <w:t>俞熔、徐可等</w:t>
      </w:r>
      <w:r>
        <w:rPr>
          <w:rFonts w:ascii="宋体" w:hAnsi="宋体" w:cs="宋体" w:eastAsia="宋体" w:hint="default"/>
          <w:spacing w:val="-2"/>
        </w:rPr>
        <w:t>79</w:t>
      </w:r>
      <w:r>
        <w:rPr>
          <w:spacing w:val="-2"/>
        </w:rPr>
        <w:t>名自然人股东持有的美年产业</w:t>
      </w:r>
      <w:r>
        <w:rPr>
          <w:rFonts w:ascii="宋体" w:hAnsi="宋体" w:cs="宋体" w:eastAsia="宋体" w:hint="default"/>
          <w:spacing w:val="-2"/>
        </w:rPr>
        <w:t>100%</w:t>
      </w:r>
      <w:r>
        <w:rPr>
          <w:spacing w:val="-2"/>
        </w:rPr>
        <w:t>股份中的等值部分进行置换，双方交易标的作价的差额</w:t>
      </w:r>
      <w:r>
        <w:rPr>
          <w:spacing w:val="-37"/>
        </w:rPr>
        <w:t> </w:t>
      </w:r>
      <w:r>
        <w:rPr>
          <w:spacing w:val="-37"/>
        </w:rPr>
      </w:r>
      <w:r>
        <w:rPr/>
        <w:t>部分由本公司依据美年产业全体股东各自持有的美年产业股份比例向其股东非公开发行股份购买。</w:t>
      </w:r>
    </w:p>
    <w:p>
      <w:pPr>
        <w:pStyle w:val="BodyText"/>
        <w:spacing w:line="408" w:lineRule="auto"/>
        <w:ind w:right="150" w:firstLine="480"/>
        <w:jc w:val="both"/>
      </w:pPr>
      <w:r>
        <w:rPr>
          <w:spacing w:val="16"/>
        </w:rPr>
        <w:t>本公司本次重大资产重组中涉及的注入资产为美年产业</w:t>
      </w:r>
      <w:r>
        <w:rPr>
          <w:spacing w:val="-59"/>
        </w:rPr>
        <w:t> </w:t>
      </w:r>
      <w:r>
        <w:rPr>
          <w:rFonts w:ascii="宋体" w:hAnsi="宋体" w:cs="宋体" w:eastAsia="宋体" w:hint="default"/>
          <w:spacing w:val="3"/>
        </w:rPr>
        <w:t>100%</w:t>
      </w:r>
      <w:r>
        <w:rPr>
          <w:spacing w:val="3"/>
        </w:rPr>
        <w:t>股</w:t>
      </w:r>
      <w:r>
        <w:rPr>
          <w:spacing w:val="-59"/>
        </w:rPr>
        <w:t> </w:t>
      </w:r>
      <w:r>
        <w:rPr>
          <w:spacing w:val="9"/>
        </w:rPr>
        <w:t>份，</w:t>
      </w:r>
      <w:r>
        <w:rPr>
          <w:spacing w:val="-59"/>
        </w:rPr>
        <w:t> </w:t>
      </w:r>
      <w:r>
        <w:rPr>
          <w:spacing w:val="15"/>
        </w:rPr>
        <w:t>本次注入资产成交金额为</w:t>
      </w:r>
      <w:r>
        <w:rPr>
          <w:w w:val="100"/>
        </w:rPr>
        <w:t> </w:t>
      </w:r>
      <w:r>
        <w:rPr>
          <w:rFonts w:ascii="宋体" w:hAnsi="宋体" w:cs="宋体" w:eastAsia="宋体" w:hint="default"/>
        </w:rPr>
        <w:t>554,270.06</w:t>
      </w:r>
      <w:r>
        <w:rPr/>
        <w:t>万元，本公司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日资产总额为</w:t>
      </w:r>
      <w:r>
        <w:rPr>
          <w:rFonts w:ascii="宋体" w:hAnsi="宋体" w:cs="宋体" w:eastAsia="宋体" w:hint="default"/>
        </w:rPr>
        <w:t>68,360.39</w:t>
      </w:r>
      <w:r>
        <w:rPr/>
        <w:t>万元，上市公司购买资产成交金额占控制</w:t>
      </w:r>
      <w:r>
        <w:rPr>
          <w:spacing w:val="-29"/>
        </w:rPr>
        <w:t> </w:t>
      </w:r>
      <w:r>
        <w:rPr>
          <w:spacing w:val="-29"/>
        </w:rPr>
      </w:r>
      <w:r>
        <w:rPr>
          <w:spacing w:val="2"/>
        </w:rPr>
        <w:t>权发生变更的前一个会计年度经审计的合并财务会计报告期末资产总额的比例超过</w:t>
      </w:r>
      <w:r>
        <w:rPr>
          <w:rFonts w:ascii="宋体" w:hAnsi="宋体" w:cs="宋体" w:eastAsia="宋体" w:hint="default"/>
          <w:spacing w:val="2"/>
        </w:rPr>
        <w:t>100%</w:t>
      </w:r>
      <w:r>
        <w:rPr>
          <w:spacing w:val="2"/>
        </w:rPr>
        <w:t>；本次交易完成</w:t>
      </w:r>
      <w:r>
        <w:rPr>
          <w:spacing w:val="-24"/>
        </w:rPr>
        <w:t> </w:t>
      </w:r>
      <w:r>
        <w:rPr>
          <w:spacing w:val="-24"/>
        </w:rPr>
      </w:r>
      <w:r>
        <w:rPr/>
        <w:t>后，本公司实际控制人变更为俞熔。按照《重组管理办法》第十三条的规定，本次交易构成借壳上市。</w:t>
      </w:r>
    </w:p>
    <w:p>
      <w:pPr>
        <w:pStyle w:val="BodyText"/>
        <w:spacing w:line="408" w:lineRule="auto"/>
        <w:ind w:right="146" w:firstLine="422"/>
        <w:jc w:val="both"/>
      </w:pPr>
      <w:r>
        <w:rPr>
          <w:spacing w:val="-2"/>
        </w:rPr>
        <w:t>本次交易后，本公司原有资产和负债置出，同时注入美年产业</w:t>
      </w:r>
      <w:r>
        <w:rPr>
          <w:rFonts w:ascii="宋体" w:hAnsi="宋体" w:cs="宋体" w:eastAsia="宋体" w:hint="default"/>
          <w:spacing w:val="-2"/>
        </w:rPr>
        <w:t>100%</w:t>
      </w:r>
      <w:r>
        <w:rPr>
          <w:spacing w:val="-2"/>
        </w:rPr>
        <w:t>股权，上市公司将延续注入资产原</w:t>
      </w:r>
      <w:r>
        <w:rPr>
          <w:w w:val="100"/>
        </w:rPr>
        <w:t> </w:t>
      </w:r>
      <w:r>
        <w:rPr>
          <w:spacing w:val="-2"/>
        </w:rPr>
        <w:t>有业务、管理和发展模式，由服装加工制造企业转变为健康体检服务企业，实现本公司主营业务的彻底转</w:t>
      </w:r>
      <w:r>
        <w:rPr>
          <w:spacing w:val="-43"/>
        </w:rPr>
        <w:t> </w:t>
      </w:r>
      <w:r>
        <w:rPr>
          <w:spacing w:val="-43"/>
        </w:rPr>
      </w:r>
      <w:r>
        <w:rPr/>
        <w:t>型。</w:t>
      </w:r>
    </w:p>
    <w:tbl>
      <w:tblPr>
        <w:tblW w:w="0" w:type="auto"/>
        <w:jc w:val="left"/>
        <w:tblInd w:w="602" w:type="dxa"/>
        <w:tblLayout w:type="fixed"/>
        <w:tblCellMar>
          <w:top w:w="0" w:type="dxa"/>
          <w:left w:w="0" w:type="dxa"/>
          <w:bottom w:w="0" w:type="dxa"/>
          <w:right w:w="0" w:type="dxa"/>
        </w:tblCellMar>
        <w:tblLook w:val="01E0"/>
      </w:tblPr>
      <w:tblGrid>
        <w:gridCol w:w="3985"/>
        <w:gridCol w:w="4537"/>
      </w:tblGrid>
      <w:tr>
        <w:trPr>
          <w:trHeight w:val="530"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3"/>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4"/>
              <w:jc w:val="center"/>
              <w:rPr>
                <w:rFonts w:ascii="宋体" w:hAnsi="宋体" w:cs="宋体" w:eastAsia="宋体" w:hint="default"/>
                <w:sz w:val="20"/>
                <w:szCs w:val="20"/>
              </w:rPr>
            </w:pPr>
            <w:r>
              <w:rPr>
                <w:rFonts w:ascii="宋体" w:hAnsi="宋体" w:cs="宋体" w:eastAsia="宋体" w:hint="default"/>
                <w:sz w:val="20"/>
                <w:szCs w:val="20"/>
              </w:rPr>
              <w:t>变更原因</w:t>
            </w:r>
          </w:p>
        </w:tc>
      </w:tr>
      <w:tr>
        <w:trPr>
          <w:trHeight w:val="530"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98" w:right="0"/>
              <w:jc w:val="left"/>
              <w:rPr>
                <w:rFonts w:ascii="宋体" w:hAnsi="宋体" w:cs="宋体" w:eastAsia="宋体" w:hint="default"/>
                <w:sz w:val="20"/>
                <w:szCs w:val="20"/>
              </w:rPr>
            </w:pPr>
            <w:r>
              <w:rPr>
                <w:rFonts w:ascii="宋体" w:hAnsi="宋体" w:cs="宋体" w:eastAsia="宋体" w:hint="default"/>
                <w:sz w:val="20"/>
                <w:szCs w:val="20"/>
              </w:rPr>
              <w:t>深圳市鸿康杰科技有限公司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3"/>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531"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left="98" w:right="0"/>
              <w:jc w:val="left"/>
              <w:rPr>
                <w:rFonts w:ascii="宋体" w:hAnsi="宋体" w:cs="宋体" w:eastAsia="宋体" w:hint="default"/>
                <w:sz w:val="20"/>
                <w:szCs w:val="20"/>
              </w:rPr>
            </w:pPr>
            <w:r>
              <w:rPr>
                <w:rFonts w:ascii="宋体" w:hAnsi="宋体" w:cs="宋体" w:eastAsia="宋体" w:hint="default"/>
                <w:sz w:val="20"/>
                <w:szCs w:val="20"/>
              </w:rPr>
              <w:t>江苏华康投资发展有限公司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3"/>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530"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8" w:right="0"/>
              <w:jc w:val="left"/>
              <w:rPr>
                <w:rFonts w:ascii="宋体" w:hAnsi="宋体" w:cs="宋体" w:eastAsia="宋体" w:hint="default"/>
                <w:sz w:val="20"/>
                <w:szCs w:val="20"/>
              </w:rPr>
            </w:pPr>
            <w:r>
              <w:rPr>
                <w:rFonts w:ascii="宋体" w:hAnsi="宋体" w:cs="宋体" w:eastAsia="宋体" w:hint="default"/>
                <w:sz w:val="20"/>
                <w:szCs w:val="20"/>
              </w:rPr>
              <w:t>辽阳美年大健康管理有限公司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3"/>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530"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8" w:right="0"/>
              <w:jc w:val="left"/>
              <w:rPr>
                <w:rFonts w:ascii="宋体" w:hAnsi="宋体" w:cs="宋体" w:eastAsia="宋体" w:hint="default"/>
                <w:sz w:val="20"/>
                <w:szCs w:val="20"/>
              </w:rPr>
            </w:pPr>
            <w:r>
              <w:rPr>
                <w:rFonts w:ascii="宋体" w:hAnsi="宋体" w:cs="宋体" w:eastAsia="宋体" w:hint="default"/>
                <w:sz w:val="20"/>
                <w:szCs w:val="20"/>
              </w:rPr>
              <w:t>洛阳美年大健康信息咨询有限公司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3"/>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528"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98" w:right="0"/>
              <w:jc w:val="left"/>
              <w:rPr>
                <w:rFonts w:ascii="宋体" w:hAnsi="宋体" w:cs="宋体" w:eastAsia="宋体" w:hint="default"/>
                <w:sz w:val="20"/>
                <w:szCs w:val="20"/>
              </w:rPr>
            </w:pPr>
            <w:r>
              <w:rPr>
                <w:rFonts w:ascii="宋体" w:hAnsi="宋体" w:cs="宋体" w:eastAsia="宋体" w:hint="default"/>
                <w:sz w:val="20"/>
                <w:szCs w:val="20"/>
              </w:rPr>
              <w:t>上海美阳门诊部有限公司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4"/>
              <w:jc w:val="center"/>
              <w:rPr>
                <w:rFonts w:ascii="宋体" w:hAnsi="宋体" w:cs="宋体" w:eastAsia="宋体" w:hint="default"/>
                <w:sz w:val="20"/>
                <w:szCs w:val="20"/>
              </w:rPr>
            </w:pPr>
            <w:r>
              <w:rPr>
                <w:rFonts w:ascii="宋体" w:hAnsi="宋体" w:cs="宋体" w:eastAsia="宋体" w:hint="default"/>
                <w:sz w:val="20"/>
                <w:szCs w:val="20"/>
              </w:rPr>
              <w:t>投资新设</w:t>
            </w:r>
          </w:p>
        </w:tc>
      </w:tr>
      <w:tr>
        <w:trPr>
          <w:trHeight w:val="533"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98" w:right="0"/>
              <w:jc w:val="left"/>
              <w:rPr>
                <w:rFonts w:ascii="宋体" w:hAnsi="宋体" w:cs="宋体" w:eastAsia="宋体" w:hint="default"/>
                <w:sz w:val="20"/>
                <w:szCs w:val="20"/>
              </w:rPr>
            </w:pPr>
            <w:r>
              <w:rPr>
                <w:rFonts w:ascii="宋体" w:hAnsi="宋体" w:cs="宋体" w:eastAsia="宋体" w:hint="default"/>
                <w:sz w:val="20"/>
                <w:szCs w:val="20"/>
              </w:rPr>
              <w:t>上海美鑫融资租赁有限公司</w:t>
            </w:r>
          </w:p>
        </w:tc>
        <w:tc>
          <w:tcPr>
            <w:tcW w:w="4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4"/>
              <w:jc w:val="center"/>
              <w:rPr>
                <w:rFonts w:ascii="宋体" w:hAnsi="宋体" w:cs="宋体" w:eastAsia="宋体" w:hint="default"/>
                <w:sz w:val="20"/>
                <w:szCs w:val="20"/>
              </w:rPr>
            </w:pPr>
            <w:r>
              <w:rPr>
                <w:rFonts w:ascii="宋体" w:hAnsi="宋体" w:cs="宋体" w:eastAsia="宋体" w:hint="default"/>
                <w:sz w:val="20"/>
                <w:szCs w:val="20"/>
              </w:rPr>
              <w:t>投资新设</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五年</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谢卉、张丽丽</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宋体" w:hAnsi="宋体" w:cs="宋体" w:eastAsia="宋体" w:hint="default"/>
          <w:sz w:val="5"/>
          <w:szCs w:val="5"/>
        </w:rPr>
      </w:pPr>
    </w:p>
    <w:p>
      <w:pPr>
        <w:pStyle w:val="BodyText"/>
        <w:spacing w:line="240" w:lineRule="auto" w:before="36"/>
        <w:ind w:right="0"/>
        <w:jc w:val="left"/>
      </w:pPr>
      <w:r>
        <w:rPr/>
        <w:t>当期是否改聘会计师事务所</w:t>
      </w:r>
    </w:p>
    <w:p>
      <w:pPr>
        <w:spacing w:line="240" w:lineRule="auto" w:before="9"/>
        <w:rPr>
          <w:rFonts w:ascii="宋体" w:hAnsi="宋体" w:cs="宋体" w:eastAsia="宋体" w:hint="default"/>
          <w:sz w:val="17"/>
          <w:szCs w:val="17"/>
        </w:rPr>
      </w:pPr>
    </w:p>
    <w:p>
      <w:pPr>
        <w:pStyle w:val="BodyText"/>
        <w:spacing w:line="444" w:lineRule="auto" w:before="0"/>
        <w:ind w:right="4344"/>
        <w:jc w:val="left"/>
      </w:pPr>
      <w:r>
        <w:rPr/>
        <w:t>□ 是 √ 否</w:t>
      </w:r>
      <w:r>
        <w:rPr>
          <w:spacing w:val="-104"/>
        </w:rPr>
        <w:t> </w:t>
      </w:r>
      <w:r>
        <w:rPr>
          <w:spacing w:val="-104"/>
        </w:rPr>
      </w:r>
      <w:r>
        <w:rPr>
          <w:spacing w:val="-2"/>
        </w:rPr>
        <w:t>聘请内部控制审计会计师事务所、财务顾问或保荐人情况</w:t>
      </w:r>
    </w:p>
    <w:p>
      <w:pPr>
        <w:pStyle w:val="BodyText"/>
        <w:spacing w:line="441" w:lineRule="auto" w:before="55"/>
        <w:ind w:left="573" w:right="0" w:hanging="421"/>
        <w:jc w:val="left"/>
      </w:pPr>
      <w:r>
        <w:rPr/>
        <w:t>√ 适用 □ 不适用</w:t>
      </w:r>
      <w:r>
        <w:rPr>
          <w:spacing w:val="-104"/>
        </w:rPr>
        <w:t> </w:t>
      </w:r>
      <w:r>
        <w:rPr>
          <w:spacing w:val="-104"/>
        </w:rPr>
      </w:r>
      <w:r>
        <w:rPr>
          <w:spacing w:val="-2"/>
        </w:rPr>
        <w:t>公司聘请了瑞华会计师事务所（特殊普通合伙）为公司内部控制审计，报告期内支付内部控制审计费</w:t>
      </w:r>
    </w:p>
    <w:p>
      <w:pPr>
        <w:pStyle w:val="BodyText"/>
        <w:spacing w:line="240" w:lineRule="auto" w:before="16"/>
        <w:ind w:right="0"/>
        <w:jc w:val="left"/>
      </w:pPr>
      <w:r>
        <w:rPr/>
        <w:t>用为</w:t>
      </w:r>
      <w:r>
        <w:rPr>
          <w:rFonts w:ascii="宋体" w:hAnsi="宋体" w:cs="宋体" w:eastAsia="宋体" w:hint="default"/>
        </w:rPr>
        <w:t>36</w:t>
      </w:r>
      <w:r>
        <w:rPr/>
        <w:t>万元。</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十一、破产重整相关事项</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right="5723"/>
        <w:jc w:val="left"/>
      </w:pPr>
      <w:r>
        <w:rPr/>
        <w:t>□ 适用 √ 不适用</w:t>
      </w:r>
      <w:r>
        <w:rPr>
          <w:spacing w:val="-104"/>
        </w:rPr>
        <w:t> </w:t>
      </w:r>
      <w:r>
        <w:rPr>
          <w:spacing w:val="-104"/>
        </w:rPr>
      </w:r>
      <w:r>
        <w:rPr>
          <w:spacing w:val="-2"/>
        </w:rPr>
        <w:t>公司报告期未发生破产重整相关事项。</w:t>
      </w:r>
    </w:p>
    <w:p>
      <w:pPr>
        <w:spacing w:line="240" w:lineRule="auto" w:before="6"/>
        <w:rPr>
          <w:rFonts w:ascii="宋体" w:hAnsi="宋体" w:cs="宋体" w:eastAsia="宋体" w:hint="default"/>
          <w:sz w:val="16"/>
          <w:szCs w:val="16"/>
        </w:rPr>
      </w:pPr>
    </w:p>
    <w:p>
      <w:pPr>
        <w:pStyle w:val="Heading2"/>
        <w:spacing w:line="240" w:lineRule="auto"/>
        <w:ind w:right="0"/>
        <w:jc w:val="left"/>
        <w:rPr>
          <w:b w:val="0"/>
          <w:bCs w:val="0"/>
        </w:rPr>
      </w:pPr>
      <w:r>
        <w:rPr/>
        <w:t>十二、重大诉讼、仲裁事项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pict>
          <v:group style="position:absolute;margin-left:135.020004pt;margin-top:54.383667pt;width:53.05pt;height:66.9pt;mso-position-horizontal-relative:page;mso-position-vertical-relative:paragraph;z-index:-1400824" coordorigin="2700,1088" coordsize="1061,1338">
            <v:group style="position:absolute;left:2700;top:1088;width:1061;height:936" coordorigin="2700,1088" coordsize="1061,936">
              <v:shape style="position:absolute;left:2700;top:1088;width:1061;height:936" coordorigin="2700,1088" coordsize="1061,936" path="m2700,2024l3761,2024,3761,1088,2700,1088,2700,2024xe" filled="true" fillcolor="#ffffff" stroked="false">
                <v:path arrowok="t"/>
                <v:fill type="solid"/>
              </v:shape>
            </v:group>
            <v:group style="position:absolute;left:2711;top:2024;width:2;height:392" coordorigin="2711,2024" coordsize="2,392">
              <v:shape style="position:absolute;left:2711;top:2024;width:2;height:392" coordorigin="2711,2024" coordsize="0,392" path="m2711,2024l2711,2415e" filled="false" stroked="true" strokeweight="1.08pt" strokecolor="#ffffff">
                <v:path arrowok="t"/>
              </v:shape>
            </v:group>
            <v:group style="position:absolute;left:2722;top:2024;width:1016;height:392" coordorigin="2722,2024" coordsize="1016,392">
              <v:shape style="position:absolute;left:2722;top:2024;width:1016;height:392" coordorigin="2722,2024" coordsize="1016,392" path="m2722,2415l3737,2415,3737,2024,2722,2024,2722,2415xe" filled="true" fillcolor="#ffffff" stroked="false">
                <v:path arrowok="t"/>
                <v:fill type="solid"/>
              </v:shape>
            </v:group>
            <w10:wrap type="none"/>
          </v:group>
        </w:pict>
      </w:r>
      <w:r>
        <w:rPr/>
        <w:t>√ 适用 □</w:t>
      </w:r>
      <w:r>
        <w:rPr>
          <w:spacing w:val="1"/>
        </w:rPr>
        <w:t> </w:t>
      </w:r>
      <w:r>
        <w:rPr/>
        <w:t>不适用</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7"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24"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 公司、全资子公司 美年大健康产业</w:t>
            </w:r>
          </w:p>
          <w:p>
            <w:pPr>
              <w:pStyle w:val="TableParagraph"/>
              <w:spacing w:line="319" w:lineRule="auto" w:before="24"/>
              <w:ind w:left="24" w:right="84"/>
              <w:jc w:val="both"/>
              <w:rPr>
                <w:rFonts w:ascii="宋体" w:hAnsi="宋体" w:cs="宋体" w:eastAsia="宋体" w:hint="default"/>
                <w:sz w:val="18"/>
                <w:szCs w:val="18"/>
              </w:rPr>
            </w:pPr>
            <w:r>
              <w:rPr>
                <w:rFonts w:ascii="宋体" w:hAnsi="宋体" w:cs="宋体" w:eastAsia="宋体" w:hint="default"/>
                <w:spacing w:val="-4"/>
                <w:sz w:val="18"/>
                <w:szCs w:val="18"/>
              </w:rPr>
              <w:t>（集团）有限公司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下属子公司广州美 年医疗门诊部有限 公司及广州市美年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9"/>
                <w:sz w:val="18"/>
                <w:szCs w:val="18"/>
              </w:rPr>
              <w:t> </w:t>
            </w:r>
            <w:r>
              <w:rPr>
                <w:rFonts w:ascii="Times New Roman" w:hAnsi="Times New Roman" w:cs="Times New Roman" w:eastAsia="Times New Roman" w:hint="default"/>
                <w:position w:val="2"/>
                <w:sz w:val="18"/>
                <w:szCs w:val="18"/>
              </w:rPr>
              <w:t>50,000,000</w:t>
            </w:r>
            <w:r>
              <w:rPr>
                <w:rFonts w:ascii="Times New Roman" w:hAnsi="Times New Roman" w:cs="Times New Roman" w:eastAsia="Times New Roman"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朝阳法院 民事传票 </w:t>
            </w:r>
            <w:r>
              <w:rPr>
                <w:rFonts w:ascii="宋体" w:hAnsi="宋体" w:cs="宋体" w:eastAsia="宋体" w:hint="default"/>
                <w:spacing w:val="-4"/>
                <w:sz w:val="18"/>
                <w:szCs w:val="18"/>
              </w:rPr>
              <w:t>中显示，原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309" w:lineRule="auto"/>
              <w:ind w:left="23" w:right="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证据交换，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9"/>
              <w:jc w:val="left"/>
              <w:rPr>
                <w:rFonts w:ascii="宋体" w:hAnsi="宋体" w:cs="宋体" w:eastAsia="宋体" w:hint="default"/>
                <w:sz w:val="18"/>
                <w:szCs w:val="18"/>
              </w:rPr>
            </w:pPr>
            <w:r>
              <w:rPr>
                <w:rFonts w:ascii="宋体" w:hAnsi="宋体" w:cs="宋体" w:eastAsia="宋体" w:hint="default"/>
                <w:sz w:val="18"/>
                <w:szCs w:val="18"/>
              </w:rPr>
              <w:t>详见巨潮资 </w:t>
            </w:r>
            <w:r>
              <w:rPr>
                <w:rFonts w:ascii="宋体" w:hAnsi="宋体" w:cs="宋体" w:eastAsia="宋体" w:hint="default"/>
                <w:spacing w:val="-12"/>
                <w:sz w:val="18"/>
                <w:szCs w:val="18"/>
              </w:rPr>
              <w:t>讯网《公司及</w:t>
            </w:r>
            <w:r>
              <w:rPr>
                <w:rFonts w:ascii="宋体" w:hAnsi="宋体" w:cs="宋体" w:eastAsia="宋体" w:hint="default"/>
                <w:sz w:val="18"/>
                <w:szCs w:val="18"/>
              </w:rPr>
              <w:t> 其下属子公 司涉及诉讼 事项的公告》</w:t>
            </w:r>
          </w:p>
          <w:p>
            <w:pPr>
              <w:pStyle w:val="TableParagraph"/>
              <w:spacing w:line="240" w:lineRule="auto" w:before="19"/>
              <w:ind w:left="23" w:right="-49"/>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2016-015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6935" w:lineRule="exact"/>
        <w:ind w:left="148" w:right="0" w:firstLine="0"/>
        <w:rPr>
          <w:rFonts w:ascii="宋体" w:hAnsi="宋体" w:cs="宋体" w:eastAsia="宋体" w:hint="default"/>
          <w:sz w:val="20"/>
          <w:szCs w:val="20"/>
        </w:rPr>
      </w:pPr>
      <w:r>
        <w:rPr>
          <w:rFonts w:ascii="宋体" w:hAnsi="宋体" w:cs="宋体" w:eastAsia="宋体" w:hint="default"/>
          <w:position w:val="-138"/>
          <w:sz w:val="20"/>
          <w:szCs w:val="20"/>
        </w:rPr>
        <w:pict>
          <v:group style="width:479.05pt;height:346.75pt;mso-position-horizontal-relative:char;mso-position-vertical-relative:line" coordorigin="0,0" coordsize="9581,6935">
            <v:group style="position:absolute;left:1572;top:14;width:1061;height:6907" coordorigin="1572,14" coordsize="1061,6907">
              <v:shape style="position:absolute;left:1572;top:14;width:1061;height:6907" coordorigin="1572,14" coordsize="1061,6907" path="m1572,6921l2633,6921,2633,14,1572,14,1572,6921xe" filled="true" fillcolor="#ffffff" stroked="false">
                <v:path arrowok="t"/>
                <v:fill type="solid"/>
              </v:shape>
            </v:group>
            <v:group style="position:absolute;left:10;top:10;width:1551;height:2" coordorigin="10,10" coordsize="1551,2">
              <v:shape style="position:absolute;left:10;top:10;width:1551;height:2" coordorigin="10,10" coordsize="1551,0" path="m10,10l1560,10e" filled="false" stroked="true" strokeweight=".48pt" strokecolor="#000000">
                <v:path arrowok="t"/>
              </v:shape>
            </v:group>
            <v:group style="position:absolute;left:1570;top:10;width:1061;height:2" coordorigin="1570,10" coordsize="1061,2">
              <v:shape style="position:absolute;left:1570;top:10;width:1061;height:2" coordorigin="1570,10" coordsize="1061,0" path="m1570,10l2631,10e" filled="false" stroked="true" strokeweight=".48pt" strokecolor="#000000">
                <v:path arrowok="t"/>
              </v:shape>
            </v:group>
            <v:group style="position:absolute;left:2640;top:10;width:1239;height:2" coordorigin="2640,10" coordsize="1239,2">
              <v:shape style="position:absolute;left:2640;top:10;width:1239;height:2" coordorigin="2640,10" coordsize="1239,0" path="m2640,10l3879,10e" filled="false" stroked="true" strokeweight=".48pt" strokecolor="#000000">
                <v:path arrowok="t"/>
              </v:shape>
            </v:group>
            <v:group style="position:absolute;left:3889;top:10;width:932;height:2" coordorigin="3889,10" coordsize="932,2">
              <v:shape style="position:absolute;left:3889;top:10;width:932;height:2" coordorigin="3889,10" coordsize="932,0" path="m3889,10l4820,10e" filled="false" stroked="true" strokeweight=".48pt" strokecolor="#000000">
                <v:path arrowok="t"/>
              </v:shape>
            </v:group>
            <v:group style="position:absolute;left:4830;top:10;width:1364;height:2" coordorigin="4830,10" coordsize="1364,2">
              <v:shape style="position:absolute;left:4830;top:10;width:1364;height:2" coordorigin="4830,10" coordsize="1364,0" path="m4830,10l6193,10e" filled="false" stroked="true" strokeweight=".48pt" strokecolor="#000000">
                <v:path arrowok="t"/>
              </v:shape>
            </v:group>
            <v:group style="position:absolute;left:6203;top:10;width:1239;height:2" coordorigin="6203,10" coordsize="1239,2">
              <v:shape style="position:absolute;left:6203;top:10;width:1239;height:2" coordorigin="6203,10" coordsize="1239,0" path="m6203,10l7441,10e" filled="false" stroked="true" strokeweight=".48pt" strokecolor="#000000">
                <v:path arrowok="t"/>
              </v:shape>
            </v:group>
            <v:group style="position:absolute;left:7451;top:10;width:1055;height:2" coordorigin="7451,10" coordsize="1055,2">
              <v:shape style="position:absolute;left:7451;top:10;width:1055;height:2" coordorigin="7451,10" coordsize="1055,0" path="m7451,10l8505,10e" filled="false" stroked="true" strokeweight=".48pt" strokecolor="#000000">
                <v:path arrowok="t"/>
              </v:shape>
            </v:group>
            <v:group style="position:absolute;left:8515;top:10;width:1056;height:2" coordorigin="8515,10" coordsize="1056,2">
              <v:shape style="position:absolute;left:8515;top:10;width:1056;height:2" coordorigin="8515,10" coordsize="1056,0" path="m8515,10l9571,10e" filled="false" stroked="true" strokeweight=".48pt" strokecolor="#000000">
                <v:path arrowok="t"/>
              </v:shape>
            </v:group>
            <v:group style="position:absolute;left:5;top:5;width:2;height:6926" coordorigin="5,5" coordsize="2,6926">
              <v:shape style="position:absolute;left:5;top:5;width:2;height:6926" coordorigin="5,5" coordsize="0,6926" path="m5,5l5,6930e" filled="false" stroked="true" strokeweight=".48pt" strokecolor="#000000">
                <v:path arrowok="t"/>
              </v:shape>
            </v:group>
            <v:group style="position:absolute;left:10;top:6925;width:1551;height:2" coordorigin="10,6925" coordsize="1551,2">
              <v:shape style="position:absolute;left:10;top:6925;width:1551;height:2" coordorigin="10,6925" coordsize="1551,0" path="m10,6925l1560,6925e" filled="false" stroked="true" strokeweight=".48001pt" strokecolor="#000000">
                <v:path arrowok="t"/>
              </v:shape>
            </v:group>
            <v:group style="position:absolute;left:1565;top:5;width:2;height:6926" coordorigin="1565,5" coordsize="2,6926">
              <v:shape style="position:absolute;left:1565;top:5;width:2;height:6926" coordorigin="1565,5" coordsize="0,6926" path="m1565,5l1565,6930e" filled="false" stroked="true" strokeweight=".48001pt" strokecolor="#000000">
                <v:path arrowok="t"/>
              </v:shape>
            </v:group>
            <v:group style="position:absolute;left:1570;top:6925;width:1061;height:2" coordorigin="1570,6925" coordsize="1061,2">
              <v:shape style="position:absolute;left:1570;top:6925;width:1061;height:2" coordorigin="1570,6925" coordsize="1061,0" path="m1570,6925l2631,6925e" filled="false" stroked="true" strokeweight=".48001pt" strokecolor="#000000">
                <v:path arrowok="t"/>
              </v:shape>
            </v:group>
            <v:group style="position:absolute;left:2636;top:5;width:2;height:6926" coordorigin="2636,5" coordsize="2,6926">
              <v:shape style="position:absolute;left:2636;top:5;width:2;height:6926" coordorigin="2636,5" coordsize="0,6926" path="m2636,5l2636,6930e" filled="false" stroked="true" strokeweight=".48pt" strokecolor="#000000">
                <v:path arrowok="t"/>
              </v:shape>
            </v:group>
            <v:group style="position:absolute;left:2640;top:6925;width:1239;height:2" coordorigin="2640,6925" coordsize="1239,2">
              <v:shape style="position:absolute;left:2640;top:6925;width:1239;height:2" coordorigin="2640,6925" coordsize="1239,0" path="m2640,6925l3879,6925e" filled="false" stroked="true" strokeweight=".48001pt" strokecolor="#000000">
                <v:path arrowok="t"/>
              </v:shape>
            </v:group>
            <v:group style="position:absolute;left:3884;top:5;width:2;height:6926" coordorigin="3884,5" coordsize="2,6926">
              <v:shape style="position:absolute;left:3884;top:5;width:2;height:6926" coordorigin="3884,5" coordsize="0,6926" path="m3884,5l3884,6930e" filled="false" stroked="true" strokeweight=".48001pt" strokecolor="#000000">
                <v:path arrowok="t"/>
              </v:shape>
            </v:group>
            <v:group style="position:absolute;left:3889;top:6925;width:932;height:2" coordorigin="3889,6925" coordsize="932,2">
              <v:shape style="position:absolute;left:3889;top:6925;width:932;height:2" coordorigin="3889,6925" coordsize="932,0" path="m3889,6925l4820,6925e" filled="false" stroked="true" strokeweight=".48001pt" strokecolor="#000000">
                <v:path arrowok="t"/>
              </v:shape>
            </v:group>
            <v:group style="position:absolute;left:4825;top:5;width:2;height:6926" coordorigin="4825,5" coordsize="2,6926">
              <v:shape style="position:absolute;left:4825;top:5;width:2;height:6926" coordorigin="4825,5" coordsize="0,6926" path="m4825,5l4825,6930e" filled="false" stroked="true" strokeweight=".48001pt" strokecolor="#000000">
                <v:path arrowok="t"/>
              </v:shape>
            </v:group>
            <v:group style="position:absolute;left:4830;top:6925;width:1364;height:2" coordorigin="4830,6925" coordsize="1364,2">
              <v:shape style="position:absolute;left:4830;top:6925;width:1364;height:2" coordorigin="4830,6925" coordsize="1364,0" path="m4830,6925l6193,6925e" filled="false" stroked="true" strokeweight=".48001pt" strokecolor="#000000">
                <v:path arrowok="t"/>
              </v:shape>
            </v:group>
            <v:group style="position:absolute;left:6198;top:5;width:2;height:6926" coordorigin="6198,5" coordsize="2,6926">
              <v:shape style="position:absolute;left:6198;top:5;width:2;height:6926" coordorigin="6198,5" coordsize="0,6926" path="m6198,5l6198,6930e" filled="false" stroked="true" strokeweight=".48001pt" strokecolor="#000000">
                <v:path arrowok="t"/>
              </v:shape>
            </v:group>
            <v:group style="position:absolute;left:6203;top:6925;width:1239;height:2" coordorigin="6203,6925" coordsize="1239,2">
              <v:shape style="position:absolute;left:6203;top:6925;width:1239;height:2" coordorigin="6203,6925" coordsize="1239,0" path="m6203,6925l7441,6925e" filled="false" stroked="true" strokeweight=".48001pt" strokecolor="#000000">
                <v:path arrowok="t"/>
              </v:shape>
            </v:group>
            <v:group style="position:absolute;left:7446;top:5;width:2;height:6926" coordorigin="7446,5" coordsize="2,6926">
              <v:shape style="position:absolute;left:7446;top:5;width:2;height:6926" coordorigin="7446,5" coordsize="0,6926" path="m7446,5l7446,6930e" filled="false" stroked="true" strokeweight=".47998pt" strokecolor="#000000">
                <v:path arrowok="t"/>
              </v:shape>
            </v:group>
            <v:group style="position:absolute;left:7451;top:6925;width:1055;height:2" coordorigin="7451,6925" coordsize="1055,2">
              <v:shape style="position:absolute;left:7451;top:6925;width:1055;height:2" coordorigin="7451,6925" coordsize="1055,0" path="m7451,6925l8505,6925e" filled="false" stroked="true" strokeweight=".48001pt" strokecolor="#000000">
                <v:path arrowok="t"/>
              </v:shape>
            </v:group>
            <v:group style="position:absolute;left:8510;top:5;width:2;height:6926" coordorigin="8510,5" coordsize="2,6926">
              <v:shape style="position:absolute;left:8510;top:5;width:2;height:6926" coordorigin="8510,5" coordsize="0,6926" path="m8510,5l8510,6930e" filled="false" stroked="true" strokeweight=".48001pt" strokecolor="#000000">
                <v:path arrowok="t"/>
              </v:shape>
            </v:group>
            <v:group style="position:absolute;left:8515;top:6925;width:1056;height:2" coordorigin="8515,6925" coordsize="1056,2">
              <v:shape style="position:absolute;left:8515;top:6925;width:1056;height:2" coordorigin="8515,6925" coordsize="1056,0" path="m8515,6925l9571,6925e" filled="false" stroked="true" strokeweight=".48001pt" strokecolor="#000000">
                <v:path arrowok="t"/>
              </v:shape>
            </v:group>
            <v:group style="position:absolute;left:9576;top:5;width:2;height:6926" coordorigin="9576,5" coordsize="2,6926">
              <v:shape style="position:absolute;left:9576;top:5;width:2;height:6926" coordorigin="9576,5" coordsize="0,6926" path="m9576,5l9576,6930e" filled="false" stroked="true" strokeweight=".47998pt" strokecolor="#000000">
                <v:path arrowok="t"/>
              </v:shape>
              <v:shape style="position:absolute;left:34;top:79;width:1508;height:610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大健康医疗科技有</w:t>
                      </w:r>
                    </w:p>
                    <w:p>
                      <w:pPr>
                        <w:spacing w:line="314" w:lineRule="auto"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限公司分别收到北 京市朝阳区人民法 院寄来的民事传票 及民事起诉状等资 </w:t>
                      </w:r>
                      <w:r>
                        <w:rPr>
                          <w:rFonts w:ascii="宋体" w:hAnsi="宋体" w:cs="宋体" w:eastAsia="宋体" w:hint="default"/>
                          <w:spacing w:val="-13"/>
                          <w:sz w:val="18"/>
                          <w:szCs w:val="18"/>
                        </w:rPr>
                        <w:t>料。其诉讼请求：</w:t>
                      </w:r>
                      <w:r>
                        <w:rPr>
                          <w:rFonts w:ascii="Times New Roman" w:hAnsi="Times New Roman" w:cs="Times New Roman" w:eastAsia="Times New Roman" w:hint="default"/>
                          <w:spacing w:val="-13"/>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判令被告立即停止 侵犯原告商业秘密 </w:t>
                      </w:r>
                      <w:r>
                        <w:rPr>
                          <w:rFonts w:ascii="宋体" w:hAnsi="宋体" w:cs="宋体" w:eastAsia="宋体" w:hint="default"/>
                          <w:spacing w:val="-3"/>
                          <w:sz w:val="18"/>
                          <w:szCs w:val="18"/>
                        </w:rPr>
                        <w:t>的行为；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、判令被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告连带赔偿原告经 济损失人民币 </w:t>
                      </w:r>
                      <w:r>
                        <w:rPr>
                          <w:rFonts w:ascii="Times New Roman" w:hAnsi="Times New Roman" w:cs="Times New Roman" w:eastAsia="Times New Roman" w:hint="default"/>
                          <w:sz w:val="18"/>
                          <w:szCs w:val="18"/>
                        </w:rPr>
                        <w:t>50,000,000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line="316" w:lineRule="auto" w:before="1"/>
                        <w:ind w:left="0" w:right="65" w:firstLine="0"/>
                        <w:jc w:val="both"/>
                        <w:rPr>
                          <w:rFonts w:ascii="宋体" w:hAnsi="宋体" w:cs="宋体" w:eastAsia="宋体" w:hint="default"/>
                          <w:sz w:val="18"/>
                          <w:szCs w:val="18"/>
                        </w:rPr>
                      </w:pPr>
                      <w:r>
                        <w:rPr>
                          <w:rFonts w:ascii="宋体" w:hAnsi="宋体" w:cs="宋体" w:eastAsia="宋体" w:hint="default"/>
                          <w:sz w:val="18"/>
                          <w:szCs w:val="18"/>
                        </w:rPr>
                        <w:t>判令被告承担本案 全部诉讼费，并承 担原告为调查、制 止侵权行为所支出 的合理费用，包括 律师费、调查费、 公证费、翻译费以</w:t>
                      </w:r>
                    </w:p>
                    <w:p>
                      <w:pPr>
                        <w:spacing w:before="19"/>
                        <w:ind w:left="0" w:right="0" w:firstLine="0"/>
                        <w:jc w:val="left"/>
                        <w:rPr>
                          <w:rFonts w:ascii="宋体" w:hAnsi="宋体" w:cs="宋体" w:eastAsia="宋体" w:hint="default"/>
                          <w:sz w:val="18"/>
                          <w:szCs w:val="18"/>
                        </w:rPr>
                      </w:pPr>
                      <w:r>
                        <w:rPr>
                          <w:rFonts w:ascii="宋体" w:hAnsi="宋体" w:cs="宋体" w:eastAsia="宋体" w:hint="default"/>
                          <w:sz w:val="18"/>
                          <w:szCs w:val="18"/>
                        </w:rPr>
                        <w:t>及差旅费等。</w:t>
                      </w:r>
                    </w:p>
                  </w:txbxContent>
                </v:textbox>
                <w10:wrap type="none"/>
              </v:shape>
              <v:shape style="position:absolute;left:3913;top:79;width:900;height:673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庭。在答辩</w:t>
                      </w:r>
                    </w:p>
                    <w:p>
                      <w:pPr>
                        <w:spacing w:line="316" w:lineRule="auto" w:before="76"/>
                        <w:ind w:left="0" w:right="13" w:firstLine="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期内，被告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spacing w:line="316"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日前后 提出管辖 权异议申 </w:t>
                      </w:r>
                      <w:r>
                        <w:rPr>
                          <w:rFonts w:ascii="宋体" w:hAnsi="宋体" w:cs="宋体" w:eastAsia="宋体" w:hint="default"/>
                          <w:spacing w:val="-4"/>
                          <w:sz w:val="18"/>
                          <w:szCs w:val="18"/>
                        </w:rPr>
                        <w:t>请，申请将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案件移送 至广州市 中级人民 法院审理。 故原定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spacing w:line="248"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日证据交</w:t>
                      </w:r>
                    </w:p>
                    <w:p>
                      <w:pPr>
                        <w:spacing w:line="314" w:lineRule="auto" w:before="63"/>
                        <w:ind w:left="0" w:right="0" w:firstLine="0"/>
                        <w:jc w:val="left"/>
                        <w:rPr>
                          <w:rFonts w:ascii="宋体" w:hAnsi="宋体" w:cs="宋体" w:eastAsia="宋体" w:hint="default"/>
                          <w:sz w:val="18"/>
                          <w:szCs w:val="18"/>
                        </w:rPr>
                      </w:pPr>
                      <w:r>
                        <w:rPr>
                          <w:rFonts w:ascii="宋体" w:hAnsi="宋体" w:cs="宋体" w:eastAsia="宋体" w:hint="default"/>
                          <w:sz w:val="18"/>
                          <w:szCs w:val="18"/>
                        </w:rPr>
                        <w:t>换及</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日的庭审 暂不进行， 截止本报 告披露日， 公司尚未 收到案件 进展的其</w:t>
                      </w:r>
                    </w:p>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他通知。</w:t>
                      </w:r>
                    </w:p>
                  </w:txbxContent>
                </v:textbox>
                <w10:wrap type="none"/>
              </v:shape>
            </v:group>
          </v:group>
        </w:pict>
      </w:r>
      <w:r>
        <w:rPr>
          <w:rFonts w:ascii="宋体" w:hAnsi="宋体" w:cs="宋体" w:eastAsia="宋体" w:hint="default"/>
          <w:position w:val="-138"/>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pict>
          <v:shape style="position:absolute;margin-left:128.899994pt;margin-top:-357.594391pt;width:59.2pt;height:345.35pt;mso-position-horizontal-relative:page;mso-position-vertical-relative:paragraph;z-index:-14007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十三、处罚及整改情况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right="5723"/>
        <w:jc w:val="left"/>
      </w:pPr>
      <w:r>
        <w:rPr/>
        <w:t>□ 适用 √ 不适用</w:t>
      </w:r>
      <w:r>
        <w:rPr>
          <w:spacing w:val="-104"/>
        </w:rPr>
        <w:t> </w:t>
      </w:r>
      <w:r>
        <w:rPr>
          <w:spacing w:val="-104"/>
        </w:rPr>
      </w:r>
      <w:r>
        <w:rPr>
          <w:spacing w:val="-2"/>
        </w:rPr>
        <w:t>公司报告期不存在处罚及整改情况。</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10"/>
        <w:rPr>
          <w:rFonts w:ascii="宋体" w:hAnsi="宋体" w:cs="宋体" w:eastAsia="宋体" w:hint="default"/>
          <w:b/>
          <w:bCs/>
          <w:sz w:val="30"/>
          <w:szCs w:val="30"/>
        </w:rPr>
      </w:pPr>
    </w:p>
    <w:p>
      <w:pPr>
        <w:pStyle w:val="BodyText"/>
        <w:spacing w:line="444" w:lineRule="auto" w:before="0"/>
        <w:ind w:right="1587"/>
        <w:jc w:val="left"/>
      </w:pPr>
      <w:r>
        <w:rPr/>
        <w:t>□ 适用 √ 不适用</w:t>
      </w:r>
      <w:r>
        <w:rPr>
          <w:spacing w:val="-104"/>
        </w:rPr>
        <w:t> </w:t>
      </w:r>
      <w:r>
        <w:rPr>
          <w:spacing w:val="-104"/>
        </w:rPr>
      </w:r>
      <w:r>
        <w:rPr>
          <w:spacing w:val="-2"/>
        </w:rPr>
        <w:t>公司报告期无股权激励计划、员工持股计划或其他员工激励措施及其实施情况。</w:t>
      </w:r>
    </w:p>
    <w:p>
      <w:pPr>
        <w:spacing w:after="0" w:line="444"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30"/>
          <w:szCs w:val="30"/>
        </w:rPr>
      </w:pPr>
    </w:p>
    <w:p>
      <w:pPr>
        <w:pStyle w:val="BodyText"/>
        <w:spacing w:line="444" w:lineRule="auto" w:before="0"/>
        <w:ind w:right="4344"/>
        <w:jc w:val="left"/>
      </w:pPr>
      <w:r>
        <w:rPr/>
        <w:t>□ 适用 √ 不适用</w:t>
      </w:r>
      <w:r>
        <w:rPr>
          <w:spacing w:val="-104"/>
        </w:rPr>
        <w:t> </w:t>
      </w:r>
      <w:r>
        <w:rPr>
          <w:spacing w:val="-104"/>
        </w:rPr>
      </w:r>
      <w:r>
        <w:rPr>
          <w:spacing w:val="-2"/>
        </w:rPr>
        <w:t>公司报告期未发生与日常经营相关的关联交易。</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5"/>
        <w:gridCol w:w="751"/>
        <w:gridCol w:w="727"/>
        <w:gridCol w:w="728"/>
        <w:gridCol w:w="727"/>
        <w:gridCol w:w="802"/>
        <w:gridCol w:w="785"/>
        <w:gridCol w:w="588"/>
        <w:gridCol w:w="854"/>
        <w:gridCol w:w="922"/>
        <w:gridCol w:w="920"/>
        <w:gridCol w:w="912"/>
      </w:tblGrid>
      <w:tr>
        <w:trPr>
          <w:trHeight w:val="1337"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0"/>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8"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4" w:right="99"/>
              <w:jc w:val="left"/>
              <w:rPr>
                <w:rFonts w:ascii="宋体" w:hAnsi="宋体" w:cs="宋体" w:eastAsia="宋体" w:hint="default"/>
                <w:sz w:val="18"/>
                <w:szCs w:val="18"/>
              </w:rPr>
            </w:pPr>
            <w:r>
              <w:rPr>
                <w:rFonts w:ascii="宋体" w:hAnsi="宋体" w:cs="宋体" w:eastAsia="宋体" w:hint="default"/>
                <w:sz w:val="18"/>
                <w:szCs w:val="18"/>
              </w:rPr>
              <w:t>俞熔等一 致行动人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75"/>
              <w:jc w:val="both"/>
              <w:rPr>
                <w:rFonts w:ascii="宋体" w:hAnsi="宋体" w:cs="宋体" w:eastAsia="宋体" w:hint="default"/>
                <w:sz w:val="18"/>
                <w:szCs w:val="18"/>
              </w:rPr>
            </w:pPr>
            <w:r>
              <w:rPr>
                <w:rFonts w:ascii="宋体" w:hAnsi="宋体" w:cs="宋体" w:eastAsia="宋体" w:hint="default"/>
                <w:sz w:val="18"/>
                <w:szCs w:val="18"/>
              </w:rPr>
              <w:t>重大资 产重组 后公司 的控股 股东</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3" w:right="151"/>
              <w:jc w:val="left"/>
              <w:rPr>
                <w:rFonts w:ascii="宋体" w:hAnsi="宋体" w:cs="宋体" w:eastAsia="宋体" w:hint="default"/>
                <w:sz w:val="18"/>
                <w:szCs w:val="18"/>
              </w:rPr>
            </w:pPr>
            <w:r>
              <w:rPr>
                <w:rFonts w:ascii="宋体" w:hAnsi="宋体" w:cs="宋体" w:eastAsia="宋体" w:hint="default"/>
                <w:sz w:val="18"/>
                <w:szCs w:val="18"/>
              </w:rPr>
              <w:t>对外投 资</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0"/>
              <w:ind w:left="23" w:right="152"/>
              <w:jc w:val="both"/>
              <w:rPr>
                <w:rFonts w:ascii="宋体" w:hAnsi="宋体" w:cs="宋体" w:eastAsia="宋体" w:hint="default"/>
                <w:sz w:val="18"/>
                <w:szCs w:val="18"/>
              </w:rPr>
            </w:pPr>
            <w:r>
              <w:rPr>
                <w:rFonts w:ascii="宋体" w:hAnsi="宋体" w:cs="宋体" w:eastAsia="宋体" w:hint="default"/>
                <w:sz w:val="18"/>
                <w:szCs w:val="18"/>
              </w:rPr>
              <w:t>公司重 大资产 置换及 发行股 份购买 资产并 募集配 套资金 暨关联 交易</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3" w:right="151"/>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235,969.6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554,270.0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1" w:right="0"/>
              <w:jc w:val="center"/>
              <w:rPr>
                <w:rFonts w:ascii="Times New Roman" w:hAnsi="Times New Roman" w:cs="Times New Roman" w:eastAsia="Times New Roman" w:hint="default"/>
                <w:sz w:val="18"/>
                <w:szCs w:val="18"/>
              </w:rPr>
            </w:pPr>
            <w:r>
              <w:rPr>
                <w:rFonts w:ascii="Times New Roman"/>
                <w:sz w:val="18"/>
              </w:rPr>
              <w:t>554,27</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重大资产 置换及发 行股份购 买资产</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5"/>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详见巨潮 资讯网于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10"/>
                <w:sz w:val="18"/>
                <w:szCs w:val="18"/>
              </w:rPr>
              <w:t>露的《重大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资产置换 及发行股 份购买资 产并募集 配套资金 暨关联交 易报告书</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146"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重大资 产重组 置出资 产接受 方的控 股股东</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152"/>
              <w:jc w:val="both"/>
              <w:rPr>
                <w:rFonts w:ascii="宋体" w:hAnsi="宋体" w:cs="宋体" w:eastAsia="宋体" w:hint="default"/>
                <w:sz w:val="18"/>
                <w:szCs w:val="18"/>
              </w:rPr>
            </w:pPr>
            <w:r>
              <w:rPr>
                <w:rFonts w:ascii="宋体" w:hAnsi="宋体" w:cs="宋体" w:eastAsia="宋体" w:hint="default"/>
                <w:sz w:val="18"/>
                <w:szCs w:val="18"/>
              </w:rPr>
              <w:t>公司重 大资产 置换及 发行股 份购买 资产并 募集配 套资金 暨关联 交易</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37,956.41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48,587.02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62" w:right="0"/>
              <w:jc w:val="left"/>
              <w:rPr>
                <w:rFonts w:ascii="Times New Roman" w:hAnsi="Times New Roman" w:cs="Times New Roman" w:eastAsia="Times New Roman" w:hint="default"/>
                <w:sz w:val="18"/>
                <w:szCs w:val="18"/>
              </w:rPr>
            </w:pPr>
            <w:r>
              <w:rPr>
                <w:rFonts w:ascii="Times New Roman"/>
                <w:sz w:val="18"/>
              </w:rPr>
              <w:t>48,587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重大资产 置换</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5"/>
              <w:jc w:val="both"/>
              <w:rPr>
                <w:rFonts w:ascii="Times New Roman" w:hAnsi="Times New Roman" w:cs="Times New Roman" w:eastAsia="Times New Roman" w:hint="default"/>
                <w:sz w:val="18"/>
                <w:szCs w:val="18"/>
              </w:rPr>
            </w:pPr>
            <w:r>
              <w:rPr>
                <w:rFonts w:ascii="宋体" w:hAnsi="宋体" w:cs="宋体" w:eastAsia="宋体" w:hint="default"/>
                <w:sz w:val="18"/>
                <w:szCs w:val="18"/>
              </w:rPr>
              <w:t>详见巨潮 资讯网于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10"/>
                <w:sz w:val="18"/>
                <w:szCs w:val="18"/>
              </w:rPr>
              <w:t>露的《重大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资产置换 及发行股 份购买资 产并募集 配套资金 暨关联交 易报告书</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标的资产的市场价值由后续收益来确认，无法以账面价值做依据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60"/>
        <w:gridCol w:w="6510"/>
      </w:tblGrid>
      <w:tr>
        <w:trPr>
          <w:trHeight w:val="7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5"/>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增强上市公司盈利能力，改善上市公司资产质量和资产结构</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报告期内，美年大健康产业（集团）有限公司实现扣除非经常性损益后归属于母公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司股东的净利润为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22611.01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246.289993pt;margin-top:53.381725pt;width:86.8pt;height:109.2pt;mso-position-horizontal-relative:page;mso-position-vertical-relative:paragraph;z-index:-1400680"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赁业务；</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508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大嶺有限公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关联自然人 直系亲属控 制的企业</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6" w:right="140"/>
              <w:jc w:val="both"/>
              <w:rPr>
                <w:rFonts w:ascii="宋体" w:hAnsi="宋体" w:cs="宋体" w:eastAsia="宋体" w:hint="default"/>
                <w:sz w:val="18"/>
                <w:szCs w:val="18"/>
              </w:rPr>
            </w:pPr>
            <w:r>
              <w:rPr>
                <w:rFonts w:ascii="宋体" w:hAnsi="宋体" w:cs="宋体" w:eastAsia="宋体" w:hint="default"/>
                <w:sz w:val="18"/>
                <w:szCs w:val="18"/>
              </w:rPr>
              <w:t>上海美鑫融 资租赁有限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融资租赁业 务；租 向国内外购买 租赁财产；租 赁财产的残值 处理及维修； 租赁交易咨询 和担保；从事 与主营业务有 关的商业保理 </w:t>
            </w:r>
            <w:r>
              <w:rPr>
                <w:rFonts w:ascii="宋体" w:hAnsi="宋体" w:cs="宋体" w:eastAsia="宋体" w:hint="default"/>
                <w:spacing w:val="-14"/>
                <w:sz w:val="18"/>
                <w:szCs w:val="18"/>
              </w:rPr>
              <w:t>业务。【依法须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目，经相关部 门批准后方可 开展经营活 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left="2" w:right="-53"/>
              <w:jc w:val="left"/>
              <w:rPr>
                <w:rFonts w:ascii="宋体" w:hAnsi="宋体" w:cs="宋体" w:eastAsia="宋体" w:hint="default"/>
                <w:sz w:val="20"/>
                <w:szCs w:val="20"/>
              </w:rPr>
            </w:pPr>
            <w:r>
              <w:rPr>
                <w:rFonts w:ascii="宋体" w:hAnsi="宋体" w:cs="宋体" w:eastAsia="宋体" w:hint="default"/>
                <w:position w:val="-43"/>
                <w:sz w:val="20"/>
                <w:szCs w:val="20"/>
              </w:rPr>
              <w:pict>
                <v:group style="width:53.55pt;height:109.2pt;mso-position-horizontal-relative:char;mso-position-vertical-relative:line" coordorigin="0,0" coordsize="1071,2184">
                  <v:group style="position:absolute;left:0;top:0;width:1071;height:2184" coordorigin="0,0" coordsize="1071,2184">
                    <v:shape style="position:absolute;left:0;top:0;width:1071;height:2184" coordorigin="0,0" coordsize="1071,2184" path="m0,2184l1071,2184,1071,0,0,0,0,2184xe" filled="true" fillcolor="#ffffff" stroked="false">
                      <v:path arrowok="t"/>
                      <v:fill type="solid"/>
                    </v:shape>
                  </v:group>
                </v:group>
              </w:pict>
            </w:r>
            <w:r>
              <w:rPr>
                <w:rFonts w:ascii="宋体" w:hAnsi="宋体" w:cs="宋体" w:eastAsia="宋体" w:hint="default"/>
                <w:position w:val="-43"/>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20,878.76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20,486.85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816" w:right="0"/>
              <w:jc w:val="left"/>
              <w:rPr>
                <w:rFonts w:ascii="Times New Roman" w:hAnsi="Times New Roman" w:cs="Times New Roman" w:eastAsia="Times New Roman" w:hint="default"/>
                <w:sz w:val="18"/>
                <w:szCs w:val="18"/>
              </w:rPr>
            </w:pPr>
            <w:r>
              <w:rPr>
                <w:rFonts w:ascii="Times New Roman"/>
                <w:sz w:val="18"/>
              </w:rPr>
              <w:t>486.85</w:t>
            </w:r>
          </w:p>
        </w:tc>
      </w:tr>
      <w:tr>
        <w:trPr>
          <w:trHeight w:val="71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right="5723"/>
        <w:jc w:val="left"/>
      </w:pPr>
      <w:r>
        <w:rPr/>
        <w:t>□ 适用 √ 不适用</w:t>
      </w:r>
      <w:r>
        <w:rPr>
          <w:spacing w:val="-104"/>
        </w:rPr>
        <w:t> </w:t>
      </w:r>
      <w:r>
        <w:rPr>
          <w:spacing w:val="-104"/>
        </w:rPr>
      </w:r>
      <w:r>
        <w:rPr>
          <w:spacing w:val="-2"/>
        </w:rPr>
        <w:t>公司报告期不存在关联债权债务往来。</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left="573" w:right="0" w:hanging="421"/>
        <w:jc w:val="left"/>
      </w:pPr>
      <w:r>
        <w:rPr/>
        <w:t>√ 适用 □ 不适用</w:t>
      </w:r>
      <w:r>
        <w:rPr>
          <w:spacing w:val="-104"/>
        </w:rPr>
        <w:t> </w:t>
      </w:r>
      <w:r>
        <w:rPr>
          <w:spacing w:val="-104"/>
        </w:rPr>
      </w: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公司第六届董事会第四次会议和</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7</w:t>
      </w:r>
      <w:r>
        <w:rPr>
          <w:spacing w:val="-2"/>
        </w:rPr>
        <w:t>日公司</w:t>
      </w:r>
      <w:r>
        <w:rPr>
          <w:rFonts w:ascii="宋体" w:hAnsi="宋体" w:cs="宋体" w:eastAsia="宋体" w:hint="default"/>
          <w:spacing w:val="-2"/>
        </w:rPr>
        <w:t>2015</w:t>
      </w:r>
      <w:r>
        <w:rPr>
          <w:spacing w:val="-2"/>
        </w:rPr>
        <w:t>年第五次临时股东大会，审</w:t>
      </w:r>
    </w:p>
    <w:p>
      <w:pPr>
        <w:pStyle w:val="BodyText"/>
        <w:spacing w:line="408" w:lineRule="auto" w:before="17"/>
        <w:ind w:right="0"/>
        <w:jc w:val="left"/>
      </w:pPr>
      <w:r>
        <w:rPr>
          <w:spacing w:val="-2"/>
        </w:rPr>
        <w:t>议通过了《关于全资子公司为参股公司融资租赁提供担保暨关联交易的议案》，同意公司全资子公司美年</w:t>
      </w:r>
      <w:r>
        <w:rPr>
          <w:spacing w:val="-43"/>
        </w:rPr>
        <w:t> </w:t>
      </w:r>
      <w:r>
        <w:rPr>
          <w:spacing w:val="-43"/>
        </w:rPr>
      </w:r>
      <w:r>
        <w:rPr>
          <w:spacing w:val="-2"/>
        </w:rPr>
        <w:t>大健康为参股公司与拉赫兰顿融资租赁（中国）有限公司进行医疗设备融资租赁业务提供担保，本次担保</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0" w:hanging="421"/>
        <w:jc w:val="left"/>
      </w:pPr>
      <w:r>
        <w:rPr/>
        <w:t>总金额为</w:t>
      </w:r>
      <w:r>
        <w:rPr>
          <w:rFonts w:ascii="宋体" w:hAnsi="宋体" w:cs="宋体" w:eastAsia="宋体" w:hint="default"/>
        </w:rPr>
        <w:t>1,330</w:t>
      </w:r>
      <w:r>
        <w:rPr/>
        <w:t>万元。</w:t>
      </w:r>
      <w:r>
        <w:rPr>
          <w:w w:val="100"/>
        </w:rPr>
        <w:t> </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公司第六届董事会第四次会议和</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7</w:t>
      </w:r>
      <w:r>
        <w:rPr>
          <w:spacing w:val="-2"/>
        </w:rPr>
        <w:t>日公司</w:t>
      </w:r>
      <w:r>
        <w:rPr>
          <w:rFonts w:ascii="宋体" w:hAnsi="宋体" w:cs="宋体" w:eastAsia="宋体" w:hint="default"/>
          <w:spacing w:val="-2"/>
        </w:rPr>
        <w:t>2015</w:t>
      </w:r>
      <w:r>
        <w:rPr>
          <w:spacing w:val="-2"/>
        </w:rPr>
        <w:t>年第五次临时股东大会，审</w:t>
      </w:r>
    </w:p>
    <w:p>
      <w:pPr>
        <w:pStyle w:val="BodyText"/>
        <w:spacing w:line="408" w:lineRule="auto"/>
        <w:ind w:left="212" w:right="0"/>
        <w:jc w:val="left"/>
      </w:pPr>
      <w:r>
        <w:rPr/>
        <w:t>议通过了《关于全资子公司参与签订慈铭健康体检管理集团股份有限公司之股份转让协议之补充协议暨关</w:t>
      </w:r>
      <w:r>
        <w:rPr>
          <w:w w:val="100"/>
        </w:rPr>
        <w:t> </w:t>
      </w:r>
      <w:r>
        <w:rPr>
          <w:spacing w:val="-2"/>
        </w:rPr>
        <w:t>联交易的议案》，该补充协议约定：天亿资管以现金方式作为支付形式受让鹰潭健之康业、北京鼎晖创业</w:t>
      </w:r>
      <w:r>
        <w:rPr>
          <w:spacing w:val="-47"/>
        </w:rPr>
        <w:t> </w:t>
      </w:r>
      <w:r>
        <w:rPr>
          <w:spacing w:val="-47"/>
        </w:rPr>
      </w:r>
      <w:r>
        <w:rPr/>
        <w:t>投资中心（有限合伙）、深圳市天图兴瑞创业投资有限公司等</w:t>
      </w:r>
      <w:r>
        <w:rPr>
          <w:rFonts w:ascii="宋体" w:hAnsi="宋体" w:cs="宋体" w:eastAsia="宋体" w:hint="default"/>
        </w:rPr>
        <w:t>14</w:t>
      </w:r>
      <w:r>
        <w:rPr/>
        <w:t>名慈铭体检股东合计持有的慈铭体检</w:t>
      </w:r>
      <w:r>
        <w:rPr>
          <w:w w:val="100"/>
        </w:rPr>
        <w:t> </w:t>
      </w:r>
      <w:r>
        <w:rPr>
          <w:rFonts w:ascii="宋体" w:hAnsi="宋体" w:cs="宋体" w:eastAsia="宋体" w:hint="default"/>
          <w:spacing w:val="-2"/>
        </w:rPr>
        <w:t>82,080,878</w:t>
      </w:r>
      <w:r>
        <w:rPr>
          <w:spacing w:val="-2"/>
        </w:rPr>
        <w:t>股股份，约占慈铭体检总股本的</w:t>
      </w:r>
      <w:r>
        <w:rPr>
          <w:rFonts w:ascii="宋体" w:hAnsi="宋体" w:cs="宋体" w:eastAsia="宋体" w:hint="default"/>
          <w:spacing w:val="-2"/>
        </w:rPr>
        <w:t>68.40%</w:t>
      </w:r>
      <w:r>
        <w:rPr>
          <w:spacing w:val="-2"/>
        </w:rPr>
        <w:t>。现金支付的总对价为人民币</w:t>
      </w:r>
      <w:r>
        <w:rPr>
          <w:rFonts w:ascii="宋体" w:hAnsi="宋体" w:cs="宋体" w:eastAsia="宋体" w:hint="default"/>
          <w:spacing w:val="-2"/>
        </w:rPr>
        <w:t>2,462,426,340</w:t>
      </w:r>
      <w:r>
        <w:rPr>
          <w:spacing w:val="-2"/>
        </w:rPr>
        <w:t>元（大写：</w:t>
      </w:r>
      <w:r>
        <w:rPr>
          <w:spacing w:val="-13"/>
        </w:rPr>
        <w:t> </w:t>
      </w:r>
      <w:r>
        <w:rPr>
          <w:spacing w:val="-13"/>
        </w:rPr>
      </w:r>
      <w:r>
        <w:rPr>
          <w:spacing w:val="-5"/>
        </w:rPr>
        <w:t>人民币贰拾肆亿陆仟贰佰肆拾贰万陆仟叁佰肆拾元整）。独立董事对关联交易发表了事前认可和独立意见，</w:t>
      </w:r>
      <w:r>
        <w:rPr>
          <w:spacing w:val="-4"/>
        </w:rPr>
        <w:t> </w:t>
      </w:r>
      <w:r>
        <w:rPr>
          <w:spacing w:val="-4"/>
        </w:rPr>
      </w:r>
      <w:r>
        <w:rPr/>
        <w:t>董事会、股东大会表决中关联董事、关联股东进行了回避表决。</w:t>
      </w:r>
    </w:p>
    <w:p>
      <w:pPr>
        <w:pStyle w:val="BodyText"/>
        <w:spacing w:line="240" w:lineRule="auto" w:before="87"/>
        <w:ind w:left="633" w:right="0"/>
        <w:jc w:val="left"/>
      </w:pPr>
      <w:r>
        <w:rPr/>
        <w:t>重大关联交易临时报告披露网站相关查询</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220"/>
        <w:gridCol w:w="2410"/>
        <w:gridCol w:w="2941"/>
      </w:tblGrid>
      <w:tr>
        <w:trPr>
          <w:trHeight w:val="40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64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pacing w:val="-5"/>
                <w:sz w:val="18"/>
                <w:szCs w:val="18"/>
              </w:rPr>
              <w:t>第六届董事会第四次会议决议公告（</w:t>
            </w:r>
            <w:r>
              <w:rPr>
                <w:rFonts w:ascii="Times New Roman" w:hAnsi="Times New Roman" w:cs="Times New Roman" w:eastAsia="Times New Roman" w:hint="default"/>
                <w:spacing w:val="-5"/>
                <w:sz w:val="18"/>
                <w:szCs w:val="18"/>
              </w:rPr>
              <w:t>2015-123</w:t>
            </w:r>
            <w:r>
              <w:rPr>
                <w:rFonts w:ascii="宋体" w:hAnsi="宋体" w:cs="宋体" w:eastAsia="宋体" w:hint="default"/>
                <w:spacing w:val="-5"/>
                <w:sz w:val="18"/>
                <w:szCs w:val="18"/>
              </w:rPr>
              <w:t>）、关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于全资子公司为参股公司融资租赁提供担保暨关联 </w:t>
            </w:r>
            <w:r>
              <w:rPr>
                <w:rFonts w:ascii="宋体" w:hAnsi="宋体" w:cs="宋体" w:eastAsia="宋体" w:hint="default"/>
                <w:spacing w:val="-5"/>
                <w:sz w:val="18"/>
                <w:szCs w:val="18"/>
              </w:rPr>
              <w:t>交易的公告（</w:t>
            </w:r>
            <w:r>
              <w:rPr>
                <w:rFonts w:ascii="Times New Roman" w:hAnsi="Times New Roman" w:cs="Times New Roman" w:eastAsia="Times New Roman" w:hint="default"/>
                <w:spacing w:val="-5"/>
                <w:sz w:val="18"/>
                <w:szCs w:val="18"/>
              </w:rPr>
              <w:t>2015-127</w:t>
            </w:r>
            <w:r>
              <w:rPr>
                <w:rFonts w:ascii="宋体" w:hAnsi="宋体" w:cs="宋体" w:eastAsia="宋体" w:hint="default"/>
                <w:spacing w:val="-5"/>
                <w:sz w:val="18"/>
                <w:szCs w:val="18"/>
              </w:rPr>
              <w:t>）、关于全资子公司参与签订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慈铭健康体检管理集团股份有限公司之股份转让协 议之补充协议暨关联交易的公告（</w:t>
            </w:r>
            <w:r>
              <w:rPr>
                <w:rFonts w:ascii="Times New Roman" w:hAnsi="Times New Roman" w:cs="Times New Roman" w:eastAsia="Times New Roman" w:hint="default"/>
                <w:sz w:val="18"/>
                <w:szCs w:val="18"/>
              </w:rPr>
              <w:t>2015-128</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年第五次临时股东大会决议公告（</w:t>
            </w:r>
            <w:r>
              <w:rPr>
                <w:rFonts w:ascii="Times New Roman" w:hAnsi="Times New Roman" w:cs="Times New Roman" w:eastAsia="Times New Roman" w:hint="default"/>
                <w:sz w:val="18"/>
                <w:szCs w:val="18"/>
              </w:rPr>
              <w:t>2015-138</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212"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left="212" w:right="5416"/>
        <w:jc w:val="left"/>
      </w:pPr>
      <w:r>
        <w:rPr/>
        <w:t>□ 适用 √</w:t>
      </w:r>
      <w:r>
        <w:rPr>
          <w:spacing w:val="-1"/>
        </w:rPr>
        <w:t> </w:t>
      </w:r>
      <w:r>
        <w:rPr/>
        <w:t>不适用</w:t>
      </w:r>
      <w:r>
        <w:rPr>
          <w:w w:val="100"/>
        </w:rPr>
        <w:t> </w:t>
      </w:r>
      <w:r>
        <w:rPr>
          <w:spacing w:val="-2"/>
        </w:rPr>
        <w:t>公司报告期不存在托管情况。</w:t>
      </w:r>
    </w:p>
    <w:p>
      <w:pPr>
        <w:spacing w:line="240" w:lineRule="auto" w:before="5"/>
        <w:rPr>
          <w:rFonts w:ascii="宋体" w:hAnsi="宋体" w:cs="宋体" w:eastAsia="宋体" w:hint="default"/>
          <w:sz w:val="18"/>
          <w:szCs w:val="18"/>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left="212" w:right="5416"/>
        <w:jc w:val="left"/>
        <w:rPr>
          <w:sz w:val="18"/>
          <w:szCs w:val="18"/>
        </w:rPr>
      </w:pPr>
      <w:r>
        <w:rPr/>
        <w:t>□ 适用 √</w:t>
      </w:r>
      <w:r>
        <w:rPr>
          <w:spacing w:val="-1"/>
        </w:rPr>
        <w:t> </w:t>
      </w:r>
      <w:r>
        <w:rPr/>
        <w:t>不适用</w:t>
      </w:r>
      <w:r>
        <w:rPr>
          <w:w w:val="100"/>
        </w:rPr>
        <w:t> </w:t>
      </w:r>
      <w:r>
        <w:rPr>
          <w:spacing w:val="-2"/>
        </w:rPr>
        <w:t>公司报告期不存在承包情况</w:t>
      </w:r>
      <w:r>
        <w:rPr>
          <w:spacing w:val="-2"/>
          <w:sz w:val="18"/>
          <w:szCs w:val="18"/>
        </w:rPr>
        <w:t>。</w:t>
      </w:r>
    </w:p>
    <w:p>
      <w:pPr>
        <w:spacing w:line="240" w:lineRule="auto" w:before="4"/>
        <w:rPr>
          <w:rFonts w:ascii="宋体" w:hAnsi="宋体" w:cs="宋体" w:eastAsia="宋体" w:hint="default"/>
          <w:sz w:val="18"/>
          <w:szCs w:val="18"/>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212" w:right="8048"/>
        <w:jc w:val="left"/>
      </w:pPr>
      <w:r>
        <w:rPr/>
        <w:t>√ 适用 □</w:t>
      </w:r>
      <w:r>
        <w:rPr>
          <w:spacing w:val="1"/>
        </w:rPr>
        <w:t> </w:t>
      </w:r>
      <w:r>
        <w:rPr/>
        <w:t>不适用</w:t>
      </w:r>
      <w:r>
        <w:rPr>
          <w:w w:val="100"/>
        </w:rPr>
        <w:t> </w:t>
      </w:r>
      <w:r>
        <w:rPr/>
        <w:t>租赁情况说明</w:t>
      </w:r>
    </w:p>
    <w:p>
      <w:pPr>
        <w:spacing w:after="0" w:line="444" w:lineRule="auto"/>
        <w:jc w:val="left"/>
        <w:sectPr>
          <w:pgSz w:w="11910" w:h="16840"/>
          <w:pgMar w:header="745" w:footer="979" w:top="1060" w:bottom="1160" w:left="920" w:right="92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w w:val="100"/>
        </w:rPr>
        <w:t>本公</w:t>
      </w:r>
      <w:r>
        <w:rPr>
          <w:spacing w:val="-3"/>
          <w:w w:val="100"/>
        </w:rPr>
        <w:t>司</w:t>
      </w:r>
      <w:r>
        <w:rPr>
          <w:w w:val="100"/>
        </w:rPr>
        <w:t>门</w:t>
      </w:r>
      <w:r>
        <w:rPr>
          <w:spacing w:val="-3"/>
          <w:w w:val="100"/>
        </w:rPr>
        <w:t>店</w:t>
      </w:r>
      <w:r>
        <w:rPr>
          <w:w w:val="100"/>
        </w:rPr>
        <w:t>物</w:t>
      </w:r>
      <w:r>
        <w:rPr>
          <w:spacing w:val="-3"/>
          <w:w w:val="100"/>
        </w:rPr>
        <w:t>业</w:t>
      </w:r>
      <w:r>
        <w:rPr>
          <w:w w:val="100"/>
        </w:rPr>
        <w:t>主</w:t>
      </w:r>
      <w:r>
        <w:rPr>
          <w:spacing w:val="-3"/>
          <w:w w:val="100"/>
        </w:rPr>
        <w:t>要</w:t>
      </w:r>
      <w:r>
        <w:rPr>
          <w:w w:val="100"/>
        </w:rPr>
        <w:t>为</w:t>
      </w:r>
      <w:r>
        <w:rPr>
          <w:spacing w:val="-3"/>
          <w:w w:val="100"/>
        </w:rPr>
        <w:t>租</w:t>
      </w:r>
      <w:r>
        <w:rPr>
          <w:w w:val="100"/>
        </w:rPr>
        <w:t>赁物</w:t>
      </w:r>
      <w:r>
        <w:rPr>
          <w:spacing w:val="-3"/>
          <w:w w:val="100"/>
        </w:rPr>
        <w:t>业</w:t>
      </w:r>
      <w:r>
        <w:rPr>
          <w:w w:val="100"/>
        </w:rPr>
        <w:t>，</w:t>
      </w:r>
      <w:r>
        <w:rPr>
          <w:spacing w:val="-3"/>
          <w:w w:val="100"/>
        </w:rPr>
        <w:t>本</w:t>
      </w:r>
      <w:r>
        <w:rPr>
          <w:w w:val="100"/>
        </w:rPr>
        <w:t>公</w:t>
      </w:r>
      <w:r>
        <w:rPr>
          <w:spacing w:val="-3"/>
          <w:w w:val="100"/>
        </w:rPr>
        <w:t>司</w:t>
      </w:r>
      <w:r>
        <w:rPr>
          <w:w w:val="100"/>
        </w:rPr>
        <w:t>对</w:t>
      </w:r>
      <w:r>
        <w:rPr>
          <w:spacing w:val="-3"/>
          <w:w w:val="100"/>
        </w:rPr>
        <w:t>外</w:t>
      </w:r>
      <w:r>
        <w:rPr>
          <w:w w:val="100"/>
        </w:rPr>
        <w:t>签</w:t>
      </w:r>
      <w:r>
        <w:rPr>
          <w:spacing w:val="-3"/>
          <w:w w:val="100"/>
        </w:rPr>
        <w:t>订</w:t>
      </w:r>
      <w:r>
        <w:rPr>
          <w:w w:val="100"/>
        </w:rPr>
        <w:t>的不</w:t>
      </w:r>
      <w:r>
        <w:rPr>
          <w:spacing w:val="-3"/>
          <w:w w:val="100"/>
        </w:rPr>
        <w:t>可</w:t>
      </w:r>
      <w:r>
        <w:rPr>
          <w:w w:val="100"/>
        </w:rPr>
        <w:t>撤</w:t>
      </w:r>
      <w:r>
        <w:rPr>
          <w:spacing w:val="-3"/>
          <w:w w:val="100"/>
        </w:rPr>
        <w:t>销</w:t>
      </w:r>
      <w:r>
        <w:rPr>
          <w:w w:val="100"/>
        </w:rPr>
        <w:t>的</w:t>
      </w:r>
      <w:r>
        <w:rPr>
          <w:spacing w:val="-3"/>
          <w:w w:val="100"/>
        </w:rPr>
        <w:t>经</w:t>
      </w:r>
      <w:r>
        <w:rPr>
          <w:w w:val="100"/>
        </w:rPr>
        <w:t>营</w:t>
      </w:r>
      <w:r>
        <w:rPr>
          <w:spacing w:val="-3"/>
          <w:w w:val="100"/>
        </w:rPr>
        <w:t>租</w:t>
      </w:r>
      <w:r>
        <w:rPr>
          <w:w w:val="100"/>
        </w:rPr>
        <w:t>赁</w:t>
      </w:r>
      <w:r>
        <w:rPr>
          <w:spacing w:val="-3"/>
          <w:w w:val="100"/>
        </w:rPr>
        <w:t>合</w:t>
      </w:r>
      <w:r>
        <w:rPr>
          <w:w w:val="100"/>
        </w:rPr>
        <w:t>约情</w:t>
      </w:r>
      <w:r>
        <w:rPr>
          <w:spacing w:val="-3"/>
          <w:w w:val="100"/>
        </w:rPr>
        <w:t>况</w:t>
      </w:r>
      <w:r>
        <w:rPr>
          <w:w w:val="100"/>
        </w:rPr>
        <w:t>如</w:t>
      </w:r>
      <w:r>
        <w:rPr>
          <w:spacing w:val="-3"/>
          <w:w w:val="100"/>
        </w:rPr>
        <w:t>下</w:t>
      </w:r>
      <w:r>
        <w:rPr>
          <w:spacing w:val="-106"/>
          <w:w w:val="100"/>
        </w:rPr>
        <w:t>：</w:t>
      </w:r>
      <w:r>
        <w:rPr>
          <w:spacing w:val="-3"/>
          <w:w w:val="100"/>
        </w:rPr>
        <w:t>（</w:t>
      </w:r>
      <w:r>
        <w:rPr>
          <w:w w:val="100"/>
        </w:rPr>
        <w:t>单</w:t>
      </w:r>
      <w:r>
        <w:rPr>
          <w:spacing w:val="-3"/>
          <w:w w:val="100"/>
        </w:rPr>
        <w:t>位</w:t>
      </w:r>
      <w:r>
        <w:rPr>
          <w:w w:val="100"/>
        </w:rPr>
        <w:t>：</w:t>
      </w:r>
      <w:r>
        <w:rPr>
          <w:spacing w:val="-3"/>
          <w:w w:val="100"/>
        </w:rPr>
        <w:t>万元</w:t>
      </w:r>
      <w:r>
        <w:rPr>
          <w:w w:val="100"/>
        </w:rPr>
        <w:t>）</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901"/>
        <w:gridCol w:w="2100"/>
        <w:gridCol w:w="1898"/>
      </w:tblGrid>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19,311.69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18,196.13</w:t>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17,596.10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17,114.84</w:t>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15,984.40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16,868.21</w:t>
            </w:r>
          </w:p>
        </w:tc>
      </w:tr>
      <w:tr>
        <w:trPr>
          <w:trHeight w:val="324"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79,131.29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76,008.65</w:t>
            </w:r>
          </w:p>
        </w:tc>
      </w:tr>
      <w:tr>
        <w:trPr>
          <w:trHeight w:val="322"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132,023.48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128,187.82</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为公司带来的损益达到公司报告期利润总额</w:t>
      </w:r>
      <w:r>
        <w:rPr>
          <w:spacing w:val="-56"/>
        </w:rPr>
        <w:t> </w:t>
      </w:r>
      <w:r>
        <w:rPr>
          <w:rFonts w:ascii="宋体" w:hAnsi="宋体" w:cs="宋体" w:eastAsia="宋体" w:hint="default"/>
        </w:rPr>
        <w:t>10%</w:t>
      </w:r>
      <w:r>
        <w:rPr/>
        <w:t>以上的项目</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spacing w:val="-2"/>
        </w:rPr>
        <w:t>公司报告期不存在为公司带来的损益达到公司报告期利润总额</w:t>
      </w:r>
      <w:r>
        <w:rPr>
          <w:spacing w:val="20"/>
        </w:rPr>
        <w:t> </w:t>
      </w:r>
      <w:r>
        <w:rPr>
          <w:rFonts w:ascii="宋体" w:hAnsi="宋体" w:cs="宋体" w:eastAsia="宋体" w:hint="default"/>
          <w:spacing w:val="-2"/>
        </w:rPr>
        <w:t>10%</w:t>
      </w:r>
      <w:r>
        <w:rPr>
          <w:spacing w:val="-2"/>
        </w:rPr>
        <w:t>以上的租赁项目。</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1"/>
        <w:gridCol w:w="920"/>
        <w:gridCol w:w="1296"/>
        <w:gridCol w:w="1064"/>
        <w:gridCol w:w="1034"/>
        <w:gridCol w:w="1051"/>
        <w:gridCol w:w="790"/>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洛阳美年大健康信息 咨询有限公司</w:t>
            </w:r>
          </w:p>
        </w:tc>
        <w:tc>
          <w:tcPr>
            <w:tcW w:w="93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绵阳美年大健康科技 有限责任公司</w:t>
            </w:r>
          </w:p>
        </w:tc>
        <w:tc>
          <w:tcPr>
            <w:tcW w:w="93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濮阳美年大健康咨询 有限公司</w:t>
            </w:r>
          </w:p>
        </w:tc>
        <w:tc>
          <w:tcPr>
            <w:tcW w:w="93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烟台美年大健康体检 管理有限公司</w:t>
            </w:r>
          </w:p>
        </w:tc>
        <w:tc>
          <w:tcPr>
            <w:tcW w:w="93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安阳市美年大健康管 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临海市美年日昇医院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海南美年大健康医院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53"/>
              <w:jc w:val="left"/>
              <w:rPr>
                <w:rFonts w:ascii="宋体" w:hAnsi="宋体" w:cs="宋体" w:eastAsia="宋体" w:hint="default"/>
                <w:sz w:val="18"/>
                <w:szCs w:val="18"/>
              </w:rPr>
            </w:pPr>
            <w:r>
              <w:rPr>
                <w:rFonts w:ascii="宋体" w:hAnsi="宋体" w:cs="宋体" w:eastAsia="宋体" w:hint="default"/>
                <w:sz w:val="18"/>
                <w:szCs w:val="18"/>
              </w:rPr>
              <w:t>包头市美年大健康艾 普托综合门诊部有限</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28"/>
        <w:gridCol w:w="1306"/>
        <w:gridCol w:w="1053"/>
        <w:gridCol w:w="1037"/>
        <w:gridCol w:w="1052"/>
        <w:gridCol w:w="790"/>
        <w:gridCol w:w="783"/>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18" w:type="dxa"/>
            <w:tcBorders>
              <w:top w:val="single" w:sz="4" w:space="0" w:color="000000"/>
              <w:left w:val="single" w:sz="4" w:space="0" w:color="000000"/>
              <w:bottom w:val="single" w:sz="4" w:space="0" w:color="000000"/>
              <w:right w:val="single" w:sz="5" w:space="0" w:color="000000"/>
            </w:tcBorders>
          </w:tcPr>
          <w:p>
            <w:pPr/>
          </w:p>
        </w:tc>
        <w:tc>
          <w:tcPr>
            <w:tcW w:w="928" w:type="dxa"/>
            <w:tcBorders>
              <w:top w:val="single" w:sz="4" w:space="0" w:color="000000"/>
              <w:left w:val="single" w:sz="5"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1,990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2,590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2,415.83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09" w:type="dxa"/>
            <w:vMerge w:val="restart"/>
            <w:tcBorders>
              <w:top w:val="single" w:sz="4" w:space="0" w:color="000000"/>
              <w:left w:val="single" w:sz="4" w:space="0" w:color="000000"/>
              <w:right w:val="single" w:sz="4" w:space="0" w:color="FFFFFF"/>
            </w:tcBorders>
            <w:shd w:val="clear" w:color="auto" w:fill="D2D2D2"/>
          </w:tcPr>
          <w:p>
            <w:pPr/>
          </w:p>
        </w:tc>
        <w:tc>
          <w:tcPr>
            <w:tcW w:w="918" w:type="dxa"/>
            <w:vMerge w:val="restart"/>
            <w:tcBorders>
              <w:top w:val="single" w:sz="4" w:space="0" w:color="000000"/>
              <w:left w:val="single" w:sz="4" w:space="0" w:color="FFFFFF"/>
              <w:right w:val="single" w:sz="4" w:space="0" w:color="FFFFFF"/>
            </w:tcBorders>
            <w:shd w:val="clear" w:color="auto" w:fill="D2D2D2"/>
          </w:tcPr>
          <w:p>
            <w:pPr>
              <w:pStyle w:val="TableParagraph"/>
              <w:spacing w:line="316" w:lineRule="auto" w:before="53"/>
              <w:ind w:left="95"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FFFFFF"/>
              <w:right w:val="single" w:sz="4" w:space="0" w:color="000000"/>
            </w:tcBorders>
            <w:shd w:val="clear" w:color="auto" w:fill="D2D2D2"/>
          </w:tcPr>
          <w:p>
            <w:pP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FFFFFF"/>
            </w:tcBorders>
            <w:shd w:val="clear" w:color="auto" w:fill="D2D2D2"/>
          </w:tcPr>
          <w:p>
            <w:pPr/>
          </w:p>
        </w:tc>
        <w:tc>
          <w:tcPr>
            <w:tcW w:w="918" w:type="dxa"/>
            <w:vMerge/>
            <w:tcBorders>
              <w:left w:val="single" w:sz="4" w:space="0" w:color="FFFFFF"/>
              <w:right w:val="single" w:sz="4" w:space="0" w:color="FFFFFF"/>
            </w:tcBorders>
            <w:shd w:val="clear" w:color="auto" w:fill="D2D2D2"/>
          </w:tcPr>
          <w:p>
            <w:pPr/>
          </w:p>
        </w:tc>
        <w:tc>
          <w:tcPr>
            <w:tcW w:w="928" w:type="dxa"/>
            <w:vMerge/>
            <w:tcBorders>
              <w:left w:val="single" w:sz="4" w:space="0" w:color="FFFFFF"/>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2"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26"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09"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vMerge/>
            <w:tcBorders>
              <w:left w:val="single" w:sz="4" w:space="0" w:color="FFFFFF"/>
              <w:right w:val="single" w:sz="4" w:space="0" w:color="FFFFFF"/>
            </w:tcBorders>
            <w:shd w:val="clear" w:color="auto" w:fill="D2D2D2"/>
          </w:tcPr>
          <w:p>
            <w:pPr/>
          </w:p>
        </w:tc>
        <w:tc>
          <w:tcPr>
            <w:tcW w:w="928"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FFFFFF"/>
            </w:tcBorders>
            <w:shd w:val="clear" w:color="auto" w:fill="D2D2D2"/>
          </w:tcPr>
          <w:p>
            <w:pPr/>
          </w:p>
        </w:tc>
        <w:tc>
          <w:tcPr>
            <w:tcW w:w="918" w:type="dxa"/>
            <w:vMerge/>
            <w:tcBorders>
              <w:left w:val="single" w:sz="4" w:space="0" w:color="FFFFFF"/>
              <w:right w:val="single" w:sz="4" w:space="0" w:color="FFFFFF"/>
            </w:tcBorders>
            <w:shd w:val="clear" w:color="auto" w:fill="D2D2D2"/>
          </w:tcPr>
          <w:p>
            <w:pPr/>
          </w:p>
        </w:tc>
        <w:tc>
          <w:tcPr>
            <w:tcW w:w="928" w:type="dxa"/>
            <w:vMerge w:val="restart"/>
            <w:tcBorders>
              <w:top w:val="nil" w:sz="6" w:space="0" w:color="auto"/>
              <w:left w:val="single" w:sz="4" w:space="0" w:color="FFFFFF"/>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FFFFFF"/>
            </w:tcBorders>
            <w:shd w:val="clear" w:color="auto" w:fill="D2D2D2"/>
          </w:tcPr>
          <w:p>
            <w:pPr/>
          </w:p>
        </w:tc>
        <w:tc>
          <w:tcPr>
            <w:tcW w:w="918" w:type="dxa"/>
            <w:vMerge/>
            <w:tcBorders>
              <w:left w:val="single" w:sz="4" w:space="0" w:color="FFFFFF"/>
              <w:bottom w:val="single" w:sz="4" w:space="0" w:color="000000"/>
              <w:right w:val="single" w:sz="4" w:space="0" w:color="FFFFFF"/>
            </w:tcBorders>
            <w:shd w:val="clear" w:color="auto" w:fill="D2D2D2"/>
          </w:tcPr>
          <w:p>
            <w:pPr/>
          </w:p>
        </w:tc>
        <w:tc>
          <w:tcPr>
            <w:tcW w:w="928" w:type="dxa"/>
            <w:vMerge/>
            <w:tcBorders>
              <w:left w:val="single" w:sz="4" w:space="0" w:color="FFFFFF"/>
              <w:bottom w:val="single" w:sz="4" w:space="0" w:color="000000"/>
              <w:right w:val="single" w:sz="4" w:space="0" w:color="000000"/>
            </w:tcBorders>
            <w:shd w:val="clear" w:color="auto" w:fill="D2D2D2"/>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FFFFFF"/>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18" w:type="dxa"/>
            <w:tcBorders>
              <w:top w:val="single" w:sz="4" w:space="0" w:color="000000"/>
              <w:left w:val="single" w:sz="4" w:space="0" w:color="FFFFFF"/>
              <w:bottom w:val="single" w:sz="4" w:space="0" w:color="000000"/>
              <w:right w:val="single" w:sz="4" w:space="0" w:color="FFFFF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3" w:type="dxa"/>
            <w:gridSpan w:val="2"/>
            <w:tcBorders>
              <w:top w:val="single" w:sz="4" w:space="0" w:color="000000"/>
              <w:left w:val="single" w:sz="4" w:space="0" w:color="FFFFFF"/>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8" w:hRule="exact"/>
        </w:trPr>
        <w:tc>
          <w:tcPr>
            <w:tcW w:w="2627"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3" w:type="dxa"/>
            <w:gridSpan w:val="2"/>
            <w:tcBorders>
              <w:top w:val="single" w:sz="4" w:space="0" w:color="000000"/>
              <w:left w:val="single" w:sz="4" w:space="0" w:color="FFFFFF"/>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3"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31"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西安美年大健康健康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郑州大健康科技有限 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哈尔滨大健康体检站 有限责任公司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济南大健康健康体检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长沙美年大健康健康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成都美年大健康健康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青岛市南大健康门诊 部有限公司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南宁美年大健康健康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重庆大健康健康体检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太原大健康科技健康 管理有限公司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370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4"/>
        <w:gridCol w:w="920"/>
        <w:gridCol w:w="1313"/>
        <w:gridCol w:w="1044"/>
        <w:gridCol w:w="1048"/>
        <w:gridCol w:w="1052"/>
        <w:gridCol w:w="785"/>
        <w:gridCol w:w="79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沈阳大健康健康管理 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大连大健康科技健康 管理有限公司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广州美年富海门诊部 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武汉美年大健康体检 管理有限公司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云南美年大健康产业 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深圳市瑞格尔健康管 理科技有限公司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成都美年体检医院有 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南京美年大健康管理 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上海美东门诊部有限 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上海美年门诊部有限 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w:t>
            </w: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常熟美年大健康门诊 部有限公司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1,895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1,780</w:t>
            </w:r>
          </w:p>
        </w:tc>
      </w:tr>
      <w:tr>
        <w:trPr>
          <w:trHeight w:val="719"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5,545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4,236.41</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23,885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13,770</w:t>
            </w:r>
          </w:p>
        </w:tc>
      </w:tr>
      <w:tr>
        <w:trPr>
          <w:trHeight w:val="714"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28,135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16,652.24</w:t>
            </w:r>
          </w:p>
        </w:tc>
      </w:tr>
      <w:tr>
        <w:trPr>
          <w:trHeight w:val="407"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
        </w:tc>
      </w:tr>
      <w:tr>
        <w:trPr>
          <w:trHeight w:val="714"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
        </w:tc>
      </w:tr>
      <w:tr>
        <w:trPr>
          <w:trHeight w:val="402"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5"/>
        <w:gridCol w:w="4719"/>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30"/>
          <w:szCs w:val="30"/>
        </w:rPr>
      </w:pPr>
    </w:p>
    <w:p>
      <w:pPr>
        <w:pStyle w:val="BodyText"/>
        <w:spacing w:line="444" w:lineRule="auto" w:before="0"/>
        <w:ind w:right="5723"/>
        <w:jc w:val="left"/>
      </w:pPr>
      <w:r>
        <w:rPr/>
        <w:t>□ 适用 √</w:t>
      </w:r>
      <w:r>
        <w:rPr>
          <w:spacing w:val="-1"/>
        </w:rPr>
        <w:t> </w:t>
      </w:r>
      <w:r>
        <w:rPr/>
        <w:t>不适用</w:t>
      </w:r>
      <w:r>
        <w:rPr>
          <w:w w:val="100"/>
        </w:rPr>
        <w:t> </w:t>
      </w:r>
      <w:r>
        <w:rPr/>
        <w:t>公司报告期无违规对外担保情况。</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公司报告期不存在委托理财。</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right="6835"/>
        <w:jc w:val="left"/>
      </w:pPr>
      <w:r>
        <w:rPr/>
        <w:t>□ 适用 √</w:t>
      </w:r>
      <w:r>
        <w:rPr>
          <w:spacing w:val="-1"/>
        </w:rPr>
        <w:t> </w:t>
      </w:r>
      <w:r>
        <w:rPr/>
        <w:t>不适用</w:t>
      </w:r>
      <w:r>
        <w:rPr>
          <w:w w:val="100"/>
        </w:rPr>
        <w:t> </w:t>
      </w:r>
      <w:r>
        <w:rPr>
          <w:spacing w:val="-2"/>
        </w:rPr>
        <w:t>公司报告期不存在委托贷款。</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6"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7"/>
              <w:ind w:left="24" w:right="22"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7"/>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7"/>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7"/>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4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美年大 健康产 业（集 团）有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安翰光 电技术</w:t>
            </w:r>
          </w:p>
          <w:p>
            <w:pPr>
              <w:pStyle w:val="TableParagraph"/>
              <w:spacing w:line="316" w:lineRule="auto" w:before="20"/>
              <w:ind w:left="23" w:right="62"/>
              <w:jc w:val="left"/>
              <w:rPr>
                <w:rFonts w:ascii="宋体" w:hAnsi="宋体" w:cs="宋体" w:eastAsia="宋体" w:hint="default"/>
                <w:sz w:val="18"/>
                <w:szCs w:val="18"/>
              </w:rPr>
            </w:pPr>
            <w:r>
              <w:rPr>
                <w:rFonts w:ascii="宋体" w:hAnsi="宋体" w:cs="宋体" w:eastAsia="宋体" w:hint="default"/>
                <w:sz w:val="18"/>
                <w:szCs w:val="18"/>
              </w:rPr>
              <w:t>（武 汉）有 限公司 及上海 安翰医 疗技术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09" w:lineRule="auto"/>
              <w:ind w:left="23"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NaviCa 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胶囊 内镜机 器人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63"/>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3" w:right="63"/>
              <w:jc w:val="both"/>
              <w:rPr>
                <w:rFonts w:ascii="宋体" w:hAnsi="宋体" w:cs="宋体" w:eastAsia="宋体" w:hint="default"/>
                <w:sz w:val="18"/>
                <w:szCs w:val="18"/>
              </w:rPr>
            </w:pPr>
            <w:r>
              <w:rPr>
                <w:rFonts w:ascii="宋体" w:hAnsi="宋体" w:cs="宋体" w:eastAsia="宋体" w:hint="default"/>
                <w:sz w:val="18"/>
                <w:szCs w:val="18"/>
              </w:rPr>
              <w:t>报告期 内尚未 开展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巨潮资 讯网披 露的</w:t>
            </w:r>
          </w:p>
          <w:p>
            <w:pPr>
              <w:pStyle w:val="TableParagraph"/>
              <w:spacing w:line="319" w:lineRule="auto" w:before="19"/>
              <w:ind w:left="23" w:right="60"/>
              <w:jc w:val="both"/>
              <w:rPr>
                <w:rFonts w:ascii="宋体" w:hAnsi="宋体" w:cs="宋体" w:eastAsia="宋体" w:hint="default"/>
                <w:sz w:val="18"/>
                <w:szCs w:val="18"/>
              </w:rPr>
            </w:pPr>
            <w:r>
              <w:rPr>
                <w:rFonts w:ascii="宋体" w:hAnsi="宋体" w:cs="宋体" w:eastAsia="宋体" w:hint="default"/>
                <w:sz w:val="18"/>
                <w:szCs w:val="18"/>
              </w:rPr>
              <w:t>《关于 全资子 公司签 订合作 协议的</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611"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2"/>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338" w:lineRule="auto" w:before="76"/>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号： </w:t>
            </w:r>
            <w:r>
              <w:rPr>
                <w:rFonts w:ascii="Times New Roman" w:hAnsi="Times New Roman" w:cs="Times New Roman" w:eastAsia="Times New Roman" w:hint="default"/>
                <w:sz w:val="18"/>
                <w:szCs w:val="18"/>
              </w:rPr>
              <w:t>2015-1</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十八、其他重大事项的说明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right="4344"/>
        <w:jc w:val="left"/>
      </w:pPr>
      <w:r>
        <w:rPr/>
        <w:t>□ 适用 √ 不适用</w:t>
      </w:r>
      <w:r>
        <w:rPr>
          <w:spacing w:val="-104"/>
        </w:rPr>
        <w:t> </w:t>
      </w:r>
      <w:r>
        <w:rPr>
          <w:spacing w:val="-104"/>
        </w:rPr>
      </w:r>
      <w:r>
        <w:rPr>
          <w:spacing w:val="-2"/>
        </w:rPr>
        <w:t>公司报告期不存在需要说明的其他重大事项。</w:t>
      </w:r>
    </w:p>
    <w:p>
      <w:pPr>
        <w:spacing w:line="240" w:lineRule="auto" w:before="6"/>
        <w:rPr>
          <w:rFonts w:ascii="宋体" w:hAnsi="宋体" w:cs="宋体" w:eastAsia="宋体" w:hint="default"/>
          <w:sz w:val="16"/>
          <w:szCs w:val="16"/>
        </w:rPr>
      </w:pPr>
    </w:p>
    <w:p>
      <w:pPr>
        <w:pStyle w:val="Heading2"/>
        <w:spacing w:line="240" w:lineRule="auto"/>
        <w:ind w:right="0"/>
        <w:jc w:val="both"/>
        <w:rPr>
          <w:b w:val="0"/>
          <w:bCs w:val="0"/>
        </w:rPr>
      </w:pPr>
      <w:r>
        <w:rPr/>
        <w:t>十九、公司子公司重大事项</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left="573" w:right="0" w:hanging="421"/>
        <w:jc w:val="left"/>
      </w:pPr>
      <w:r>
        <w:rPr/>
        <w:t>√ 适用 □ 不适用</w:t>
      </w:r>
      <w:r>
        <w:rPr>
          <w:spacing w:val="-104"/>
        </w:rPr>
        <w:t> </w:t>
      </w:r>
      <w:r>
        <w:rPr>
          <w:spacing w:val="-104"/>
        </w:rPr>
      </w:r>
      <w:r>
        <w:rPr>
          <w:rFonts w:ascii="宋体" w:hAnsi="宋体" w:cs="宋体" w:eastAsia="宋体" w:hint="default"/>
          <w:spacing w:val="-2"/>
        </w:rPr>
        <w:t>1</w:t>
      </w:r>
      <w:r>
        <w:rPr>
          <w:spacing w:val="-2"/>
        </w:rPr>
        <w:t>、报告期内，公司召开第六届董事会第二次会议，审议通过了《关于全资子公司参与发起设立健康</w:t>
      </w:r>
    </w:p>
    <w:p>
      <w:pPr>
        <w:pStyle w:val="BodyText"/>
        <w:spacing w:line="408" w:lineRule="auto" w:before="16"/>
        <w:ind w:right="146"/>
        <w:jc w:val="both"/>
      </w:pPr>
      <w:r>
        <w:rPr>
          <w:spacing w:val="-2"/>
        </w:rPr>
        <w:t>保险股份有限公司的议案》，公司全资子公司美年大健康产业（集团）有限公司与广州唯品会信息科技有</w:t>
      </w:r>
      <w:r>
        <w:rPr>
          <w:spacing w:val="-44"/>
        </w:rPr>
        <w:t> </w:t>
      </w:r>
      <w:r>
        <w:rPr>
          <w:spacing w:val="-44"/>
        </w:rPr>
      </w:r>
      <w:r>
        <w:rPr>
          <w:spacing w:val="-2"/>
        </w:rPr>
        <w:t>限公司、上海容大投资（集团）有限公司、上海盛大网络发展有限公司等投资人共同发起设立健康保险股</w:t>
      </w:r>
      <w:r>
        <w:rPr>
          <w:spacing w:val="-44"/>
        </w:rPr>
        <w:t> </w:t>
      </w:r>
      <w:r>
        <w:rPr>
          <w:spacing w:val="-44"/>
        </w:rPr>
      </w:r>
      <w:r>
        <w:rPr>
          <w:spacing w:val="-2"/>
        </w:rPr>
        <w:t>份有限公司（最终名称以公司登记机关核准的名称为准）。保险公司投资总额为人民币</w:t>
      </w:r>
      <w:r>
        <w:rPr>
          <w:rFonts w:ascii="宋体" w:hAnsi="宋体" w:cs="宋体" w:eastAsia="宋体" w:hint="default"/>
          <w:spacing w:val="-2"/>
        </w:rPr>
        <w:t>10</w:t>
      </w:r>
      <w:r>
        <w:rPr>
          <w:spacing w:val="-2"/>
        </w:rPr>
        <w:t>亿元，美年大健</w:t>
      </w:r>
      <w:r>
        <w:rPr>
          <w:spacing w:val="-45"/>
        </w:rPr>
        <w:t> </w:t>
      </w:r>
      <w:r>
        <w:rPr>
          <w:spacing w:val="-45"/>
        </w:rPr>
      </w:r>
      <w:r>
        <w:rPr/>
        <w:t>康产业（集团）有限公司出资人民币</w:t>
      </w:r>
      <w:r>
        <w:rPr>
          <w:rFonts w:ascii="宋体" w:hAnsi="宋体" w:cs="宋体" w:eastAsia="宋体" w:hint="default"/>
        </w:rPr>
        <w:t>2</w:t>
      </w:r>
      <w:r>
        <w:rPr/>
        <w:t>亿元，持有其</w:t>
      </w:r>
      <w:r>
        <w:rPr>
          <w:rFonts w:ascii="宋体" w:hAnsi="宋体" w:cs="宋体" w:eastAsia="宋体" w:hint="default"/>
        </w:rPr>
        <w:t>20%</w:t>
      </w:r>
      <w:r>
        <w:rPr/>
        <w:t>的股权。</w:t>
      </w:r>
      <w:r>
        <w:rPr>
          <w:spacing w:val="-7"/>
        </w:rPr>
        <w:t> </w:t>
      </w:r>
      <w:r>
        <w:rPr/>
        <w:t>（</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27</w:t>
      </w:r>
      <w:r>
        <w:rPr/>
        <w:t>日，公告号</w:t>
      </w:r>
      <w:r>
        <w:rPr>
          <w:rFonts w:ascii="宋体" w:hAnsi="宋体" w:cs="宋体" w:eastAsia="宋体" w:hint="default"/>
        </w:rPr>
        <w:t>2015-105</w:t>
      </w:r>
      <w:r>
        <w:rPr/>
        <w:t>）</w:t>
      </w:r>
    </w:p>
    <w:p>
      <w:pPr>
        <w:pStyle w:val="BodyText"/>
        <w:spacing w:line="408" w:lineRule="auto"/>
        <w:ind w:right="0" w:firstLine="420"/>
        <w:jc w:val="left"/>
      </w:pPr>
      <w:r>
        <w:rPr>
          <w:rFonts w:ascii="宋体" w:hAnsi="宋体" w:cs="宋体" w:eastAsia="宋体" w:hint="default"/>
        </w:rPr>
        <w:t>2</w:t>
      </w:r>
      <w:r>
        <w:rPr/>
        <w:t>、报告期内，公司召开第六届董事会第二次会议，审议通过了《关于全资子公司投资设立融资租赁</w:t>
      </w:r>
      <w:r>
        <w:rPr>
          <w:w w:val="100"/>
        </w:rPr>
        <w:t> </w:t>
      </w:r>
      <w:r>
        <w:rPr>
          <w:spacing w:val="-2"/>
        </w:rPr>
        <w:t>公司暨关联交易的议案》，意公司全资子公司美年大健康产业（集团）有限公司与香港的大嶺有限公司共</w:t>
      </w:r>
      <w:r>
        <w:rPr>
          <w:spacing w:val="-47"/>
        </w:rPr>
        <w:t> </w:t>
      </w:r>
      <w:r>
        <w:rPr>
          <w:spacing w:val="-47"/>
        </w:rPr>
      </w:r>
      <w:r>
        <w:rPr>
          <w:spacing w:val="-2"/>
        </w:rPr>
        <w:t>同发起设立上海美鑫融资租赁有限公司（最终名称以公司登记机关核准的名称为准）。融资租赁公司拟设</w:t>
      </w:r>
      <w:r>
        <w:rPr>
          <w:spacing w:val="-42"/>
        </w:rPr>
        <w:t> </w:t>
      </w:r>
      <w:r>
        <w:rPr>
          <w:spacing w:val="-42"/>
        </w:rPr>
      </w:r>
      <w:r>
        <w:rPr>
          <w:spacing w:val="-2"/>
        </w:rPr>
        <w:t>立于中国</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自由贸易试验区，注册资本人民币贰亿元，美年大健康产业（集团）有限公司出资人民币</w:t>
      </w:r>
      <w:r>
        <w:rPr>
          <w:spacing w:val="-45"/>
        </w:rPr>
        <w:t> </w:t>
      </w:r>
      <w:r>
        <w:rPr>
          <w:spacing w:val="-45"/>
        </w:rPr>
      </w:r>
      <w:r>
        <w:rPr>
          <w:rFonts w:ascii="宋体" w:hAnsi="宋体" w:cs="宋体" w:eastAsia="宋体" w:hint="default"/>
        </w:rPr>
        <w:t>1.5 </w:t>
      </w:r>
      <w:r>
        <w:rPr/>
        <w:t>亿元，大嶺有限公司出资人民币 </w:t>
      </w:r>
      <w:r>
        <w:rPr>
          <w:rFonts w:ascii="宋体" w:hAnsi="宋体" w:cs="宋体" w:eastAsia="宋体" w:hint="default"/>
        </w:rPr>
        <w:t>0.5 </w:t>
      </w:r>
      <w:r>
        <w:rPr/>
        <w:t>亿元。</w:t>
      </w:r>
      <w:r>
        <w:rPr>
          <w:spacing w:val="-4"/>
        </w:rPr>
        <w:t> </w:t>
      </w:r>
      <w:r>
        <w:rPr/>
        <w:t>。（</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27</w:t>
      </w:r>
      <w:r>
        <w:rPr/>
        <w:t>日，公告号</w:t>
      </w:r>
      <w:r>
        <w:rPr>
          <w:rFonts w:ascii="宋体" w:hAnsi="宋体" w:cs="宋体" w:eastAsia="宋体" w:hint="default"/>
        </w:rPr>
        <w:t>2015-105</w:t>
      </w:r>
      <w:r>
        <w:rPr/>
        <w:t>）</w:t>
      </w:r>
    </w:p>
    <w:p>
      <w:pPr>
        <w:pStyle w:val="BodyText"/>
        <w:spacing w:line="408" w:lineRule="auto"/>
        <w:ind w:right="0" w:firstLine="420"/>
        <w:jc w:val="left"/>
      </w:pPr>
      <w:r>
        <w:rPr>
          <w:rFonts w:ascii="宋体" w:hAnsi="宋体" w:cs="宋体" w:eastAsia="宋体" w:hint="default"/>
        </w:rPr>
        <w:t>3</w:t>
      </w:r>
      <w:r>
        <w:rPr/>
        <w:t>、报告期内，公司召开第六届董事会第四次会议，审议通过了《关于全资子公司向银行申请综合授</w:t>
      </w:r>
      <w:r>
        <w:rPr>
          <w:w w:val="100"/>
        </w:rPr>
        <w:t> </w:t>
      </w:r>
      <w:r>
        <w:rPr>
          <w:spacing w:val="-2"/>
        </w:rPr>
        <w:t>信额度的议案》，公司全资子公司美年大健康产业（集团）有限公司向中信银行股份有限公司上海静安支</w:t>
      </w:r>
      <w:r>
        <w:rPr>
          <w:spacing w:val="-44"/>
        </w:rPr>
        <w:t> </w:t>
      </w:r>
      <w:r>
        <w:rPr>
          <w:spacing w:val="-44"/>
        </w:rPr>
      </w:r>
      <w:r>
        <w:rPr>
          <w:spacing w:val="-2"/>
        </w:rPr>
        <w:t>行申请人民币壹亿元综合授信及向中国银行股份有限公司上海市闸北支行申请人民币叁仟万元综合授信，</w:t>
      </w:r>
      <w:r>
        <w:rPr>
          <w:spacing w:val="-21"/>
        </w:rPr>
        <w:t> </w:t>
      </w:r>
      <w:r>
        <w:rPr>
          <w:spacing w:val="-21"/>
        </w:rPr>
      </w:r>
      <w:r>
        <w:rPr/>
        <w:t>期限分别为壹年，全部用于补充流动资金。</w:t>
      </w:r>
      <w:r>
        <w:rPr>
          <w:spacing w:val="-6"/>
        </w:rPr>
        <w:t> </w:t>
      </w:r>
      <w:r>
        <w:rPr/>
        <w:t>（</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21</w:t>
      </w:r>
      <w:r>
        <w:rPr/>
        <w:t>日，公告号</w:t>
      </w:r>
      <w:r>
        <w:rPr>
          <w:rFonts w:ascii="宋体" w:hAnsi="宋体" w:cs="宋体" w:eastAsia="宋体" w:hint="default"/>
        </w:rPr>
        <w:t>2015-123</w:t>
      </w:r>
      <w:r>
        <w:rPr/>
        <w:t>）</w:t>
      </w:r>
    </w:p>
    <w:p>
      <w:pPr>
        <w:pStyle w:val="BodyText"/>
        <w:spacing w:line="408" w:lineRule="auto"/>
        <w:ind w:right="0" w:firstLine="420"/>
        <w:jc w:val="left"/>
      </w:pPr>
      <w:r>
        <w:rPr>
          <w:rFonts w:ascii="宋体" w:hAnsi="宋体" w:cs="宋体" w:eastAsia="宋体" w:hint="default"/>
        </w:rPr>
        <w:t>4</w:t>
      </w:r>
      <w:r>
        <w:rPr/>
        <w:t>、报告期内，公司召开第六届董事会第四次会议，审议通过了《关于全资子公司向银行申请贰亿元</w:t>
      </w:r>
      <w:r>
        <w:rPr>
          <w:w w:val="100"/>
        </w:rPr>
        <w:t> </w:t>
      </w:r>
      <w:r>
        <w:rPr>
          <w:spacing w:val="-2"/>
        </w:rPr>
        <w:t>综合授信及公司为其提供担保的议案》，公司全资子公司美年大健康向中信银行静安支行申请人民币贰亿</w:t>
      </w:r>
      <w:r>
        <w:rPr>
          <w:spacing w:val="-44"/>
        </w:rPr>
        <w:t> </w:t>
      </w:r>
      <w:r>
        <w:rPr>
          <w:spacing w:val="-44"/>
        </w:rPr>
      </w:r>
      <w:r>
        <w:rPr/>
        <w:t>元综合授信，用于补充流动资金，授信期为壹年。</w:t>
      </w:r>
      <w:r>
        <w:rPr>
          <w:spacing w:val="-5"/>
        </w:rPr>
        <w:t> </w:t>
      </w:r>
      <w:r>
        <w:rPr/>
        <w:t>（</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21</w:t>
      </w:r>
      <w:r>
        <w:rPr/>
        <w:t>日，公告号</w:t>
      </w:r>
      <w:r>
        <w:rPr>
          <w:rFonts w:ascii="宋体" w:hAnsi="宋体" w:cs="宋体" w:eastAsia="宋体" w:hint="default"/>
        </w:rPr>
        <w:t>2015-123</w:t>
      </w:r>
      <w:r>
        <w:rPr/>
        <w:t>）</w:t>
      </w:r>
    </w:p>
    <w:p>
      <w:pPr>
        <w:pStyle w:val="BodyText"/>
        <w:spacing w:line="408" w:lineRule="auto"/>
        <w:ind w:right="0" w:firstLine="420"/>
        <w:jc w:val="left"/>
      </w:pPr>
      <w:r>
        <w:rPr>
          <w:rFonts w:ascii="宋体" w:hAnsi="宋体" w:cs="宋体" w:eastAsia="宋体" w:hint="default"/>
        </w:rPr>
        <w:t>5</w:t>
      </w:r>
      <w:r>
        <w:rPr/>
        <w:t>、报告期内，公司召开第六届董事会第四次会议，审议通过了《关于全资子公司为下属公司融资租</w:t>
      </w:r>
      <w:r>
        <w:rPr>
          <w:w w:val="100"/>
        </w:rPr>
        <w:t> </w:t>
      </w:r>
      <w:r>
        <w:rPr>
          <w:spacing w:val="-2"/>
        </w:rPr>
        <w:t>赁提供担保暨关联交易的议案》，公司全资子公司美年大健康为其下属公司与拉赫兰顿融资租赁（中国）</w:t>
      </w:r>
      <w:r>
        <w:rPr/>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03"/>
        <w:jc w:val="left"/>
      </w:pPr>
      <w:r>
        <w:rPr/>
        <w:t>有限公司进行医疗设备融资租赁业务提供担保，本次担保总金额为人民币 </w:t>
      </w:r>
      <w:r>
        <w:rPr>
          <w:rFonts w:ascii="宋体" w:hAnsi="宋体" w:cs="宋体" w:eastAsia="宋体" w:hint="default"/>
        </w:rPr>
        <w:t>600</w:t>
      </w:r>
      <w:r>
        <w:rPr>
          <w:rFonts w:ascii="宋体" w:hAnsi="宋体" w:cs="宋体" w:eastAsia="宋体" w:hint="default"/>
          <w:spacing w:val="12"/>
        </w:rPr>
        <w:t> </w:t>
      </w:r>
      <w:r>
        <w:rPr>
          <w:spacing w:val="-3"/>
        </w:rPr>
        <w:t>万元。（</w:t>
      </w: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21</w:t>
      </w:r>
      <w:r>
        <w:rPr>
          <w:spacing w:val="-3"/>
        </w:rPr>
        <w:t>日，</w:t>
      </w:r>
      <w:r>
        <w:rPr>
          <w:w w:val="100"/>
        </w:rPr>
        <w:t> </w:t>
      </w:r>
      <w:r>
        <w:rPr/>
        <w:t>公告号</w:t>
      </w:r>
      <w:r>
        <w:rPr>
          <w:rFonts w:ascii="宋体" w:hAnsi="宋体" w:cs="宋体" w:eastAsia="宋体" w:hint="default"/>
        </w:rPr>
        <w:t>2015-123</w:t>
      </w:r>
      <w:r>
        <w:rPr/>
        <w:t>）</w:t>
      </w:r>
    </w:p>
    <w:p>
      <w:pPr>
        <w:pStyle w:val="BodyText"/>
        <w:spacing w:line="408" w:lineRule="auto"/>
        <w:ind w:right="101" w:firstLine="420"/>
        <w:jc w:val="left"/>
      </w:pPr>
      <w:r>
        <w:rPr>
          <w:rFonts w:ascii="宋体" w:hAnsi="宋体" w:cs="宋体" w:eastAsia="宋体" w:hint="default"/>
        </w:rPr>
        <w:t>6</w:t>
      </w:r>
      <w:r>
        <w:rPr/>
        <w:t>、报告期内，公司召开第六届董事会第四次会议，审议通过了《关于全资子公司为参股公司融资租</w:t>
      </w:r>
      <w:r>
        <w:rPr>
          <w:w w:val="100"/>
        </w:rPr>
        <w:t> </w:t>
      </w:r>
      <w:r>
        <w:rPr>
          <w:spacing w:val="-5"/>
        </w:rPr>
        <w:t>赁提供担保暨关联交易的议案》，公司全资子公司美年大健康为下述参股公司与拉赫兰顿融资租赁（中国）</w:t>
      </w:r>
      <w:r>
        <w:rPr>
          <w:spacing w:val="-4"/>
        </w:rPr>
        <w:t> </w:t>
      </w:r>
      <w:r>
        <w:rPr>
          <w:spacing w:val="-4"/>
        </w:rPr>
      </w:r>
      <w:r>
        <w:rPr/>
        <w:t>有限公司进行医疗设备融资租赁业务提供担保，本次担保总金额为 </w:t>
      </w:r>
      <w:r>
        <w:rPr>
          <w:rFonts w:ascii="宋体" w:hAnsi="宋体" w:cs="宋体" w:eastAsia="宋体" w:hint="default"/>
        </w:rPr>
        <w:t>1,330</w:t>
      </w:r>
      <w:r>
        <w:rPr>
          <w:rFonts w:ascii="宋体" w:hAnsi="宋体" w:cs="宋体" w:eastAsia="宋体" w:hint="default"/>
          <w:spacing w:val="-6"/>
        </w:rPr>
        <w:t> </w:t>
      </w:r>
      <w:r>
        <w:rPr/>
        <w:t>万元。（</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21</w:t>
      </w:r>
      <w:r>
        <w:rPr/>
        <w:t>日，公</w:t>
      </w:r>
      <w:r>
        <w:rPr>
          <w:w w:val="100"/>
        </w:rPr>
        <w:t> </w:t>
      </w:r>
      <w:r>
        <w:rPr/>
        <w:t>告号</w:t>
      </w:r>
      <w:r>
        <w:rPr>
          <w:rFonts w:ascii="宋体" w:hAnsi="宋体" w:cs="宋体" w:eastAsia="宋体" w:hint="default"/>
        </w:rPr>
        <w:t>2015-123</w:t>
      </w:r>
      <w:r>
        <w:rPr/>
        <w:t>）</w:t>
      </w:r>
    </w:p>
    <w:p>
      <w:pPr>
        <w:pStyle w:val="BodyText"/>
        <w:spacing w:line="408" w:lineRule="auto"/>
        <w:ind w:right="206" w:firstLine="420"/>
        <w:jc w:val="left"/>
      </w:pPr>
      <w:r>
        <w:rPr>
          <w:rFonts w:ascii="宋体" w:hAnsi="宋体" w:cs="宋体" w:eastAsia="宋体" w:hint="default"/>
        </w:rPr>
        <w:t>7</w:t>
      </w:r>
      <w:r>
        <w:rPr/>
        <w:t>、报告期内，公司召开第六届董事会第四次会议，审议通过了《关于全资子公司参与签订慈铭健康</w:t>
      </w:r>
      <w:r>
        <w:rPr>
          <w:w w:val="100"/>
        </w:rPr>
        <w:t> </w:t>
      </w:r>
      <w:r>
        <w:rPr>
          <w:spacing w:val="-2"/>
        </w:rPr>
        <w:t>体检管理集团股份有限公司之股份转让协议之补充协议暨关联交易的议案》，公司全资子公司美年大健康</w:t>
      </w:r>
      <w:r>
        <w:rPr>
          <w:spacing w:val="-43"/>
        </w:rPr>
        <w:t> </w:t>
      </w:r>
      <w:r>
        <w:rPr>
          <w:spacing w:val="-43"/>
        </w:rPr>
      </w:r>
      <w:r>
        <w:rPr>
          <w:spacing w:val="-2"/>
        </w:rPr>
        <w:t>参与签订慈铭健康体检管理集团股份有限公司之股份转让协议之补充协议。授权公司董事长俞熔及其代理</w:t>
      </w:r>
      <w:r>
        <w:rPr>
          <w:spacing w:val="-43"/>
        </w:rPr>
        <w:t> </w:t>
      </w:r>
      <w:r>
        <w:rPr>
          <w:spacing w:val="-43"/>
        </w:rPr>
      </w:r>
      <w:r>
        <w:rPr/>
        <w:t>人签署相关文件。（</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21</w:t>
      </w:r>
      <w:r>
        <w:rPr/>
        <w:t>日，公告号</w:t>
      </w:r>
      <w:r>
        <w:rPr>
          <w:rFonts w:ascii="宋体" w:hAnsi="宋体" w:cs="宋体" w:eastAsia="宋体" w:hint="default"/>
        </w:rPr>
        <w:t>2015-123</w:t>
      </w:r>
      <w:r>
        <w:rPr/>
        <w:t>）</w:t>
      </w:r>
    </w:p>
    <w:p>
      <w:pPr>
        <w:pStyle w:val="BodyText"/>
        <w:spacing w:line="240" w:lineRule="auto"/>
        <w:ind w:left="678" w:right="92"/>
        <w:jc w:val="left"/>
      </w:pPr>
      <w:r>
        <w:rPr>
          <w:rFonts w:ascii="宋体" w:hAnsi="宋体" w:cs="宋体" w:eastAsia="宋体" w:hint="default"/>
        </w:rPr>
        <w:t>8</w:t>
      </w:r>
      <w:r>
        <w:rPr/>
        <w:t>、</w:t>
      </w:r>
      <w:r>
        <w:rPr>
          <w:spacing w:val="-6"/>
        </w:rPr>
        <w:t> </w:t>
      </w:r>
      <w:r>
        <w:rPr/>
        <w:t>报告期内，公司召开第六届董事会第七次会议，审议通过了《关于全资子公司与安翰光电技术</w:t>
      </w:r>
    </w:p>
    <w:p>
      <w:pPr>
        <w:spacing w:line="240" w:lineRule="auto" w:before="10"/>
        <w:rPr>
          <w:rFonts w:ascii="宋体" w:hAnsi="宋体" w:cs="宋体" w:eastAsia="宋体" w:hint="default"/>
          <w:sz w:val="14"/>
          <w:szCs w:val="14"/>
        </w:rPr>
      </w:pPr>
    </w:p>
    <w:p>
      <w:pPr>
        <w:pStyle w:val="BodyText"/>
        <w:spacing w:line="408" w:lineRule="auto" w:before="0"/>
        <w:ind w:right="103"/>
        <w:jc w:val="left"/>
      </w:pPr>
      <w:r>
        <w:rPr>
          <w:spacing w:val="-2"/>
        </w:rPr>
        <w:t>（武汉）有限公司及上海安翰医疗技术有限公司签署</w:t>
      </w:r>
      <w:r>
        <w:rPr>
          <w:rFonts w:ascii="宋体" w:hAnsi="宋体" w:cs="宋体" w:eastAsia="宋体" w:hint="default"/>
          <w:spacing w:val="-2"/>
        </w:rPr>
        <w:t>NaviCam</w:t>
      </w:r>
      <w:r>
        <w:rPr>
          <w:spacing w:val="-2"/>
        </w:rPr>
        <w:t>胶囊内镜机器人医疗机构合作协议的议案》，</w:t>
      </w:r>
      <w:r>
        <w:rPr>
          <w:spacing w:val="-38"/>
        </w:rPr>
        <w:t> </w:t>
      </w:r>
      <w:r>
        <w:rPr>
          <w:spacing w:val="-38"/>
        </w:rPr>
      </w:r>
      <w:r>
        <w:rPr>
          <w:spacing w:val="-2"/>
        </w:rPr>
        <w:t>公司全资子公司美年大健康产业（集团）有限公司与安翰光电技术（武汉）有限公司及上海安翰医疗技术</w:t>
      </w:r>
      <w:r>
        <w:rPr>
          <w:spacing w:val="-44"/>
        </w:rPr>
        <w:t> </w:t>
      </w:r>
      <w:r>
        <w:rPr>
          <w:spacing w:val="-44"/>
        </w:rPr>
      </w:r>
      <w:r>
        <w:rPr/>
        <w:t>有限公司签署</w:t>
      </w:r>
      <w:r>
        <w:rPr>
          <w:rFonts w:ascii="宋体" w:hAnsi="宋体" w:cs="宋体" w:eastAsia="宋体" w:hint="default"/>
        </w:rPr>
        <w:t>NaviCam</w:t>
      </w:r>
      <w:r>
        <w:rPr/>
        <w:t>胶囊内镜机器人医疗机构合作协议。（</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18</w:t>
      </w:r>
      <w:r>
        <w:rPr/>
        <w:t>日，公告号</w:t>
      </w:r>
      <w:r>
        <w:rPr>
          <w:rFonts w:ascii="宋体" w:hAnsi="宋体" w:cs="宋体" w:eastAsia="宋体" w:hint="default"/>
        </w:rPr>
        <w:t>2015-147</w:t>
      </w:r>
      <w:r>
        <w:rPr/>
        <w:t>）</w:t>
      </w:r>
    </w:p>
    <w:p>
      <w:pPr>
        <w:pStyle w:val="BodyText"/>
        <w:spacing w:line="408" w:lineRule="auto"/>
        <w:ind w:right="206" w:firstLine="420"/>
        <w:jc w:val="both"/>
      </w:pPr>
      <w:r>
        <w:rPr>
          <w:rFonts w:ascii="宋体" w:hAnsi="宋体" w:cs="宋体" w:eastAsia="宋体" w:hint="default"/>
        </w:rPr>
        <w:t>9</w:t>
      </w:r>
      <w:r>
        <w:rPr/>
        <w:t>、</w:t>
      </w:r>
      <w:r>
        <w:rPr>
          <w:spacing w:val="-26"/>
        </w:rPr>
        <w:t> </w:t>
      </w:r>
      <w:r>
        <w:rPr/>
        <w:t>报告期内，公司召开第六届董事会第七次会议，审议通过了《关于公司与下属子公司共同投资设</w:t>
      </w:r>
      <w:r>
        <w:rPr>
          <w:w w:val="100"/>
        </w:rPr>
        <w:t> </w:t>
      </w:r>
      <w:r>
        <w:rPr>
          <w:spacing w:val="-2"/>
        </w:rPr>
        <w:t>立产业并购基金的议案》，公司与下属子公司上海美年大健康体检投资管理有限公司共同投资设立“上海</w:t>
      </w:r>
      <w:r>
        <w:rPr>
          <w:spacing w:val="-43"/>
        </w:rPr>
        <w:t> </w:t>
      </w:r>
      <w:r>
        <w:rPr>
          <w:spacing w:val="-43"/>
        </w:rPr>
      </w:r>
      <w:r>
        <w:rPr/>
        <w:t>美年大健康一期股权投资基金合伙企业（有限合伙）”。（</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18</w:t>
      </w:r>
      <w:r>
        <w:rPr/>
        <w:t>日，公告号</w:t>
      </w:r>
      <w:r>
        <w:rPr>
          <w:rFonts w:ascii="宋体" w:hAnsi="宋体" w:cs="宋体" w:eastAsia="宋体" w:hint="default"/>
        </w:rPr>
        <w:t>2015-147</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92"/>
        <w:jc w:val="left"/>
        <w:rPr>
          <w:b w:val="0"/>
          <w:bCs w:val="0"/>
        </w:rPr>
      </w:pPr>
      <w:r>
        <w:rPr/>
        <w:t>二十、社会责任情况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right="2839"/>
        <w:jc w:val="left"/>
      </w:pPr>
      <w:r>
        <w:rPr/>
        <w:t>√ 适用 □ 不适用</w:t>
      </w:r>
      <w:r>
        <w:rPr>
          <w:spacing w:val="-104"/>
        </w:rPr>
        <w:t> </w:t>
      </w:r>
      <w:r>
        <w:rPr>
          <w:spacing w:val="-104"/>
        </w:rPr>
      </w:r>
      <w:r>
        <w:rPr/>
        <w:t>详见巨潮资讯网刊登的公司《</w:t>
      </w:r>
      <w:r>
        <w:rPr>
          <w:rFonts w:ascii="宋体" w:hAnsi="宋体" w:cs="宋体" w:eastAsia="宋体" w:hint="default"/>
        </w:rPr>
        <w:t>2015</w:t>
      </w:r>
      <w:r>
        <w:rPr/>
        <w:t>年度社会责任报告》。</w:t>
      </w:r>
      <w:r>
        <w:rPr>
          <w:w w:val="100"/>
        </w:rPr>
        <w:t> </w:t>
      </w:r>
      <w:r>
        <w:rPr>
          <w:spacing w:val="-2"/>
        </w:rPr>
        <w:t>上市公司及其子公司是否属于国家环境保护部门规定的重污染行业</w:t>
      </w:r>
    </w:p>
    <w:p>
      <w:pPr>
        <w:pStyle w:val="BodyText"/>
        <w:spacing w:line="240" w:lineRule="auto" w:before="53"/>
        <w:ind w:right="92"/>
        <w:jc w:val="left"/>
      </w:pPr>
      <w:r>
        <w:rPr/>
        <w:t>□ 是 √ 否 □</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92"/>
        <w:jc w:val="left"/>
        <w:rPr>
          <w:b w:val="0"/>
          <w:bCs w:val="0"/>
        </w:rPr>
      </w:pPr>
      <w:r>
        <w:rPr/>
        <w:t>二十一、公司债券相关情况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2"/>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r>
    </w:p>
    <w:p>
      <w:pPr>
        <w:pStyle w:val="BodyText"/>
        <w:spacing w:line="240" w:lineRule="auto" w:before="87"/>
        <w:ind w:right="92"/>
        <w:jc w:val="left"/>
      </w:pPr>
      <w:r>
        <w:rPr>
          <w:w w:val="100"/>
        </w:rPr>
        <w:t>否</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6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52"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4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04"/>
        <w:gridCol w:w="1003"/>
        <w:gridCol w:w="710"/>
        <w:gridCol w:w="1010"/>
        <w:gridCol w:w="975"/>
        <w:gridCol w:w="708"/>
        <w:gridCol w:w="708"/>
        <w:gridCol w:w="994"/>
        <w:gridCol w:w="1133"/>
        <w:gridCol w:w="710"/>
      </w:tblGrid>
      <w:tr>
        <w:trPr>
          <w:trHeight w:val="403"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932,671,353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932,887,853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933,037,853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77.06%</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932,671,353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932,887,853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933,037,853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77.06%</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9"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704,297,600</w:t>
            </w:r>
          </w:p>
        </w:tc>
        <w:tc>
          <w:tcPr>
            <w:tcW w:w="9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704,297,600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704,297,600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58.17%</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228,373,753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228,590,253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228,740,253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18.89%</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99.93%</w:t>
            </w:r>
          </w:p>
        </w:tc>
        <w:tc>
          <w:tcPr>
            <w:tcW w:w="101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53,603,500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277,703,500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22.94%</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99.93%</w:t>
            </w:r>
          </w:p>
        </w:tc>
        <w:tc>
          <w:tcPr>
            <w:tcW w:w="101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53,603,500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277,703,500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22.94%</w:t>
            </w: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932,671,353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986,491,353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1,210,741,353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5"/>
          <w:szCs w:val="5"/>
        </w:rPr>
      </w:pPr>
    </w:p>
    <w:p>
      <w:pPr>
        <w:pStyle w:val="BodyText"/>
        <w:spacing w:line="240" w:lineRule="auto" w:before="36"/>
        <w:ind w:left="252" w:right="0"/>
        <w:jc w:val="both"/>
      </w:pPr>
      <w:r>
        <w:rPr/>
        <w:t>股份变动的原因</w:t>
      </w:r>
    </w:p>
    <w:p>
      <w:pPr>
        <w:spacing w:line="240" w:lineRule="auto" w:before="9"/>
        <w:rPr>
          <w:rFonts w:ascii="宋体" w:hAnsi="宋体" w:cs="宋体" w:eastAsia="宋体" w:hint="default"/>
          <w:sz w:val="17"/>
          <w:szCs w:val="17"/>
        </w:rPr>
      </w:pPr>
    </w:p>
    <w:p>
      <w:pPr>
        <w:pStyle w:val="BodyText"/>
        <w:spacing w:line="444" w:lineRule="auto" w:before="0"/>
        <w:ind w:left="673" w:right="0" w:hanging="421"/>
        <w:jc w:val="left"/>
        <w:rPr>
          <w:rFonts w:ascii="宋体" w:hAnsi="宋体" w:cs="宋体" w:eastAsia="宋体" w:hint="default"/>
        </w:rPr>
      </w:pPr>
      <w:r>
        <w:rPr/>
        <w:t>√ 适用 □ 不适用</w:t>
      </w:r>
      <w:r>
        <w:rPr>
          <w:spacing w:val="-104"/>
        </w:rPr>
        <w:t> </w:t>
      </w:r>
      <w:r>
        <w:rPr>
          <w:spacing w:val="-104"/>
        </w:rPr>
      </w:r>
      <w:r>
        <w:rPr>
          <w:spacing w:val="-4"/>
        </w:rPr>
        <w:t>经</w:t>
      </w:r>
      <w:r>
        <w:rPr>
          <w:rFonts w:ascii="宋体" w:hAnsi="宋体" w:cs="宋体" w:eastAsia="宋体" w:hint="default"/>
          <w:spacing w:val="-4"/>
        </w:rPr>
        <w:t>2015</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29</w:t>
      </w:r>
      <w:r>
        <w:rPr>
          <w:spacing w:val="-4"/>
        </w:rPr>
        <w:t>日召开的公司</w:t>
      </w:r>
      <w:r>
        <w:rPr>
          <w:rFonts w:ascii="宋体" w:hAnsi="宋体" w:cs="宋体" w:eastAsia="宋体" w:hint="default"/>
          <w:spacing w:val="-4"/>
        </w:rPr>
        <w:t>2014</w:t>
      </w:r>
      <w:r>
        <w:rPr>
          <w:spacing w:val="-4"/>
        </w:rPr>
        <w:t>年年度股东大会批准，公司</w:t>
      </w:r>
      <w:r>
        <w:rPr>
          <w:rFonts w:ascii="宋体" w:hAnsi="宋体" w:cs="宋体" w:eastAsia="宋体" w:hint="default"/>
          <w:spacing w:val="-4"/>
        </w:rPr>
        <w:t>2014</w:t>
      </w:r>
      <w:r>
        <w:rPr>
          <w:spacing w:val="-4"/>
        </w:rPr>
        <w:t>年年度权益分派方案为：以公司</w:t>
      </w:r>
      <w:r>
        <w:rPr>
          <w:rFonts w:ascii="宋体" w:hAnsi="宋体" w:cs="宋体" w:eastAsia="宋体" w:hint="default"/>
          <w:spacing w:val="-4"/>
        </w:rPr>
        <w:t>2014</w:t>
      </w:r>
    </w:p>
    <w:p>
      <w:pPr>
        <w:pStyle w:val="BodyText"/>
        <w:spacing w:line="408" w:lineRule="auto" w:before="14"/>
        <w:ind w:left="252" w:right="490"/>
        <w:jc w:val="both"/>
      </w:pP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224,250,000</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0.80</w:t>
      </w:r>
      <w:r>
        <w:rPr>
          <w:spacing w:val="-2"/>
        </w:rPr>
        <w:t>元（含税），每</w:t>
      </w:r>
      <w:r>
        <w:rPr>
          <w:rFonts w:ascii="宋体" w:hAnsi="宋体" w:cs="宋体" w:eastAsia="宋体" w:hint="default"/>
          <w:spacing w:val="-2"/>
        </w:rPr>
        <w:t>10</w:t>
      </w:r>
      <w:r>
        <w:rPr>
          <w:spacing w:val="-2"/>
        </w:rPr>
        <w:t>股送红</w:t>
      </w:r>
      <w:r>
        <w:rPr>
          <w:spacing w:val="-6"/>
        </w:rPr>
        <w:t> </w:t>
      </w:r>
      <w:r>
        <w:rPr>
          <w:spacing w:val="-6"/>
        </w:rPr>
      </w:r>
      <w:r>
        <w:rPr>
          <w:spacing w:val="-2"/>
        </w:rPr>
        <w:t>股</w:t>
      </w:r>
      <w:r>
        <w:rPr>
          <w:rFonts w:ascii="宋体" w:hAnsi="宋体" w:cs="宋体" w:eastAsia="宋体" w:hint="default"/>
          <w:spacing w:val="-2"/>
        </w:rPr>
        <w:t>2.4</w:t>
      </w:r>
      <w:r>
        <w:rPr>
          <w:spacing w:val="-2"/>
        </w:rPr>
        <w:t>股，剩余未分配利润滚存至下一年度。</w:t>
      </w:r>
      <w:r>
        <w:rPr>
          <w:rFonts w:ascii="宋体" w:hAnsi="宋体" w:cs="宋体" w:eastAsia="宋体" w:hint="default"/>
          <w:spacing w:val="-2"/>
        </w:rPr>
        <w:t>2014</w:t>
      </w:r>
      <w:r>
        <w:rPr>
          <w:spacing w:val="-2"/>
        </w:rPr>
        <w:t>年度不以资本公积金转增股本。利润分配后公司总股本</w:t>
      </w:r>
      <w:r>
        <w:rPr>
          <w:spacing w:val="-18"/>
        </w:rPr>
        <w:t> </w:t>
      </w:r>
      <w:r>
        <w:rPr>
          <w:spacing w:val="-18"/>
        </w:rPr>
      </w:r>
      <w:r>
        <w:rPr/>
        <w:t>由</w:t>
      </w:r>
      <w:r>
        <w:rPr>
          <w:rFonts w:ascii="宋体" w:hAnsi="宋体" w:cs="宋体" w:eastAsia="宋体" w:hint="default"/>
        </w:rPr>
        <w:t>224,250,000</w:t>
      </w:r>
      <w:r>
        <w:rPr/>
        <w:t>股增加至</w:t>
      </w:r>
      <w:r>
        <w:rPr>
          <w:rFonts w:ascii="宋体" w:hAnsi="宋体" w:cs="宋体" w:eastAsia="宋体" w:hint="default"/>
        </w:rPr>
        <w:t>278,070,000</w:t>
      </w:r>
      <w:r>
        <w:rPr/>
        <w:t>股。</w:t>
      </w:r>
    </w:p>
    <w:p>
      <w:pPr>
        <w:pStyle w:val="BodyText"/>
        <w:spacing w:line="408" w:lineRule="auto"/>
        <w:ind w:left="252" w:right="0" w:firstLine="420"/>
        <w:jc w:val="left"/>
      </w:pPr>
      <w:r>
        <w:rPr>
          <w:spacing w:val="-2"/>
        </w:rPr>
        <w:t>公司</w:t>
      </w:r>
      <w:r>
        <w:rPr>
          <w:rFonts w:ascii="宋体" w:hAnsi="宋体" w:cs="宋体" w:eastAsia="宋体" w:hint="default"/>
          <w:spacing w:val="-2"/>
        </w:rPr>
        <w:t>2014</w:t>
      </w:r>
      <w:r>
        <w:rPr>
          <w:spacing w:val="-2"/>
        </w:rPr>
        <w:t>年年度权益分派的股权登记日为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w:t>
      </w:r>
      <w:r>
        <w:rPr>
          <w:spacing w:val="-2"/>
        </w:rPr>
        <w:t>日，除息日本次所送的无限售条件流通股的起始</w:t>
      </w:r>
      <w:r>
        <w:rPr>
          <w:w w:val="100"/>
        </w:rPr>
        <w:t> </w:t>
      </w:r>
      <w:r>
        <w:rPr/>
        <w:t>交易日为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w:t>
      </w:r>
      <w:r>
        <w:rPr/>
        <w:t>日。</w:t>
      </w:r>
    </w:p>
    <w:p>
      <w:pPr>
        <w:pStyle w:val="BodyText"/>
        <w:spacing w:line="408" w:lineRule="auto"/>
        <w:ind w:left="252" w:right="0" w:firstLine="420"/>
        <w:jc w:val="left"/>
      </w:pP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日，公司部分董事、监事及高级管理人员通过二级市场合计增持公司股份</w:t>
      </w:r>
      <w:r>
        <w:rPr>
          <w:rFonts w:ascii="宋体" w:hAnsi="宋体" w:cs="宋体" w:eastAsia="宋体" w:hint="default"/>
          <w:spacing w:val="-2"/>
        </w:rPr>
        <w:t>85,000</w:t>
      </w:r>
      <w:r>
        <w:rPr>
          <w:spacing w:val="-2"/>
        </w:rPr>
        <w:t>股，由于</w:t>
      </w:r>
      <w:r>
        <w:rPr>
          <w:w w:val="100"/>
        </w:rPr>
        <w:t> </w:t>
      </w:r>
      <w:r>
        <w:rPr/>
        <w:t>这部分董事、监事及高级管理人员分别于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9</w:t>
      </w:r>
      <w:r>
        <w:rPr/>
        <w:t>日、</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10</w:t>
      </w:r>
      <w:r>
        <w:rPr/>
        <w:t>日、</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16</w:t>
      </w:r>
      <w:r>
        <w:rPr/>
        <w:t>日及</w:t>
      </w:r>
      <w:r>
        <w:rPr>
          <w:rFonts w:ascii="宋体" w:hAnsi="宋体" w:cs="宋体" w:eastAsia="宋体" w:hint="default"/>
        </w:rPr>
        <w:t>2015</w:t>
      </w:r>
      <w:r>
        <w:rPr/>
        <w:t>年</w:t>
      </w:r>
      <w:r>
        <w:rPr>
          <w:rFonts w:ascii="宋体" w:hAnsi="宋体" w:cs="宋体" w:eastAsia="宋体" w:hint="default"/>
        </w:rPr>
        <w:t>12</w:t>
      </w:r>
      <w:r>
        <w:rPr/>
        <w:t>月</w:t>
      </w:r>
      <w:r>
        <w:rPr>
          <w:w w:val="100"/>
        </w:rPr>
        <w:t> </w:t>
      </w:r>
      <w:r>
        <w:rPr>
          <w:rFonts w:ascii="宋体" w:hAnsi="宋体" w:cs="宋体" w:eastAsia="宋体" w:hint="default"/>
          <w:spacing w:val="-2"/>
        </w:rPr>
        <w:t>11</w:t>
      </w:r>
      <w:r>
        <w:rPr>
          <w:spacing w:val="-2"/>
        </w:rPr>
        <w:t>日提交了书面辞职报告，董事、高级管理人员的辞职报告于</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日公司</w:t>
      </w:r>
      <w:r>
        <w:rPr>
          <w:rFonts w:ascii="宋体" w:hAnsi="宋体" w:cs="宋体" w:eastAsia="宋体" w:hint="default"/>
          <w:spacing w:val="-2"/>
        </w:rPr>
        <w:t>2015</w:t>
      </w:r>
      <w:r>
        <w:rPr>
          <w:spacing w:val="-2"/>
        </w:rPr>
        <w:t>年第三次临时股东</w:t>
      </w:r>
      <w:r>
        <w:rPr>
          <w:spacing w:val="-29"/>
        </w:rPr>
        <w:t> </w:t>
      </w:r>
      <w:r>
        <w:rPr>
          <w:spacing w:val="-29"/>
        </w:rPr>
      </w:r>
      <w:r>
        <w:rPr>
          <w:spacing w:val="-2"/>
        </w:rPr>
        <w:t>大会审议通过选举新一届董事成员以及第六届第一次会议审议通过聘任高级管理人员时生效，监事的辞职</w:t>
      </w:r>
      <w:r>
        <w:rPr>
          <w:spacing w:val="-43"/>
        </w:rPr>
        <w:t> </w:t>
      </w:r>
      <w:r>
        <w:rPr>
          <w:spacing w:val="-43"/>
        </w:rPr>
      </w:r>
      <w:r>
        <w:rPr>
          <w:spacing w:val="-2"/>
        </w:rPr>
        <w:t>报告于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日公司</w:t>
      </w:r>
      <w:r>
        <w:rPr>
          <w:rFonts w:ascii="宋体" w:hAnsi="宋体" w:cs="宋体" w:eastAsia="宋体" w:hint="default"/>
          <w:spacing w:val="-2"/>
        </w:rPr>
        <w:t>2015</w:t>
      </w:r>
      <w:r>
        <w:rPr>
          <w:spacing w:val="-2"/>
        </w:rPr>
        <w:t>年第六次临时股东大会审议通过改选监事时生效，这部分董事、监事及高</w:t>
      </w:r>
      <w:r>
        <w:rPr>
          <w:spacing w:val="-29"/>
        </w:rPr>
        <w:t> </w:t>
      </w:r>
      <w:r>
        <w:rPr>
          <w:spacing w:val="-29"/>
        </w:rPr>
      </w:r>
      <w:r>
        <w:rPr/>
        <w:t>级管理人员增持的公司股份</w:t>
      </w:r>
      <w:r>
        <w:rPr>
          <w:rFonts w:ascii="宋体" w:hAnsi="宋体" w:cs="宋体" w:eastAsia="宋体" w:hint="default"/>
        </w:rPr>
        <w:t>85,000</w:t>
      </w:r>
      <w:r>
        <w:rPr/>
        <w:t>股自动转为限售流通股（高管锁定股）。</w:t>
      </w:r>
    </w:p>
    <w:p>
      <w:pPr>
        <w:pStyle w:val="BodyText"/>
        <w:spacing w:line="240" w:lineRule="auto"/>
        <w:ind w:left="673" w:right="0"/>
        <w:jc w:val="left"/>
      </w:pPr>
      <w:r>
        <w:rPr/>
        <w:t>公司因实施重大资产重组向上海天亿投资（集团）有限公司等</w:t>
      </w:r>
      <w:r>
        <w:rPr>
          <w:rFonts w:ascii="宋体" w:hAnsi="宋体" w:cs="宋体" w:eastAsia="宋体" w:hint="default"/>
        </w:rPr>
        <w:t>24</w:t>
      </w:r>
      <w:r>
        <w:rPr/>
        <w:t>家企业及俞熔、徐可、朱玉华等</w:t>
      </w:r>
      <w:r>
        <w:rPr>
          <w:rFonts w:ascii="宋体" w:hAnsi="宋体" w:cs="宋体" w:eastAsia="宋体" w:hint="default"/>
        </w:rPr>
        <w:t>79</w:t>
      </w:r>
      <w:r>
        <w:rPr/>
        <w:t>名</w:t>
      </w:r>
    </w:p>
    <w:p>
      <w:pPr>
        <w:spacing w:after="0" w:line="240" w:lineRule="auto"/>
        <w:jc w:val="left"/>
        <w:sectPr>
          <w:pgSz w:w="11910" w:h="16840"/>
          <w:pgMar w:header="745" w:footer="979" w:top="1060" w:bottom="1160" w:left="880" w:right="7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自然人合计发行</w:t>
      </w:r>
      <w:r>
        <w:rPr>
          <w:rFonts w:ascii="宋体" w:hAnsi="宋体" w:cs="宋体" w:eastAsia="宋体" w:hint="default"/>
          <w:spacing w:val="-2"/>
        </w:rPr>
        <w:t>919,342,463</w:t>
      </w:r>
      <w:r>
        <w:rPr>
          <w:spacing w:val="-2"/>
        </w:rPr>
        <w:t>股份购买相关资产，上述股份于</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日经中国登记结算有限责任公司</w:t>
      </w:r>
      <w:r>
        <w:rPr>
          <w:spacing w:val="-33"/>
        </w:rPr>
        <w:t> </w:t>
      </w:r>
      <w:r>
        <w:rPr>
          <w:spacing w:val="-33"/>
        </w:rPr>
      </w:r>
      <w:r>
        <w:rPr/>
        <w:t>深圳分公司登记确认，上市日为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28</w:t>
      </w:r>
      <w:r>
        <w:rPr/>
        <w:t>日。</w:t>
      </w:r>
    </w:p>
    <w:p>
      <w:pPr>
        <w:pStyle w:val="BodyText"/>
        <w:spacing w:line="408" w:lineRule="auto"/>
        <w:ind w:right="0" w:firstLine="420"/>
        <w:jc w:val="left"/>
      </w:pPr>
      <w:r>
        <w:rPr>
          <w:spacing w:val="-2"/>
        </w:rPr>
        <w:t>公司采用询价发行方式向博时基金管理有限公司、华安基金管理有限公司、财通基金管理有限公司、</w:t>
      </w:r>
      <w:r>
        <w:rPr>
          <w:w w:val="100"/>
        </w:rPr>
        <w:t> </w:t>
      </w:r>
      <w:r>
        <w:rPr>
          <w:spacing w:val="-2"/>
        </w:rPr>
        <w:t>西部证券股份有限公司、创金合信基金管理有限公司、太平洋资产管理有限责任公司及浙江浙商证券资产</w:t>
      </w:r>
      <w:r>
        <w:rPr>
          <w:spacing w:val="-43"/>
        </w:rPr>
        <w:t> </w:t>
      </w:r>
      <w:r>
        <w:rPr>
          <w:spacing w:val="-43"/>
        </w:rPr>
      </w:r>
      <w:r>
        <w:rPr/>
        <w:t>管理有限公司等</w:t>
      </w:r>
      <w:r>
        <w:rPr>
          <w:rFonts w:ascii="宋体" w:hAnsi="宋体" w:cs="宋体" w:eastAsia="宋体" w:hint="default"/>
        </w:rPr>
        <w:t>7</w:t>
      </w:r>
      <w:r>
        <w:rPr/>
        <w:t>名发行对象非公开发行境内上市人民币普通股股票</w:t>
      </w:r>
      <w:r>
        <w:rPr>
          <w:rFonts w:ascii="宋体" w:hAnsi="宋体" w:cs="宋体" w:eastAsia="宋体" w:hint="default"/>
        </w:rPr>
        <w:t>13,328,890</w:t>
      </w:r>
      <w:r>
        <w:rPr/>
        <w:t>股，共募集配套资金人民</w:t>
      </w:r>
      <w:r>
        <w:rPr>
          <w:w w:val="100"/>
        </w:rPr>
        <w:t> </w:t>
      </w:r>
      <w:r>
        <w:rPr/>
        <w:t>币</w:t>
      </w:r>
      <w:r>
        <w:rPr>
          <w:rFonts w:ascii="宋体" w:hAnsi="宋体" w:cs="宋体" w:eastAsia="宋体" w:hint="default"/>
        </w:rPr>
        <w:t>399,999,988.90</w:t>
      </w:r>
      <w:r>
        <w:rPr/>
        <w:t>元，上述股份于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10</w:t>
      </w:r>
      <w:r>
        <w:rPr/>
        <w:t>日经中国登记结算有限责任公司深圳分公司登记确认，上</w:t>
      </w:r>
      <w:r>
        <w:rPr>
          <w:w w:val="100"/>
        </w:rPr>
        <w:t> </w:t>
      </w:r>
      <w:r>
        <w:rPr/>
        <w:t>市日为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w:t>
      </w:r>
    </w:p>
    <w:p>
      <w:pPr>
        <w:pStyle w:val="BodyText"/>
        <w:spacing w:line="408" w:lineRule="auto"/>
        <w:ind w:right="0" w:firstLine="420"/>
        <w:jc w:val="left"/>
      </w:pPr>
      <w:r>
        <w:rPr>
          <w:spacing w:val="-2"/>
        </w:rPr>
        <w:t>截止本报告披露日，公司总股本为</w:t>
      </w:r>
      <w:r>
        <w:rPr>
          <w:rFonts w:ascii="宋体" w:hAnsi="宋体" w:cs="宋体" w:eastAsia="宋体" w:hint="default"/>
          <w:spacing w:val="-2"/>
        </w:rPr>
        <w:t>1,210,741,353</w:t>
      </w:r>
      <w:r>
        <w:rPr>
          <w:spacing w:val="-2"/>
        </w:rPr>
        <w:t>股，其中限售流通股</w:t>
      </w:r>
      <w:r>
        <w:rPr>
          <w:rFonts w:ascii="宋体" w:hAnsi="宋体" w:cs="宋体" w:eastAsia="宋体" w:hint="default"/>
          <w:spacing w:val="-2"/>
        </w:rPr>
        <w:t>933,037,853</w:t>
      </w:r>
      <w:r>
        <w:rPr>
          <w:spacing w:val="-2"/>
        </w:rPr>
        <w:t>股，占公司总股本</w:t>
      </w:r>
      <w:r>
        <w:rPr>
          <w:w w:val="100"/>
        </w:rPr>
        <w:t> </w:t>
      </w:r>
      <w:r>
        <w:rPr/>
        <w:t>的</w:t>
      </w:r>
      <w:r>
        <w:rPr>
          <w:rFonts w:ascii="宋体" w:hAnsi="宋体" w:cs="宋体" w:eastAsia="宋体" w:hint="default"/>
        </w:rPr>
        <w:t>77.06%</w:t>
      </w:r>
      <w:r>
        <w:rPr/>
        <w:t>，无限售流通股</w:t>
      </w:r>
      <w:r>
        <w:rPr>
          <w:rFonts w:ascii="宋体" w:hAnsi="宋体" w:cs="宋体" w:eastAsia="宋体" w:hint="default"/>
        </w:rPr>
        <w:t>277,703,500</w:t>
      </w:r>
      <w:r>
        <w:rPr/>
        <w:t>股，占公司总股本的</w:t>
      </w:r>
      <w:r>
        <w:rPr>
          <w:rFonts w:ascii="宋体" w:hAnsi="宋体" w:cs="宋体" w:eastAsia="宋体" w:hint="default"/>
        </w:rPr>
        <w:t>22.94%</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0"/>
        <w:ind w:right="0"/>
        <w:jc w:val="left"/>
      </w:pPr>
      <w:r>
        <w:rPr/>
        <w:t>股份变动的批准情况</w:t>
      </w:r>
    </w:p>
    <w:p>
      <w:pPr>
        <w:spacing w:line="240" w:lineRule="auto" w:before="9"/>
        <w:rPr>
          <w:rFonts w:ascii="宋体" w:hAnsi="宋体" w:cs="宋体" w:eastAsia="宋体" w:hint="default"/>
          <w:sz w:val="17"/>
          <w:szCs w:val="17"/>
        </w:rPr>
      </w:pPr>
    </w:p>
    <w:p>
      <w:pPr>
        <w:pStyle w:val="BodyText"/>
        <w:spacing w:line="444" w:lineRule="auto" w:before="0"/>
        <w:ind w:left="573" w:right="0" w:hanging="421"/>
        <w:jc w:val="left"/>
      </w:pPr>
      <w:r>
        <w:rPr/>
        <w:t>√ 适用 □ 不适用</w:t>
      </w:r>
      <w:r>
        <w:rPr>
          <w:spacing w:val="-104"/>
        </w:rPr>
        <w:t> </w:t>
      </w:r>
      <w:r>
        <w:rPr>
          <w:spacing w:val="-104"/>
        </w:rPr>
      </w:r>
      <w:r>
        <w:rPr>
          <w:rFonts w:ascii="宋体" w:hAnsi="宋体" w:cs="宋体" w:eastAsia="宋体" w:hint="default"/>
          <w:spacing w:val="-2"/>
        </w:rPr>
        <w:t>1</w:t>
      </w:r>
      <w:r>
        <w:rPr>
          <w:spacing w:val="-2"/>
        </w:rPr>
        <w:t>、经</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29</w:t>
      </w:r>
      <w:r>
        <w:rPr>
          <w:spacing w:val="-2"/>
        </w:rPr>
        <w:t>日召开的公司</w:t>
      </w:r>
      <w:r>
        <w:rPr>
          <w:rFonts w:ascii="宋体" w:hAnsi="宋体" w:cs="宋体" w:eastAsia="宋体" w:hint="default"/>
          <w:spacing w:val="-2"/>
        </w:rPr>
        <w:t>2014</w:t>
      </w:r>
      <w:r>
        <w:rPr>
          <w:spacing w:val="-2"/>
        </w:rPr>
        <w:t>年年度股东大会批准，同意实施公司</w:t>
      </w:r>
      <w:r>
        <w:rPr>
          <w:rFonts w:ascii="宋体" w:hAnsi="宋体" w:cs="宋体" w:eastAsia="宋体" w:hint="default"/>
          <w:spacing w:val="-2"/>
        </w:rPr>
        <w:t>2014</w:t>
      </w:r>
      <w:r>
        <w:rPr>
          <w:spacing w:val="-2"/>
        </w:rPr>
        <w:t>的年度权益分派方案；</w:t>
      </w:r>
    </w:p>
    <w:p>
      <w:pPr>
        <w:pStyle w:val="BodyText"/>
        <w:spacing w:line="427" w:lineRule="auto" w:before="14"/>
        <w:ind w:right="0" w:firstLine="420"/>
        <w:jc w:val="left"/>
      </w:pPr>
      <w:r>
        <w:rPr>
          <w:rFonts w:ascii="宋体" w:hAnsi="宋体" w:cs="宋体" w:eastAsia="宋体" w:hint="default"/>
          <w:spacing w:val="-2"/>
        </w:rPr>
        <w:t>2</w:t>
      </w:r>
      <w:r>
        <w:rPr>
          <w:spacing w:val="-2"/>
        </w:rPr>
        <w:t>、经中国证券监督管理委员会《关于核准江苏三友集团股份有限公司重大资产重组及向上海天亿投</w:t>
      </w:r>
      <w:r>
        <w:rPr>
          <w:w w:val="100"/>
        </w:rPr>
        <w:t> </w:t>
      </w:r>
      <w:r>
        <w:rPr/>
        <w:t>资（集团）有限公司等发行股份购买资产并募集配套资金的批复》（证监许可</w:t>
      </w:r>
      <w:r>
        <w:rPr>
          <w:rFonts w:ascii="宋体" w:hAnsi="宋体" w:cs="宋体" w:eastAsia="宋体" w:hint="default"/>
        </w:rPr>
        <w:t>[2015]1718</w:t>
      </w:r>
      <w:r>
        <w:rPr/>
        <w:t>号）核准。</w:t>
      </w:r>
      <w:r>
        <w:rPr>
          <w:w w:val="100"/>
        </w:rPr>
        <w:t> </w:t>
      </w:r>
      <w:r>
        <w:rPr/>
        <w:t>股份变动的过户情况</w:t>
      </w:r>
    </w:p>
    <w:p>
      <w:pPr>
        <w:pStyle w:val="BodyText"/>
        <w:spacing w:line="444" w:lineRule="auto" w:before="67"/>
        <w:ind w:left="573" w:right="0" w:hanging="421"/>
        <w:jc w:val="left"/>
      </w:pPr>
      <w:r>
        <w:rPr/>
        <w:t>√ 适用 □ 不适用</w:t>
      </w:r>
      <w:r>
        <w:rPr>
          <w:spacing w:val="-104"/>
        </w:rPr>
        <w:t> </w:t>
      </w:r>
      <w:r>
        <w:rPr>
          <w:spacing w:val="-104"/>
        </w:rPr>
      </w:r>
      <w:r>
        <w:rPr>
          <w:rFonts w:ascii="宋体" w:hAnsi="宋体" w:cs="宋体" w:eastAsia="宋体" w:hint="default"/>
          <w:spacing w:val="-2"/>
        </w:rPr>
        <w:t>1</w:t>
      </w:r>
      <w:r>
        <w:rPr>
          <w:spacing w:val="-2"/>
        </w:rPr>
        <w:t>、公司因实施重大资产重组向上海天亿投资（集团）有限公司等</w:t>
      </w:r>
      <w:r>
        <w:rPr>
          <w:rFonts w:ascii="宋体" w:hAnsi="宋体" w:cs="宋体" w:eastAsia="宋体" w:hint="default"/>
          <w:spacing w:val="-2"/>
        </w:rPr>
        <w:t>24</w:t>
      </w:r>
      <w:r>
        <w:rPr>
          <w:spacing w:val="-2"/>
        </w:rPr>
        <w:t>家企业及俞熔、徐可、朱玉华等</w:t>
      </w:r>
    </w:p>
    <w:p>
      <w:pPr>
        <w:pStyle w:val="BodyText"/>
        <w:spacing w:line="408" w:lineRule="auto" w:before="14"/>
        <w:ind w:right="0"/>
        <w:jc w:val="left"/>
      </w:pPr>
      <w:r>
        <w:rPr>
          <w:rFonts w:ascii="宋体" w:hAnsi="宋体" w:cs="宋体" w:eastAsia="宋体" w:hint="default"/>
          <w:spacing w:val="-2"/>
        </w:rPr>
        <w:t>79</w:t>
      </w:r>
      <w:r>
        <w:rPr>
          <w:spacing w:val="-2"/>
        </w:rPr>
        <w:t>名自然人合计发行</w:t>
      </w:r>
      <w:r>
        <w:rPr>
          <w:rFonts w:ascii="宋体" w:hAnsi="宋体" w:cs="宋体" w:eastAsia="宋体" w:hint="default"/>
          <w:spacing w:val="-2"/>
        </w:rPr>
        <w:t>919,342,463</w:t>
      </w:r>
      <w:r>
        <w:rPr>
          <w:spacing w:val="-2"/>
        </w:rPr>
        <w:t>股份购买相关资产，上述股份于</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日经中国登记结算有限责任</w:t>
      </w:r>
      <w:r>
        <w:rPr>
          <w:spacing w:val="-27"/>
        </w:rPr>
        <w:t> </w:t>
      </w:r>
      <w:r>
        <w:rPr>
          <w:spacing w:val="-27"/>
        </w:rPr>
      </w:r>
      <w:r>
        <w:rPr/>
        <w:t>公司深圳分公司登记确认，上市日为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28</w:t>
      </w:r>
      <w:r>
        <w:rPr/>
        <w:t>日。</w:t>
      </w:r>
    </w:p>
    <w:p>
      <w:pPr>
        <w:pStyle w:val="BodyText"/>
        <w:spacing w:line="420" w:lineRule="auto"/>
        <w:ind w:right="0" w:firstLine="420"/>
        <w:jc w:val="left"/>
      </w:pPr>
      <w:r>
        <w:rPr>
          <w:rFonts w:ascii="宋体" w:hAnsi="宋体" w:cs="宋体" w:eastAsia="宋体" w:hint="default"/>
          <w:spacing w:val="-2"/>
        </w:rPr>
        <w:t>2</w:t>
      </w:r>
      <w:r>
        <w:rPr>
          <w:spacing w:val="-2"/>
        </w:rPr>
        <w:t>、公司采用询价发行方式向</w:t>
      </w:r>
      <w:r>
        <w:rPr>
          <w:rFonts w:ascii="宋体" w:hAnsi="宋体" w:cs="宋体" w:eastAsia="宋体" w:hint="default"/>
          <w:spacing w:val="-2"/>
        </w:rPr>
        <w:t>7</w:t>
      </w:r>
      <w:r>
        <w:rPr>
          <w:spacing w:val="-2"/>
        </w:rPr>
        <w:t>名发行对象非公开发行境内上市人民币普通股股票</w:t>
      </w:r>
      <w:r>
        <w:rPr>
          <w:rFonts w:ascii="宋体" w:hAnsi="宋体" w:cs="宋体" w:eastAsia="宋体" w:hint="default"/>
          <w:spacing w:val="-2"/>
        </w:rPr>
        <w:t>13,328,890</w:t>
      </w:r>
      <w:r>
        <w:rPr>
          <w:spacing w:val="-2"/>
        </w:rPr>
        <w:t>股，上述</w:t>
      </w:r>
      <w:r>
        <w:rPr>
          <w:w w:val="100"/>
        </w:rPr>
        <w:t> </w:t>
      </w:r>
      <w:r>
        <w:rPr/>
        <w:t>股份于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10</w:t>
      </w:r>
      <w:r>
        <w:rPr/>
        <w:t>日经中国登记结算有限责任公司深圳分公司登记确认，上市日为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w:t>
      </w:r>
      <w:r>
        <w:rPr>
          <w:w w:val="100"/>
        </w:rPr>
        <w:t> </w:t>
      </w: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444" w:lineRule="auto" w:before="74"/>
        <w:ind w:left="573" w:right="0" w:hanging="421"/>
        <w:jc w:val="left"/>
        <w:rPr>
          <w:rFonts w:ascii="宋体" w:hAnsi="宋体" w:cs="宋体" w:eastAsia="宋体" w:hint="default"/>
        </w:rPr>
      </w:pPr>
      <w:r>
        <w:rPr/>
        <w:t>√ 适用 □ 不适用</w:t>
      </w:r>
      <w:r>
        <w:rPr>
          <w:spacing w:val="-104"/>
        </w:rPr>
        <w:t> </w:t>
      </w:r>
      <w:r>
        <w:rPr>
          <w:spacing w:val="-104"/>
        </w:rPr>
      </w:r>
      <w:r>
        <w:rPr>
          <w:spacing w:val="-6"/>
        </w:rPr>
        <w:t>公司股本变动后，按新股本</w:t>
      </w:r>
      <w:r>
        <w:rPr>
          <w:rFonts w:ascii="宋体" w:hAnsi="宋体" w:cs="宋体" w:eastAsia="宋体" w:hint="default"/>
          <w:spacing w:val="-6"/>
        </w:rPr>
        <w:t>1,210,741,353</w:t>
      </w:r>
      <w:r>
        <w:rPr>
          <w:spacing w:val="-6"/>
        </w:rPr>
        <w:t>股摊薄计算，</w:t>
      </w:r>
      <w:r>
        <w:rPr>
          <w:rFonts w:ascii="宋体" w:hAnsi="宋体" w:cs="宋体" w:eastAsia="宋体" w:hint="default"/>
          <w:spacing w:val="-6"/>
        </w:rPr>
        <w:t>2015</w:t>
      </w:r>
      <w:r>
        <w:rPr>
          <w:spacing w:val="-6"/>
        </w:rPr>
        <w:t>年度公司每股净收益为</w:t>
      </w:r>
      <w:r>
        <w:rPr>
          <w:rFonts w:ascii="宋体" w:hAnsi="宋体" w:cs="宋体" w:eastAsia="宋体" w:hint="default"/>
          <w:spacing w:val="-6"/>
        </w:rPr>
        <w:t>0.215</w:t>
      </w:r>
      <w:r>
        <w:rPr>
          <w:spacing w:val="-6"/>
        </w:rPr>
        <w:t>元，截止</w:t>
      </w:r>
      <w:r>
        <w:rPr>
          <w:rFonts w:ascii="宋体" w:hAnsi="宋体" w:cs="宋体" w:eastAsia="宋体" w:hint="default"/>
          <w:spacing w:val="-6"/>
        </w:rPr>
        <w:t>2015</w:t>
      </w:r>
    </w:p>
    <w:p>
      <w:pPr>
        <w:pStyle w:val="BodyText"/>
        <w:spacing w:line="444" w:lineRule="auto" w:before="14"/>
        <w:ind w:left="573" w:right="4344" w:hanging="421"/>
        <w:jc w:val="left"/>
      </w:pPr>
      <w:r>
        <w:rPr/>
        <w:t>年</w:t>
      </w:r>
      <w:r>
        <w:rPr>
          <w:rFonts w:ascii="宋体" w:hAnsi="宋体" w:cs="宋体" w:eastAsia="宋体" w:hint="default"/>
        </w:rPr>
        <w:t>12</w:t>
      </w:r>
      <w:r>
        <w:rPr/>
        <w:t>月</w:t>
      </w:r>
      <w:r>
        <w:rPr>
          <w:rFonts w:ascii="宋体" w:hAnsi="宋体" w:cs="宋体" w:eastAsia="宋体" w:hint="default"/>
        </w:rPr>
        <w:t>31</w:t>
      </w:r>
      <w:r>
        <w:rPr/>
        <w:t>日公司每股净资产为</w:t>
      </w:r>
      <w:r>
        <w:rPr>
          <w:rFonts w:ascii="宋体" w:hAnsi="宋体" w:cs="宋体" w:eastAsia="宋体" w:hint="default"/>
        </w:rPr>
        <w:t>2.524</w:t>
      </w:r>
      <w:r>
        <w:rPr/>
        <w:t>元。</w:t>
      </w:r>
      <w:r>
        <w:rPr>
          <w:w w:val="100"/>
        </w:rPr>
        <w:t> </w:t>
      </w:r>
      <w:r>
        <w:rPr>
          <w:spacing w:val="-2"/>
        </w:rPr>
        <w:t>公司认为必要或证券监管机构要求披露的其他内容</w:t>
      </w:r>
    </w:p>
    <w:p>
      <w:pPr>
        <w:pStyle w:val="BodyText"/>
        <w:spacing w:line="240" w:lineRule="auto" w:before="53"/>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98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42" w:space="6979"/>
            <w:col w:w="102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天亿投资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135,888,704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135,888,704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天亿资管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93,752,825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93,752,825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美馨投资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87,372,319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87,372,319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72"/>
              <w:jc w:val="left"/>
              <w:rPr>
                <w:rFonts w:ascii="宋体" w:hAnsi="宋体" w:cs="宋体" w:eastAsia="宋体" w:hint="default"/>
                <w:sz w:val="18"/>
                <w:szCs w:val="18"/>
              </w:rPr>
            </w:pPr>
            <w:r>
              <w:rPr>
                <w:rFonts w:ascii="宋体" w:hAnsi="宋体" w:cs="宋体" w:eastAsia="宋体" w:hint="default"/>
                <w:sz w:val="18"/>
                <w:szCs w:val="18"/>
              </w:rPr>
              <w:t>北京凯雷投资中 心（有限合伙）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84,574,589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84,574,589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北京世纪长河科 技集团有限公司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77,349,497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77,349,497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天津大中咨询管 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35,865,180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35,865,180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深圳市平安创新 资本投资有限公 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34,120,275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34,120,275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上海和途投资中 心（有限合伙）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31,419,115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昆山高益咨询管 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18,383,786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18,383,786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太平人寿保险有 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16,471,358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16,471,358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上海京瑞投资中 心（有限合伙）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16,044,371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16,044,371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重庆德凯科技发 展有限公司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13,529,848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13,529,848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北京华新博融投 资咨询有限责任 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7,976,667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7,976,667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华金（天津）国 际医药医疗创业 投资合伙企业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6,577,433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6,577,433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湖南晟果创业投 资有限公司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6,176,759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6,176,759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北京信中利盈佳 股权投资中心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4,973,754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4,973,754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苏州纪源源星股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w w:val="95"/>
                <w:sz w:val="18"/>
              </w:rPr>
              <w:t>4,813,311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w w:val="95"/>
                <w:sz w:val="18"/>
              </w:rPr>
              <w:t>4,813,311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昆山分享股权投 资（有限合伙）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4,242,412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4,242,412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72"/>
              <w:jc w:val="left"/>
              <w:rPr>
                <w:rFonts w:ascii="宋体" w:hAnsi="宋体" w:cs="宋体" w:eastAsia="宋体" w:hint="default"/>
                <w:sz w:val="18"/>
                <w:szCs w:val="18"/>
              </w:rPr>
            </w:pPr>
            <w:r>
              <w:rPr>
                <w:rFonts w:ascii="宋体" w:hAnsi="宋体" w:cs="宋体" w:eastAsia="宋体" w:hint="default"/>
                <w:sz w:val="18"/>
                <w:szCs w:val="18"/>
              </w:rPr>
              <w:t>北京汇动融创投 资有限公司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3,294,683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3,294,683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72.475983pt;width:100.95pt;height:23.45pt;mso-position-horizontal-relative:page;mso-position-vertical-relative:page;z-index:-1400632" type="#_x0000_t202" filled="false" stroked="false">
            <v:textbox inset="0,0,0,0">
              <w:txbxContent>
                <w:p>
                  <w:pPr>
                    <w:spacing w:line="240" w:lineRule="auto" w:before="10"/>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中卫成长 创业投资合伙企 业（有限合伙）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7.8pt;height:23.45pt;mso-position-horizontal-relative:char;mso-position-vertical-relative:line" coordorigin="0,0" coordsize="1356,469">
                  <v:group style="position:absolute;left:0;top:0;width:1356;height:469" coordorigin="0,0" coordsize="1356,469">
                    <v:shape style="position:absolute;left:0;top:0;width:1356;height:469" coordorigin="0,0" coordsize="1356,469" path="m0,468l1356,468,1356,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3,208,874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3,208,874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上海秉鸿嘉豪投 资发展中心（有 限合伙）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1,604,437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1,604,437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360"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72"/>
              <w:jc w:val="left"/>
              <w:rPr>
                <w:rFonts w:ascii="宋体" w:hAnsi="宋体" w:cs="宋体" w:eastAsia="宋体" w:hint="default"/>
                <w:sz w:val="18"/>
                <w:szCs w:val="18"/>
              </w:rPr>
            </w:pPr>
            <w:r>
              <w:rPr>
                <w:rFonts w:ascii="宋体" w:hAnsi="宋体" w:cs="宋体" w:eastAsia="宋体" w:hint="default"/>
                <w:sz w:val="18"/>
                <w:szCs w:val="18"/>
              </w:rPr>
              <w:t>云南舜喜健康产 业投资有限公司</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1,317,709</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1,317,709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发后机构类限售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4" w:right="72"/>
              <w:jc w:val="left"/>
              <w:rPr>
                <w:rFonts w:ascii="宋体" w:hAnsi="宋体" w:cs="宋体" w:eastAsia="宋体" w:hint="default"/>
                <w:sz w:val="18"/>
                <w:szCs w:val="18"/>
              </w:rPr>
            </w:pPr>
            <w:r>
              <w:rPr>
                <w:rFonts w:ascii="宋体" w:hAnsi="宋体" w:cs="宋体" w:eastAsia="宋体" w:hint="default"/>
                <w:sz w:val="18"/>
                <w:szCs w:val="18"/>
              </w:rPr>
              <w:t>北京天域医康投 资管理有限公司</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1,208,586</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1,208,586</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发后机构类限售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河南秉鸿生物高 新技术创业投资 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802,218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802,218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发后机构类限售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361"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24,707,037</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24,707,037</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发后个人类限售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朱玉华</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23,910,921</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23,910,921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发后个人类限售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20,648,750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20,648,750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发后个人类限售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18,942,062</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18,942,062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发后个人类限售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胡波</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17,648,808</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17,648,808</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70"/>
              <w:jc w:val="left"/>
              <w:rPr>
                <w:rFonts w:ascii="宋体" w:hAnsi="宋体" w:cs="宋体" w:eastAsia="宋体" w:hint="default"/>
                <w:sz w:val="18"/>
                <w:szCs w:val="18"/>
              </w:rPr>
            </w:pPr>
            <w:r>
              <w:rPr>
                <w:rFonts w:ascii="宋体" w:hAnsi="宋体" w:cs="宋体" w:eastAsia="宋体" w:hint="default"/>
                <w:sz w:val="18"/>
                <w:szCs w:val="18"/>
              </w:rPr>
              <w:t>股份购买资产首 发后个人类限售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付桂珍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13,726,132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13,726,132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0"/>
              <w:jc w:val="both"/>
              <w:rPr>
                <w:rFonts w:ascii="宋体" w:hAnsi="宋体" w:cs="宋体" w:eastAsia="宋体" w:hint="default"/>
                <w:sz w:val="18"/>
                <w:szCs w:val="18"/>
              </w:rPr>
            </w:pPr>
            <w:r>
              <w:rPr>
                <w:rFonts w:ascii="宋体" w:hAnsi="宋体" w:cs="宋体" w:eastAsia="宋体" w:hint="default"/>
                <w:sz w:val="18"/>
                <w:szCs w:val="18"/>
              </w:rPr>
              <w:t>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12,353,519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12,353,519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10,706,383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10,706,383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胡显光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7,412,111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7,412,111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7,000,327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7,000,327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6,176,759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6,176,759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张雅军</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4,941,407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4,941,407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4,804,146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4,804,146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w w:val="95"/>
                <w:sz w:val="18"/>
              </w:rPr>
              <w:t>4,117,839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pacing w:val="-2"/>
                <w:sz w:val="18"/>
              </w:rPr>
              <w:t>4,117,839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赵泽伟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2,887,986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2,887,986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0"/>
              <w:jc w:val="left"/>
              <w:rPr>
                <w:rFonts w:ascii="宋体" w:hAnsi="宋体" w:cs="宋体" w:eastAsia="宋体" w:hint="default"/>
                <w:sz w:val="18"/>
                <w:szCs w:val="18"/>
              </w:rPr>
            </w:pPr>
            <w:r>
              <w:rPr>
                <w:rFonts w:ascii="宋体" w:hAnsi="宋体" w:cs="宋体" w:eastAsia="宋体" w:hint="default"/>
                <w:sz w:val="18"/>
                <w:szCs w:val="18"/>
              </w:rPr>
              <w:t>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2,470,704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2,470,704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岳仍丽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2,291,989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2,291,989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王织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2,264,812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2,264,812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魏宪书</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2,058,920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2,058,920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张秀丽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2,058,920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2,058,920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2,031,330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2,031,330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1,858,518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1,858,518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戚克栴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1,604,437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1,604,437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邹炎平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1,540,072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1,540,072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骞虹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陈冷穆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1,317,709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1,317,709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张俊斌</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1,152,995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1,152,995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刘伊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1,029,460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1,029,460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1,029,460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1,029,460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宋启军</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947,103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947,103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周瑞山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923,769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923,769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905,925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905,925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886,708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886,708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马国庆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878,472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878,472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董玉国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823,568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823,568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和小东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823,568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823,568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823,568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823,568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杨翠英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768,663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768,663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687,679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687,679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686,307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686,307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张瑞霞</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686,307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686,307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658,854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658,854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周宝福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617,676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617,676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刘群新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617,676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617,676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张宁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617,676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617,676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0"/>
              <w:jc w:val="both"/>
              <w:rPr>
                <w:rFonts w:ascii="宋体" w:hAnsi="宋体" w:cs="宋体" w:eastAsia="宋体" w:hint="default"/>
                <w:sz w:val="18"/>
                <w:szCs w:val="18"/>
              </w:rPr>
            </w:pPr>
            <w:r>
              <w:rPr>
                <w:rFonts w:ascii="宋体" w:hAnsi="宋体" w:cs="宋体" w:eastAsia="宋体" w:hint="default"/>
                <w:sz w:val="18"/>
                <w:szCs w:val="18"/>
              </w:rPr>
              <w:t>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549,045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549,045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陈忠桥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549,045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549,045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卫东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516,103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516,103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422,765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422,765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刘聚涛</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421,392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421,392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411,784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411,784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411,784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411,784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滕娆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370,606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370,606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341,781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341,781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叶春英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0"/>
              <w:jc w:val="left"/>
              <w:rPr>
                <w:rFonts w:ascii="宋体" w:hAnsi="宋体" w:cs="宋体" w:eastAsia="宋体" w:hint="default"/>
                <w:sz w:val="18"/>
                <w:szCs w:val="18"/>
              </w:rPr>
            </w:pPr>
            <w:r>
              <w:rPr>
                <w:rFonts w:ascii="宋体" w:hAnsi="宋体" w:cs="宋体" w:eastAsia="宋体" w:hint="default"/>
                <w:sz w:val="18"/>
                <w:szCs w:val="18"/>
              </w:rPr>
              <w:t>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292,367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292,367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陈志超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274,523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274,523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刘相国</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274,523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274,523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吕祖芹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274,523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274,523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张学富</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263,542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263,542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朱桂芳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247,070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林锦盘</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247,070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雷兴雨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247,070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相培恒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247,070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闫丽宣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段泽彪</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220,991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220,991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205,892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205,892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张宇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205,892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205,892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190,793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190,793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189,125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189,125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李若琳</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164,714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164,714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许建兵</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164,714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164,714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喻琰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164,714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164,714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李铁军</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133,143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109,809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109,809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蒋京湘</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82,357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82,357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邓小俊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57,650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57,650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年发行 股份购买资产首 发后个人类限售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2016-08-28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72"/>
              <w:jc w:val="left"/>
              <w:rPr>
                <w:rFonts w:ascii="宋体" w:hAnsi="宋体" w:cs="宋体" w:eastAsia="宋体" w:hint="default"/>
                <w:sz w:val="18"/>
                <w:szCs w:val="18"/>
              </w:rPr>
            </w:pPr>
            <w:r>
              <w:rPr>
                <w:rFonts w:ascii="宋体" w:hAnsi="宋体" w:cs="宋体" w:eastAsia="宋体" w:hint="default"/>
                <w:sz w:val="18"/>
                <w:szCs w:val="18"/>
              </w:rPr>
              <w:t>博时基金管理有 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2,665,778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2,665,778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华安基金管理有 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1,666,111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1,666,111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财通基金管理有 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3,765,411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3,765,411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西部证券股份有 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1,666,111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1,666,111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创金合信基金管 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太平洋资产管理 有限责任公司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浙江浙商证券资 产管理有限公司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年募集 配套资金首发后 机构类限售股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2016-9-23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按董监高股份管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理相关规定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10"/>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932,851,853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933,001,853</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5"/>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32"/>
          <w:szCs w:val="3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7"/>
        <w:gridCol w:w="1294"/>
        <w:gridCol w:w="1296"/>
        <w:gridCol w:w="1296"/>
        <w:gridCol w:w="1683"/>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919,342,463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919,342,463</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13,328,890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13,328,890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3"/>
        <w:rPr>
          <w:rFonts w:ascii="宋体" w:hAnsi="宋体" w:cs="宋体" w:eastAsia="宋体" w:hint="default"/>
          <w:sz w:val="5"/>
          <w:szCs w:val="5"/>
        </w:rPr>
      </w:pPr>
    </w:p>
    <w:p>
      <w:pPr>
        <w:pStyle w:val="BodyText"/>
        <w:spacing w:line="444" w:lineRule="auto" w:before="36"/>
        <w:ind w:left="573" w:right="0" w:hanging="421"/>
        <w:jc w:val="left"/>
      </w:pPr>
      <w:r>
        <w:rPr/>
        <w:t>报告期内证券发行（不含优先股）情况的说明</w:t>
      </w:r>
      <w:r>
        <w:rPr>
          <w:w w:val="100"/>
        </w:rPr>
        <w:t> </w:t>
      </w:r>
      <w:r>
        <w:rPr>
          <w:rFonts w:ascii="宋体" w:hAnsi="宋体" w:cs="宋体" w:eastAsia="宋体" w:hint="default"/>
          <w:spacing w:val="-2"/>
        </w:rPr>
        <w:t>1</w:t>
      </w:r>
      <w:r>
        <w:rPr>
          <w:spacing w:val="-2"/>
        </w:rPr>
        <w:t>、经中国证券监督管理委员会证监许可</w:t>
      </w:r>
      <w:r>
        <w:rPr>
          <w:rFonts w:ascii="宋体" w:hAnsi="宋体" w:cs="宋体" w:eastAsia="宋体" w:hint="default"/>
          <w:spacing w:val="-2"/>
        </w:rPr>
        <w:t>[2015]1718</w:t>
      </w:r>
      <w:r>
        <w:rPr>
          <w:spacing w:val="-2"/>
        </w:rPr>
        <w:t>号文件核准，根据公司《重大资产置换及发行股</w:t>
      </w:r>
    </w:p>
    <w:p>
      <w:pPr>
        <w:pStyle w:val="BodyText"/>
        <w:spacing w:line="408" w:lineRule="auto" w:before="14"/>
        <w:ind w:right="0"/>
        <w:jc w:val="left"/>
      </w:pPr>
      <w:r>
        <w:rPr>
          <w:spacing w:val="-2"/>
        </w:rPr>
        <w:t>份购买资产并募集配套资金暨关联交易方案》，江苏三友以全部资产及负债（包括或有负债）与天亿投资</w:t>
      </w:r>
      <w:r>
        <w:rPr>
          <w:spacing w:val="-44"/>
        </w:rPr>
        <w:t> </w:t>
      </w:r>
      <w:r>
        <w:rPr>
          <w:spacing w:val="-44"/>
        </w:rPr>
      </w:r>
      <w:r>
        <w:rPr>
          <w:spacing w:val="-2"/>
        </w:rPr>
        <w:t>等</w:t>
      </w:r>
      <w:r>
        <w:rPr>
          <w:rFonts w:ascii="宋体" w:hAnsi="宋体" w:cs="宋体" w:eastAsia="宋体" w:hint="default"/>
          <w:spacing w:val="-2"/>
        </w:rPr>
        <w:t>24</w:t>
      </w:r>
      <w:r>
        <w:rPr>
          <w:spacing w:val="-2"/>
        </w:rPr>
        <w:t>家企业及俞熔、徐可、朱玉华等</w:t>
      </w:r>
      <w:r>
        <w:rPr>
          <w:rFonts w:ascii="宋体" w:hAnsi="宋体" w:cs="宋体" w:eastAsia="宋体" w:hint="default"/>
          <w:spacing w:val="-2"/>
        </w:rPr>
        <w:t>79</w:t>
      </w:r>
      <w:r>
        <w:rPr>
          <w:spacing w:val="-2"/>
        </w:rPr>
        <w:t>名自然人持有的美年大健康</w:t>
      </w:r>
      <w:r>
        <w:rPr>
          <w:rFonts w:ascii="宋体" w:hAnsi="宋体" w:cs="宋体" w:eastAsia="宋体" w:hint="default"/>
          <w:spacing w:val="-2"/>
        </w:rPr>
        <w:t>100%</w:t>
      </w:r>
      <w:r>
        <w:rPr>
          <w:spacing w:val="-2"/>
        </w:rPr>
        <w:t>股份中的等值部分进行置换，置换</w:t>
      </w:r>
      <w:r>
        <w:rPr>
          <w:spacing w:val="-36"/>
        </w:rPr>
        <w:t> </w:t>
      </w:r>
      <w:r>
        <w:rPr>
          <w:spacing w:val="-36"/>
        </w:rPr>
      </w:r>
      <w:r>
        <w:rPr/>
        <w:t>双方交易标的作价的差额部分由江苏三友依据美年大健康全体股东各自持有的美年大健康股份比例向交</w:t>
      </w:r>
      <w:r>
        <w:rPr>
          <w:w w:val="100"/>
        </w:rPr>
        <w:t> </w:t>
      </w:r>
      <w:r>
        <w:rPr/>
        <w:t>易对方非公开发行股份购买，合计发行</w:t>
      </w:r>
      <w:r>
        <w:rPr>
          <w:rFonts w:ascii="宋体" w:hAnsi="宋体" w:cs="宋体" w:eastAsia="宋体" w:hint="default"/>
        </w:rPr>
        <w:t>919,342,463</w:t>
      </w:r>
      <w:r>
        <w:rPr/>
        <w:t>股。中国证券登记结算有限责任公司深圳分公司已出</w:t>
      </w:r>
      <w:r>
        <w:rPr>
          <w:w w:val="100"/>
        </w:rPr>
        <w:t> </w:t>
      </w:r>
      <w:r>
        <w:rPr/>
        <w:t>具《股份登记申请受理确认书》，上市日为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28</w:t>
      </w:r>
      <w:r>
        <w:rPr/>
        <w:t>日。</w:t>
      </w:r>
    </w:p>
    <w:p>
      <w:pPr>
        <w:pStyle w:val="BodyText"/>
        <w:spacing w:line="408" w:lineRule="auto"/>
        <w:ind w:right="146" w:firstLine="420"/>
        <w:jc w:val="both"/>
      </w:pPr>
      <w:r>
        <w:rPr>
          <w:rFonts w:ascii="宋体" w:hAnsi="宋体" w:cs="宋体" w:eastAsia="宋体" w:hint="default"/>
        </w:rPr>
        <w:t>2</w:t>
      </w:r>
      <w:r>
        <w:rPr/>
        <w:t>、经中国证券监督管理委员会证监许可</w:t>
      </w:r>
      <w:r>
        <w:rPr>
          <w:rFonts w:ascii="宋体" w:hAnsi="宋体" w:cs="宋体" w:eastAsia="宋体" w:hint="default"/>
        </w:rPr>
        <w:t>[2015]1718</w:t>
      </w:r>
      <w:r>
        <w:rPr/>
        <w:t>号文件核准，根据公司《重大资产置换及发行股</w:t>
      </w:r>
      <w:r>
        <w:rPr>
          <w:w w:val="100"/>
        </w:rPr>
        <w:t> </w:t>
      </w:r>
      <w:r>
        <w:rPr/>
        <w:t>份购买资产并募集配套资金暨关联交易方案》，江苏三友向博时基金管理有限公司等</w:t>
      </w:r>
      <w:r>
        <w:rPr>
          <w:rFonts w:ascii="宋体" w:hAnsi="宋体" w:cs="宋体" w:eastAsia="宋体" w:hint="default"/>
        </w:rPr>
        <w:t>7</w:t>
      </w:r>
      <w:r>
        <w:rPr/>
        <w:t>名特定对象非公开</w:t>
      </w:r>
      <w:r>
        <w:rPr>
          <w:w w:val="100"/>
        </w:rPr>
        <w:t> </w:t>
      </w:r>
      <w:r>
        <w:rPr>
          <w:spacing w:val="-2"/>
        </w:rPr>
        <w:t>发行</w:t>
      </w:r>
      <w:r>
        <w:rPr>
          <w:rFonts w:ascii="宋体" w:hAnsi="宋体" w:cs="宋体" w:eastAsia="宋体" w:hint="default"/>
          <w:spacing w:val="-2"/>
        </w:rPr>
        <w:t>13,328,890</w:t>
      </w:r>
      <w:r>
        <w:rPr>
          <w:spacing w:val="-2"/>
        </w:rPr>
        <w:t>股，募集配套资金</w:t>
      </w:r>
      <w:r>
        <w:rPr>
          <w:rFonts w:ascii="宋体" w:hAnsi="宋体" w:cs="宋体" w:eastAsia="宋体" w:hint="default"/>
          <w:spacing w:val="-2"/>
        </w:rPr>
        <w:t>399,999,988.90</w:t>
      </w:r>
      <w:r>
        <w:rPr>
          <w:spacing w:val="-2"/>
        </w:rPr>
        <w:t>元。中国证券登记结算有限责任公司深圳分公司已出具</w:t>
      </w:r>
    </w:p>
    <w:p>
      <w:pPr>
        <w:pStyle w:val="BodyText"/>
        <w:spacing w:line="240" w:lineRule="auto"/>
        <w:ind w:right="0"/>
        <w:jc w:val="left"/>
      </w:pPr>
      <w:r>
        <w:rPr/>
        <w:t>《股份登记申请受理确认书》，上市日为</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left="573" w:right="0" w:hanging="421"/>
        <w:jc w:val="left"/>
      </w:pPr>
      <w:r>
        <w:rPr/>
        <w:t>√ 适用 □ 不适用</w:t>
      </w:r>
      <w:r>
        <w:rPr>
          <w:spacing w:val="-104"/>
        </w:rPr>
        <w:t> </w:t>
      </w:r>
      <w:r>
        <w:rPr>
          <w:spacing w:val="-104"/>
        </w:rPr>
      </w:r>
      <w:r>
        <w:rPr>
          <w:spacing w:val="-2"/>
        </w:rPr>
        <w:t>报告期内，公司股份总数及股东结构均发生了变化。股份总数及股东结构的变化情况见本节“一、股</w:t>
      </w:r>
    </w:p>
    <w:p>
      <w:pPr>
        <w:pStyle w:val="BodyText"/>
        <w:spacing w:line="408" w:lineRule="auto" w:before="16"/>
        <w:ind w:right="0"/>
        <w:jc w:val="left"/>
      </w:pPr>
      <w:r>
        <w:rPr>
          <w:spacing w:val="-2"/>
        </w:rPr>
        <w:t>份变动情况”。报告期内公司发行股份购买资产并募集配套资金完成后，公司总资产和净资产相应增加，</w:t>
      </w:r>
      <w:r>
        <w:rPr>
          <w:spacing w:val="-21"/>
        </w:rPr>
        <w:t> </w:t>
      </w:r>
      <w:r>
        <w:rPr>
          <w:spacing w:val="-21"/>
        </w:rPr>
      </w:r>
      <w:r>
        <w:rPr/>
        <w:t>资产负债率下降，公司的资本结构、财务状况得到改善，财务风险降低，公司抗风险能力提高。</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6"/>
        <w:gridCol w:w="872"/>
        <w:gridCol w:w="317"/>
        <w:gridCol w:w="1033"/>
        <w:gridCol w:w="140"/>
        <w:gridCol w:w="1208"/>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21,992</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21,974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上海天亿投资（集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135,888,7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135,888,7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135,888,7</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04</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65,797,024</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上海天亿资产管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7.74%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93,752,82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93,752,82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93,752,82</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5</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68,059,138</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上海美馨投资管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87,372,31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87,372,31</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9</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87,372,319</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北京凯雷投资中 心（有限合伙）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6.99%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84,574,58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84,574,58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84,574,58</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9</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北京世纪长河科 技集团有限公司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77,349,49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77,349,49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77,349,49</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62,553,53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-10,498,1</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62,553,53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59,440,000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天津大中咨询管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2.96%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35,865,18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35,865,18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1"/>
              <w:jc w:val="right"/>
              <w:rPr>
                <w:rFonts w:ascii="Times New Roman" w:hAnsi="Times New Roman" w:cs="Times New Roman" w:eastAsia="Times New Roman" w:hint="default"/>
                <w:sz w:val="18"/>
                <w:szCs w:val="18"/>
              </w:rPr>
            </w:pPr>
            <w:r>
              <w:rPr>
                <w:rFonts w:ascii="Times New Roman"/>
                <w:spacing w:val="-1"/>
                <w:sz w:val="18"/>
              </w:rPr>
              <w:t>35,865,18</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12,592,605</w:t>
            </w:r>
          </w:p>
        </w:tc>
      </w:tr>
    </w:tbl>
    <w:p>
      <w:pPr>
        <w:spacing w:after="0" w:line="240" w:lineRule="auto"/>
        <w:jc w:val="left"/>
        <w:rPr>
          <w:rFonts w:ascii="Times New Roman" w:hAnsi="Times New Roman" w:cs="Times New Roman" w:eastAsia="Times New Roman" w:hint="default"/>
          <w:sz w:val="18"/>
          <w:szCs w:val="18"/>
        </w:rPr>
        <w:sectPr>
          <w:footerReference w:type="default" r:id="rId15"/>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8"/>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深圳市平安创新 资本投资有限公 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34,120,27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34,120,27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34,120,27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上海和途投资中 心（有限合伙）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31,419,11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31,419,11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31,419,11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24,707,03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8,674,875</w:t>
            </w: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名普通股股东中，除南通友谊实业有限公司以外，其余均因配售新股成为</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w:t>
            </w:r>
          </w:p>
        </w:tc>
      </w:tr>
      <w:tr>
        <w:trPr>
          <w:trHeight w:val="629"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309" w:lineRule="auto" w:before="49"/>
              <w:ind w:left="19" w:right="2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名普通股股东中，上海天亿投资（集团）有限公司与上海天亿资产管理有 </w:t>
            </w:r>
            <w:r>
              <w:rPr>
                <w:rFonts w:ascii="宋体" w:hAnsi="宋体" w:cs="宋体" w:eastAsia="宋体" w:hint="default"/>
                <w:spacing w:val="-1"/>
                <w:sz w:val="18"/>
                <w:szCs w:val="18"/>
              </w:rPr>
              <w:t>限公司、上海美馨投资管理有限公司、北京世纪长河科技集团有限公司、上海和途投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资中心（有限合伙）、徐可等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名普通股股东之间存在一致行动关系，属于《上市公</w:t>
            </w:r>
          </w:p>
          <w:p>
            <w:pPr>
              <w:pStyle w:val="TableParagraph"/>
              <w:spacing w:line="309" w:lineRule="auto" w:before="5"/>
              <w:ind w:left="19" w:right="17"/>
              <w:jc w:val="both"/>
              <w:rPr>
                <w:rFonts w:ascii="宋体" w:hAnsi="宋体" w:cs="宋体" w:eastAsia="宋体" w:hint="default"/>
                <w:sz w:val="18"/>
                <w:szCs w:val="18"/>
              </w:rPr>
            </w:pPr>
            <w:r>
              <w:rPr>
                <w:rFonts w:ascii="宋体" w:hAnsi="宋体" w:cs="宋体" w:eastAsia="宋体" w:hint="default"/>
                <w:sz w:val="18"/>
                <w:szCs w:val="18"/>
              </w:rPr>
              <w:t>司股东持股变动信息披露管理办法》中规定的一致行动人；未知其余</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名普通股股东 </w:t>
            </w:r>
            <w:r>
              <w:rPr>
                <w:rFonts w:ascii="宋体" w:hAnsi="宋体" w:cs="宋体" w:eastAsia="宋体" w:hint="default"/>
                <w:spacing w:val="-1"/>
                <w:sz w:val="18"/>
                <w:szCs w:val="18"/>
              </w:rPr>
              <w:t>之间是否存在关联关系，也未知其是否属于《上市公司股东持股变动信息披露管理办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法》中规定的一致行动人。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10" w:space="0" w:color="D2D2D2"/>
              <w:right w:val="single" w:sz="4" w:space="0" w:color="000000"/>
            </w:tcBorders>
          </w:tcPr>
          <w:p>
            <w:pPr/>
          </w:p>
        </w:tc>
      </w:tr>
      <w:tr>
        <w:trPr>
          <w:trHeight w:val="629"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62,553,536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62,553,536</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招商银行股份有限公司－汇添富医 疗服务灵活配置混合型证券投资基 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11,715,231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11,715,231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11,209,000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8,886,016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8,886,016</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中国工商银行－汇添富美丽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混合 型证券投资基金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8,101,988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8,101,988</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中国建设银行股份有限公司－易方 达新丝路灵活配置混合型证券投资 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4,300,265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4,300,265</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株式会社飞马日本</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4,071,272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4,071,272</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汇添富基金－建设银行－中国人寿</w:t>
            </w:r>
          </w:p>
          <w:p>
            <w:pPr>
              <w:pStyle w:val="TableParagraph"/>
              <w:spacing w:line="316" w:lineRule="auto" w:before="76"/>
              <w:ind w:left="24" w:right="145"/>
              <w:jc w:val="left"/>
              <w:rPr>
                <w:rFonts w:ascii="宋体" w:hAnsi="宋体" w:cs="宋体" w:eastAsia="宋体" w:hint="default"/>
                <w:sz w:val="18"/>
                <w:szCs w:val="18"/>
              </w:rPr>
            </w:pPr>
            <w:r>
              <w:rPr>
                <w:rFonts w:ascii="宋体" w:hAnsi="宋体" w:cs="宋体" w:eastAsia="宋体" w:hint="default"/>
                <w:sz w:val="18"/>
                <w:szCs w:val="18"/>
              </w:rPr>
              <w:t>－中国人寿委托汇添富基金公司股 票型组合</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4,030,000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中国工商银行股份有限公司－招商 移动互联网产业股票型证券投资基 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3,866,997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3,866,997</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中国银行股份有限公司－大成互联</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3,359,220</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92"/>
        <w:gridCol w:w="1349"/>
        <w:gridCol w:w="1349"/>
      </w:tblGrid>
      <w:tr>
        <w:trPr>
          <w:trHeight w:val="36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网思维混合型证券投资基金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0"/>
              <w:jc w:val="left"/>
              <w:rPr>
                <w:rFonts w:ascii="宋体" w:hAnsi="宋体" w:cs="宋体" w:eastAsia="宋体" w:hint="default"/>
                <w:sz w:val="18"/>
                <w:szCs w:val="18"/>
              </w:rPr>
            </w:pPr>
            <w:r>
              <w:rPr>
                <w:rFonts w:ascii="宋体" w:hAnsi="宋体" w:cs="宋体" w:eastAsia="宋体" w:hint="default"/>
                <w:spacing w:val="-1"/>
                <w:sz w:val="18"/>
                <w:szCs w:val="18"/>
              </w:rPr>
              <w:t>前十名无限售条件股东之间，未知是否存在关联关系，也未知是否属于《上市公司收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购管理办法》中规定的一致行动人。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6"/>
        </w:rPr>
        <w:t> </w:t>
      </w:r>
      <w:r>
        <w:rPr/>
        <w:t>名普通股股东、前</w:t>
      </w:r>
      <w:r>
        <w:rPr>
          <w:spacing w:val="-54"/>
        </w:rPr>
        <w:t> </w:t>
      </w:r>
      <w:r>
        <w:rPr>
          <w:rFonts w:ascii="宋体" w:hAnsi="宋体" w:cs="宋体" w:eastAsia="宋体" w:hint="default"/>
        </w:rPr>
        <w:t>10</w:t>
      </w:r>
      <w:r>
        <w:rPr>
          <w:rFonts w:ascii="宋体" w:hAnsi="宋体" w:cs="宋体" w:eastAsia="宋体" w:hint="default"/>
          <w:spacing w:val="-55"/>
        </w:rPr>
        <w:t> </w:t>
      </w:r>
      <w:r>
        <w:rPr/>
        <w:t>名无限售条件普通股股东在报告期内是否进行约定购回交易</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 是 √</w:t>
      </w:r>
      <w:r>
        <w:rPr>
          <w:spacing w:val="1"/>
        </w:rPr>
        <w:t> </w:t>
      </w:r>
      <w:r>
        <w:rPr/>
        <w:t>否</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6"/>
        </w:rPr>
        <w:t> </w:t>
      </w:r>
      <w:r>
        <w:rPr/>
        <w:t>名普通股股东、前</w:t>
      </w:r>
      <w:r>
        <w:rPr>
          <w:spacing w:val="-54"/>
        </w:rPr>
        <w:t> </w:t>
      </w:r>
      <w:r>
        <w:rPr>
          <w:rFonts w:ascii="宋体" w:hAnsi="宋体" w:cs="宋体" w:eastAsia="宋体" w:hint="default"/>
        </w:rPr>
        <w:t>10</w:t>
      </w:r>
      <w:r>
        <w:rPr>
          <w:rFonts w:ascii="宋体" w:hAnsi="宋体" w:cs="宋体" w:eastAsia="宋体" w:hint="default"/>
          <w:spacing w:val="-55"/>
        </w:rPr>
        <w:t> </w:t>
      </w:r>
      <w:r>
        <w:rPr/>
        <w:t>名无限售条件普通股股东在报告期内未进行约定购回交易。</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before="0"/>
        <w:ind w:right="6835"/>
        <w:jc w:val="left"/>
      </w:pPr>
      <w:r>
        <w:rPr>
          <w:spacing w:val="-2"/>
        </w:rPr>
        <w:t>控股股东性质：自然人控股</w:t>
      </w:r>
      <w:r>
        <w:rPr>
          <w:spacing w:val="-82"/>
        </w:rPr>
        <w:t> </w:t>
      </w:r>
      <w:r>
        <w:rPr>
          <w:spacing w:val="-82"/>
        </w:rPr>
      </w:r>
      <w:r>
        <w:rPr/>
        <w:t>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上海天亿投资（集团）有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134623545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5"/>
              <w:ind w:left="23" w:right="24"/>
              <w:jc w:val="both"/>
              <w:rPr>
                <w:rFonts w:ascii="宋体" w:hAnsi="宋体" w:cs="宋体" w:eastAsia="宋体" w:hint="default"/>
                <w:sz w:val="18"/>
                <w:szCs w:val="18"/>
              </w:rPr>
            </w:pPr>
            <w:r>
              <w:rPr>
                <w:rFonts w:ascii="宋体" w:hAnsi="宋体" w:cs="宋体" w:eastAsia="宋体" w:hint="default"/>
                <w:sz w:val="18"/>
                <w:szCs w:val="18"/>
              </w:rPr>
              <w:t>创业投资，实业投资， 资产经营管理，投资管 </w:t>
            </w:r>
            <w:r>
              <w:rPr>
                <w:rFonts w:ascii="宋体" w:hAnsi="宋体" w:cs="宋体" w:eastAsia="宋体" w:hint="default"/>
                <w:spacing w:val="-12"/>
                <w:sz w:val="18"/>
                <w:szCs w:val="18"/>
              </w:rPr>
              <w:t>理、咨询。【依法须经批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准的项目，经相关部门 批准后方可开展经营活 动】</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4"/>
          <w:szCs w:val="4"/>
        </w:rPr>
      </w:pPr>
    </w:p>
    <w:p>
      <w:pPr>
        <w:pStyle w:val="BodyText"/>
        <w:spacing w:line="240" w:lineRule="auto" w:before="36"/>
        <w:ind w:right="0"/>
        <w:jc w:val="left"/>
      </w:pPr>
      <w:r>
        <w:rPr/>
        <w:t>控股股东报告期内变更</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上海天亿投资（集团）有限公司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spacing w:line="568" w:lineRule="auto" w:before="36"/>
        <w:ind w:left="152" w:right="683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pacing w:val="-2"/>
          <w:sz w:val="21"/>
          <w:szCs w:val="21"/>
        </w:rPr>
        <w:t>实际控制人性质：境内自然人</w:t>
      </w:r>
    </w:p>
    <w:p>
      <w:pPr>
        <w:spacing w:after="0" w:line="568"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实际控制人类型：自然人</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美年健康董事长、天亿投资董事长</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实际控制人报告期内变更</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2">
              <w:r>
                <w:rPr>
                  <w:rFonts w:ascii="Times New Roman" w:hAnsi="Times New Roman" w:cs="Times New Roman" w:eastAsia="Times New Roman" w:hint="default"/>
                  <w:sz w:val="18"/>
                  <w:szCs w:val="18"/>
                </w:rPr>
                <w:t>www.cninfo.com.cn</w:t>
              </w:r>
            </w:hyperlink>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公司与实际控制人之间的产权及控制关系的方框图</w:t>
      </w:r>
    </w:p>
    <w:p>
      <w:pPr>
        <w:spacing w:line="240" w:lineRule="auto" w:before="8"/>
        <w:rPr>
          <w:rFonts w:ascii="宋体" w:hAnsi="宋体" w:cs="宋体" w:eastAsia="宋体" w:hint="default"/>
          <w:sz w:val="27"/>
          <w:szCs w:val="27"/>
        </w:rPr>
      </w:pPr>
    </w:p>
    <w:p>
      <w:pPr>
        <w:spacing w:line="4920" w:lineRule="exact"/>
        <w:ind w:left="1355"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591723" cy="31242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1723" cy="3124200"/>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5"/>
        <w:rPr>
          <w:rFonts w:ascii="宋体" w:hAnsi="宋体" w:cs="宋体" w:eastAsia="宋体" w:hint="default"/>
          <w:sz w:val="23"/>
          <w:szCs w:val="23"/>
        </w:rPr>
      </w:pPr>
    </w:p>
    <w:p>
      <w:pPr>
        <w:pStyle w:val="BodyText"/>
        <w:spacing w:line="240" w:lineRule="auto" w:before="0"/>
        <w:ind w:right="0"/>
        <w:jc w:val="left"/>
      </w:pPr>
      <w:r>
        <w:rPr/>
        <w:t>实际控制人通过信托或其他资产管理方式控制公司</w:t>
      </w:r>
    </w:p>
    <w:p>
      <w:pPr>
        <w:spacing w:line="240" w:lineRule="auto" w:before="13"/>
        <w:rPr>
          <w:rFonts w:ascii="宋体" w:hAnsi="宋体" w:cs="宋体" w:eastAsia="宋体" w:hint="default"/>
          <w:sz w:val="29"/>
          <w:szCs w:val="29"/>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3"/>
        <w:spacing w:line="240" w:lineRule="auto" w:before="152"/>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41" w:lineRule="auto" w:before="36"/>
        <w:ind w:right="6835"/>
        <w:jc w:val="left"/>
      </w:pPr>
      <w:r>
        <w:rPr/>
        <w:t>□ 适用 √</w:t>
      </w:r>
      <w:r>
        <w:rPr>
          <w:spacing w:val="-1"/>
        </w:rPr>
        <w:t> </w:t>
      </w:r>
      <w:r>
        <w:rPr/>
        <w:t>不适用</w:t>
      </w:r>
      <w:r>
        <w:rPr>
          <w:w w:val="100"/>
        </w:rPr>
        <w:t> </w:t>
      </w:r>
      <w:r>
        <w:rPr>
          <w:spacing w:val="-2"/>
        </w:rPr>
        <w:t>报告期公司不存在优先股。</w:t>
      </w:r>
    </w:p>
    <w:p>
      <w:pPr>
        <w:spacing w:after="0" w:line="441"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陆尔穗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231,800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55,632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287,432</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盛东林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原副董事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0" w:lineRule="auto"/>
              <w:ind w:left="24" w:right="37"/>
              <w:jc w:val="left"/>
              <w:rPr>
                <w:rFonts w:ascii="Times New Roman" w:hAnsi="Times New Roman" w:cs="Times New Roman" w:eastAsia="Times New Roman" w:hint="default"/>
                <w:sz w:val="18"/>
                <w:szCs w:val="18"/>
              </w:rPr>
            </w:pPr>
            <w:r>
              <w:rPr>
                <w:rFonts w:ascii="Times New Roman"/>
                <w:sz w:val="18"/>
              </w:rPr>
              <w:t>XINGWE </w:t>
            </w:r>
            <w:r>
              <w:rPr>
                <w:rFonts w:ascii="Times New Roman"/>
                <w:spacing w:val="-4"/>
                <w:sz w:val="18"/>
              </w:rPr>
              <w:t>I,WANG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陶泉波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盛昭瀚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罗会远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王普超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蔡国新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张炘炘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1"/>
              <w:jc w:val="righ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原职工代 表监事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原副总经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原副总经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原财务负 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75"/>
              <w:jc w:val="left"/>
              <w:rPr>
                <w:rFonts w:ascii="Times New Roman" w:hAnsi="Times New Roman" w:cs="Times New Roman" w:eastAsia="Times New Roman" w:hint="default"/>
                <w:sz w:val="18"/>
                <w:szCs w:val="18"/>
              </w:rPr>
            </w:pPr>
            <w:r>
              <w:rPr>
                <w:rFonts w:ascii="Times New Roman"/>
                <w:sz w:val="18"/>
              </w:rPr>
              <w:t>WOO</w:t>
            </w:r>
            <w:r>
              <w:rPr>
                <w:rFonts w:ascii="Times New Roman"/>
                <w:w w:val="99"/>
                <w:sz w:val="18"/>
              </w:rPr>
              <w:t> </w:t>
            </w:r>
            <w:r>
              <w:rPr>
                <w:rFonts w:ascii="Times New Roman"/>
                <w:sz w:val="18"/>
              </w:rPr>
              <w:t>SWEE</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LIAN</w:t>
            </w:r>
            <w:r>
              <w:rPr>
                <w:rFonts w:ascii="宋体" w:hAnsi="宋体" w:cs="宋体" w:eastAsia="宋体" w:hint="default"/>
                <w:spacing w:val="-9"/>
                <w:sz w:val="18"/>
                <w:szCs w:val="18"/>
              </w:rPr>
              <w:t>（胡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瑞连）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227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职工代表 监事、总 裁助理、 杭州地区 总经理、 市场部总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411,784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411,784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高级副总 裁、首席 运营官、 北京及北 方区域总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6,176,759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6,176,759</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高级副总 裁、上海 及华东区 域总经理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823,568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823,568</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高级副总 裁、沈阳 及西北区 域总经理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7,000,327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7,000,327</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411,784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411,784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兰佳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231,800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70,911,84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55,632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7"/>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重大资产重组更换董事长，辞职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重大资产重组更换董事及高级管理人员，辞职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
              <w:jc w:val="left"/>
              <w:rPr>
                <w:rFonts w:ascii="Times New Roman" w:hAnsi="Times New Roman" w:cs="Times New Roman" w:eastAsia="Times New Roman" w:hint="default"/>
                <w:sz w:val="18"/>
                <w:szCs w:val="18"/>
              </w:rPr>
            </w:pPr>
            <w:r>
              <w:rPr>
                <w:rFonts w:ascii="Times New Roman"/>
                <w:spacing w:val="-3"/>
                <w:sz w:val="18"/>
              </w:rPr>
              <w:t>WANGXINGWE</w:t>
            </w:r>
            <w:r>
              <w:rPr>
                <w:rFonts w:ascii="Times New Roman"/>
                <w:spacing w:val="-42"/>
                <w:sz w:val="18"/>
              </w:rPr>
              <w:t> </w:t>
            </w:r>
            <w:r>
              <w:rPr>
                <w:rFonts w:ascii="Times New Roman"/>
                <w:spacing w:val="-42"/>
                <w:sz w:val="18"/>
              </w:rPr>
            </w:r>
            <w:r>
              <w:rPr>
                <w:rFonts w:ascii="Times New Roman"/>
                <w:sz w:val="18"/>
              </w:rPr>
              <w:t>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重大资产重组更换董事，辞职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重大资产重组更换董事，辞职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重大资产重组更换高级管理人员，辞职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重大资产重组更换高级管理人员，辞职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重大资产重组更换高级管理人员，辞职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重大资产重组更换高级管理人员，辞职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7"/>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重大资产重组更换高级管理人员，辞职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重大资产重组更换高级管理人员，辞职</w:t>
            </w:r>
          </w:p>
        </w:tc>
      </w:tr>
    </w:tbl>
    <w:p>
      <w:pPr>
        <w:spacing w:line="240" w:lineRule="auto" w:before="1"/>
        <w:rPr>
          <w:rFonts w:ascii="宋体" w:hAnsi="宋体" w:cs="宋体" w:eastAsia="宋体" w:hint="default"/>
          <w:b/>
          <w:bCs/>
          <w:sz w:val="18"/>
          <w:szCs w:val="18"/>
        </w:rPr>
      </w:pPr>
    </w:p>
    <w:p>
      <w:pPr>
        <w:pStyle w:val="Heading2"/>
        <w:spacing w:line="240" w:lineRule="auto" w:before="26"/>
        <w:ind w:right="92"/>
        <w:jc w:val="left"/>
        <w:rPr>
          <w:b w:val="0"/>
          <w:bCs w:val="0"/>
        </w:rPr>
      </w:pPr>
      <w:r>
        <w:rPr/>
        <w:t>三、任职情况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left="678" w:right="537"/>
        <w:jc w:val="left"/>
      </w:pPr>
      <w:r>
        <w:rPr>
          <w:spacing w:val="-2"/>
        </w:rPr>
        <w:t>公司现任董事、监事、高级管理人员专业背景、主要工作经历以及目前在公司的主要职责</w:t>
      </w:r>
      <w:r>
        <w:rPr>
          <w:spacing w:val="-31"/>
        </w:rPr>
        <w:t> </w:t>
      </w:r>
      <w:r>
        <w:rPr>
          <w:spacing w:val="-31"/>
        </w:rPr>
      </w:r>
      <w:r>
        <w:rPr>
          <w:rFonts w:ascii="宋体" w:hAnsi="宋体" w:cs="宋体" w:eastAsia="宋体" w:hint="default"/>
        </w:rPr>
        <w:t>1</w:t>
      </w:r>
      <w:r>
        <w:rPr/>
        <w:t>、董事</w:t>
      </w:r>
    </w:p>
    <w:p>
      <w:pPr>
        <w:pStyle w:val="BodyText"/>
        <w:spacing w:line="408" w:lineRule="auto" w:before="16"/>
        <w:ind w:right="92" w:firstLine="420"/>
        <w:jc w:val="left"/>
      </w:pPr>
      <w:r>
        <w:rPr>
          <w:spacing w:val="-2"/>
        </w:rPr>
        <w:t>（</w:t>
      </w:r>
      <w:r>
        <w:rPr>
          <w:rFonts w:ascii="宋体" w:hAnsi="宋体" w:cs="宋体" w:eastAsia="宋体" w:hint="default"/>
          <w:spacing w:val="-2"/>
        </w:rPr>
        <w:t>1</w:t>
      </w:r>
      <w:r>
        <w:rPr>
          <w:spacing w:val="-2"/>
        </w:rPr>
        <w:t>）俞熔先生，</w:t>
      </w:r>
      <w:r>
        <w:rPr>
          <w:rFonts w:ascii="宋体" w:hAnsi="宋体" w:cs="宋体" w:eastAsia="宋体" w:hint="default"/>
          <w:spacing w:val="-2"/>
        </w:rPr>
        <w:t>1971</w:t>
      </w:r>
      <w:r>
        <w:rPr>
          <w:spacing w:val="-2"/>
        </w:rPr>
        <w:t>年</w:t>
      </w:r>
      <w:r>
        <w:rPr>
          <w:rFonts w:ascii="宋体" w:hAnsi="宋体" w:cs="宋体" w:eastAsia="宋体" w:hint="default"/>
          <w:spacing w:val="-2"/>
        </w:rPr>
        <w:t>12</w:t>
      </w:r>
      <w:r>
        <w:rPr>
          <w:spacing w:val="-2"/>
        </w:rPr>
        <w:t>月出生，中国国籍，无境外永久居留权，毕业于上海交通大学电子工程系，</w:t>
      </w:r>
      <w:r>
        <w:rPr>
          <w:w w:val="100"/>
        </w:rPr>
        <w:t> </w:t>
      </w:r>
      <w:r>
        <w:rPr>
          <w:spacing w:val="-2"/>
        </w:rPr>
        <w:t>上海财经大学金融学硕士、中国中医科学院博士、中欧国际工商管理学院</w:t>
      </w:r>
      <w:r>
        <w:rPr>
          <w:rFonts w:ascii="宋体" w:hAnsi="宋体" w:cs="宋体" w:eastAsia="宋体" w:hint="default"/>
          <w:spacing w:val="-2"/>
        </w:rPr>
        <w:t>EMBA</w:t>
      </w:r>
      <w:r>
        <w:rPr>
          <w:spacing w:val="-2"/>
        </w:rPr>
        <w:t>。俞熔是美年大健康创始人</w:t>
      </w:r>
      <w:r>
        <w:rPr>
          <w:spacing w:val="-47"/>
        </w:rPr>
        <w:t> </w:t>
      </w:r>
      <w:r>
        <w:rPr>
          <w:spacing w:val="-47"/>
        </w:rPr>
      </w:r>
      <w:r>
        <w:rPr>
          <w:spacing w:val="-9"/>
        </w:rPr>
        <w:t>及实际控制人，现任公司董事长、公司第一大股东上海天亿投资（集团）有限公司（以下简称“天亿投资”）</w:t>
      </w:r>
      <w:r>
        <w:rPr>
          <w:spacing w:val="-21"/>
        </w:rPr>
        <w:t> </w:t>
      </w:r>
      <w:r>
        <w:rPr>
          <w:spacing w:val="-21"/>
        </w:rPr>
      </w:r>
      <w:r>
        <w:rPr/>
        <w:t>董事长、中华中医药协会养生康复专业委员会副主任委员、北京医学会健康管理分会副主任委员、上海市</w:t>
      </w:r>
      <w:r>
        <w:rPr>
          <w:w w:val="100"/>
        </w:rPr>
        <w:t> </w:t>
      </w:r>
      <w:r>
        <w:rPr/>
        <w:t>政协委员。</w:t>
      </w:r>
    </w:p>
    <w:p>
      <w:pPr>
        <w:pStyle w:val="BodyText"/>
        <w:spacing w:line="408" w:lineRule="auto"/>
        <w:ind w:right="206" w:firstLine="420"/>
        <w:jc w:val="both"/>
      </w:pPr>
      <w:r>
        <w:rPr/>
        <w:t>（</w:t>
      </w:r>
      <w:r>
        <w:rPr>
          <w:rFonts w:ascii="宋体" w:hAnsi="宋体" w:cs="宋体" w:eastAsia="宋体" w:hint="default"/>
        </w:rPr>
        <w:t>2</w:t>
      </w:r>
      <w:r>
        <w:rPr/>
        <w:t>）郭美玲女士，</w:t>
      </w:r>
      <w:r>
        <w:rPr>
          <w:rFonts w:ascii="宋体" w:hAnsi="宋体" w:cs="宋体" w:eastAsia="宋体" w:hint="default"/>
        </w:rPr>
        <w:t>1968</w:t>
      </w:r>
      <w:r>
        <w:rPr/>
        <w:t>年</w:t>
      </w:r>
      <w:r>
        <w:rPr>
          <w:rFonts w:ascii="宋体" w:hAnsi="宋体" w:cs="宋体" w:eastAsia="宋体" w:hint="default"/>
        </w:rPr>
        <w:t>10</w:t>
      </w:r>
      <w:r>
        <w:rPr/>
        <w:t>月出生，中国国籍，无境外永久居留权，本科，</w:t>
      </w:r>
      <w:r>
        <w:rPr>
          <w:rFonts w:ascii="宋体" w:hAnsi="宋体" w:cs="宋体" w:eastAsia="宋体" w:hint="default"/>
        </w:rPr>
        <w:t>EMBA</w:t>
      </w:r>
      <w:r>
        <w:rPr/>
        <w:t>在读。郭美玲女士</w:t>
      </w:r>
      <w:r>
        <w:rPr>
          <w:w w:val="100"/>
        </w:rPr>
        <w:t> </w:t>
      </w:r>
      <w:r>
        <w:rPr>
          <w:spacing w:val="-2"/>
        </w:rPr>
        <w:t>现任公司副董事长、世纪长河等公司董事长、上海康林仁和家庭医疗保健品有限公司等公司执行董事、潍</w:t>
      </w:r>
      <w:r>
        <w:rPr>
          <w:spacing w:val="-42"/>
        </w:rPr>
        <w:t> </w:t>
      </w:r>
      <w:r>
        <w:rPr>
          <w:spacing w:val="-42"/>
        </w:rPr>
      </w:r>
      <w:r>
        <w:rPr/>
        <w:t>坊世纪长河经贸有限公司等公司董事。</w:t>
      </w:r>
    </w:p>
    <w:p>
      <w:pPr>
        <w:pStyle w:val="BodyText"/>
        <w:spacing w:line="408" w:lineRule="auto"/>
        <w:ind w:right="209" w:firstLine="420"/>
        <w:jc w:val="both"/>
      </w:pPr>
      <w:r>
        <w:rPr>
          <w:spacing w:val="-2"/>
        </w:rPr>
        <w:t>（</w:t>
      </w:r>
      <w:r>
        <w:rPr>
          <w:rFonts w:ascii="宋体" w:hAnsi="宋体" w:cs="宋体" w:eastAsia="宋体" w:hint="default"/>
          <w:spacing w:val="-2"/>
        </w:rPr>
        <w:t>3</w:t>
      </w:r>
      <w:r>
        <w:rPr>
          <w:spacing w:val="-2"/>
        </w:rPr>
        <w:t>）徐可先生，</w:t>
      </w:r>
      <w:r>
        <w:rPr>
          <w:rFonts w:ascii="宋体" w:hAnsi="宋体" w:cs="宋体" w:eastAsia="宋体" w:hint="default"/>
          <w:spacing w:val="-2"/>
        </w:rPr>
        <w:t>1971</w:t>
      </w:r>
      <w:r>
        <w:rPr>
          <w:spacing w:val="-2"/>
        </w:rPr>
        <w:t>年</w:t>
      </w:r>
      <w:r>
        <w:rPr>
          <w:rFonts w:ascii="宋体" w:hAnsi="宋体" w:cs="宋体" w:eastAsia="宋体" w:hint="default"/>
          <w:spacing w:val="-2"/>
        </w:rPr>
        <w:t>5</w:t>
      </w:r>
      <w:r>
        <w:rPr>
          <w:spacing w:val="-2"/>
        </w:rPr>
        <w:t>月出生，中国国籍，拥有加拿大居留权，硕士。现任公司董事兼总裁，历任</w:t>
      </w:r>
      <w:r>
        <w:rPr>
          <w:w w:val="100"/>
        </w:rPr>
        <w:t> </w:t>
      </w:r>
      <w:r>
        <w:rPr/>
        <w:t>沈阳惠丰咨询有限公司董事长、安徽商信信息技术有限公司董事长、总经理、沈阳大健康首席执行官。</w:t>
      </w:r>
    </w:p>
    <w:p>
      <w:pPr>
        <w:pStyle w:val="BodyText"/>
        <w:spacing w:line="408" w:lineRule="auto"/>
        <w:ind w:right="207" w:firstLine="420"/>
        <w:jc w:val="both"/>
      </w:pPr>
      <w:r>
        <w:rPr/>
        <w:t>（</w:t>
      </w:r>
      <w:r>
        <w:rPr>
          <w:rFonts w:ascii="宋体" w:hAnsi="宋体" w:cs="宋体" w:eastAsia="宋体" w:hint="default"/>
        </w:rPr>
        <w:t>4</w:t>
      </w:r>
      <w:r>
        <w:rPr/>
        <w:t>）</w:t>
      </w:r>
      <w:r>
        <w:rPr>
          <w:rFonts w:ascii="宋体" w:hAnsi="宋体" w:cs="宋体" w:eastAsia="宋体" w:hint="default"/>
        </w:rPr>
        <w:t>WOO SWEE</w:t>
      </w:r>
      <w:r>
        <w:rPr>
          <w:rFonts w:ascii="宋体" w:hAnsi="宋体" w:cs="宋体" w:eastAsia="宋体" w:hint="default"/>
          <w:spacing w:val="70"/>
        </w:rPr>
        <w:t> </w:t>
      </w:r>
      <w:r>
        <w:rPr>
          <w:rFonts w:ascii="宋体" w:hAnsi="宋体" w:cs="宋体" w:eastAsia="宋体" w:hint="default"/>
        </w:rPr>
        <w:t>LIAN</w:t>
      </w:r>
      <w:r>
        <w:rPr/>
        <w:t>（胡瑞连）先生，</w:t>
      </w:r>
      <w:r>
        <w:rPr>
          <w:rFonts w:ascii="宋体" w:hAnsi="宋体" w:cs="宋体" w:eastAsia="宋体" w:hint="default"/>
        </w:rPr>
        <w:t>1961</w:t>
      </w:r>
      <w:r>
        <w:rPr/>
        <w:t>年</w:t>
      </w:r>
      <w:r>
        <w:rPr>
          <w:rFonts w:ascii="宋体" w:hAnsi="宋体" w:cs="宋体" w:eastAsia="宋体" w:hint="default"/>
        </w:rPr>
        <w:t>7</w:t>
      </w:r>
      <w:r>
        <w:rPr/>
        <w:t>月出生，马来西亚国籍，本科，清华大学继续教育学</w:t>
      </w:r>
      <w:r>
        <w:rPr>
          <w:w w:val="100"/>
        </w:rPr>
        <w:t> </w:t>
      </w:r>
      <w:r>
        <w:rPr>
          <w:spacing w:val="-2"/>
        </w:rPr>
        <w:t>院总经理高级研究班、资本战略董事长研究班在读。现任完美（中国）有限公司董事、总经理、天津大中</w:t>
      </w:r>
      <w:r>
        <w:rPr>
          <w:spacing w:val="-42"/>
        </w:rPr>
        <w:t> </w:t>
      </w:r>
      <w:r>
        <w:rPr>
          <w:spacing w:val="-42"/>
        </w:rPr>
      </w:r>
      <w:r>
        <w:rPr>
          <w:spacing w:val="3"/>
        </w:rPr>
        <w:t>咨询管理有限公司执行董事、公司董事，历任马来西亚</w:t>
      </w:r>
      <w:r>
        <w:rPr>
          <w:spacing w:val="54"/>
        </w:rPr>
        <w:t> </w:t>
      </w:r>
      <w:r>
        <w:rPr>
          <w:rFonts w:ascii="宋体" w:hAnsi="宋体" w:cs="宋体" w:eastAsia="宋体" w:hint="default"/>
        </w:rPr>
        <w:t>SIME</w:t>
      </w:r>
      <w:r>
        <w:rPr>
          <w:rFonts w:ascii="宋体" w:hAnsi="宋体" w:cs="宋体" w:eastAsia="宋体" w:hint="default"/>
          <w:spacing w:val="35"/>
        </w:rPr>
        <w:t> </w:t>
      </w:r>
      <w:r>
        <w:rPr>
          <w:rFonts w:ascii="宋体" w:hAnsi="宋体" w:cs="宋体" w:eastAsia="宋体" w:hint="default"/>
        </w:rPr>
        <w:t>EAST</w:t>
      </w:r>
      <w:r>
        <w:rPr>
          <w:rFonts w:ascii="宋体" w:hAnsi="宋体" w:cs="宋体" w:eastAsia="宋体" w:hint="default"/>
          <w:spacing w:val="35"/>
        </w:rPr>
        <w:t> </w:t>
      </w:r>
      <w:r>
        <w:rPr>
          <w:rFonts w:ascii="宋体" w:hAnsi="宋体" w:cs="宋体" w:eastAsia="宋体" w:hint="default"/>
          <w:spacing w:val="3"/>
        </w:rPr>
        <w:t>WEST</w:t>
      </w:r>
      <w:r>
        <w:rPr>
          <w:spacing w:val="3"/>
        </w:rPr>
        <w:t>保险公司区域经理、马来西亚</w:t>
      </w:r>
      <w:r>
        <w:rPr>
          <w:spacing w:val="-93"/>
        </w:rPr>
        <w:t> </w:t>
      </w:r>
      <w:r>
        <w:rPr>
          <w:spacing w:val="-93"/>
        </w:rPr>
      </w:r>
      <w:r>
        <w:rPr>
          <w:rFonts w:ascii="宋体" w:hAnsi="宋体" w:cs="宋体" w:eastAsia="宋体" w:hint="default"/>
        </w:rPr>
        <w:t>IdeavestSdnBhd</w:t>
      </w:r>
      <w:r>
        <w:rPr/>
        <w:t>董事经理。</w:t>
      </w:r>
    </w:p>
    <w:p>
      <w:pPr>
        <w:pStyle w:val="BodyText"/>
        <w:spacing w:line="408" w:lineRule="auto"/>
        <w:ind w:right="210" w:firstLine="420"/>
        <w:jc w:val="both"/>
      </w:pPr>
      <w:r>
        <w:rPr/>
        <w:t>（</w:t>
      </w:r>
      <w:r>
        <w:rPr>
          <w:rFonts w:ascii="宋体" w:hAnsi="宋体" w:cs="宋体" w:eastAsia="宋体" w:hint="default"/>
        </w:rPr>
        <w:t>5</w:t>
      </w:r>
      <w:r>
        <w:rPr/>
        <w:t>）冯军元女士，</w:t>
      </w:r>
      <w:r>
        <w:rPr>
          <w:rFonts w:ascii="宋体" w:hAnsi="宋体" w:cs="宋体" w:eastAsia="宋体" w:hint="default"/>
        </w:rPr>
        <w:t>1969 </w:t>
      </w:r>
      <w:r>
        <w:rPr/>
        <w:t>年 </w:t>
      </w:r>
      <w:r>
        <w:rPr>
          <w:rFonts w:ascii="宋体" w:hAnsi="宋体" w:cs="宋体" w:eastAsia="宋体" w:hint="default"/>
        </w:rPr>
        <w:t>3</w:t>
      </w:r>
      <w:r>
        <w:rPr>
          <w:rFonts w:ascii="宋体" w:hAnsi="宋体" w:cs="宋体" w:eastAsia="宋体" w:hint="default"/>
          <w:spacing w:val="76"/>
        </w:rPr>
        <w:t> </w:t>
      </w:r>
      <w:r>
        <w:rPr/>
        <w:t>月出生，中国香港籍，硕士。现任美年大健康董事、凯雷（北京）投</w:t>
      </w:r>
      <w:r>
        <w:rPr>
          <w:w w:val="100"/>
        </w:rPr>
        <w:t> </w:t>
      </w:r>
      <w:r>
        <w:rPr/>
        <w:t>资管理有限公司等公司董事，历任瑞士信贷第一波士顿投资银行部高</w:t>
      </w:r>
      <w:r>
        <w:rPr>
          <w:spacing w:val="77"/>
        </w:rPr>
        <w:t> </w:t>
      </w:r>
      <w:r>
        <w:rPr/>
        <w:t>级经理、后就职于北京凯雷投资中</w:t>
      </w:r>
      <w:r>
        <w:rPr>
          <w:spacing w:val="-99"/>
        </w:rPr>
        <w:t> </w:t>
      </w:r>
      <w:r>
        <w:rPr>
          <w:spacing w:val="-99"/>
        </w:rPr>
      </w:r>
      <w:r>
        <w:rPr/>
        <w:t>心（有限合伙）。</w:t>
      </w:r>
    </w:p>
    <w:p>
      <w:pPr>
        <w:pStyle w:val="BodyText"/>
        <w:spacing w:line="408" w:lineRule="auto"/>
        <w:ind w:right="209" w:firstLine="420"/>
        <w:jc w:val="both"/>
      </w:pPr>
      <w:r>
        <w:rPr/>
        <w:t>（</w:t>
      </w:r>
      <w:r>
        <w:rPr>
          <w:rFonts w:ascii="宋体" w:hAnsi="宋体" w:cs="宋体" w:eastAsia="宋体" w:hint="default"/>
        </w:rPr>
        <w:t>6</w:t>
      </w:r>
      <w:r>
        <w:rPr/>
        <w:t>）王佳芬女士，</w:t>
      </w:r>
      <w:r>
        <w:rPr>
          <w:rFonts w:ascii="宋体" w:hAnsi="宋体" w:cs="宋体" w:eastAsia="宋体" w:hint="default"/>
        </w:rPr>
        <w:t>1951</w:t>
      </w:r>
      <w:r>
        <w:rPr/>
        <w:t>年</w:t>
      </w:r>
      <w:r>
        <w:rPr>
          <w:rFonts w:ascii="宋体" w:hAnsi="宋体" w:cs="宋体" w:eastAsia="宋体" w:hint="default"/>
        </w:rPr>
        <w:t>10</w:t>
      </w:r>
      <w:r>
        <w:rPr/>
        <w:t>月出生，本科，</w:t>
      </w:r>
      <w:r>
        <w:rPr>
          <w:rFonts w:ascii="宋体" w:hAnsi="宋体" w:cs="宋体" w:eastAsia="宋体" w:hint="default"/>
        </w:rPr>
        <w:t>EMBA</w:t>
      </w:r>
      <w:r>
        <w:rPr/>
        <w:t>，中国国籍，无境外永久居留权。现任公司董事，</w:t>
      </w:r>
      <w:r>
        <w:rPr>
          <w:w w:val="100"/>
        </w:rPr>
        <w:t> </w:t>
      </w:r>
      <w:r>
        <w:rPr/>
        <w:t>历任上海光明乳业股份有限公司总经理、董事长、纪源资本合伙人、平安信托有限责任公司副董事长。</w:t>
      </w:r>
    </w:p>
    <w:p>
      <w:pPr>
        <w:pStyle w:val="BodyText"/>
        <w:spacing w:line="408" w:lineRule="auto"/>
        <w:ind w:right="206" w:firstLine="420"/>
        <w:jc w:val="both"/>
      </w:pPr>
      <w:r>
        <w:rPr>
          <w:spacing w:val="-2"/>
        </w:rPr>
        <w:t>（</w:t>
      </w:r>
      <w:r>
        <w:rPr>
          <w:rFonts w:ascii="宋体" w:hAnsi="宋体" w:cs="宋体" w:eastAsia="宋体" w:hint="default"/>
          <w:spacing w:val="-2"/>
        </w:rPr>
        <w:t>7</w:t>
      </w:r>
      <w:r>
        <w:rPr>
          <w:spacing w:val="-2"/>
        </w:rPr>
        <w:t>）章滨云先生，</w:t>
      </w:r>
      <w:r>
        <w:rPr>
          <w:rFonts w:ascii="宋体" w:hAnsi="宋体" w:cs="宋体" w:eastAsia="宋体" w:hint="default"/>
          <w:spacing w:val="-2"/>
        </w:rPr>
        <w:t>1973</w:t>
      </w:r>
      <w:r>
        <w:rPr>
          <w:spacing w:val="-2"/>
        </w:rPr>
        <w:t>年</w:t>
      </w:r>
      <w:r>
        <w:rPr>
          <w:rFonts w:ascii="宋体" w:hAnsi="宋体" w:cs="宋体" w:eastAsia="宋体" w:hint="default"/>
          <w:spacing w:val="-2"/>
        </w:rPr>
        <w:t>7</w:t>
      </w:r>
      <w:r>
        <w:rPr>
          <w:spacing w:val="-2"/>
        </w:rPr>
        <w:t>月出生，中国国籍，无境外永久居留权，硕士。现任上海复旦医疗产业投</w:t>
      </w:r>
      <w:r>
        <w:rPr>
          <w:w w:val="100"/>
        </w:rPr>
        <w:t> </w:t>
      </w:r>
      <w:r>
        <w:rPr>
          <w:spacing w:val="-2"/>
        </w:rPr>
        <w:t>资公司总经理、上海复旦医院管理有限公司董事长、杭州泰福云健康科技有限公司等公司董事、中华医学</w:t>
      </w:r>
      <w:r>
        <w:rPr>
          <w:spacing w:val="-44"/>
        </w:rPr>
        <w:t> </w:t>
      </w:r>
      <w:r>
        <w:rPr>
          <w:spacing w:val="-44"/>
        </w:rPr>
      </w:r>
      <w:r>
        <w:rPr>
          <w:spacing w:val="-2"/>
        </w:rPr>
        <w:t>会健康管理分会委员、上海医学会健康管理分会委员兼秘书、上海市医学会涉外医疗研究会委员、《中国</w:t>
      </w:r>
    </w:p>
    <w:p>
      <w:pPr>
        <w:spacing w:after="0" w:line="408" w:lineRule="auto"/>
        <w:jc w:val="both"/>
        <w:sectPr>
          <w:footerReference w:type="default" r:id="rId18"/>
          <w:pgSz w:w="11910" w:h="16840"/>
          <w:pgMar w:footer="979" w:header="745" w:top="1060" w:bottom="1160" w:left="980" w:right="920"/>
          <w:pgNumType w:start="11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卫生资源》杂志社常务副社长、公司董事，历任复旦大学医院管理处副处长、上海医学会医院管理分会委</w:t>
      </w:r>
      <w:r>
        <w:rPr>
          <w:spacing w:val="-47"/>
        </w:rPr>
        <w:t> </w:t>
      </w:r>
      <w:r>
        <w:rPr>
          <w:spacing w:val="-47"/>
        </w:rPr>
      </w:r>
      <w:r>
        <w:rPr/>
        <w:t>员兼秘书。</w:t>
      </w:r>
    </w:p>
    <w:p>
      <w:pPr>
        <w:pStyle w:val="BodyText"/>
        <w:spacing w:line="408" w:lineRule="auto"/>
        <w:ind w:right="148" w:firstLine="420"/>
        <w:jc w:val="both"/>
      </w:pPr>
      <w:r>
        <w:rPr/>
        <w:t>（</w:t>
      </w:r>
      <w:r>
        <w:rPr>
          <w:rFonts w:ascii="宋体" w:hAnsi="宋体" w:cs="宋体" w:eastAsia="宋体" w:hint="default"/>
        </w:rPr>
        <w:t>8</w:t>
      </w:r>
      <w:r>
        <w:rPr/>
        <w:t>）肖志兴先生，</w:t>
      </w:r>
      <w:r>
        <w:rPr>
          <w:rFonts w:ascii="宋体" w:hAnsi="宋体" w:cs="宋体" w:eastAsia="宋体" w:hint="default"/>
        </w:rPr>
        <w:t>1972 </w:t>
      </w:r>
      <w:r>
        <w:rPr/>
        <w:t>年 </w:t>
      </w:r>
      <w:r>
        <w:rPr>
          <w:rFonts w:ascii="宋体" w:hAnsi="宋体" w:cs="宋体" w:eastAsia="宋体" w:hint="default"/>
        </w:rPr>
        <w:t>2 </w:t>
      </w:r>
      <w:r>
        <w:rPr/>
        <w:t>月出生，中国国籍，无境外永久居留权，博士。现任乔</w:t>
      </w:r>
      <w:r>
        <w:rPr>
          <w:spacing w:val="80"/>
        </w:rPr>
        <w:t> </w:t>
      </w:r>
      <w:r>
        <w:rPr/>
        <w:t>治•华盛顿大</w:t>
      </w:r>
      <w:r>
        <w:rPr>
          <w:w w:val="100"/>
        </w:rPr>
        <w:t> </w:t>
      </w:r>
      <w:r>
        <w:rPr/>
        <w:t>学教授，历任中国技术进出口总公司人事专员、美国乔治•华盛顿大学（</w:t>
      </w:r>
      <w:r>
        <w:rPr>
          <w:rFonts w:ascii="宋体" w:hAnsi="宋体" w:cs="宋体" w:eastAsia="宋体" w:hint="default"/>
        </w:rPr>
        <w:t>GWU</w:t>
      </w:r>
      <w:r>
        <w:rPr/>
        <w:t>）中国研究院院长、亨利•明</w:t>
      </w:r>
      <w:r>
        <w:rPr>
          <w:spacing w:val="-22"/>
        </w:rPr>
        <w:t> </w:t>
      </w:r>
      <w:r>
        <w:rPr>
          <w:spacing w:val="-22"/>
        </w:rPr>
      </w:r>
      <w:r>
        <w:rPr/>
        <w:t>茨伯格首创的第三代管理教育范式国际实践管理教育（</w:t>
      </w:r>
      <w:r>
        <w:rPr>
          <w:rFonts w:ascii="宋体" w:hAnsi="宋体" w:cs="宋体" w:eastAsia="宋体" w:hint="default"/>
        </w:rPr>
        <w:t>IMPM</w:t>
      </w:r>
      <w:r>
        <w:rPr/>
        <w:t>）中国负责人、中国人民大学亨利•明茨伯格</w:t>
      </w:r>
      <w:r>
        <w:rPr>
          <w:spacing w:val="-24"/>
        </w:rPr>
        <w:t> </w:t>
      </w:r>
      <w:r>
        <w:rPr>
          <w:spacing w:val="-24"/>
        </w:rPr>
      </w:r>
      <w:r>
        <w:rPr/>
        <w:t>研究中心学术主任、美年大</w:t>
      </w:r>
      <w:r>
        <w:rPr>
          <w:spacing w:val="-2"/>
        </w:rPr>
        <w:t> </w:t>
      </w:r>
      <w:r>
        <w:rPr/>
        <w:t>健康独立董事。</w:t>
      </w:r>
    </w:p>
    <w:p>
      <w:pPr>
        <w:pStyle w:val="BodyText"/>
        <w:spacing w:line="408" w:lineRule="auto"/>
        <w:ind w:right="146" w:firstLine="420"/>
        <w:jc w:val="both"/>
      </w:pPr>
      <w:r>
        <w:rPr/>
        <w:t>（</w:t>
      </w:r>
      <w:r>
        <w:rPr>
          <w:rFonts w:ascii="宋体" w:hAnsi="宋体" w:cs="宋体" w:eastAsia="宋体" w:hint="default"/>
        </w:rPr>
        <w:t>9</w:t>
      </w:r>
      <w:r>
        <w:rPr/>
        <w:t>）刘勇先生，</w:t>
      </w:r>
      <w:r>
        <w:rPr>
          <w:rFonts w:ascii="宋体" w:hAnsi="宋体" w:cs="宋体" w:eastAsia="宋体" w:hint="default"/>
        </w:rPr>
        <w:t>1967 </w:t>
      </w:r>
      <w:r>
        <w:rPr/>
        <w:t>年 </w:t>
      </w:r>
      <w:r>
        <w:rPr>
          <w:rFonts w:ascii="宋体" w:hAnsi="宋体" w:cs="宋体" w:eastAsia="宋体" w:hint="default"/>
        </w:rPr>
        <w:t>9 </w:t>
      </w:r>
      <w:r>
        <w:rPr/>
        <w:t>月出生，中国国籍，无境外永久居留权，</w:t>
      </w:r>
      <w:r>
        <w:rPr>
          <w:rFonts w:ascii="宋体" w:hAnsi="宋体" w:cs="宋体" w:eastAsia="宋体" w:hint="default"/>
        </w:rPr>
        <w:t>EMBA</w:t>
      </w:r>
      <w:r>
        <w:rPr/>
        <w:t>。现任江苏</w:t>
      </w:r>
      <w:r>
        <w:rPr>
          <w:spacing w:val="-27"/>
        </w:rPr>
        <w:t> </w:t>
      </w:r>
      <w:r>
        <w:rPr/>
        <w:t>公证天业会计</w:t>
      </w:r>
      <w:r>
        <w:rPr>
          <w:w w:val="100"/>
        </w:rPr>
        <w:t> </w:t>
      </w:r>
      <w:r>
        <w:rPr/>
        <w:t>师事务所（特殊普通合伙）合伙人，苏州市财政会计学会常务理事、</w:t>
      </w:r>
      <w:r>
        <w:rPr>
          <w:spacing w:val="75"/>
        </w:rPr>
        <w:t> </w:t>
      </w:r>
      <w:r>
        <w:rPr/>
        <w:t>苏州大学硕士研究生导师、上海步</w:t>
      </w:r>
      <w:r>
        <w:rPr>
          <w:spacing w:val="-97"/>
        </w:rPr>
        <w:t> </w:t>
      </w:r>
      <w:r>
        <w:rPr>
          <w:spacing w:val="-97"/>
        </w:rPr>
      </w:r>
      <w:r>
        <w:rPr/>
        <w:t>科自动化股份有限公司董事，历任美年大健康独</w:t>
      </w:r>
      <w:r>
        <w:rPr>
          <w:spacing w:val="-2"/>
        </w:rPr>
        <w:t> </w:t>
      </w:r>
      <w:r>
        <w:rPr/>
        <w:t>立董事。</w:t>
      </w:r>
    </w:p>
    <w:p>
      <w:pPr>
        <w:pStyle w:val="BodyText"/>
        <w:spacing w:line="408" w:lineRule="auto"/>
        <w:ind w:right="146" w:firstLine="420"/>
        <w:jc w:val="both"/>
      </w:pPr>
      <w:r>
        <w:rPr/>
        <w:t>（</w:t>
      </w:r>
      <w:r>
        <w:rPr>
          <w:rFonts w:ascii="宋体" w:hAnsi="宋体" w:cs="宋体" w:eastAsia="宋体" w:hint="default"/>
        </w:rPr>
        <w:t>10</w:t>
      </w:r>
      <w:r>
        <w:rPr/>
        <w:t>）葛俊先生，</w:t>
      </w:r>
      <w:r>
        <w:rPr>
          <w:rFonts w:ascii="宋体" w:hAnsi="宋体" w:cs="宋体" w:eastAsia="宋体" w:hint="default"/>
        </w:rPr>
        <w:t>1972 </w:t>
      </w:r>
      <w:r>
        <w:rPr/>
        <w:t>年 </w:t>
      </w:r>
      <w:r>
        <w:rPr>
          <w:rFonts w:ascii="宋体" w:hAnsi="宋体" w:cs="宋体" w:eastAsia="宋体" w:hint="default"/>
        </w:rPr>
        <w:t>6</w:t>
      </w:r>
      <w:r>
        <w:rPr>
          <w:rFonts w:ascii="宋体" w:hAnsi="宋体" w:cs="宋体" w:eastAsia="宋体" w:hint="default"/>
          <w:spacing w:val="-29"/>
        </w:rPr>
        <w:t> </w:t>
      </w:r>
      <w:r>
        <w:rPr/>
        <w:t>月出生，中国国籍，无境外永久居留权，本科。现任中欧国际工商学院</w:t>
      </w:r>
      <w:r>
        <w:rPr>
          <w:w w:val="100"/>
        </w:rPr>
        <w:t> </w:t>
      </w:r>
      <w:r>
        <w:rPr>
          <w:spacing w:val="-2"/>
        </w:rPr>
        <w:t>院长助理、上海欧源股权投资管理有限公司董事，历任上海市建筑科学院助理工程师、中欧国际工商学院</w:t>
      </w:r>
      <w:r>
        <w:rPr>
          <w:spacing w:val="-44"/>
        </w:rPr>
        <w:t> </w:t>
      </w:r>
      <w:r>
        <w:rPr>
          <w:spacing w:val="-44"/>
        </w:rPr>
      </w:r>
      <w:r>
        <w:rPr/>
        <w:t>院长助理、美年大健康独立董事。</w:t>
      </w:r>
    </w:p>
    <w:p>
      <w:pPr>
        <w:pStyle w:val="BodyText"/>
        <w:spacing w:line="408" w:lineRule="auto"/>
        <w:ind w:right="148" w:firstLine="420"/>
        <w:jc w:val="both"/>
      </w:pPr>
      <w:r>
        <w:rPr/>
        <w:t>（</w:t>
      </w:r>
      <w:r>
        <w:rPr>
          <w:rFonts w:ascii="宋体" w:hAnsi="宋体" w:cs="宋体" w:eastAsia="宋体" w:hint="default"/>
        </w:rPr>
        <w:t>11</w:t>
      </w:r>
      <w:r>
        <w:rPr/>
        <w:t>）刘晓先生，</w:t>
      </w:r>
      <w:r>
        <w:rPr>
          <w:rFonts w:ascii="宋体" w:hAnsi="宋体" w:cs="宋体" w:eastAsia="宋体" w:hint="default"/>
        </w:rPr>
        <w:t>1981</w:t>
      </w:r>
      <w:r>
        <w:rPr/>
        <w:t>年</w:t>
      </w:r>
      <w:r>
        <w:rPr>
          <w:rFonts w:ascii="宋体" w:hAnsi="宋体" w:cs="宋体" w:eastAsia="宋体" w:hint="default"/>
        </w:rPr>
        <w:t>9</w:t>
      </w:r>
      <w:r>
        <w:rPr/>
        <w:t>月出生，中国国籍，无境外居留权，硕士。现任德勤管理咨询（上海）有</w:t>
      </w:r>
      <w:r>
        <w:rPr>
          <w:w w:val="100"/>
        </w:rPr>
        <w:t> </w:t>
      </w:r>
      <w:r>
        <w:rPr/>
        <w:t>限公司北京分公司副总监兼中国医疗行业咨询负责人、公司独立董事，历任</w:t>
      </w:r>
      <w:r>
        <w:rPr>
          <w:rFonts w:ascii="宋体" w:hAnsi="宋体" w:cs="宋体" w:eastAsia="宋体" w:hint="default"/>
        </w:rPr>
        <w:t>Capgemini US</w:t>
      </w:r>
      <w:r>
        <w:rPr>
          <w:rFonts w:ascii="宋体" w:hAnsi="宋体" w:cs="宋体" w:eastAsia="宋体" w:hint="default"/>
          <w:spacing w:val="-32"/>
        </w:rPr>
        <w:t> </w:t>
      </w:r>
      <w:r>
        <w:rPr>
          <w:rFonts w:ascii="宋体" w:hAnsi="宋体" w:cs="宋体" w:eastAsia="宋体" w:hint="default"/>
        </w:rPr>
        <w:t>LLC</w:t>
      </w:r>
      <w:r>
        <w:rPr/>
        <w:t>高级咨询顾</w:t>
      </w:r>
      <w:r>
        <w:rPr>
          <w:w w:val="100"/>
        </w:rPr>
        <w:t> </w:t>
      </w:r>
      <w:r>
        <w:rPr/>
        <w:t>问、德睿医疗咨询（上海）有限公司董事总经理。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573" w:right="0"/>
        <w:jc w:val="left"/>
      </w:pPr>
      <w:r>
        <w:rPr>
          <w:rFonts w:ascii="宋体" w:hAnsi="宋体" w:cs="宋体" w:eastAsia="宋体" w:hint="default"/>
        </w:rPr>
        <w:t>2</w:t>
      </w:r>
      <w:r>
        <w:rPr/>
        <w:t>、监事</w:t>
      </w:r>
    </w:p>
    <w:p>
      <w:pPr>
        <w:spacing w:line="240" w:lineRule="auto" w:before="10"/>
        <w:rPr>
          <w:rFonts w:ascii="宋体" w:hAnsi="宋体" w:cs="宋体" w:eastAsia="宋体" w:hint="default"/>
          <w:sz w:val="14"/>
          <w:szCs w:val="14"/>
        </w:rPr>
      </w:pPr>
    </w:p>
    <w:p>
      <w:pPr>
        <w:pStyle w:val="BodyText"/>
        <w:spacing w:line="408" w:lineRule="auto" w:before="0"/>
        <w:ind w:right="146" w:firstLine="317"/>
        <w:jc w:val="both"/>
      </w:pPr>
      <w:r>
        <w:rPr/>
        <w:t>（</w:t>
      </w:r>
      <w:r>
        <w:rPr>
          <w:rFonts w:ascii="宋体" w:hAnsi="宋体" w:cs="宋体" w:eastAsia="宋体" w:hint="default"/>
        </w:rPr>
        <w:t>1</w:t>
      </w:r>
      <w:r>
        <w:rPr/>
        <w:t>）余继业先生，</w:t>
      </w:r>
      <w:r>
        <w:rPr>
          <w:rFonts w:ascii="宋体" w:hAnsi="宋体" w:cs="宋体" w:eastAsia="宋体" w:hint="default"/>
        </w:rPr>
        <w:t>1970</w:t>
      </w:r>
      <w:r>
        <w:rPr/>
        <w:t>年</w:t>
      </w:r>
      <w:r>
        <w:rPr>
          <w:rFonts w:ascii="宋体" w:hAnsi="宋体" w:cs="宋体" w:eastAsia="宋体" w:hint="default"/>
        </w:rPr>
        <w:t>2</w:t>
      </w:r>
      <w:r>
        <w:rPr/>
        <w:t>月出生，中国国籍，无境外永久居留权，硕士。现任北京华新博融投资咨</w:t>
      </w:r>
      <w:r>
        <w:rPr>
          <w:w w:val="100"/>
        </w:rPr>
        <w:t> </w:t>
      </w:r>
      <w:r>
        <w:rPr>
          <w:spacing w:val="-2"/>
        </w:rPr>
        <w:t>询有限责任公司总经理、公司监事会主席，历任中国人民大学科研处工作人员、中国四达国际经济技术合</w:t>
      </w:r>
      <w:r>
        <w:rPr>
          <w:spacing w:val="-43"/>
        </w:rPr>
        <w:t> </w:t>
      </w:r>
      <w:r>
        <w:rPr>
          <w:spacing w:val="-43"/>
        </w:rPr>
      </w:r>
      <w:r>
        <w:rPr/>
        <w:t>作公司项目经理、中国迅达电梯有限公司销售经理、北京华新博维管理咨询有限公司副总经理。</w:t>
      </w:r>
    </w:p>
    <w:p>
      <w:pPr>
        <w:pStyle w:val="BodyText"/>
        <w:spacing w:line="408" w:lineRule="auto"/>
        <w:ind w:right="147" w:firstLine="420"/>
        <w:jc w:val="both"/>
      </w:pPr>
      <w:r>
        <w:rPr/>
        <w:t>（</w:t>
      </w:r>
      <w:r>
        <w:rPr>
          <w:rFonts w:ascii="宋体" w:hAnsi="宋体" w:cs="宋体" w:eastAsia="宋体" w:hint="default"/>
        </w:rPr>
        <w:t>2</w:t>
      </w:r>
      <w:r>
        <w:rPr/>
        <w:t>）李文罡先生，</w:t>
      </w:r>
      <w:r>
        <w:rPr>
          <w:rFonts w:ascii="宋体" w:hAnsi="宋体" w:cs="宋体" w:eastAsia="宋体" w:hint="default"/>
        </w:rPr>
        <w:t>1973</w:t>
      </w:r>
      <w:r>
        <w:rPr/>
        <w:t>年</w:t>
      </w:r>
      <w:r>
        <w:rPr>
          <w:rFonts w:ascii="宋体" w:hAnsi="宋体" w:cs="宋体" w:eastAsia="宋体" w:hint="default"/>
        </w:rPr>
        <w:t>10</w:t>
      </w:r>
      <w:r>
        <w:rPr/>
        <w:t>月出生，中国国籍，无境外永久居留权，博士。现任公司监事，历任通</w:t>
      </w:r>
      <w:r>
        <w:rPr>
          <w:w w:val="100"/>
        </w:rPr>
        <w:t> </w:t>
      </w:r>
      <w:r>
        <w:rPr>
          <w:spacing w:val="-2"/>
        </w:rPr>
        <w:t>用电器（中国）有限公司医疗系统核医学临床培训主管、西门子（中国）有限公司医疗系统集团市场部分</w:t>
      </w:r>
      <w:r>
        <w:rPr>
          <w:spacing w:val="-43"/>
        </w:rPr>
        <w:t> </w:t>
      </w:r>
      <w:r>
        <w:rPr>
          <w:spacing w:val="-43"/>
        </w:rPr>
      </w:r>
      <w:r>
        <w:rPr>
          <w:spacing w:val="-2"/>
        </w:rPr>
        <w:t>子影像产品总经理、美敦力医疗用品技术服务（上海）有限公司神经调控大中华区业务经理、美敦力医疗</w:t>
      </w:r>
      <w:r>
        <w:rPr>
          <w:spacing w:val="-50"/>
        </w:rPr>
        <w:t> </w:t>
      </w:r>
      <w:r>
        <w:rPr>
          <w:spacing w:val="-50"/>
        </w:rPr>
      </w:r>
      <w:r>
        <w:rPr/>
        <w:t>用品技术服务（上海）有限公司新兴市场业务部业务经理。</w:t>
      </w:r>
    </w:p>
    <w:p>
      <w:pPr>
        <w:pStyle w:val="BodyText"/>
        <w:spacing w:line="408" w:lineRule="auto"/>
        <w:ind w:right="127" w:firstLine="420"/>
        <w:jc w:val="both"/>
      </w:pPr>
      <w:r>
        <w:rPr/>
        <w:t>（</w:t>
      </w:r>
      <w:r>
        <w:rPr>
          <w:rFonts w:ascii="宋体" w:hAnsi="宋体" w:cs="宋体" w:eastAsia="宋体" w:hint="default"/>
        </w:rPr>
        <w:t>3</w:t>
      </w:r>
      <w:r>
        <w:rPr/>
        <w:t>）崔岚女士，</w:t>
      </w:r>
      <w:r>
        <w:rPr>
          <w:rFonts w:ascii="宋体" w:hAnsi="宋体" w:cs="宋体" w:eastAsia="宋体" w:hint="default"/>
        </w:rPr>
        <w:t>1976</w:t>
      </w:r>
      <w:r>
        <w:rPr/>
        <w:t>年</w:t>
      </w:r>
      <w:r>
        <w:rPr>
          <w:rFonts w:ascii="宋体" w:hAnsi="宋体" w:cs="宋体" w:eastAsia="宋体" w:hint="default"/>
        </w:rPr>
        <w:t>11</w:t>
      </w:r>
      <w:r>
        <w:rPr/>
        <w:t>月出生，中国国籍，无境外永久居留权，硕士。现任公司职工代表监事、</w:t>
      </w:r>
      <w:r>
        <w:rPr>
          <w:w w:val="100"/>
        </w:rPr>
        <w:t> </w:t>
      </w:r>
      <w:r>
        <w:rPr>
          <w:spacing w:val="-2"/>
        </w:rPr>
        <w:t>总裁助理、杭州地区总经理、市场部总经理，历任美国礼来亚洲公司市场部经理、高级人力资源部经理。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467" w:right="0"/>
        <w:jc w:val="left"/>
      </w:pPr>
      <w:r>
        <w:rPr>
          <w:rFonts w:ascii="宋体" w:hAnsi="宋体" w:cs="宋体" w:eastAsia="宋体" w:hint="default"/>
        </w:rPr>
        <w:t>3</w:t>
      </w:r>
      <w:r>
        <w:rPr/>
        <w:t>、高级管理人员</w:t>
      </w:r>
    </w:p>
    <w:p>
      <w:pPr>
        <w:spacing w:line="240" w:lineRule="auto" w:before="10"/>
        <w:rPr>
          <w:rFonts w:ascii="宋体" w:hAnsi="宋体" w:cs="宋体" w:eastAsia="宋体" w:hint="default"/>
          <w:sz w:val="14"/>
          <w:szCs w:val="14"/>
        </w:rPr>
      </w:pPr>
    </w:p>
    <w:p>
      <w:pPr>
        <w:pStyle w:val="BodyText"/>
        <w:spacing w:line="408" w:lineRule="auto" w:before="0"/>
        <w:ind w:right="149" w:firstLine="314"/>
        <w:jc w:val="both"/>
      </w:pPr>
      <w:r>
        <w:rPr/>
        <w:t>（</w:t>
      </w:r>
      <w:r>
        <w:rPr>
          <w:rFonts w:ascii="宋体" w:hAnsi="宋体" w:cs="宋体" w:eastAsia="宋体" w:hint="default"/>
        </w:rPr>
        <w:t>1</w:t>
      </w:r>
      <w:r>
        <w:rPr/>
        <w:t>）徐可先生，</w:t>
      </w:r>
      <w:r>
        <w:rPr>
          <w:rFonts w:ascii="宋体" w:hAnsi="宋体" w:cs="宋体" w:eastAsia="宋体" w:hint="default"/>
        </w:rPr>
        <w:t>1971</w:t>
      </w:r>
      <w:r>
        <w:rPr/>
        <w:t>年</w:t>
      </w:r>
      <w:r>
        <w:rPr>
          <w:rFonts w:ascii="宋体" w:hAnsi="宋体" w:cs="宋体" w:eastAsia="宋体" w:hint="default"/>
        </w:rPr>
        <w:t>5</w:t>
      </w:r>
      <w:r>
        <w:rPr/>
        <w:t>月出生，中国国籍，无境外永久居留权，硕士。现任公司董事兼总裁，历任</w:t>
      </w:r>
      <w:r>
        <w:rPr>
          <w:w w:val="100"/>
        </w:rPr>
        <w:t> </w:t>
      </w:r>
      <w:r>
        <w:rPr>
          <w:spacing w:val="-2"/>
        </w:rPr>
        <w:t>沈阳惠丰咨询有限公司董事长、安徽商信信息技术有限公司董事长、总经理、沈阳大健康总裁、沈阳珍艾</w:t>
      </w:r>
    </w:p>
    <w:p>
      <w:pPr>
        <w:spacing w:after="0" w:line="408" w:lineRule="auto"/>
        <w:jc w:val="both"/>
        <w:sectPr>
          <w:footerReference w:type="default" r:id="rId19"/>
          <w:pgSz w:w="11910" w:h="16840"/>
          <w:pgMar w:footer="979" w:header="745" w:top="1060" w:bottom="1160" w:left="980" w:right="980"/>
          <w:pgNumType w:start="111"/>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堂投资管理有限公司董事。</w:t>
      </w:r>
    </w:p>
    <w:p>
      <w:pPr>
        <w:spacing w:line="240" w:lineRule="auto" w:before="10"/>
        <w:rPr>
          <w:rFonts w:ascii="宋体" w:hAnsi="宋体" w:cs="宋体" w:eastAsia="宋体" w:hint="default"/>
          <w:sz w:val="14"/>
          <w:szCs w:val="14"/>
        </w:rPr>
      </w:pPr>
    </w:p>
    <w:p>
      <w:pPr>
        <w:pStyle w:val="BodyText"/>
        <w:spacing w:line="408" w:lineRule="auto" w:before="0"/>
        <w:ind w:right="155" w:firstLine="314"/>
        <w:jc w:val="both"/>
      </w:pPr>
      <w:r>
        <w:rPr/>
        <w:t>（</w:t>
      </w:r>
      <w:r>
        <w:rPr>
          <w:rFonts w:ascii="宋体" w:hAnsi="宋体" w:cs="宋体" w:eastAsia="宋体" w:hint="default"/>
        </w:rPr>
        <w:t>2</w:t>
      </w:r>
      <w:r>
        <w:rPr/>
        <w:t>）林琳女士，</w:t>
      </w:r>
      <w:r>
        <w:rPr>
          <w:rFonts w:ascii="宋体" w:hAnsi="宋体" w:cs="宋体" w:eastAsia="宋体" w:hint="default"/>
        </w:rPr>
        <w:t>1975</w:t>
      </w:r>
      <w:r>
        <w:rPr/>
        <w:t>年</w:t>
      </w:r>
      <w:r>
        <w:rPr>
          <w:rFonts w:ascii="宋体" w:hAnsi="宋体" w:cs="宋体" w:eastAsia="宋体" w:hint="default"/>
        </w:rPr>
        <w:t>6</w:t>
      </w:r>
      <w:r>
        <w:rPr/>
        <w:t>月出生，中国国籍，无境外永久居留权，本科。现任公司高级副总裁、首席</w:t>
      </w:r>
      <w:r>
        <w:rPr>
          <w:w w:val="100"/>
        </w:rPr>
        <w:t> </w:t>
      </w:r>
      <w:r>
        <w:rPr/>
        <w:t>运营官、北京及北方区域总经理，历任黑龙江省森林工业总局外贸翻译，瑞丰商务总经理。</w:t>
      </w:r>
    </w:p>
    <w:p>
      <w:pPr>
        <w:pStyle w:val="BodyText"/>
        <w:spacing w:line="408" w:lineRule="auto"/>
        <w:ind w:right="146" w:firstLine="314"/>
        <w:jc w:val="both"/>
      </w:pPr>
      <w:r>
        <w:rPr>
          <w:spacing w:val="-2"/>
        </w:rPr>
        <w:t>（</w:t>
      </w:r>
      <w:r>
        <w:rPr>
          <w:rFonts w:ascii="宋体" w:hAnsi="宋体" w:cs="宋体" w:eastAsia="宋体" w:hint="default"/>
          <w:spacing w:val="-2"/>
        </w:rPr>
        <w:t>3</w:t>
      </w:r>
      <w:r>
        <w:rPr>
          <w:spacing w:val="-2"/>
        </w:rPr>
        <w:t>）李林先生，</w:t>
      </w:r>
      <w:r>
        <w:rPr>
          <w:rFonts w:ascii="宋体" w:hAnsi="宋体" w:cs="宋体" w:eastAsia="宋体" w:hint="default"/>
          <w:spacing w:val="-2"/>
        </w:rPr>
        <w:t>1967</w:t>
      </w:r>
      <w:r>
        <w:rPr>
          <w:spacing w:val="-2"/>
        </w:rPr>
        <w:t>年</w:t>
      </w:r>
      <w:r>
        <w:rPr>
          <w:rFonts w:ascii="宋体" w:hAnsi="宋体" w:cs="宋体" w:eastAsia="宋体" w:hint="default"/>
          <w:spacing w:val="-2"/>
        </w:rPr>
        <w:t>12</w:t>
      </w:r>
      <w:r>
        <w:rPr>
          <w:spacing w:val="-2"/>
        </w:rPr>
        <w:t>月出生，中国国籍，无境外永久居留权，硕士。现任公司高级副总裁、上海</w:t>
      </w:r>
      <w:r>
        <w:rPr>
          <w:w w:val="100"/>
        </w:rPr>
        <w:t> </w:t>
      </w:r>
      <w:r>
        <w:rPr>
          <w:spacing w:val="-2"/>
        </w:rPr>
        <w:t>及华东区域总经理，历任天津南华皮革化工有限公司总经理、天津人民农药厂常务副总经理、天津康盟集</w:t>
      </w:r>
      <w:r>
        <w:rPr>
          <w:spacing w:val="-43"/>
        </w:rPr>
        <w:t> </w:t>
      </w:r>
      <w:r>
        <w:rPr>
          <w:spacing w:val="-43"/>
        </w:rPr>
      </w:r>
      <w:r>
        <w:rPr/>
        <w:t>团副总经理。</w:t>
      </w:r>
    </w:p>
    <w:p>
      <w:pPr>
        <w:pStyle w:val="BodyText"/>
        <w:spacing w:line="408" w:lineRule="auto"/>
        <w:ind w:right="146" w:firstLine="314"/>
        <w:jc w:val="both"/>
      </w:pPr>
      <w:r>
        <w:rPr>
          <w:spacing w:val="-2"/>
        </w:rPr>
        <w:t>（</w:t>
      </w:r>
      <w:r>
        <w:rPr>
          <w:rFonts w:ascii="宋体" w:hAnsi="宋体" w:cs="宋体" w:eastAsia="宋体" w:hint="default"/>
          <w:spacing w:val="-2"/>
        </w:rPr>
        <w:t>4</w:t>
      </w:r>
      <w:r>
        <w:rPr>
          <w:spacing w:val="-2"/>
        </w:rPr>
        <w:t>）温海彦先生，</w:t>
      </w:r>
      <w:r>
        <w:rPr>
          <w:rFonts w:ascii="宋体" w:hAnsi="宋体" w:cs="宋体" w:eastAsia="宋体" w:hint="default"/>
          <w:spacing w:val="-2"/>
        </w:rPr>
        <w:t>1964</w:t>
      </w:r>
      <w:r>
        <w:rPr>
          <w:spacing w:val="-2"/>
        </w:rPr>
        <w:t>年</w:t>
      </w:r>
      <w:r>
        <w:rPr>
          <w:rFonts w:ascii="宋体" w:hAnsi="宋体" w:cs="宋体" w:eastAsia="宋体" w:hint="default"/>
          <w:spacing w:val="-2"/>
        </w:rPr>
        <w:t>10</w:t>
      </w:r>
      <w:r>
        <w:rPr>
          <w:spacing w:val="-2"/>
        </w:rPr>
        <w:t>月出生，中国国籍，无境外永久居留权，本科。现任公司高级副总裁、沈</w:t>
      </w:r>
      <w:r>
        <w:rPr>
          <w:w w:val="100"/>
        </w:rPr>
        <w:t> </w:t>
      </w:r>
      <w:r>
        <w:rPr>
          <w:spacing w:val="-2"/>
        </w:rPr>
        <w:t>阳及西北区域总经理，历任沈阳军区总医院骨科主治医师、医务部科长、沈阳弘康健康管理有限公司总经</w:t>
      </w:r>
      <w:r>
        <w:rPr>
          <w:spacing w:val="-43"/>
        </w:rPr>
        <w:t> </w:t>
      </w:r>
      <w:r>
        <w:rPr>
          <w:spacing w:val="-43"/>
        </w:rPr>
      </w:r>
      <w:r>
        <w:rPr/>
        <w:t>理、沈阳大健康管理总经理。</w:t>
      </w:r>
    </w:p>
    <w:p>
      <w:pPr>
        <w:pStyle w:val="BodyText"/>
        <w:spacing w:line="408" w:lineRule="auto"/>
        <w:ind w:right="129" w:firstLine="314"/>
        <w:jc w:val="both"/>
      </w:pPr>
      <w:r>
        <w:rPr>
          <w:spacing w:val="-2"/>
        </w:rPr>
        <w:t>（</w:t>
      </w:r>
      <w:r>
        <w:rPr>
          <w:rFonts w:ascii="宋体" w:hAnsi="宋体" w:cs="宋体" w:eastAsia="宋体" w:hint="default"/>
          <w:spacing w:val="-2"/>
        </w:rPr>
        <w:t>5</w:t>
      </w:r>
      <w:r>
        <w:rPr>
          <w:spacing w:val="-2"/>
        </w:rPr>
        <w:t>）张胜江先生，</w:t>
      </w:r>
      <w:r>
        <w:rPr>
          <w:rFonts w:ascii="宋体" w:hAnsi="宋体" w:cs="宋体" w:eastAsia="宋体" w:hint="default"/>
          <w:spacing w:val="-2"/>
        </w:rPr>
        <w:t>1974</w:t>
      </w:r>
      <w:r>
        <w:rPr>
          <w:spacing w:val="-2"/>
        </w:rPr>
        <w:t>年</w:t>
      </w:r>
      <w:r>
        <w:rPr>
          <w:rFonts w:ascii="宋体" w:hAnsi="宋体" w:cs="宋体" w:eastAsia="宋体" w:hint="default"/>
          <w:spacing w:val="-2"/>
        </w:rPr>
        <w:t>11</w:t>
      </w:r>
      <w:r>
        <w:rPr>
          <w:spacing w:val="-2"/>
        </w:rPr>
        <w:t>月出生，中国国籍，无境外永久居留权，专科。现任公司副总裁、</w:t>
      </w:r>
      <w:r>
        <w:rPr>
          <w:rFonts w:ascii="宋体" w:hAnsi="宋体" w:cs="宋体" w:eastAsia="宋体" w:hint="default"/>
          <w:spacing w:val="-2"/>
        </w:rPr>
        <w:t>IT</w:t>
      </w:r>
      <w:r>
        <w:rPr>
          <w:spacing w:val="-2"/>
        </w:rPr>
        <w:t>信息</w:t>
      </w:r>
      <w:r>
        <w:rPr>
          <w:spacing w:val="-3"/>
          <w:w w:val="100"/>
        </w:rPr>
        <w:t> </w:t>
      </w:r>
      <w:r>
        <w:rPr>
          <w:spacing w:val="-2"/>
        </w:rPr>
        <w:t>部总经理，历任武汉菲旺软件技术有限责任公司程序员、</w:t>
      </w:r>
      <w:r>
        <w:rPr>
          <w:rFonts w:ascii="宋体" w:hAnsi="宋体" w:cs="宋体" w:eastAsia="宋体" w:hint="default"/>
          <w:spacing w:val="-2"/>
        </w:rPr>
        <w:t>IT</w:t>
      </w:r>
      <w:r>
        <w:rPr>
          <w:spacing w:val="-2"/>
        </w:rPr>
        <w:t>项目经理、</w:t>
      </w:r>
      <w:r>
        <w:rPr>
          <w:rFonts w:ascii="宋体" w:hAnsi="宋体" w:cs="宋体" w:eastAsia="宋体" w:hint="default"/>
          <w:spacing w:val="-2"/>
        </w:rPr>
        <w:t>IT</w:t>
      </w:r>
      <w:r>
        <w:rPr>
          <w:spacing w:val="-2"/>
        </w:rPr>
        <w:t>部门总监、美年大健康</w:t>
      </w:r>
      <w:r>
        <w:rPr>
          <w:rFonts w:ascii="宋体" w:hAnsi="宋体" w:cs="宋体" w:eastAsia="宋体" w:hint="default"/>
          <w:spacing w:val="-2"/>
        </w:rPr>
        <w:t>IT</w:t>
      </w:r>
      <w:r>
        <w:rPr>
          <w:spacing w:val="-2"/>
        </w:rPr>
        <w:t>总监。</w:t>
      </w:r>
      <w:r>
        <w:rPr/>
      </w:r>
    </w:p>
    <w:p>
      <w:pPr>
        <w:pStyle w:val="BodyText"/>
        <w:spacing w:line="408" w:lineRule="auto"/>
        <w:ind w:right="146" w:firstLine="314"/>
        <w:jc w:val="both"/>
      </w:pPr>
      <w:r>
        <w:rPr/>
        <w:t>（</w:t>
      </w:r>
      <w:r>
        <w:rPr>
          <w:rFonts w:ascii="宋体" w:hAnsi="宋体" w:cs="宋体" w:eastAsia="宋体" w:hint="default"/>
        </w:rPr>
        <w:t>6</w:t>
      </w:r>
      <w:r>
        <w:rPr/>
        <w:t>）兰佳女士，</w:t>
      </w:r>
      <w:r>
        <w:rPr>
          <w:rFonts w:ascii="宋体" w:hAnsi="宋体" w:cs="宋体" w:eastAsia="宋体" w:hint="default"/>
        </w:rPr>
        <w:t>1970</w:t>
      </w:r>
      <w:r>
        <w:rPr/>
        <w:t>年</w:t>
      </w:r>
      <w:r>
        <w:rPr>
          <w:rFonts w:ascii="宋体" w:hAnsi="宋体" w:cs="宋体" w:eastAsia="宋体" w:hint="default"/>
        </w:rPr>
        <w:t>6</w:t>
      </w:r>
      <w:r>
        <w:rPr/>
        <w:t>月出生，中国国籍，无境外永久居留权，本科。现担任公司财务总监，历任</w:t>
      </w:r>
      <w:r>
        <w:rPr>
          <w:w w:val="100"/>
        </w:rPr>
        <w:t> </w:t>
      </w:r>
      <w:r>
        <w:rPr>
          <w:spacing w:val="-2"/>
        </w:rPr>
        <w:t>安永大华会计师事务所有限责任公司审计经理、大华会计师事务所有限责任公司高级审计员、浙江景兴纸</w:t>
      </w:r>
      <w:r>
        <w:rPr>
          <w:spacing w:val="-44"/>
        </w:rPr>
        <w:t> </w:t>
      </w:r>
      <w:r>
        <w:rPr>
          <w:spacing w:val="-44"/>
        </w:rPr>
      </w:r>
      <w:r>
        <w:rPr/>
        <w:t>业股份有限公司（证券代码：</w:t>
      </w:r>
      <w:r>
        <w:rPr>
          <w:rFonts w:ascii="宋体" w:hAnsi="宋体" w:cs="宋体" w:eastAsia="宋体" w:hint="default"/>
        </w:rPr>
        <w:t>002067</w:t>
      </w:r>
      <w:r>
        <w:rPr/>
        <w:t>）内审负责人。</w:t>
      </w:r>
    </w:p>
    <w:p>
      <w:pPr>
        <w:pStyle w:val="BodyText"/>
        <w:spacing w:line="408" w:lineRule="auto" w:before="87"/>
        <w:ind w:right="148" w:firstLine="314"/>
        <w:jc w:val="both"/>
      </w:pPr>
      <w:r>
        <w:rPr>
          <w:spacing w:val="-2"/>
        </w:rPr>
        <w:t>（</w:t>
      </w:r>
      <w:r>
        <w:rPr>
          <w:rFonts w:ascii="宋体" w:hAnsi="宋体" w:cs="宋体" w:eastAsia="宋体" w:hint="default"/>
          <w:spacing w:val="-2"/>
        </w:rPr>
        <w:t>7</w:t>
      </w:r>
      <w:r>
        <w:rPr>
          <w:spacing w:val="-2"/>
        </w:rPr>
        <w:t>）陈毅龙先生，</w:t>
      </w:r>
      <w:r>
        <w:rPr>
          <w:rFonts w:ascii="宋体" w:hAnsi="宋体" w:cs="宋体" w:eastAsia="宋体" w:hint="default"/>
          <w:spacing w:val="-2"/>
        </w:rPr>
        <w:t>1974</w:t>
      </w:r>
      <w:r>
        <w:rPr>
          <w:spacing w:val="-2"/>
        </w:rPr>
        <w:t>年</w:t>
      </w:r>
      <w:r>
        <w:rPr>
          <w:rFonts w:ascii="宋体" w:hAnsi="宋体" w:cs="宋体" w:eastAsia="宋体" w:hint="default"/>
          <w:spacing w:val="-2"/>
        </w:rPr>
        <w:t>6</w:t>
      </w:r>
      <w:r>
        <w:rPr>
          <w:spacing w:val="-2"/>
        </w:rPr>
        <w:t>月出生，中国国籍，无境外永久居留权，本科，</w:t>
      </w:r>
      <w:r>
        <w:rPr>
          <w:rFonts w:ascii="宋体" w:hAnsi="宋体" w:cs="宋体" w:eastAsia="宋体" w:hint="default"/>
          <w:spacing w:val="-2"/>
        </w:rPr>
        <w:t>MBA</w:t>
      </w:r>
      <w:r>
        <w:rPr>
          <w:spacing w:val="-2"/>
        </w:rPr>
        <w:t>。现任公司副总裁、董</w:t>
      </w:r>
      <w:r>
        <w:rPr>
          <w:w w:val="100"/>
        </w:rPr>
        <w:t> </w:t>
      </w:r>
      <w:r>
        <w:rPr>
          <w:spacing w:val="2"/>
        </w:rPr>
        <w:t>事会秘书，历任上海实业集团有限公司成员企业财务负责人、金安国纪科技股份有限公司（证券代码：</w:t>
      </w:r>
      <w:r>
        <w:rPr>
          <w:spacing w:val="-30"/>
        </w:rPr>
        <w:t> </w:t>
      </w:r>
      <w:r>
        <w:rPr>
          <w:spacing w:val="-30"/>
        </w:rPr>
      </w:r>
      <w:r>
        <w:rPr>
          <w:rFonts w:ascii="宋体" w:hAnsi="宋体" w:cs="宋体" w:eastAsia="宋体" w:hint="default"/>
        </w:rPr>
        <w:t>002636</w:t>
      </w:r>
      <w:r>
        <w:rPr/>
        <w:t>）董事会秘书、财务总监。</w:t>
      </w:r>
    </w:p>
    <w:p>
      <w:pPr>
        <w:pStyle w:val="BodyText"/>
        <w:spacing w:line="240" w:lineRule="auto" w:before="84"/>
        <w:ind w:right="0"/>
        <w:jc w:val="left"/>
      </w:pPr>
      <w:r>
        <w:rPr/>
        <w:t>在股东单位任职情况</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上海天亿投资（集团）有限公司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4"/>
                <w:sz w:val="18"/>
                <w:szCs w:val="18"/>
              </w:rPr>
              <w:t>中卫成长（上海）创业投资合伙企业（有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2"/>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上海和途投资中心（有限合伙）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北京世纪长河科技集团有限公司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执行董事、总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80"/>
                <w:w w:val="99"/>
                <w:sz w:val="18"/>
                <w:szCs w:val="18"/>
              </w:rPr>
              <w:t>N</w:t>
            </w:r>
            <w:r>
              <w:rPr>
                <w:rFonts w:ascii="宋体" w:hAnsi="宋体" w:cs="宋体" w:eastAsia="宋体" w:hint="default"/>
                <w:sz w:val="18"/>
                <w:szCs w:val="18"/>
              </w:rPr>
              <w:t>（胡瑞连</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天津大中咨询管理有限公司</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宋体" w:hAnsi="宋体" w:cs="宋体" w:eastAsia="宋体" w:hint="default"/>
                <w:sz w:val="11"/>
                <w:szCs w:val="11"/>
              </w:rPr>
            </w:pPr>
          </w:p>
          <w:p>
            <w:pPr>
              <w:pStyle w:val="TableParagraph"/>
              <w:spacing w:line="558" w:lineRule="exact"/>
              <w:ind w:left="2"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160.950pt;height:27.9pt;mso-position-horizontal-relative:char;mso-position-vertical-relative:line" coordorigin="0,0" coordsize="3219,558">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0;top:402;width:3219;height:156" coordorigin="0,402" coordsize="3219,156">
                    <v:shape style="position:absolute;left:0;top:402;width:3219;height:156" coordorigin="0,402" coordsize="3219,156" path="m0,558l3219,558,3219,402,0,402,0,558xe" filled="true" fillcolor="#ffffff" stroked="false">
                      <v:path arrowok="t"/>
                      <v:fill type="solid"/>
                    </v:shape>
                  </v:group>
                  <v:group style="position:absolute;left:22;top:11;width:3176;height:392" coordorigin="22,11" coordsize="3176,392">
                    <v:shape style="position:absolute;left:22;top:11;width:3176;height:392" coordorigin="22,11" coordsize="3176,392" path="m22,402l3197,402,3197,11,22,11,22,402xe" filled="true" fillcolor="#ffffff" stroked="false">
                      <v:path arrowok="t"/>
                      <v:fill type="solid"/>
                    </v:shape>
                  </v:group>
                </v:group>
              </w:pict>
            </w:r>
            <w:r>
              <w:rPr>
                <w:rFonts w:ascii="宋体" w:hAnsi="宋体" w:cs="宋体" w:eastAsia="宋体" w:hint="default"/>
                <w:position w:val="-10"/>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俞熔先生为公司实际控制人，其通过控制的天亿投资、天亿资管、美馨投资、和途投资和中卫成长合计拥 有公司已发行股份中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363,995,356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股，持股比例为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30.06%</w:t>
            </w:r>
            <w:r>
              <w:rPr>
                <w:rFonts w:ascii="宋体" w:hAnsi="宋体" w:cs="宋体" w:eastAsia="宋体" w:hint="default"/>
                <w:sz w:val="18"/>
                <w:szCs w:val="18"/>
              </w:rPr>
              <w:t>；北京世纪长河科技集团有限公司为公司持股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以上股东，为董事郭美玲女士控制的企业。世纪长河持有美馨投资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48.16%</w:t>
            </w:r>
            <w:r>
              <w:rPr>
                <w:rFonts w:ascii="宋体" w:hAnsi="宋体" w:cs="宋体" w:eastAsia="宋体" w:hint="default"/>
                <w:spacing w:val="-1"/>
                <w:sz w:val="18"/>
                <w:szCs w:val="18"/>
              </w:rPr>
              <w:t>股权；天津大中咨询管理有限公</w:t>
            </w:r>
            <w:r>
              <w:rPr>
                <w:rFonts w:ascii="宋体" w:hAnsi="宋体" w:cs="宋体" w:eastAsia="宋体" w:hint="default"/>
                <w:sz w:val="18"/>
                <w:szCs w:val="18"/>
              </w:rPr>
              <w:t> 司为公司股东，为董事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WOO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SWEE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LIAN</w:t>
            </w:r>
            <w:r>
              <w:rPr>
                <w:rFonts w:ascii="宋体" w:hAnsi="宋体" w:cs="宋体" w:eastAsia="宋体" w:hint="default"/>
                <w:sz w:val="18"/>
                <w:szCs w:val="18"/>
              </w:rPr>
              <w:t>（胡瑞连）先生控制的企业。</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在其他单位任职情况</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上海中卫创业投资中心（有限合伙）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中孵创业投资有限公司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汇智创业投资有限公司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深圳中卫君泽创业投资管理企业（普通合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深圳中卫君泽创业投资管理企业（普通合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上海天亿弘方企业管理有限公司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上海健瑞医疗器材有限公司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北京天亿弘方投资管理有限公司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上海中卫创业投资管理有限公司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上海思睦信息科技有限公司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中孵芳晟（北京）科技服务有限公司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新疆中卫股权投资有限合伙企业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上海中孵创业投资管理有限公司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上海盛翔信息科技有限公司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北京天亿养年酒业有限公司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成都天地网信息科技有限公司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上海搜罗网络科技有限公司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上海天亿协成投资管理有限公司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5"/>
              <w:jc w:val="left"/>
              <w:rPr>
                <w:rFonts w:ascii="宋体" w:hAnsi="宋体" w:cs="宋体" w:eastAsia="宋体" w:hint="default"/>
                <w:sz w:val="18"/>
                <w:szCs w:val="18"/>
              </w:rPr>
            </w:pPr>
            <w:r>
              <w:rPr>
                <w:rFonts w:ascii="宋体" w:hAnsi="宋体" w:cs="宋体" w:eastAsia="宋体" w:hint="default"/>
                <w:sz w:val="18"/>
                <w:szCs w:val="18"/>
              </w:rPr>
              <w:t>深圳雷柏科技股份有限公司（</w:t>
            </w:r>
            <w:r>
              <w:rPr>
                <w:rFonts w:ascii="Times New Roman" w:hAnsi="Times New Roman" w:cs="Times New Roman" w:eastAsia="Times New Roman" w:hint="default"/>
                <w:sz w:val="18"/>
                <w:szCs w:val="18"/>
              </w:rPr>
              <w:t>002577.sz</w:t>
            </w:r>
            <w:r>
              <w:rPr>
                <w:rFonts w:ascii="宋体" w:hAnsi="宋体" w:cs="宋体" w:eastAsia="宋体"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成都维乐口腔医院管理有限公司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上海美维投资管理有限公司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上海乾通电信设备有限公司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上海大象医疗健康科技有限公司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上海富乔置业有限公司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上海中卫安健创业投资管理有限公司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江苏瑞科生物技术有限公司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北京海源宇华信息技术有限公司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中联百川国际医疗设备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潍坊世纪长河经贸有限公司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上海康林仁和家庭医疗保健用品有限公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山东省万树商贸有限公司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上海跃研科技发展有限公司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北京欢乐英卓医院管理有限公司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北京唐风汉语教育科技有限公司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西藏青藏高原生物科技有限公司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西藏晶稞食品有限公司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上海美维投资管理有限公司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北京欢乐英卓医院管理有限公司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辽宁满医满艾科技有限公司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上海维途投资中心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中山市完美净水设备制造有限公司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嘉瑞投资有限公司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吉林吉福参生物开发股份有限公司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扬州完美日用品有限公司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湖南大三湘茶油股份有限公司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完美（广东）日用品有限公司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83.609985pt;margin-top:356.089996pt;width:51.9pt;height:19.6pt;mso-position-horizontal-relative:page;mso-position-vertical-relative:page;z-index:-1400584" coordorigin="5672,7122" coordsize="1038,392">
            <v:shape style="position:absolute;left:5672;top:7122;width:1038;height:392" coordorigin="5672,7122" coordsize="1038,392" path="m5672,7513l6709,7513,6709,7122,5672,7122,5672,75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完美（上海）健康科技有限公司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中山市完美汽车养护产品科技有限公司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中山市完美食品有限公司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完美（新兴）厨具有限公司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凯雷（北京）投资管理有限公司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Focus Media Holding Limited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分众传媒控 股有限公司</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Giovanna Parent</w:t>
            </w:r>
            <w:r>
              <w:rPr>
                <w:rFonts w:ascii="Times New Roman"/>
                <w:spacing w:val="-10"/>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Giovanna Group Holdings</w:t>
            </w:r>
            <w:r>
              <w:rPr>
                <w:rFonts w:ascii="Times New Roman"/>
                <w:spacing w:val="-9"/>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Haier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Electronics </w:t>
            </w:r>
            <w:r>
              <w:rPr>
                <w:rFonts w:ascii="Times New Roman" w:hAnsi="Times New Roman" w:cs="Times New Roman" w:eastAsia="Times New Roman" w:hint="default"/>
                <w:spacing w:val="-1"/>
                <w:w w:val="99"/>
                <w:sz w:val="18"/>
                <w:szCs w:val="18"/>
              </w:rPr>
              <w:t>Group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Co.,</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10"/>
                <w:w w:val="99"/>
                <w:sz w:val="18"/>
                <w:szCs w:val="18"/>
              </w:rPr>
              <w:t>Ltd</w:t>
            </w:r>
            <w:r>
              <w:rPr>
                <w:rFonts w:ascii="宋体" w:hAnsi="宋体" w:cs="宋体" w:eastAsia="宋体" w:hint="default"/>
                <w:spacing w:val="-10"/>
                <w:w w:val="99"/>
                <w:sz w:val="18"/>
                <w:szCs w:val="18"/>
              </w:rPr>
              <w:t>（海尔电器</w:t>
            </w:r>
            <w:r>
              <w:rPr>
                <w:rFonts w:ascii="宋体" w:hAnsi="宋体" w:cs="宋体" w:eastAsia="宋体" w:hint="default"/>
                <w:w w:val="99"/>
                <w:sz w:val="18"/>
                <w:szCs w:val="18"/>
              </w:rPr>
              <w:t> </w:t>
            </w:r>
            <w:r>
              <w:rPr>
                <w:rFonts w:ascii="宋体" w:hAnsi="宋体" w:cs="宋体" w:eastAsia="宋体" w:hint="default"/>
                <w:sz w:val="18"/>
                <w:szCs w:val="18"/>
              </w:rPr>
              <w:t>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浙江开元酒店管理有限公司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壳牌统一润滑油（北京）石油化工有限公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Fishery Group Limited</w:t>
            </w:r>
            <w:r>
              <w:rPr>
                <w:rFonts w:ascii="Times New Roman" w:hAnsi="Times New Roman" w:cs="Times New Roman" w:eastAsia="Times New Roman" w:hint="default"/>
                <w:spacing w:val="39"/>
                <w:sz w:val="18"/>
                <w:szCs w:val="18"/>
              </w:rPr>
              <w:t> </w:t>
            </w:r>
            <w:r>
              <w:rPr>
                <w:rFonts w:ascii="宋体" w:hAnsi="宋体" w:cs="宋体" w:eastAsia="宋体" w:hint="default"/>
                <w:spacing w:val="-5"/>
                <w:sz w:val="18"/>
                <w:szCs w:val="18"/>
              </w:rPr>
              <w:t>（中渔集团）</w:t>
            </w:r>
            <w:r>
              <w:rPr>
                <w:rFonts w:ascii="宋体" w:hAnsi="宋体" w:cs="宋体" w:eastAsia="宋体" w:hint="default"/>
                <w:sz w:val="18"/>
                <w:szCs w:val="18"/>
              </w:rPr>
            </w:r>
          </w:p>
        </w:tc>
        <w:tc>
          <w:tcPr>
            <w:tcW w:w="10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七喜控股股份有限公司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上海新通联包装股份有限公司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上海泰福健康管理有限公司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上海复医劳动服务有限公司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上海复旦医院管理有限公司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上海复旦医院后勤服务有限公司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上海康林仁和家庭医疗保健用品有限公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上海康复之星投资管理有限公司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上海复旦医疗产业投资有限公司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上海聚优健康管理有限公司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上海复医门诊部有限公司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上海复旦临床病理诊断中心有限公司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杭州泰福云健康科技有限公司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上海复旦绿源生物医药科技有限公司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上海复医健康管理咨询有限公司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上海复医天健医疗服务产业股份有限公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上海康林仁和家庭医疗保健用品有限公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武汉民生耳鼻喉专科医院有限公司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上海新起点康复医院有限公司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上海禾健营养食品股份有限公司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武汉民生耳鼻喉专科医院有限公司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乔治</w:t>
            </w:r>
            <w:r>
              <w:rPr>
                <w:rFonts w:ascii="Times New Roman" w:hAnsi="Times New Roman" w:cs="Times New Roman" w:eastAsia="Times New Roman" w:hint="default"/>
                <w:sz w:val="18"/>
                <w:szCs w:val="18"/>
              </w:rPr>
              <w:t>•</w:t>
            </w:r>
            <w:r>
              <w:rPr>
                <w:rFonts w:ascii="宋体" w:hAnsi="宋体" w:cs="宋体" w:eastAsia="宋体" w:hint="default"/>
                <w:sz w:val="18"/>
                <w:szCs w:val="18"/>
              </w:rPr>
              <w:t>华盛顿大学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上海领教企业管理咨询有限公司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北京商联创业管理技术开发中心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歌尔声学股份有限公司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苏州新区高新技术产业股份有限公司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上海步科自动化股份有限公司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江苏中欧投资股份有限公司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江苏公证天业会计师事务所（特殊普通合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上海欧源股权投资管理有限公司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上海复医天健医疗服务产业股份有限公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德勤管理咨询（上海）有限公司北京分公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副总监、中国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医疗咨询负 责人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北京华新博融投资咨询有限责任公司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北京同人大有投资管理有限公司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北京博维融智管理咨询有限公司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广东恒尚投资管理有限公司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北京华夏博维企业顾问有限责任公司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红安博维商贸有限公司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北京兆华合富投资管理有限公司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广州博维领导力教育科技有限公司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广州云宏信息科技股份有限公司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西安盈谷网络科技有限公司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江苏康众数字医疗设备有限公司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上海网达软件股份有限公司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湖北新农生态麻业有限公司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北京雅果科技有限公司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康达医疗器械（上海）有限公司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上海医普拉斯网络科技有限公司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云病理（上海）科技服务有限公司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未名世界资本管理（北京）有限公司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沈阳恒生商贸有限公司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辽宁满医满艾科技有限公司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right="0"/>
        <w:jc w:val="both"/>
      </w:pPr>
      <w:r>
        <w:rPr/>
        <w:t>公司现任及报告期内离任董事、监事和高级管理人员近三年证券监管机构处罚的情况</w:t>
      </w:r>
    </w:p>
    <w:p>
      <w:pPr>
        <w:spacing w:line="240" w:lineRule="auto" w:before="9"/>
        <w:rPr>
          <w:rFonts w:ascii="宋体" w:hAnsi="宋体" w:cs="宋体" w:eastAsia="宋体" w:hint="default"/>
          <w:sz w:val="17"/>
          <w:szCs w:val="17"/>
        </w:rPr>
      </w:pPr>
    </w:p>
    <w:p>
      <w:pPr>
        <w:pStyle w:val="BodyText"/>
        <w:spacing w:line="240" w:lineRule="auto" w:before="0"/>
        <w:ind w:right="0"/>
        <w:jc w:val="both"/>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before="0"/>
        <w:ind w:left="575" w:right="0" w:hanging="423"/>
        <w:jc w:val="left"/>
      </w:pPr>
      <w:r>
        <w:rPr/>
        <w:t>董事、监事、高级管理人员报酬的决策程序、确定依据、实际支付情况</w:t>
      </w:r>
      <w:r>
        <w:rPr>
          <w:w w:val="100"/>
        </w:rPr>
        <w:t> </w:t>
      </w:r>
      <w:r>
        <w:rPr>
          <w:spacing w:val="-2"/>
        </w:rPr>
        <w:t>公司第五届董事会第二十四次会议审议通过《关于第六届董事会独立董事津贴的议案》，公司第六届</w:t>
      </w:r>
    </w:p>
    <w:p>
      <w:pPr>
        <w:pStyle w:val="BodyText"/>
        <w:spacing w:line="408" w:lineRule="auto" w:before="17"/>
        <w:ind w:right="230"/>
        <w:jc w:val="both"/>
      </w:pPr>
      <w:r>
        <w:rPr>
          <w:spacing w:val="-2"/>
        </w:rPr>
        <w:t>董事会独立董事津贴为每人每年</w:t>
      </w:r>
      <w:r>
        <w:rPr>
          <w:rFonts w:ascii="宋体" w:hAnsi="宋体" w:cs="宋体" w:eastAsia="宋体" w:hint="default"/>
          <w:spacing w:val="-2"/>
        </w:rPr>
        <w:t>8</w:t>
      </w:r>
      <w:r>
        <w:rPr>
          <w:spacing w:val="-2"/>
        </w:rPr>
        <w:t>万元人民币（税前），公司承担独立董事因履行职务所产生的餐饮、住</w:t>
      </w:r>
      <w:r>
        <w:rPr>
          <w:spacing w:val="-21"/>
        </w:rPr>
        <w:t> </w:t>
      </w:r>
      <w:r>
        <w:rPr>
          <w:spacing w:val="-21"/>
        </w:rPr>
      </w:r>
      <w:r>
        <w:rPr>
          <w:spacing w:val="-2"/>
        </w:rPr>
        <w:t>宿费、差旅费等费用</w:t>
      </w:r>
      <w:r>
        <w:rPr>
          <w:rFonts w:ascii="MS Gothic" w:hAnsi="MS Gothic" w:cs="MS Gothic" w:eastAsia="MS Gothic" w:hint="default"/>
          <w:spacing w:val="-2"/>
        </w:rPr>
        <w:t>｡</w:t>
      </w:r>
      <w:r>
        <w:rPr>
          <w:spacing w:val="-2"/>
        </w:rPr>
        <w:t>报告期内，公司严格按照股东大会确定的薪酬发放标准支付董事、监事以及高级管</w:t>
      </w:r>
      <w:r>
        <w:rPr>
          <w:spacing w:val="-22"/>
        </w:rPr>
        <w:t> </w:t>
      </w:r>
      <w:r>
        <w:rPr>
          <w:spacing w:val="-22"/>
        </w:rPr>
      </w:r>
      <w:r>
        <w:rPr/>
        <w:t>理人员的报酬。</w:t>
      </w:r>
    </w:p>
    <w:p>
      <w:pPr>
        <w:pStyle w:val="BodyText"/>
        <w:spacing w:line="240" w:lineRule="auto" w:before="87"/>
        <w:ind w:right="0"/>
        <w:jc w:val="both"/>
      </w:pPr>
      <w:r>
        <w:rPr/>
        <w:t>公司报告期内董事、监事和高级管理人员报酬情况</w:t>
      </w:r>
    </w:p>
    <w:p>
      <w:pPr>
        <w:spacing w:before="17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LIAN</w:t>
            </w:r>
            <w:r>
              <w:rPr>
                <w:rFonts w:ascii="宋体" w:hAnsi="宋体" w:cs="宋体" w:eastAsia="宋体" w:hint="default"/>
                <w:sz w:val="18"/>
                <w:szCs w:val="18"/>
              </w:rPr>
              <w:t>（胡瑞连）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章滨云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职工代表监事、 总裁助理、杭州 地区总经理、市 场部总经理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高级副总裁、首 席运营官、北京 及北方区域总经 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高级副总裁、上 海及华东区域总 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高级副总裁、沈 阳及西北区域总 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原副董事长、总 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6"/>
              <w:jc w:val="left"/>
              <w:rPr>
                <w:rFonts w:ascii="Times New Roman" w:hAnsi="Times New Roman" w:cs="Times New Roman" w:eastAsia="Times New Roman" w:hint="default"/>
                <w:sz w:val="18"/>
                <w:szCs w:val="18"/>
              </w:rPr>
            </w:pPr>
            <w:r>
              <w:rPr>
                <w:rFonts w:ascii="Times New Roman"/>
                <w:spacing w:val="-3"/>
                <w:sz w:val="18"/>
              </w:rPr>
              <w:t>WANGXINGWE</w:t>
            </w:r>
            <w:r>
              <w:rPr>
                <w:rFonts w:ascii="Times New Roman"/>
                <w:spacing w:val="-42"/>
                <w:sz w:val="18"/>
              </w:rPr>
              <w:t> </w:t>
            </w:r>
            <w:r>
              <w:rPr>
                <w:rFonts w:ascii="Times New Roman"/>
                <w:spacing w:val="-42"/>
                <w:sz w:val="18"/>
              </w:rPr>
            </w:r>
            <w:r>
              <w:rPr>
                <w:rFonts w:ascii="Times New Roman"/>
                <w:sz w:val="18"/>
              </w:rPr>
              <w:t>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陶泉波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原职工代表监事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原财务负责人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徐向东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原副总经理、董 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2"/>
                <w:sz w:val="18"/>
              </w:rPr>
              <w:t>711.51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9"/>
        <w:ind w:right="0"/>
        <w:jc w:val="left"/>
      </w:pPr>
      <w:r>
        <w:rPr/>
        <w:t>公司董事、监事、高级管理人员报告期内被授予的股权激励情况</w:t>
      </w:r>
    </w:p>
    <w:p>
      <w:pPr>
        <w:spacing w:line="487" w:lineRule="auto" w:before="75"/>
        <w:ind w:left="152" w:right="65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4769"/>
        <w:gridCol w:w="4790"/>
      </w:tblGrid>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9,948</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14,005</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14,005</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3,580</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医务人员及分院保障</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7,922</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13,925</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高等教育（大专及以上）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9,027</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中等教育（中专）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初等教育</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6" w:firstLine="420"/>
        <w:jc w:val="both"/>
      </w:pPr>
      <w:r>
        <w:rPr>
          <w:spacing w:val="-3"/>
        </w:rPr>
        <w:t>报告期内，公司根据国家有关劳动法规和政策，结合公司实际情况，整体薪酬水平以市场为导向，以</w:t>
      </w:r>
      <w:r>
        <w:rPr>
          <w:w w:val="100"/>
        </w:rPr>
        <w:t> </w:t>
      </w:r>
      <w:r>
        <w:rPr>
          <w:spacing w:val="-2"/>
        </w:rPr>
        <w:t>企业经济效益为出发点，公司制定并实施《年度任职考核制度》，组织员工进行任职考核，对考核优秀人</w:t>
      </w:r>
      <w:r>
        <w:rPr>
          <w:spacing w:val="-42"/>
        </w:rPr>
        <w:t> </w:t>
      </w:r>
      <w:r>
        <w:rPr>
          <w:spacing w:val="-42"/>
        </w:rPr>
      </w:r>
      <w:r>
        <w:rPr>
          <w:spacing w:val="-2"/>
        </w:rPr>
        <w:t>员进行薪资上调，确保员工的薪酬与工作能力相匹配；建立干部梯队人才库，不定期组织管理人员竞聘考</w:t>
      </w:r>
      <w:r>
        <w:rPr>
          <w:spacing w:val="-44"/>
        </w:rPr>
        <w:t> </w:t>
      </w:r>
      <w:r>
        <w:rPr>
          <w:spacing w:val="-44"/>
        </w:rPr>
      </w:r>
      <w:r>
        <w:rPr>
          <w:spacing w:val="-2"/>
        </w:rPr>
        <w:t>核，选拔优秀的人员作为干部储备梯队培养，择优晋升，为员工提供职业发展的平台。公司按照国家规定</w:t>
      </w:r>
      <w:r>
        <w:rPr>
          <w:spacing w:val="-50"/>
        </w:rPr>
        <w:t> </w:t>
      </w:r>
      <w:r>
        <w:rPr>
          <w:spacing w:val="-50"/>
        </w:rPr>
      </w:r>
      <w:r>
        <w:rPr>
          <w:spacing w:val="-2"/>
        </w:rPr>
        <w:t>缴纳社会保险和住房公积金，在日常工作中举办各种劳动技能竞赛、文体活动、员工民主生活会等形式多</w:t>
      </w:r>
      <w:r>
        <w:rPr>
          <w:spacing w:val="-43"/>
        </w:rPr>
        <w:t> </w:t>
      </w:r>
      <w:r>
        <w:rPr>
          <w:spacing w:val="-43"/>
        </w:rPr>
      </w:r>
      <w:r>
        <w:rPr>
          <w:spacing w:val="-2"/>
        </w:rPr>
        <w:t>样的活动，丰富员工的生活，增强企业的凝聚力；发扬员工间的互助互爱精神，并设立“关爱基金”帮助</w:t>
      </w:r>
      <w:r>
        <w:rPr>
          <w:spacing w:val="-46"/>
        </w:rPr>
        <w:t> </w:t>
      </w:r>
      <w:r>
        <w:rPr>
          <w:spacing w:val="-46"/>
        </w:rPr>
      </w:r>
      <w:r>
        <w:rPr/>
        <w:t>遇到困难的员工。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6" w:firstLine="420"/>
        <w:jc w:val="both"/>
      </w:pPr>
      <w:r>
        <w:rPr>
          <w:spacing w:val="-2"/>
        </w:rPr>
        <w:t>公司根据企业经营发展需要，制定培训计划对各级管理人员、员工实施多种形式的培训，不断提高员</w:t>
      </w:r>
      <w:r>
        <w:rPr>
          <w:w w:val="100"/>
        </w:rPr>
        <w:t> </w:t>
      </w:r>
      <w:r>
        <w:rPr>
          <w:spacing w:val="-2"/>
        </w:rPr>
        <w:t>工的业务技能、管理水平和综合素质。且公司非常重视对基层员工的岗位培训，如销售人员和医务人员上</w:t>
      </w:r>
      <w:r>
        <w:rPr>
          <w:spacing w:val="-43"/>
        </w:rPr>
        <w:t> </w:t>
      </w:r>
      <w:r>
        <w:rPr>
          <w:spacing w:val="-43"/>
        </w:rPr>
      </w:r>
      <w:r>
        <w:rPr>
          <w:spacing w:val="-2"/>
        </w:rPr>
        <w:t>岗前须经过岗前培训并完成考核。公司采用理论实践相结合的方式对员工进行评估，为企业培养优秀的人</w:t>
      </w:r>
      <w:r>
        <w:rPr>
          <w:spacing w:val="-44"/>
        </w:rPr>
        <w:t> </w:t>
      </w:r>
      <w:r>
        <w:rPr>
          <w:spacing w:val="-44"/>
        </w:rPr>
      </w:r>
      <w:r>
        <w:rPr/>
        <w:t>才和一流的团队。</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0"/>
          <w:pgSz w:w="11910" w:h="16840"/>
          <w:pgMar w:footer="979" w:header="745" w:top="1060" w:bottom="1160" w:left="980" w:right="98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8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2"/>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6" w:firstLine="458"/>
        <w:jc w:val="both"/>
      </w:pPr>
      <w:r>
        <w:rPr>
          <w:spacing w:val="-3"/>
        </w:rPr>
        <w:t>报告期内，公司严格按照《中华人民共和国公司法》、《中华人民共和国证券法》、《上市公司治理</w:t>
      </w:r>
      <w:r>
        <w:rPr>
          <w:w w:val="100"/>
        </w:rPr>
        <w:t> </w:t>
      </w:r>
      <w:r>
        <w:rPr>
          <w:spacing w:val="-2"/>
        </w:rPr>
        <w:t>准则》、《深圳证券交易所股票上市规则》和《深圳证券交易所中小企业板上市公司规范运作指引》等法</w:t>
      </w:r>
      <w:r>
        <w:rPr>
          <w:spacing w:val="-42"/>
        </w:rPr>
        <w:t> </w:t>
      </w:r>
      <w:r>
        <w:rPr>
          <w:spacing w:val="-42"/>
        </w:rPr>
      </w:r>
      <w:r>
        <w:rPr>
          <w:spacing w:val="-2"/>
        </w:rPr>
        <w:t>律法规和规范性文件的要求，不断完善公司法人治理结构，进一步建立、健全内部管理和控制制度，强化</w:t>
      </w:r>
      <w:r>
        <w:rPr>
          <w:spacing w:val="-47"/>
        </w:rPr>
        <w:t> </w:t>
      </w:r>
      <w:r>
        <w:rPr>
          <w:spacing w:val="-47"/>
        </w:rPr>
      </w:r>
      <w:r>
        <w:rPr>
          <w:spacing w:val="-7"/>
        </w:rPr>
        <w:t>规范运作程序，提高信息披露质量，不断提升公司治理水平。截至报告期末，公司治理的实际状况符合《公</w:t>
      </w:r>
      <w:r>
        <w:rPr>
          <w:spacing w:val="-20"/>
        </w:rPr>
        <w:t> </w:t>
      </w:r>
      <w:r>
        <w:rPr>
          <w:spacing w:val="-20"/>
        </w:rPr>
      </w:r>
      <w:r>
        <w:rPr>
          <w:spacing w:val="-2"/>
        </w:rPr>
        <w:t>司法》、证监会及深交所有关上市公司治理的法律法规及规范性文件的要求，未收到被监管部门采取行政</w:t>
      </w:r>
      <w:r>
        <w:rPr>
          <w:spacing w:val="-44"/>
        </w:rPr>
        <w:t> </w:t>
      </w:r>
      <w:r>
        <w:rPr>
          <w:spacing w:val="-44"/>
        </w:rPr>
      </w:r>
      <w:r>
        <w:rPr/>
        <w:t>监管措施的有关文件。</w:t>
      </w:r>
    </w:p>
    <w:p>
      <w:pPr>
        <w:pStyle w:val="BodyText"/>
        <w:spacing w:line="408" w:lineRule="auto"/>
        <w:ind w:right="92" w:firstLine="422"/>
        <w:jc w:val="left"/>
      </w:pPr>
      <w:r>
        <w:rPr>
          <w:rFonts w:ascii="宋体" w:hAnsi="宋体" w:cs="宋体" w:eastAsia="宋体" w:hint="default"/>
        </w:rPr>
        <w:t>1</w:t>
      </w:r>
      <w:r>
        <w:rPr/>
        <w:t>、关于股东与股东大会：公司严格按照《上市公司股东大会规则》、《公司章程》和《公司股东大</w:t>
      </w:r>
      <w:r>
        <w:rPr>
          <w:w w:val="100"/>
        </w:rPr>
        <w:t> </w:t>
      </w:r>
      <w:r>
        <w:rPr>
          <w:spacing w:val="-2"/>
        </w:rPr>
        <w:t>会议事规则》等的规定和要求，召集、召开股东大会，能够确保全体股东特别是中小股东享有平等地位，</w:t>
      </w:r>
      <w:r>
        <w:rPr>
          <w:spacing w:val="-21"/>
        </w:rPr>
        <w:t> </w:t>
      </w:r>
      <w:r>
        <w:rPr>
          <w:spacing w:val="-21"/>
        </w:rPr>
      </w:r>
      <w:r>
        <w:rPr/>
        <w:t>充分行使自己的权力。</w:t>
      </w:r>
    </w:p>
    <w:p>
      <w:pPr>
        <w:pStyle w:val="BodyText"/>
        <w:spacing w:line="408" w:lineRule="auto"/>
        <w:ind w:right="92" w:firstLine="422"/>
        <w:jc w:val="left"/>
      </w:pPr>
      <w:r>
        <w:rPr>
          <w:rFonts w:ascii="宋体" w:hAnsi="宋体" w:cs="宋体" w:eastAsia="宋体" w:hint="default"/>
        </w:rPr>
        <w:t>2</w:t>
      </w:r>
      <w:r>
        <w:rPr/>
        <w:t>、关于公司与控股股东：公司拥有独立的业务和经营自主能力，在业务、人员、资产、机构、财务</w:t>
      </w:r>
      <w:r>
        <w:rPr>
          <w:w w:val="100"/>
        </w:rPr>
        <w:t> </w:t>
      </w:r>
      <w:r>
        <w:rPr>
          <w:spacing w:val="-2"/>
        </w:rPr>
        <w:t>上独立于控股股东，公司董事会、监事会和内部机构独立运作。公司控股股东能严格规范自己的行为，没</w:t>
      </w:r>
      <w:r>
        <w:rPr>
          <w:spacing w:val="-47"/>
        </w:rPr>
        <w:t> </w:t>
      </w:r>
      <w:r>
        <w:rPr>
          <w:spacing w:val="-47"/>
        </w:rPr>
      </w:r>
      <w:r>
        <w:rPr/>
        <w:t>有超越公司股东大会直接或间接干预公司的决策和经营活动的行为。</w:t>
      </w:r>
    </w:p>
    <w:p>
      <w:pPr>
        <w:pStyle w:val="BodyText"/>
        <w:spacing w:line="408" w:lineRule="auto"/>
        <w:ind w:right="92" w:firstLine="422"/>
        <w:jc w:val="left"/>
      </w:pPr>
      <w:r>
        <w:rPr>
          <w:rFonts w:ascii="宋体" w:hAnsi="宋体" w:cs="宋体" w:eastAsia="宋体" w:hint="default"/>
        </w:rPr>
        <w:t>3</w:t>
      </w:r>
      <w:r>
        <w:rPr/>
        <w:t>、关于董事与董事会：公司严格按照《公司章程》规定的选聘程序选举董事；公司目前有独立董事</w:t>
      </w:r>
      <w:r>
        <w:rPr>
          <w:w w:val="100"/>
        </w:rPr>
        <w:t> </w:t>
      </w:r>
      <w:r>
        <w:rPr>
          <w:spacing w:val="-2"/>
        </w:rPr>
        <w:t>四名，占全体董事的三分之一以上，董事会的人数及人员构成符合法律法规和《公司章程》的要求。公司</w:t>
      </w:r>
      <w:r>
        <w:rPr>
          <w:spacing w:val="-43"/>
        </w:rPr>
        <w:t> </w:t>
      </w:r>
      <w:r>
        <w:rPr>
          <w:spacing w:val="-43"/>
        </w:rPr>
      </w:r>
      <w:r>
        <w:rPr>
          <w:spacing w:val="-2"/>
        </w:rPr>
        <w:t>全体董事能够依据《董事会议事规则》、《独立董事年报工作制度》、《中小企业板块上市公司董事行为</w:t>
      </w:r>
      <w:r>
        <w:rPr>
          <w:spacing w:val="-43"/>
        </w:rPr>
        <w:t> </w:t>
      </w:r>
      <w:r>
        <w:rPr>
          <w:spacing w:val="-43"/>
        </w:rPr>
      </w:r>
      <w:r>
        <w:rPr/>
        <w:t>指引》等开展工作，认真出席董事会和股东大会，积极参加相关知识的培训，熟悉有关法律法规。</w:t>
      </w:r>
    </w:p>
    <w:p>
      <w:pPr>
        <w:pStyle w:val="BodyText"/>
        <w:spacing w:line="408" w:lineRule="auto"/>
        <w:ind w:right="92" w:firstLine="422"/>
        <w:jc w:val="left"/>
      </w:pPr>
      <w:r>
        <w:rPr>
          <w:rFonts w:ascii="宋体" w:hAnsi="宋体" w:cs="宋体" w:eastAsia="宋体" w:hint="default"/>
        </w:rPr>
        <w:t>4</w:t>
      </w:r>
      <w:r>
        <w:rPr/>
        <w:t>、关于监事与监事会：公司严格按照《公司法》、《公司章程》等的有关规定产生监事，公司监事</w:t>
      </w:r>
      <w:r>
        <w:rPr>
          <w:w w:val="100"/>
        </w:rPr>
        <w:t> </w:t>
      </w:r>
      <w:r>
        <w:rPr>
          <w:spacing w:val="-2"/>
        </w:rPr>
        <w:t>会由三名监事组成，其中职工代表监事一名，占全体监事的三分之一。监事会的人数及构成符合法律、法</w:t>
      </w:r>
      <w:r>
        <w:rPr>
          <w:spacing w:val="-47"/>
        </w:rPr>
        <w:t> </w:t>
      </w:r>
      <w:r>
        <w:rPr>
          <w:spacing w:val="-47"/>
        </w:rPr>
      </w:r>
      <w:r>
        <w:rPr>
          <w:spacing w:val="-2"/>
        </w:rPr>
        <w:t>规的要求。公司监事能够按照《监事会议事规则》等的要求，认真履行自己的职责，对公司重大事项、关</w:t>
      </w:r>
      <w:r>
        <w:rPr>
          <w:spacing w:val="-45"/>
        </w:rPr>
        <w:t> </w:t>
      </w:r>
      <w:r>
        <w:rPr>
          <w:spacing w:val="-45"/>
        </w:rPr>
      </w:r>
      <w:r>
        <w:rPr/>
        <w:t>联交易、财务状况、董事和经理的履职情况等进行有效监督并发表独立意见。</w:t>
      </w:r>
    </w:p>
    <w:p>
      <w:pPr>
        <w:pStyle w:val="BodyText"/>
        <w:spacing w:line="408" w:lineRule="auto"/>
        <w:ind w:right="92" w:firstLine="422"/>
        <w:jc w:val="left"/>
      </w:pPr>
      <w:r>
        <w:rPr>
          <w:rFonts w:ascii="宋体" w:hAnsi="宋体" w:cs="宋体" w:eastAsia="宋体" w:hint="default"/>
          <w:spacing w:val="-2"/>
        </w:rPr>
        <w:t>5</w:t>
      </w:r>
      <w:r>
        <w:rPr>
          <w:spacing w:val="-2"/>
        </w:rPr>
        <w:t>、关于绩效评价和激励约束机制：公司已建立企业绩效评价激励体系，经营者的收入与企业经营业</w:t>
      </w:r>
      <w:r>
        <w:rPr>
          <w:w w:val="100"/>
        </w:rPr>
        <w:t> </w:t>
      </w:r>
      <w:r>
        <w:rPr/>
        <w:t>绩挂钩，高级管理人员的聘任公开、透明，符合法律、法规的规定。</w:t>
      </w:r>
    </w:p>
    <w:p>
      <w:pPr>
        <w:pStyle w:val="BodyText"/>
        <w:spacing w:line="408" w:lineRule="auto"/>
        <w:ind w:right="92" w:firstLine="422"/>
        <w:jc w:val="left"/>
      </w:pPr>
      <w:r>
        <w:rPr>
          <w:rFonts w:ascii="宋体" w:hAnsi="宋体" w:cs="宋体" w:eastAsia="宋体" w:hint="default"/>
          <w:spacing w:val="-2"/>
        </w:rPr>
        <w:t>6</w:t>
      </w:r>
      <w:r>
        <w:rPr>
          <w:spacing w:val="-2"/>
        </w:rPr>
        <w:t>、关于相关利益者：公司充分尊重和维护相关利益者的合法权益，实现社会、股东、公司、员工等</w:t>
      </w:r>
      <w:r>
        <w:rPr>
          <w:w w:val="100"/>
        </w:rPr>
        <w:t> </w:t>
      </w:r>
      <w:r>
        <w:rPr/>
        <w:t>各方利益的协调平衡，共同推动公司持续、稳健发展。</w:t>
      </w:r>
    </w:p>
    <w:p>
      <w:pPr>
        <w:pStyle w:val="BodyText"/>
        <w:spacing w:line="240" w:lineRule="auto"/>
        <w:ind w:left="575" w:right="92"/>
        <w:jc w:val="left"/>
      </w:pPr>
      <w:r>
        <w:rPr>
          <w:rFonts w:ascii="宋体" w:hAnsi="宋体" w:cs="宋体" w:eastAsia="宋体" w:hint="default"/>
          <w:spacing w:val="-3"/>
        </w:rPr>
        <w:t>7</w:t>
      </w:r>
      <w:r>
        <w:rPr>
          <w:spacing w:val="-3"/>
        </w:rPr>
        <w:t>、关于信息披露与透明度：公司严格按照有关法律法规的规定和《信息披露事务管理制度》的规定，</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92"/>
        <w:jc w:val="left"/>
      </w:pPr>
      <w:r>
        <w:rPr/>
        <w:t>加强信息披露事务管理，履行信息披露义务，并指定《证券时报》、《上海证券报》和巨潮资讯网</w:t>
      </w:r>
    </w:p>
    <w:p>
      <w:pPr>
        <w:spacing w:line="240" w:lineRule="auto" w:before="10"/>
        <w:rPr>
          <w:rFonts w:ascii="宋体" w:hAnsi="宋体" w:cs="宋体" w:eastAsia="宋体" w:hint="default"/>
          <w:sz w:val="14"/>
          <w:szCs w:val="14"/>
        </w:rPr>
      </w:pPr>
    </w:p>
    <w:p>
      <w:pPr>
        <w:pStyle w:val="BodyText"/>
        <w:spacing w:line="408" w:lineRule="auto" w:before="0"/>
        <w:ind w:right="92"/>
        <w:jc w:val="left"/>
      </w:pPr>
      <w:r>
        <w:rPr>
          <w:spacing w:val="-2"/>
        </w:rPr>
        <w:t>（</w:t>
      </w:r>
      <w:hyperlink r:id="rId12">
        <w:r>
          <w:rPr>
            <w:rFonts w:ascii="宋体" w:hAnsi="宋体" w:cs="宋体" w:eastAsia="宋体" w:hint="default"/>
            <w:spacing w:val="-2"/>
          </w:rPr>
          <w:t>www.cninfo.com.cn</w:t>
        </w:r>
      </w:hyperlink>
      <w:r>
        <w:rPr>
          <w:spacing w:val="-2"/>
        </w:rPr>
        <w:t>）为公司信息披露的报纸和网站，真实、准确、及时、完整地披露信息，确保所有</w:t>
      </w:r>
      <w:r>
        <w:rPr>
          <w:spacing w:val="-7"/>
        </w:rPr>
        <w:t> </w:t>
      </w:r>
      <w:r>
        <w:rPr>
          <w:spacing w:val="-7"/>
        </w:rPr>
      </w:r>
      <w:r>
        <w:rPr/>
        <w:t>投资者公平获取公司信息。</w:t>
      </w:r>
    </w:p>
    <w:p>
      <w:pPr>
        <w:pStyle w:val="BodyText"/>
        <w:spacing w:line="420" w:lineRule="auto" w:before="87"/>
        <w:ind w:right="92" w:firstLine="422"/>
        <w:jc w:val="left"/>
      </w:pPr>
      <w:r>
        <w:rPr>
          <w:rFonts w:ascii="宋体" w:hAnsi="宋体" w:cs="宋体" w:eastAsia="宋体" w:hint="default"/>
          <w:spacing w:val="-3"/>
        </w:rPr>
        <w:t>8</w:t>
      </w:r>
      <w:r>
        <w:rPr>
          <w:spacing w:val="-3"/>
        </w:rPr>
        <w:t>、关于内部审计：</w:t>
      </w:r>
      <w:r>
        <w:rPr>
          <w:spacing w:val="-10"/>
        </w:rPr>
        <w:t> </w:t>
      </w:r>
      <w:r>
        <w:rPr/>
        <w:t>公司设立了内部审计机构，内审负责人和内审人员在董事会审计委员会的领导下</w:t>
      </w:r>
      <w:r>
        <w:rPr>
          <w:w w:val="100"/>
        </w:rPr>
        <w:t> </w:t>
      </w:r>
      <w:r>
        <w:rPr/>
        <w:t>对公司的内部控制、项目运行及财务状况等进行审计和监督。加强了公司内部监督和风险控制</w:t>
      </w:r>
      <w:r>
        <w:rPr>
          <w:rFonts w:ascii="宋体" w:hAnsi="宋体" w:cs="宋体" w:eastAsia="宋体" w:hint="default"/>
        </w:rPr>
        <w:t>,</w:t>
      </w:r>
      <w:r>
        <w:rPr/>
        <w:t>保障了公</w:t>
      </w:r>
      <w:r>
        <w:rPr>
          <w:spacing w:val="-20"/>
        </w:rPr>
        <w:t> </w:t>
      </w:r>
      <w:r>
        <w:rPr>
          <w:spacing w:val="-20"/>
        </w:rPr>
      </w:r>
      <w:r>
        <w:rPr>
          <w:spacing w:val="-5"/>
        </w:rPr>
        <w:t>司财务管理、会计核算和生产经营等符合国家各项法律法规要求，维护了包括中小投资者股东的合法权益。</w:t>
      </w:r>
      <w:r>
        <w:rPr>
          <w:spacing w:val="-8"/>
        </w:rPr>
        <w:t> </w:t>
      </w:r>
      <w:r>
        <w:rPr>
          <w:spacing w:val="-8"/>
        </w:rPr>
      </w:r>
      <w:r>
        <w:rPr/>
        <w:t>公司治理的实际状况与中国证监会发布的有关上市公司治理的规范性文件是否存在重大差异</w:t>
      </w:r>
    </w:p>
    <w:p>
      <w:pPr>
        <w:pStyle w:val="BodyText"/>
        <w:spacing w:line="444" w:lineRule="auto" w:before="77"/>
        <w:ind w:right="537"/>
        <w:jc w:val="left"/>
      </w:pPr>
      <w:r>
        <w:rPr/>
        <w:t>□ 是 √ 否</w:t>
      </w:r>
      <w:r>
        <w:rPr>
          <w:spacing w:val="-104"/>
        </w:rPr>
        <w:t> </w:t>
      </w:r>
      <w:r>
        <w:rPr>
          <w:spacing w:val="-104"/>
        </w:rPr>
      </w:r>
      <w:r>
        <w:rPr>
          <w:spacing w:val="-2"/>
        </w:rPr>
        <w:t>公司治理的实际状况与中国证监会发布的有关上市公司治理的规范性文件不存在重大差异。</w:t>
      </w:r>
    </w:p>
    <w:p>
      <w:pPr>
        <w:spacing w:line="240" w:lineRule="auto" w:before="1"/>
        <w:rPr>
          <w:rFonts w:ascii="宋体" w:hAnsi="宋体" w:cs="宋体" w:eastAsia="宋体" w:hint="default"/>
          <w:sz w:val="16"/>
          <w:szCs w:val="16"/>
        </w:rPr>
      </w:pPr>
    </w:p>
    <w:p>
      <w:pPr>
        <w:pStyle w:val="Heading2"/>
        <w:spacing w:line="240" w:lineRule="auto"/>
        <w:ind w:right="92"/>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2" w:firstLine="420"/>
        <w:jc w:val="left"/>
      </w:pPr>
      <w:r>
        <w:rPr/>
        <w:t>公司严格按照《上市公司治理准则》、《深圳证券交易所中小板上市公司规范运作指引》等有关法律</w:t>
      </w:r>
      <w:r>
        <w:rPr>
          <w:w w:val="100"/>
        </w:rPr>
        <w:t> </w:t>
      </w:r>
      <w:r>
        <w:rPr>
          <w:spacing w:val="-2"/>
        </w:rPr>
        <w:t>法规的要求，与控股股东在资产、人员、财务、机构、业务等方面分离，确保公司作为独立法人的自主经</w:t>
      </w:r>
      <w:r>
        <w:rPr>
          <w:spacing w:val="-42"/>
        </w:rPr>
        <w:t> </w:t>
      </w:r>
      <w:r>
        <w:rPr>
          <w:spacing w:val="-42"/>
        </w:rPr>
      </w:r>
      <w:r>
        <w:rPr>
          <w:spacing w:val="-5"/>
        </w:rPr>
        <w:t>营能力和独立业务。公司董事会、监事会和内部机构能够独立运作。公司控股股东能严格规范自己的行为， </w:t>
      </w:r>
      <w:r>
        <w:rPr>
          <w:spacing w:val="-5"/>
        </w:rPr>
        <w:t>并承担相应义务，善意行使控制权，没有超越公司股东大会直接或间接干预公司的决策和经营活动的行为， </w:t>
      </w:r>
      <w:r>
        <w:rPr/>
        <w:t>也没有损害公司及中小股东合法权益的行为。报告期内，不存在控股股东非经营性占用公司资金的现象，</w:t>
      </w:r>
      <w:r>
        <w:rPr>
          <w:w w:val="100"/>
        </w:rPr>
        <w:t> </w:t>
      </w:r>
      <w:r>
        <w:rPr/>
        <w:t>公司亦不存在为控股股东提供担保的情形。</w:t>
      </w:r>
    </w:p>
    <w:p>
      <w:pPr>
        <w:spacing w:line="240" w:lineRule="auto" w:before="8"/>
        <w:rPr>
          <w:rFonts w:ascii="宋体" w:hAnsi="宋体" w:cs="宋体" w:eastAsia="宋体" w:hint="default"/>
          <w:sz w:val="18"/>
          <w:szCs w:val="18"/>
        </w:rPr>
      </w:pPr>
    </w:p>
    <w:p>
      <w:pPr>
        <w:pStyle w:val="Heading2"/>
        <w:spacing w:line="240" w:lineRule="auto"/>
        <w:ind w:right="92"/>
        <w:jc w:val="left"/>
        <w:rPr>
          <w:b w:val="0"/>
          <w:bCs w:val="0"/>
        </w:rPr>
      </w:pPr>
      <w:r>
        <w:rPr/>
        <w:t>三、同业竞争情况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92"/>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624" w:lineRule="exact"/>
        <w:ind w:left="815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77.1pt;height:31.2pt;mso-position-horizontal-relative:char;mso-position-vertical-relative:line" coordorigin="0,0" coordsize="1542,624">
            <v:group style="position:absolute;left:0;top:0;width:1542;height:312" coordorigin="0,0" coordsize="1542,312">
              <v:shape style="position:absolute;left:0;top:0;width:1542;height:312" coordorigin="0,0" coordsize="1542,312" path="m0,312l1541,312,1541,0,0,0,0,312xe" filled="true" fillcolor="#ffffff" stroked="false">
                <v:path arrowok="t"/>
                <v:fill type="solid"/>
              </v:shape>
            </v:group>
            <v:group style="position:absolute;left:0;top:312;width:1542;height:312" coordorigin="0,312" coordsize="1542,312">
              <v:shape style="position:absolute;left:0;top:312;width:1542;height:312" coordorigin="0,312" coordsize="1542,312" path="m0,624l1541,624,1541,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0" w:right="231" w:firstLine="0"/>
        <w:jc w:val="right"/>
        <w:rPr>
          <w:rFonts w:ascii="宋体" w:hAnsi="宋体" w:cs="宋体" w:eastAsia="宋体" w:hint="default"/>
          <w:sz w:val="18"/>
          <w:szCs w:val="18"/>
        </w:rPr>
      </w:pPr>
      <w:r>
        <w:rPr/>
        <w:pict>
          <v:shape style="position:absolute;margin-left:56.400002pt;margin-top:-208.078262pt;width:479.15pt;height:228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6"/>
                    <w:gridCol w:w="1606"/>
                    <w:gridCol w:w="1591"/>
                    <w:gridCol w:w="1585"/>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1" w:right="72" w:hanging="632"/>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383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上海天亿投资（集 团）有限公司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68"/>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 上海天亿投资（集 </w:t>
                        </w:r>
                        <w:r>
                          <w:rPr>
                            <w:rFonts w:ascii="宋体" w:hAnsi="宋体" w:cs="宋体" w:eastAsia="宋体" w:hint="default"/>
                            <w:spacing w:val="-10"/>
                            <w:sz w:val="18"/>
                            <w:szCs w:val="18"/>
                          </w:rPr>
                          <w:t>团）有限公司控股子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公司上海天亿资产 管理有限公司受让 鹰潭健之康业投资 </w:t>
                        </w:r>
                        <w:r>
                          <w:rPr>
                            <w:rFonts w:ascii="宋体" w:hAnsi="宋体" w:cs="宋体" w:eastAsia="宋体" w:hint="default"/>
                            <w:spacing w:val="-10"/>
                            <w:sz w:val="18"/>
                            <w:szCs w:val="18"/>
                          </w:rPr>
                          <w:t>咨询有限公司、北京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鼎晖创业投资中心</w:t>
                        </w:r>
                      </w:p>
                      <w:p>
                        <w:pPr>
                          <w:pStyle w:val="TableParagraph"/>
                          <w:spacing w:line="312" w:lineRule="auto" w:before="20"/>
                          <w:ind w:left="23" w:right="74"/>
                          <w:jc w:val="both"/>
                          <w:rPr>
                            <w:rFonts w:ascii="宋体" w:hAnsi="宋体" w:cs="宋体" w:eastAsia="宋体" w:hint="default"/>
                            <w:sz w:val="18"/>
                            <w:szCs w:val="18"/>
                          </w:rPr>
                        </w:pPr>
                        <w:r>
                          <w:rPr>
                            <w:rFonts w:ascii="宋体" w:hAnsi="宋体" w:cs="宋体" w:eastAsia="宋体" w:hint="default"/>
                            <w:sz w:val="18"/>
                            <w:szCs w:val="18"/>
                          </w:rPr>
                          <w:t>（有限合伙）等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名股东持有的慈铭 健康体检管理集团 股份有限公司</w:t>
                        </w:r>
                      </w:p>
                    </w:tc>
                    <w:tc>
                      <w:tcPr>
                        <w:tcW w:w="1591"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 w:right="19"/>
                          <w:jc w:val="left"/>
                          <w:rPr>
                            <w:rFonts w:ascii="宋体" w:hAnsi="宋体" w:cs="宋体" w:eastAsia="宋体" w:hint="default"/>
                            <w:sz w:val="18"/>
                            <w:szCs w:val="18"/>
                          </w:rPr>
                        </w:pPr>
                        <w:r>
                          <w:rPr>
                            <w:rFonts w:ascii="宋体" w:hAnsi="宋体" w:cs="宋体" w:eastAsia="宋体" w:hint="default"/>
                            <w:sz w:val="18"/>
                            <w:szCs w:val="18"/>
                          </w:rPr>
                          <w:t>上海天亿资产管理 有限公司承诺在其 受让慈铭健康体检 管理集团股份有限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68.40%</w:t>
                        </w:r>
                        <w:r>
                          <w:rPr>
                            <w:rFonts w:ascii="宋体" w:hAnsi="宋体" w:cs="宋体" w:eastAsia="宋体" w:hint="default"/>
                            <w:sz w:val="18"/>
                            <w:szCs w:val="18"/>
                          </w:rPr>
                          <w:t>的股份 的交割之日起的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个月内，将其所持的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股份注入上市公司 并严格履行该等资 产注入所需的各项 法定程序。</w:t>
                        </w:r>
                      </w:p>
                    </w:tc>
                    <w:tc>
                      <w:tcPr>
                        <w:tcW w:w="1585" w:type="dxa"/>
                        <w:tcBorders>
                          <w:top w:val="single" w:sz="4" w:space="0" w:color="000000"/>
                          <w:left w:val="single" w:sz="13" w:space="0" w:color="FFFFFF"/>
                          <w:bottom w:val="single" w:sz="4" w:space="0" w:color="000000"/>
                          <w:right w:val="single" w:sz="4" w:space="0" w:color="000000"/>
                        </w:tcBorders>
                      </w:tcPr>
                      <w:p>
                        <w:pPr>
                          <w:pStyle w:val="TableParagraph"/>
                          <w:spacing w:line="312" w:lineRule="exact" w:before="9"/>
                          <w:ind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公司召开第六届董 </w:t>
                        </w:r>
                        <w:r>
                          <w:rPr>
                            <w:rFonts w:ascii="宋体" w:hAnsi="宋体" w:cs="宋体" w:eastAsia="宋体" w:hint="default"/>
                            <w:spacing w:val="-10"/>
                            <w:sz w:val="18"/>
                            <w:szCs w:val="18"/>
                          </w:rPr>
                          <w:t>事会第九次会议，审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议通过《关于公司发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行股份购买资产并 募集配套资金暨关 </w:t>
                        </w:r>
                        <w:r>
                          <w:rPr>
                            <w:rFonts w:ascii="宋体" w:hAnsi="宋体" w:cs="宋体" w:eastAsia="宋体" w:hint="default"/>
                            <w:spacing w:val="-11"/>
                            <w:sz w:val="18"/>
                            <w:szCs w:val="18"/>
                          </w:rPr>
                          <w:t>联交易的议案》。公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司及有关各方正在</w:t>
                        </w:r>
                      </w:p>
                      <w:p>
                        <w:pPr>
                          <w:pStyle w:val="TableParagraph"/>
                          <w:spacing w:line="79"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积极推进本次重大</w:t>
                        </w:r>
                      </w:p>
                      <w:p>
                        <w:pPr>
                          <w:pStyle w:val="TableParagraph"/>
                          <w:spacing w:line="316" w:lineRule="auto" w:before="77"/>
                          <w:ind w:right="22"/>
                          <w:jc w:val="left"/>
                          <w:rPr>
                            <w:rFonts w:ascii="宋体" w:hAnsi="宋体" w:cs="宋体" w:eastAsia="宋体" w:hint="default"/>
                            <w:sz w:val="18"/>
                            <w:szCs w:val="18"/>
                          </w:rPr>
                        </w:pPr>
                        <w:r>
                          <w:rPr>
                            <w:rFonts w:ascii="宋体" w:hAnsi="宋体" w:cs="宋体" w:eastAsia="宋体" w:hint="default"/>
                            <w:sz w:val="18"/>
                            <w:szCs w:val="18"/>
                          </w:rPr>
                          <w:t>资产重组的各项工 </w:t>
                        </w:r>
                        <w:r>
                          <w:rPr>
                            <w:rFonts w:ascii="宋体" w:hAnsi="宋体" w:cs="宋体" w:eastAsia="宋体" w:hint="default"/>
                            <w:spacing w:val="-10"/>
                            <w:sz w:val="18"/>
                            <w:szCs w:val="18"/>
                          </w:rPr>
                          <w:t>作，相关中介机构现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场工作已基本完成</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6"/>
        <w:gridCol w:w="1594"/>
        <w:gridCol w:w="1591"/>
        <w:gridCol w:w="1597"/>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68.40%</w:t>
            </w:r>
            <w:r>
              <w:rPr>
                <w:rFonts w:ascii="宋体" w:hAnsi="宋体" w:cs="宋体" w:eastAsia="宋体" w:hint="default"/>
                <w:sz w:val="18"/>
                <w:szCs w:val="18"/>
              </w:rPr>
              <w:t>股份。</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6"/>
          <w:szCs w:val="26"/>
        </w:rPr>
      </w:pPr>
    </w:p>
    <w:p>
      <w:pPr>
        <w:tabs>
          <w:tab w:pos="2185" w:val="left" w:leader="none"/>
          <w:tab w:pos="3511" w:val="left" w:leader="none"/>
          <w:tab w:pos="5373" w:val="left" w:leader="none"/>
          <w:tab w:pos="6970" w:val="left" w:leader="none"/>
          <w:tab w:pos="8564" w:val="left" w:leader="none"/>
        </w:tabs>
        <w:spacing w:before="44"/>
        <w:ind w:left="592" w:right="0" w:firstLine="0"/>
        <w:jc w:val="left"/>
        <w:rPr>
          <w:rFonts w:ascii="宋体" w:hAnsi="宋体" w:cs="宋体" w:eastAsia="宋体" w:hint="default"/>
          <w:sz w:val="18"/>
          <w:szCs w:val="18"/>
        </w:rPr>
      </w:pPr>
      <w:r>
        <w:rPr/>
        <w:pict>
          <v:group style="position:absolute;margin-left:56.400002pt;margin-top:-.968323pt;width:478.9pt;height:598.7pt;mso-position-horizontal-relative:page;mso-position-vertical-relative:paragraph;z-index:-1400512" coordorigin="1128,-19" coordsize="9578,11974">
            <v:group style="position:absolute;left:1151;top:-5;width:2;height:394" coordorigin="1151,-5" coordsize="2,394">
              <v:shape style="position:absolute;left:1151;top:-5;width:2;height:394" coordorigin="1151,-5" coordsize="0,394" path="m1151,-5l1151,389e" filled="false" stroked="true" strokeweight="1.08pt" strokecolor="#d2d2d2">
                <v:path arrowok="t"/>
              </v:shape>
            </v:group>
            <v:group style="position:absolute;left:2714;top:-5;width:2;height:394" coordorigin="2714,-5" coordsize="2,394">
              <v:shape style="position:absolute;left:2714;top:-5;width:2;height:394" coordorigin="2714,-5" coordsize="0,394" path="m2714,-5l2714,389e" filled="false" stroked="true" strokeweight="1.08pt" strokecolor="#d2d2d2">
                <v:path arrowok="t"/>
              </v:shape>
            </v:group>
            <v:group style="position:absolute;left:1162;top:-5;width:1542;height:394" coordorigin="1162,-5" coordsize="1542,394">
              <v:shape style="position:absolute;left:1162;top:-5;width:1542;height:394" coordorigin="1162,-5" coordsize="1542,394" path="m1162,389l2703,389,2703,-5,1162,-5,1162,389xe" filled="true" fillcolor="#d2d2d2" stroked="false">
                <v:path arrowok="t"/>
                <v:fill type="solid"/>
              </v:shape>
            </v:group>
            <v:group style="position:absolute;left:2747;top:-5;width:2;height:394" coordorigin="2747,-5" coordsize="2,394">
              <v:shape style="position:absolute;left:2747;top:-5;width:2;height:394" coordorigin="2747,-5" coordsize="0,394" path="m2747,-5l2747,389e" filled="false" stroked="true" strokeweight="1.08pt" strokecolor="#d2d2d2">
                <v:path arrowok="t"/>
              </v:shape>
            </v:group>
            <v:group style="position:absolute;left:4309;top:-5;width:2;height:394" coordorigin="4309,-5" coordsize="2,394">
              <v:shape style="position:absolute;left:4309;top:-5;width:2;height:394" coordorigin="4309,-5" coordsize="0,394" path="m4309,-5l4309,389e" filled="false" stroked="true" strokeweight="1.2pt" strokecolor="#d2d2d2">
                <v:path arrowok="t"/>
              </v:shape>
            </v:group>
            <v:group style="position:absolute;left:2758;top:-5;width:1539;height:394" coordorigin="2758,-5" coordsize="1539,394">
              <v:shape style="position:absolute;left:2758;top:-5;width:1539;height:394" coordorigin="2758,-5" coordsize="1539,394" path="m2758,389l4297,389,4297,-5,2758,-5,2758,389xe" filled="true" fillcolor="#d2d2d2" stroked="false">
                <v:path arrowok="t"/>
                <v:fill type="solid"/>
              </v:shape>
            </v:group>
            <v:group style="position:absolute;left:4341;top:-5;width:2;height:394" coordorigin="4341,-5" coordsize="2,394">
              <v:shape style="position:absolute;left:4341;top:-5;width:2;height:394" coordorigin="4341,-5" coordsize="0,394" path="m4341,-5l4341,389e" filled="false" stroked="true" strokeweight="1.08pt" strokecolor="#d2d2d2">
                <v:path arrowok="t"/>
              </v:shape>
            </v:group>
            <v:group style="position:absolute;left:5903;top:-5;width:2;height:394" coordorigin="5903,-5" coordsize="2,394">
              <v:shape style="position:absolute;left:5903;top:-5;width:2;height:394" coordorigin="5903,-5" coordsize="0,394" path="m5903,-5l5903,389e" filled="false" stroked="true" strokeweight="1.2pt" strokecolor="#d2d2d2">
                <v:path arrowok="t"/>
              </v:shape>
            </v:group>
            <v:group style="position:absolute;left:4352;top:-5;width:1539;height:394" coordorigin="4352,-5" coordsize="1539,394">
              <v:shape style="position:absolute;left:4352;top:-5;width:1539;height:394" coordorigin="4352,-5" coordsize="1539,394" path="m4352,389l5891,389,5891,-5,4352,-5,4352,389xe" filled="true" fillcolor="#d2d2d2" stroked="false">
                <v:path arrowok="t"/>
                <v:fill type="solid"/>
              </v:shape>
            </v:group>
            <v:group style="position:absolute;left:5935;top:-5;width:2;height:394" coordorigin="5935,-5" coordsize="2,394">
              <v:shape style="position:absolute;left:5935;top:-5;width:2;height:394" coordorigin="5935,-5" coordsize="0,394" path="m5935,-5l5935,389e" filled="false" stroked="true" strokeweight="1.08pt" strokecolor="#d2d2d2">
                <v:path arrowok="t"/>
              </v:shape>
            </v:group>
            <v:group style="position:absolute;left:7497;top:-5;width:2;height:394" coordorigin="7497,-5" coordsize="2,394">
              <v:shape style="position:absolute;left:7497;top:-5;width:2;height:394" coordorigin="7497,-5" coordsize="0,394" path="m7497,-5l7497,389e" filled="false" stroked="true" strokeweight="1.2pt" strokecolor="#d2d2d2">
                <v:path arrowok="t"/>
              </v:shape>
            </v:group>
            <v:group style="position:absolute;left:5946;top:-5;width:1539;height:394" coordorigin="5946,-5" coordsize="1539,394">
              <v:shape style="position:absolute;left:5946;top:-5;width:1539;height:394" coordorigin="5946,-5" coordsize="1539,394" path="m5946,389l7485,389,7485,-5,5946,-5,5946,389xe" filled="true" fillcolor="#d2d2d2" stroked="false">
                <v:path arrowok="t"/>
                <v:fill type="solid"/>
              </v:shape>
            </v:group>
            <v:group style="position:absolute;left:7530;top:-5;width:2;height:394" coordorigin="7530,-5" coordsize="2,394">
              <v:shape style="position:absolute;left:7530;top:-5;width:2;height:394" coordorigin="7530,-5" coordsize="0,394" path="m7530,-5l7530,389e" filled="false" stroked="true" strokeweight="1.2pt" strokecolor="#d2d2d2">
                <v:path arrowok="t"/>
              </v:shape>
            </v:group>
            <v:group style="position:absolute;left:9090;top:-5;width:2;height:394" coordorigin="9090,-5" coordsize="2,394">
              <v:shape style="position:absolute;left:9090;top:-5;width:2;height:394" coordorigin="9090,-5" coordsize="0,394" path="m9090,-5l9090,389e" filled="false" stroked="true" strokeweight="1.2pt" strokecolor="#d2d2d2">
                <v:path arrowok="t"/>
              </v:shape>
            </v:group>
            <v:group style="position:absolute;left:7542;top:-5;width:1536;height:394" coordorigin="7542,-5" coordsize="1536,394">
              <v:shape style="position:absolute;left:7542;top:-5;width:1536;height:394" coordorigin="7542,-5" coordsize="1536,394" path="m7542,389l9078,389,9078,-5,7542,-5,7542,389xe" filled="true" fillcolor="#d2d2d2" stroked="false">
                <v:path arrowok="t"/>
                <v:fill type="solid"/>
              </v:shape>
            </v:group>
            <v:group style="position:absolute;left:9124;top:-5;width:2;height:394" coordorigin="9124,-5" coordsize="2,394">
              <v:shape style="position:absolute;left:9124;top:-5;width:2;height:394" coordorigin="9124,-5" coordsize="0,394" path="m9124,-5l9124,389e" filled="false" stroked="true" strokeweight="1.2pt" strokecolor="#d2d2d2">
                <v:path arrowok="t"/>
              </v:shape>
            </v:group>
            <v:group style="position:absolute;left:10686;top:-5;width:2;height:394" coordorigin="10686,-5" coordsize="2,394">
              <v:shape style="position:absolute;left:10686;top:-5;width:2;height:394" coordorigin="10686,-5" coordsize="0,394" path="m10686,-5l10686,389e" filled="false" stroked="true" strokeweight="1.08pt" strokecolor="#d2d2d2">
                <v:path arrowok="t"/>
              </v:shape>
            </v:group>
            <v:group style="position:absolute;left:9136;top:-5;width:1539;height:394" coordorigin="9136,-5" coordsize="1539,394">
              <v:shape style="position:absolute;left:9136;top:-5;width:1539;height:394" coordorigin="9136,-5" coordsize="1539,394" path="m9136,389l10675,389,10675,-5,9136,-5,9136,389xe" filled="true" fillcolor="#d2d2d2" stroked="false">
                <v:path arrowok="t"/>
                <v:fill type="solid"/>
              </v:shape>
            </v:group>
            <v:group style="position:absolute;left:1138;top:-10;width:1587;height:2" coordorigin="1138,-10" coordsize="1587,2">
              <v:shape style="position:absolute;left:1138;top:-10;width:1587;height:2" coordorigin="1138,-10" coordsize="1587,0" path="m1138,-10l2724,-10e" filled="false" stroked="true" strokeweight=".48pt" strokecolor="#000000">
                <v:path arrowok="t"/>
              </v:shape>
            </v:group>
            <v:group style="position:absolute;left:2734;top:-10;width:1585;height:2" coordorigin="2734,-10" coordsize="1585,2">
              <v:shape style="position:absolute;left:2734;top:-10;width:1585;height:2" coordorigin="2734,-10" coordsize="1585,0" path="m2734,-10l4318,-10e" filled="false" stroked="true" strokeweight=".48pt" strokecolor="#000000">
                <v:path arrowok="t"/>
              </v:shape>
            </v:group>
            <v:group style="position:absolute;left:4328;top:-10;width:1584;height:2" coordorigin="4328,-10" coordsize="1584,2">
              <v:shape style="position:absolute;left:4328;top:-10;width:1584;height:2" coordorigin="4328,-10" coordsize="1584,0" path="m4328,-10l5912,-10e" filled="false" stroked="true" strokeweight=".48pt" strokecolor="#000000">
                <v:path arrowok="t"/>
              </v:shape>
            </v:group>
            <v:group style="position:absolute;left:5922;top:-10;width:1587;height:2" coordorigin="5922,-10" coordsize="1587,2">
              <v:shape style="position:absolute;left:5922;top:-10;width:1587;height:2" coordorigin="5922,-10" coordsize="1587,0" path="m5922,-10l7509,-10e" filled="false" stroked="true" strokeweight=".48pt" strokecolor="#000000">
                <v:path arrowok="t"/>
              </v:shape>
            </v:group>
            <v:group style="position:absolute;left:7518;top:-10;width:1584;height:2" coordorigin="7518,-10" coordsize="1584,2">
              <v:shape style="position:absolute;left:7518;top:-10;width:1584;height:2" coordorigin="7518,-10" coordsize="1584,0" path="m7518,-10l9102,-10e" filled="false" stroked="true" strokeweight=".48pt" strokecolor="#000000">
                <v:path arrowok="t"/>
              </v:shape>
            </v:group>
            <v:group style="position:absolute;left:9112;top:-10;width:1585;height:2" coordorigin="9112,-10" coordsize="1585,2">
              <v:shape style="position:absolute;left:9112;top:-10;width:1585;height:2" coordorigin="9112,-10" coordsize="1585,0" path="m9112,-10l10696,-10e" filled="false" stroked="true" strokeweight=".48pt" strokecolor="#000000">
                <v:path arrowok="t"/>
              </v:shape>
            </v:group>
            <v:group style="position:absolute;left:1138;top:393;width:1587;height:2" coordorigin="1138,393" coordsize="1587,2">
              <v:shape style="position:absolute;left:1138;top:393;width:1587;height:2" coordorigin="1138,393" coordsize="1587,0" path="m1138,393l2724,393e" filled="false" stroked="true" strokeweight=".48pt" strokecolor="#000000">
                <v:path arrowok="t"/>
              </v:shape>
            </v:group>
            <v:group style="position:absolute;left:2734;top:393;width:1585;height:2" coordorigin="2734,393" coordsize="1585,2">
              <v:shape style="position:absolute;left:2734;top:393;width:1585;height:2" coordorigin="2734,393" coordsize="1585,0" path="m2734,393l4318,393e" filled="false" stroked="true" strokeweight=".48pt" strokecolor="#000000">
                <v:path arrowok="t"/>
              </v:shape>
            </v:group>
            <v:group style="position:absolute;left:4328;top:393;width:1584;height:2" coordorigin="4328,393" coordsize="1584,2">
              <v:shape style="position:absolute;left:4328;top:393;width:1584;height:2" coordorigin="4328,393" coordsize="1584,0" path="m4328,393l5912,393e" filled="false" stroked="true" strokeweight=".48pt" strokecolor="#000000">
                <v:path arrowok="t"/>
              </v:shape>
            </v:group>
            <v:group style="position:absolute;left:5922;top:393;width:1587;height:2" coordorigin="5922,393" coordsize="1587,2">
              <v:shape style="position:absolute;left:5922;top:393;width:1587;height:2" coordorigin="5922,393" coordsize="1587,0" path="m5922,393l7509,393e" filled="false" stroked="true" strokeweight=".48pt" strokecolor="#000000">
                <v:path arrowok="t"/>
              </v:shape>
            </v:group>
            <v:group style="position:absolute;left:7518;top:393;width:1584;height:2" coordorigin="7518,393" coordsize="1584,2">
              <v:shape style="position:absolute;left:7518;top:393;width:1584;height:2" coordorigin="7518,393" coordsize="1584,0" path="m7518,393l9102,393e" filled="false" stroked="true" strokeweight=".48pt" strokecolor="#000000">
                <v:path arrowok="t"/>
              </v:shape>
            </v:group>
            <v:group style="position:absolute;left:9112;top:393;width:1585;height:2" coordorigin="9112,393" coordsize="1585,2">
              <v:shape style="position:absolute;left:9112;top:393;width:1585;height:2" coordorigin="9112,393" coordsize="1585,0" path="m9112,393l10696,393e" filled="false" stroked="true" strokeweight=".48pt" strokecolor="#000000">
                <v:path arrowok="t"/>
              </v:shape>
            </v:group>
            <v:group style="position:absolute;left:1138;top:2043;width:1587;height:2" coordorigin="1138,2043" coordsize="1587,2">
              <v:shape style="position:absolute;left:1138;top:2043;width:1587;height:2" coordorigin="1138,2043" coordsize="1587,0" path="m1138,2043l2724,2043e" filled="false" stroked="true" strokeweight=".48001pt" strokecolor="#000000">
                <v:path arrowok="t"/>
              </v:shape>
            </v:group>
            <v:group style="position:absolute;left:2734;top:2043;width:1585;height:2" coordorigin="2734,2043" coordsize="1585,2">
              <v:shape style="position:absolute;left:2734;top:2043;width:1585;height:2" coordorigin="2734,2043" coordsize="1585,0" path="m2734,2043l4318,2043e" filled="false" stroked="true" strokeweight=".48001pt" strokecolor="#000000">
                <v:path arrowok="t"/>
              </v:shape>
            </v:group>
            <v:group style="position:absolute;left:4328;top:2043;width:1584;height:2" coordorigin="4328,2043" coordsize="1584,2">
              <v:shape style="position:absolute;left:4328;top:2043;width:1584;height:2" coordorigin="4328,2043" coordsize="1584,0" path="m4328,2043l5912,2043e" filled="false" stroked="true" strokeweight=".48001pt" strokecolor="#000000">
                <v:path arrowok="t"/>
              </v:shape>
            </v:group>
            <v:group style="position:absolute;left:5922;top:2043;width:1587;height:2" coordorigin="5922,2043" coordsize="1587,2">
              <v:shape style="position:absolute;left:5922;top:2043;width:1587;height:2" coordorigin="5922,2043" coordsize="1587,0" path="m5922,2043l7509,2043e" filled="false" stroked="true" strokeweight=".48001pt" strokecolor="#000000">
                <v:path arrowok="t"/>
              </v:shape>
            </v:group>
            <v:group style="position:absolute;left:7518;top:2043;width:1584;height:2" coordorigin="7518,2043" coordsize="1584,2">
              <v:shape style="position:absolute;left:7518;top:2043;width:1584;height:2" coordorigin="7518,2043" coordsize="1584,0" path="m7518,2043l9102,2043e" filled="false" stroked="true" strokeweight=".48001pt" strokecolor="#000000">
                <v:path arrowok="t"/>
              </v:shape>
            </v:group>
            <v:group style="position:absolute;left:9112;top:2043;width:1585;height:2" coordorigin="9112,2043" coordsize="1585,2">
              <v:shape style="position:absolute;left:9112;top:2043;width:1585;height:2" coordorigin="9112,2043" coordsize="1585,0" path="m9112,2043l10696,2043e" filled="false" stroked="true" strokeweight=".48001pt" strokecolor="#000000">
                <v:path arrowok="t"/>
              </v:shape>
            </v:group>
            <v:group style="position:absolute;left:1138;top:3694;width:1587;height:2" coordorigin="1138,3694" coordsize="1587,2">
              <v:shape style="position:absolute;left:1138;top:3694;width:1587;height:2" coordorigin="1138,3694" coordsize="1587,0" path="m1138,3694l2724,3694e" filled="false" stroked="true" strokeweight=".48001pt" strokecolor="#000000">
                <v:path arrowok="t"/>
              </v:shape>
            </v:group>
            <v:group style="position:absolute;left:2734;top:3694;width:1585;height:2" coordorigin="2734,3694" coordsize="1585,2">
              <v:shape style="position:absolute;left:2734;top:3694;width:1585;height:2" coordorigin="2734,3694" coordsize="1585,0" path="m2734,3694l4318,3694e" filled="false" stroked="true" strokeweight=".48001pt" strokecolor="#000000">
                <v:path arrowok="t"/>
              </v:shape>
            </v:group>
            <v:group style="position:absolute;left:4328;top:3694;width:1584;height:2" coordorigin="4328,3694" coordsize="1584,2">
              <v:shape style="position:absolute;left:4328;top:3694;width:1584;height:2" coordorigin="4328,3694" coordsize="1584,0" path="m4328,3694l5912,3694e" filled="false" stroked="true" strokeweight=".48001pt" strokecolor="#000000">
                <v:path arrowok="t"/>
              </v:shape>
            </v:group>
            <v:group style="position:absolute;left:5922;top:3694;width:1587;height:2" coordorigin="5922,3694" coordsize="1587,2">
              <v:shape style="position:absolute;left:5922;top:3694;width:1587;height:2" coordorigin="5922,3694" coordsize="1587,0" path="m5922,3694l7509,3694e" filled="false" stroked="true" strokeweight=".48001pt" strokecolor="#000000">
                <v:path arrowok="t"/>
              </v:shape>
            </v:group>
            <v:group style="position:absolute;left:7518;top:3694;width:1584;height:2" coordorigin="7518,3694" coordsize="1584,2">
              <v:shape style="position:absolute;left:7518;top:3694;width:1584;height:2" coordorigin="7518,3694" coordsize="1584,0" path="m7518,3694l9102,3694e" filled="false" stroked="true" strokeweight=".48001pt" strokecolor="#000000">
                <v:path arrowok="t"/>
              </v:shape>
            </v:group>
            <v:group style="position:absolute;left:9112;top:3694;width:1585;height:2" coordorigin="9112,3694" coordsize="1585,2">
              <v:shape style="position:absolute;left:9112;top:3694;width:1585;height:2" coordorigin="9112,3694" coordsize="1585,0" path="m9112,3694l10696,3694e" filled="false" stroked="true" strokeweight=".48001pt" strokecolor="#000000">
                <v:path arrowok="t"/>
              </v:shape>
            </v:group>
            <v:group style="position:absolute;left:1138;top:5343;width:1587;height:2" coordorigin="1138,5343" coordsize="1587,2">
              <v:shape style="position:absolute;left:1138;top:5343;width:1587;height:2" coordorigin="1138,5343" coordsize="1587,0" path="m1138,5343l2724,5343e" filled="false" stroked="true" strokeweight=".47998pt" strokecolor="#000000">
                <v:path arrowok="t"/>
              </v:shape>
            </v:group>
            <v:group style="position:absolute;left:2734;top:5343;width:1585;height:2" coordorigin="2734,5343" coordsize="1585,2">
              <v:shape style="position:absolute;left:2734;top:5343;width:1585;height:2" coordorigin="2734,5343" coordsize="1585,0" path="m2734,5343l4318,5343e" filled="false" stroked="true" strokeweight=".47998pt" strokecolor="#000000">
                <v:path arrowok="t"/>
              </v:shape>
            </v:group>
            <v:group style="position:absolute;left:4328;top:5343;width:1584;height:2" coordorigin="4328,5343" coordsize="1584,2">
              <v:shape style="position:absolute;left:4328;top:5343;width:1584;height:2" coordorigin="4328,5343" coordsize="1584,0" path="m4328,5343l5912,5343e" filled="false" stroked="true" strokeweight=".47998pt" strokecolor="#000000">
                <v:path arrowok="t"/>
              </v:shape>
            </v:group>
            <v:group style="position:absolute;left:5922;top:5343;width:1587;height:2" coordorigin="5922,5343" coordsize="1587,2">
              <v:shape style="position:absolute;left:5922;top:5343;width:1587;height:2" coordorigin="5922,5343" coordsize="1587,0" path="m5922,5343l7509,5343e" filled="false" stroked="true" strokeweight=".47998pt" strokecolor="#000000">
                <v:path arrowok="t"/>
              </v:shape>
            </v:group>
            <v:group style="position:absolute;left:7518;top:5343;width:1584;height:2" coordorigin="7518,5343" coordsize="1584,2">
              <v:shape style="position:absolute;left:7518;top:5343;width:1584;height:2" coordorigin="7518,5343" coordsize="1584,0" path="m7518,5343l9102,5343e" filled="false" stroked="true" strokeweight=".47998pt" strokecolor="#000000">
                <v:path arrowok="t"/>
              </v:shape>
            </v:group>
            <v:group style="position:absolute;left:9112;top:5343;width:1585;height:2" coordorigin="9112,5343" coordsize="1585,2">
              <v:shape style="position:absolute;left:9112;top:5343;width:1585;height:2" coordorigin="9112,5343" coordsize="1585,0" path="m9112,5343l10696,5343e" filled="false" stroked="true" strokeweight=".47998pt" strokecolor="#000000">
                <v:path arrowok="t"/>
              </v:shape>
            </v:group>
            <v:group style="position:absolute;left:1138;top:6994;width:1587;height:2" coordorigin="1138,6994" coordsize="1587,2">
              <v:shape style="position:absolute;left:1138;top:6994;width:1587;height:2" coordorigin="1138,6994" coordsize="1587,0" path="m1138,6994l2724,6994e" filled="false" stroked="true" strokeweight=".48004pt" strokecolor="#000000">
                <v:path arrowok="t"/>
              </v:shape>
            </v:group>
            <v:group style="position:absolute;left:2734;top:6994;width:1585;height:2" coordorigin="2734,6994" coordsize="1585,2">
              <v:shape style="position:absolute;left:2734;top:6994;width:1585;height:2" coordorigin="2734,6994" coordsize="1585,0" path="m2734,6994l4318,6994e" filled="false" stroked="true" strokeweight=".48004pt" strokecolor="#000000">
                <v:path arrowok="t"/>
              </v:shape>
            </v:group>
            <v:group style="position:absolute;left:4328;top:6994;width:1584;height:2" coordorigin="4328,6994" coordsize="1584,2">
              <v:shape style="position:absolute;left:4328;top:6994;width:1584;height:2" coordorigin="4328,6994" coordsize="1584,0" path="m4328,6994l5912,6994e" filled="false" stroked="true" strokeweight=".48004pt" strokecolor="#000000">
                <v:path arrowok="t"/>
              </v:shape>
            </v:group>
            <v:group style="position:absolute;left:5922;top:6994;width:1587;height:2" coordorigin="5922,6994" coordsize="1587,2">
              <v:shape style="position:absolute;left:5922;top:6994;width:1587;height:2" coordorigin="5922,6994" coordsize="1587,0" path="m5922,6994l7509,6994e" filled="false" stroked="true" strokeweight=".48004pt" strokecolor="#000000">
                <v:path arrowok="t"/>
              </v:shape>
            </v:group>
            <v:group style="position:absolute;left:7518;top:6994;width:1584;height:2" coordorigin="7518,6994" coordsize="1584,2">
              <v:shape style="position:absolute;left:7518;top:6994;width:1584;height:2" coordorigin="7518,6994" coordsize="1584,0" path="m7518,6994l9102,6994e" filled="false" stroked="true" strokeweight=".48004pt" strokecolor="#000000">
                <v:path arrowok="t"/>
              </v:shape>
            </v:group>
            <v:group style="position:absolute;left:9112;top:6994;width:1585;height:2" coordorigin="9112,6994" coordsize="1585,2">
              <v:shape style="position:absolute;left:9112;top:6994;width:1585;height:2" coordorigin="9112,6994" coordsize="1585,0" path="m9112,6994l10696,6994e" filled="false" stroked="true" strokeweight=".48004pt" strokecolor="#000000">
                <v:path arrowok="t"/>
              </v:shape>
            </v:group>
            <v:group style="position:absolute;left:1138;top:8644;width:1587;height:2" coordorigin="1138,8644" coordsize="1587,2">
              <v:shape style="position:absolute;left:1138;top:8644;width:1587;height:2" coordorigin="1138,8644" coordsize="1587,0" path="m1138,8644l2724,8644e" filled="false" stroked="true" strokeweight=".47998pt" strokecolor="#000000">
                <v:path arrowok="t"/>
              </v:shape>
            </v:group>
            <v:group style="position:absolute;left:2734;top:8644;width:1585;height:2" coordorigin="2734,8644" coordsize="1585,2">
              <v:shape style="position:absolute;left:2734;top:8644;width:1585;height:2" coordorigin="2734,8644" coordsize="1585,0" path="m2734,8644l4318,8644e" filled="false" stroked="true" strokeweight=".47998pt" strokecolor="#000000">
                <v:path arrowok="t"/>
              </v:shape>
            </v:group>
            <v:group style="position:absolute;left:4328;top:8644;width:1584;height:2" coordorigin="4328,8644" coordsize="1584,2">
              <v:shape style="position:absolute;left:4328;top:8644;width:1584;height:2" coordorigin="4328,8644" coordsize="1584,0" path="m4328,8644l5912,8644e" filled="false" stroked="true" strokeweight=".47998pt" strokecolor="#000000">
                <v:path arrowok="t"/>
              </v:shape>
            </v:group>
            <v:group style="position:absolute;left:5922;top:8644;width:1587;height:2" coordorigin="5922,8644" coordsize="1587,2">
              <v:shape style="position:absolute;left:5922;top:8644;width:1587;height:2" coordorigin="5922,8644" coordsize="1587,0" path="m5922,8644l7509,8644e" filled="false" stroked="true" strokeweight=".47998pt" strokecolor="#000000">
                <v:path arrowok="t"/>
              </v:shape>
            </v:group>
            <v:group style="position:absolute;left:7518;top:8644;width:1584;height:2" coordorigin="7518,8644" coordsize="1584,2">
              <v:shape style="position:absolute;left:7518;top:8644;width:1584;height:2" coordorigin="7518,8644" coordsize="1584,0" path="m7518,8644l9102,8644e" filled="false" stroked="true" strokeweight=".47998pt" strokecolor="#000000">
                <v:path arrowok="t"/>
              </v:shape>
            </v:group>
            <v:group style="position:absolute;left:9112;top:8644;width:1585;height:2" coordorigin="9112,8644" coordsize="1585,2">
              <v:shape style="position:absolute;left:9112;top:8644;width:1585;height:2" coordorigin="9112,8644" coordsize="1585,0" path="m9112,8644l10696,8644e" filled="false" stroked="true" strokeweight=".47998pt" strokecolor="#000000">
                <v:path arrowok="t"/>
              </v:shape>
            </v:group>
            <v:group style="position:absolute;left:1138;top:10295;width:1587;height:2" coordorigin="1138,10295" coordsize="1587,2">
              <v:shape style="position:absolute;left:1138;top:10295;width:1587;height:2" coordorigin="1138,10295" coordsize="1587,0" path="m1138,10295l2724,10295e" filled="false" stroked="true" strokeweight=".47998pt" strokecolor="#000000">
                <v:path arrowok="t"/>
              </v:shape>
            </v:group>
            <v:group style="position:absolute;left:2734;top:10295;width:1585;height:2" coordorigin="2734,10295" coordsize="1585,2">
              <v:shape style="position:absolute;left:2734;top:10295;width:1585;height:2" coordorigin="2734,10295" coordsize="1585,0" path="m2734,10295l4318,10295e" filled="false" stroked="true" strokeweight=".47998pt" strokecolor="#000000">
                <v:path arrowok="t"/>
              </v:shape>
            </v:group>
            <v:group style="position:absolute;left:4328;top:10295;width:1584;height:2" coordorigin="4328,10295" coordsize="1584,2">
              <v:shape style="position:absolute;left:4328;top:10295;width:1584;height:2" coordorigin="4328,10295" coordsize="1584,0" path="m4328,10295l5912,10295e" filled="false" stroked="true" strokeweight=".47998pt" strokecolor="#000000">
                <v:path arrowok="t"/>
              </v:shape>
            </v:group>
            <v:group style="position:absolute;left:5922;top:10295;width:1587;height:2" coordorigin="5922,10295" coordsize="1587,2">
              <v:shape style="position:absolute;left:5922;top:10295;width:1587;height:2" coordorigin="5922,10295" coordsize="1587,0" path="m5922,10295l7509,10295e" filled="false" stroked="true" strokeweight=".47998pt" strokecolor="#000000">
                <v:path arrowok="t"/>
              </v:shape>
            </v:group>
            <v:group style="position:absolute;left:7518;top:10295;width:1584;height:2" coordorigin="7518,10295" coordsize="1584,2">
              <v:shape style="position:absolute;left:7518;top:10295;width:1584;height:2" coordorigin="7518,10295" coordsize="1584,0" path="m7518,10295l9102,10295e" filled="false" stroked="true" strokeweight=".47998pt" strokecolor="#000000">
                <v:path arrowok="t"/>
              </v:shape>
            </v:group>
            <v:group style="position:absolute;left:9112;top:10295;width:1585;height:2" coordorigin="9112,10295" coordsize="1585,2">
              <v:shape style="position:absolute;left:9112;top:10295;width:1585;height:2" coordorigin="9112,10295" coordsize="1585,0" path="m9112,10295l10696,10295e" filled="false" stroked="true" strokeweight=".47998pt" strokecolor="#000000">
                <v:path arrowok="t"/>
              </v:shape>
            </v:group>
            <v:group style="position:absolute;left:1133;top:-15;width:2;height:11964" coordorigin="1133,-15" coordsize="2,11964">
              <v:shape style="position:absolute;left:1133;top:-15;width:2;height:11964" coordorigin="1133,-15" coordsize="0,11964" path="m1133,-15l1133,11949e" filled="false" stroked="true" strokeweight=".48pt" strokecolor="#000000">
                <v:path arrowok="t"/>
              </v:shape>
            </v:group>
            <v:group style="position:absolute;left:1138;top:11944;width:1587;height:2" coordorigin="1138,11944" coordsize="1587,2">
              <v:shape style="position:absolute;left:1138;top:11944;width:1587;height:2" coordorigin="1138,11944" coordsize="1587,0" path="m1138,11944l2724,11944e" filled="false" stroked="true" strokeweight=".47998pt" strokecolor="#000000">
                <v:path arrowok="t"/>
              </v:shape>
            </v:group>
            <v:group style="position:absolute;left:2729;top:-15;width:2;height:11964" coordorigin="2729,-15" coordsize="2,11964">
              <v:shape style="position:absolute;left:2729;top:-15;width:2;height:11964" coordorigin="2729,-15" coordsize="0,11964" path="m2729,-15l2729,11949e" filled="false" stroked="true" strokeweight=".48pt" strokecolor="#000000">
                <v:path arrowok="t"/>
              </v:shape>
            </v:group>
            <v:group style="position:absolute;left:2734;top:11944;width:1585;height:2" coordorigin="2734,11944" coordsize="1585,2">
              <v:shape style="position:absolute;left:2734;top:11944;width:1585;height:2" coordorigin="2734,11944" coordsize="1585,0" path="m2734,11944l4318,11944e" filled="false" stroked="true" strokeweight=".47998pt" strokecolor="#000000">
                <v:path arrowok="t"/>
              </v:shape>
            </v:group>
            <v:group style="position:absolute;left:4323;top:-15;width:2;height:11964" coordorigin="4323,-15" coordsize="2,11964">
              <v:shape style="position:absolute;left:4323;top:-15;width:2;height:11964" coordorigin="4323,-15" coordsize="0,11964" path="m4323,-15l4323,11949e" filled="false" stroked="true" strokeweight=".48pt" strokecolor="#000000">
                <v:path arrowok="t"/>
              </v:shape>
            </v:group>
            <v:group style="position:absolute;left:4328;top:11944;width:1584;height:2" coordorigin="4328,11944" coordsize="1584,2">
              <v:shape style="position:absolute;left:4328;top:11944;width:1584;height:2" coordorigin="4328,11944" coordsize="1584,0" path="m4328,11944l5912,11944e" filled="false" stroked="true" strokeweight=".47998pt" strokecolor="#000000">
                <v:path arrowok="t"/>
              </v:shape>
            </v:group>
            <v:group style="position:absolute;left:5917;top:-15;width:2;height:11964" coordorigin="5917,-15" coordsize="2,11964">
              <v:shape style="position:absolute;left:5917;top:-15;width:2;height:11964" coordorigin="5917,-15" coordsize="0,11964" path="m5917,-15l5917,11949e" filled="false" stroked="true" strokeweight=".48001pt" strokecolor="#000000">
                <v:path arrowok="t"/>
              </v:shape>
            </v:group>
            <v:group style="position:absolute;left:5922;top:11944;width:1587;height:2" coordorigin="5922,11944" coordsize="1587,2">
              <v:shape style="position:absolute;left:5922;top:11944;width:1587;height:2" coordorigin="5922,11944" coordsize="1587,0" path="m5922,11944l7509,11944e" filled="false" stroked="true" strokeweight=".47998pt" strokecolor="#000000">
                <v:path arrowok="t"/>
              </v:shape>
            </v:group>
            <v:group style="position:absolute;left:7513;top:-15;width:2;height:11964" coordorigin="7513,-15" coordsize="2,11964">
              <v:shape style="position:absolute;left:7513;top:-15;width:2;height:11964" coordorigin="7513,-15" coordsize="0,11964" path="m7513,-15l7513,11949e" filled="false" stroked="true" strokeweight=".48001pt" strokecolor="#000000">
                <v:path arrowok="t"/>
              </v:shape>
            </v:group>
            <v:group style="position:absolute;left:7518;top:11944;width:1584;height:2" coordorigin="7518,11944" coordsize="1584,2">
              <v:shape style="position:absolute;left:7518;top:11944;width:1584;height:2" coordorigin="7518,11944" coordsize="1584,0" path="m7518,11944l9102,11944e" filled="false" stroked="true" strokeweight=".47998pt" strokecolor="#000000">
                <v:path arrowok="t"/>
              </v:shape>
            </v:group>
            <v:group style="position:absolute;left:9107;top:-15;width:2;height:11964" coordorigin="9107,-15" coordsize="2,11964">
              <v:shape style="position:absolute;left:9107;top:-15;width:2;height:11964" coordorigin="9107,-15" coordsize="0,11964" path="m9107,-15l9107,11949e" filled="false" stroked="true" strokeweight=".48001pt" strokecolor="#000000">
                <v:path arrowok="t"/>
              </v:shape>
            </v:group>
            <v:group style="position:absolute;left:9112;top:11944;width:1585;height:2" coordorigin="9112,11944" coordsize="1585,2">
              <v:shape style="position:absolute;left:9112;top:11944;width:1585;height:2" coordorigin="9112,11944" coordsize="1585,0" path="m9112,11944l10696,11944e" filled="false" stroked="true" strokeweight=".47998pt" strokecolor="#000000">
                <v:path arrowok="t"/>
              </v:shape>
            </v:group>
            <v:group style="position:absolute;left:10701;top:-15;width:2;height:11964" coordorigin="10701,-15" coordsize="2,11964">
              <v:shape style="position:absolute;left:10701;top:-15;width:2;height:11964" coordorigin="10701,-15" coordsize="0,11964" path="m10701,-15l10701,11949e" filled="false" stroked="true" strokeweight=".48004pt" strokecolor="#000000">
                <v:path arrowok="t"/>
              </v:shape>
            </v:group>
            <w10:wrap type="none"/>
          </v:group>
        </w:pict>
      </w:r>
      <w:r>
        <w:rPr>
          <w:rFonts w:ascii="宋体" w:hAnsi="宋体" w:cs="宋体" w:eastAsia="宋体" w:hint="default"/>
          <w:sz w:val="18"/>
          <w:szCs w:val="18"/>
        </w:rPr>
        <w:t>会议届次</w:t>
        <w:tab/>
        <w:t>会议类型</w:t>
        <w:tab/>
        <w:t>投资者参与比例</w:t>
        <w:tab/>
        <w:t>召开日期</w:t>
        <w:tab/>
        <w:t>披露日期</w:t>
        <w:tab/>
        <w:t>披露索引</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line="297" w:lineRule="auto" w:before="0"/>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2646" w:val="left" w:leader="none"/>
        </w:tabs>
        <w:spacing w:before="0"/>
        <w:ind w:left="67" w:right="-1" w:firstLine="0"/>
        <w:jc w:val="left"/>
        <w:rPr>
          <w:rFonts w:ascii="宋体" w:hAnsi="宋体" w:cs="宋体" w:eastAsia="宋体" w:hint="default"/>
          <w:sz w:val="18"/>
          <w:szCs w:val="18"/>
        </w:rPr>
      </w:pP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42.01%</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spacing w:line="309" w:lineRule="auto" w:before="44"/>
        <w:ind w:left="72" w:right="161"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7"/>
          <w:sz w:val="18"/>
          <w:szCs w:val="18"/>
        </w:rPr>
        <w:t>2015-042</w:t>
      </w:r>
      <w:r>
        <w:rPr>
          <w:rFonts w:ascii="宋体" w:hAnsi="宋体" w:cs="宋体" w:eastAsia="宋体" w:hint="default"/>
          <w:spacing w:val="-17"/>
          <w:sz w:val="18"/>
          <w:szCs w:val="18"/>
        </w:rPr>
        <w:t>）；《上海证</w:t>
      </w:r>
      <w:r>
        <w:rPr>
          <w:rFonts w:ascii="宋体" w:hAnsi="宋体" w:cs="宋体" w:eastAsia="宋体" w:hint="default"/>
          <w:sz w:val="18"/>
          <w:szCs w:val="18"/>
        </w:rPr>
        <w:t> </w:t>
      </w:r>
      <w:r>
        <w:rPr>
          <w:rFonts w:ascii="宋体" w:hAnsi="宋体" w:cs="宋体" w:eastAsia="宋体" w:hint="default"/>
          <w:spacing w:val="-18"/>
          <w:sz w:val="18"/>
          <w:szCs w:val="18"/>
        </w:rPr>
        <w:t>券报》、巨潮资讯网。</w:t>
      </w:r>
    </w:p>
    <w:p>
      <w:pPr>
        <w:spacing w:after="0" w:line="309" w:lineRule="auto"/>
        <w:jc w:val="left"/>
        <w:rPr>
          <w:rFonts w:ascii="宋体" w:hAnsi="宋体" w:cs="宋体" w:eastAsia="宋体" w:hint="default"/>
          <w:sz w:val="18"/>
          <w:szCs w:val="18"/>
        </w:rPr>
        <w:sectPr>
          <w:type w:val="continuous"/>
          <w:pgSz w:w="11910" w:h="16840"/>
          <w:pgMar w:top="1060" w:bottom="1160" w:left="980" w:right="980"/>
          <w:cols w:num="3" w:equalWidth="0">
            <w:col w:w="1671" w:space="40"/>
            <w:col w:w="6333" w:space="40"/>
            <w:col w:w="1866"/>
          </w:cols>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300" w:lineRule="auto" w:before="0"/>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tabs>
          <w:tab w:pos="2646" w:val="left" w:leader="none"/>
        </w:tabs>
        <w:spacing w:before="0"/>
        <w:ind w:left="67" w:right="-2" w:firstLine="0"/>
        <w:jc w:val="left"/>
        <w:rPr>
          <w:rFonts w:ascii="宋体" w:hAnsi="宋体" w:cs="宋体" w:eastAsia="宋体" w:hint="default"/>
          <w:sz w:val="18"/>
          <w:szCs w:val="18"/>
        </w:rPr>
      </w:pPr>
      <w:r>
        <w:rPr>
          <w:rFonts w:ascii="宋体" w:hAnsi="宋体" w:cs="宋体" w:eastAsia="宋体" w:hint="default"/>
          <w:sz w:val="18"/>
          <w:szCs w:val="18"/>
        </w:rPr>
        <w:t>年度股东大会</w:t>
        <w:tab/>
      </w:r>
      <w:r>
        <w:rPr>
          <w:rFonts w:ascii="Times New Roman" w:hAnsi="Times New Roman" w:cs="Times New Roman" w:eastAsia="Times New Roman" w:hint="default"/>
          <w:sz w:val="18"/>
          <w:szCs w:val="18"/>
        </w:rPr>
        <w:t>29.80%</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spacing w:line="309" w:lineRule="auto" w:before="115"/>
        <w:ind w:left="65" w:right="249" w:firstLine="0"/>
        <w:jc w:val="both"/>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7"/>
          <w:sz w:val="18"/>
          <w:szCs w:val="18"/>
        </w:rPr>
        <w:t>告编号：</w:t>
      </w:r>
      <w:r>
        <w:rPr>
          <w:rFonts w:ascii="Times New Roman" w:hAnsi="Times New Roman" w:cs="Times New Roman" w:eastAsia="Times New Roman" w:hint="default"/>
          <w:spacing w:val="-17"/>
          <w:sz w:val="18"/>
          <w:szCs w:val="18"/>
        </w:rPr>
        <w:t>2015-052</w:t>
      </w:r>
      <w:r>
        <w:rPr>
          <w:rFonts w:ascii="宋体" w:hAnsi="宋体" w:cs="宋体" w:eastAsia="宋体" w:hint="default"/>
          <w:spacing w:val="-17"/>
          <w:sz w:val="18"/>
          <w:szCs w:val="18"/>
        </w:rPr>
        <w:t>）；</w:t>
      </w:r>
      <w:r>
        <w:rPr>
          <w:rFonts w:ascii="宋体" w:hAnsi="宋体" w:cs="宋体" w:eastAsia="宋体" w:hint="default"/>
          <w:sz w:val="18"/>
          <w:szCs w:val="18"/>
        </w:rPr>
      </w:r>
    </w:p>
    <w:p>
      <w:pPr>
        <w:spacing w:line="316" w:lineRule="auto" w:before="5"/>
        <w:ind w:left="65" w:right="259" w:firstLine="0"/>
        <w:jc w:val="both"/>
        <w:rPr>
          <w:rFonts w:ascii="宋体" w:hAnsi="宋体" w:cs="宋体" w:eastAsia="宋体" w:hint="default"/>
          <w:sz w:val="18"/>
          <w:szCs w:val="18"/>
        </w:rPr>
      </w:pPr>
      <w:r>
        <w:rPr>
          <w:rFonts w:ascii="宋体" w:hAnsi="宋体" w:cs="宋体" w:eastAsia="宋体" w:hint="default"/>
          <w:spacing w:val="-11"/>
          <w:sz w:val="18"/>
          <w:szCs w:val="18"/>
        </w:rPr>
        <w:t>《上海证券报》、巨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潮资讯网。</w:t>
      </w:r>
    </w:p>
    <w:p>
      <w:pPr>
        <w:spacing w:after="0" w:line="316" w:lineRule="auto"/>
        <w:jc w:val="both"/>
        <w:rPr>
          <w:rFonts w:ascii="宋体" w:hAnsi="宋体" w:cs="宋体" w:eastAsia="宋体" w:hint="default"/>
          <w:sz w:val="18"/>
          <w:szCs w:val="18"/>
        </w:rPr>
        <w:sectPr>
          <w:type w:val="continuous"/>
          <w:pgSz w:w="11910" w:h="16840"/>
          <w:pgMar w:top="1060" w:bottom="1160" w:left="980" w:right="980"/>
          <w:cols w:num="3" w:equalWidth="0">
            <w:col w:w="1671" w:space="40"/>
            <w:col w:w="6341" w:space="40"/>
            <w:col w:w="1858"/>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line="297" w:lineRule="auto" w:before="0"/>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tabs>
          <w:tab w:pos="2646" w:val="left" w:leader="none"/>
        </w:tabs>
        <w:spacing w:before="0"/>
        <w:ind w:left="67" w:right="-2" w:firstLine="0"/>
        <w:jc w:val="left"/>
        <w:rPr>
          <w:rFonts w:ascii="宋体" w:hAnsi="宋体" w:cs="宋体" w:eastAsia="宋体" w:hint="default"/>
          <w:sz w:val="18"/>
          <w:szCs w:val="18"/>
        </w:rPr>
      </w:pP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30.63%</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p>
      <w:pPr>
        <w:spacing w:line="297" w:lineRule="auto" w:before="110"/>
        <w:ind w:left="65" w:right="151"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股东大会决议公告》</w:t>
      </w:r>
    </w:p>
    <w:p>
      <w:pPr>
        <w:spacing w:before="33"/>
        <w:ind w:left="65" w:right="151"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line="300" w:lineRule="auto" w:before="77"/>
        <w:ind w:left="65" w:right="145"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巨潮资讯网。</w:t>
      </w:r>
    </w:p>
    <w:p>
      <w:pPr>
        <w:spacing w:after="0" w:line="300" w:lineRule="auto"/>
        <w:jc w:val="left"/>
        <w:rPr>
          <w:rFonts w:ascii="宋体" w:hAnsi="宋体" w:cs="宋体" w:eastAsia="宋体" w:hint="default"/>
          <w:sz w:val="18"/>
          <w:szCs w:val="18"/>
        </w:rPr>
        <w:sectPr>
          <w:type w:val="continuous"/>
          <w:pgSz w:w="11910" w:h="16840"/>
          <w:pgMar w:top="1060" w:bottom="1160" w:left="980" w:right="980"/>
          <w:cols w:num="3" w:equalWidth="0">
            <w:col w:w="1671" w:space="40"/>
            <w:col w:w="6341" w:space="40"/>
            <w:col w:w="18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00" w:lineRule="auto" w:before="119"/>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2646" w:val="left" w:leader="none"/>
        </w:tabs>
        <w:spacing w:before="0"/>
        <w:ind w:left="67" w:right="-2" w:firstLine="0"/>
        <w:jc w:val="left"/>
        <w:rPr>
          <w:rFonts w:ascii="宋体" w:hAnsi="宋体" w:cs="宋体" w:eastAsia="宋体" w:hint="default"/>
          <w:sz w:val="18"/>
          <w:szCs w:val="18"/>
        </w:rPr>
      </w:pP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57.91%</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spacing w:line="300" w:lineRule="auto" w:before="122"/>
        <w:ind w:left="65" w:right="151"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股东大会决议公告》</w:t>
      </w:r>
    </w:p>
    <w:p>
      <w:pPr>
        <w:spacing w:before="31"/>
        <w:ind w:left="65" w:right="151"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line="300" w:lineRule="auto" w:before="76"/>
        <w:ind w:left="65" w:right="145"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巨潮资讯网。</w:t>
      </w:r>
    </w:p>
    <w:p>
      <w:pPr>
        <w:spacing w:after="0" w:line="300" w:lineRule="auto"/>
        <w:jc w:val="left"/>
        <w:rPr>
          <w:rFonts w:ascii="宋体" w:hAnsi="宋体" w:cs="宋体" w:eastAsia="宋体" w:hint="default"/>
          <w:sz w:val="18"/>
          <w:szCs w:val="18"/>
        </w:rPr>
        <w:sectPr>
          <w:type w:val="continuous"/>
          <w:pgSz w:w="11910" w:h="16840"/>
          <w:pgMar w:top="1060" w:bottom="1160" w:left="980" w:right="980"/>
          <w:cols w:num="3" w:equalWidth="0">
            <w:col w:w="1671" w:space="40"/>
            <w:col w:w="6341" w:space="40"/>
            <w:col w:w="18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97" w:lineRule="auto" w:before="119"/>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2646" w:val="left" w:leader="none"/>
        </w:tabs>
        <w:spacing w:before="0"/>
        <w:ind w:left="67" w:right="-7" w:firstLine="0"/>
        <w:jc w:val="left"/>
        <w:rPr>
          <w:rFonts w:ascii="宋体" w:hAnsi="宋体" w:cs="宋体" w:eastAsia="宋体" w:hint="default"/>
          <w:sz w:val="18"/>
          <w:szCs w:val="18"/>
        </w:rPr>
      </w:pP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43.47%</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97" w:lineRule="auto" w:before="122"/>
        <w:ind w:left="72" w:right="151"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股东大会决议公告》</w:t>
      </w:r>
    </w:p>
    <w:p>
      <w:pPr>
        <w:spacing w:before="33"/>
        <w:ind w:left="72" w:right="161"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line="300" w:lineRule="auto" w:before="77"/>
        <w:ind w:left="72" w:right="145"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巨潮资讯网。</w:t>
      </w:r>
    </w:p>
    <w:p>
      <w:pPr>
        <w:spacing w:after="0" w:line="300" w:lineRule="auto"/>
        <w:jc w:val="left"/>
        <w:rPr>
          <w:rFonts w:ascii="宋体" w:hAnsi="宋体" w:cs="宋体" w:eastAsia="宋体" w:hint="default"/>
          <w:sz w:val="18"/>
          <w:szCs w:val="18"/>
        </w:rPr>
        <w:sectPr>
          <w:type w:val="continuous"/>
          <w:pgSz w:w="11910" w:h="16840"/>
          <w:pgMar w:top="1060" w:bottom="1160" w:left="980" w:right="980"/>
          <w:cols w:num="3" w:equalWidth="0">
            <w:col w:w="1671" w:space="40"/>
            <w:col w:w="6333" w:space="40"/>
            <w:col w:w="186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00" w:lineRule="auto" w:before="119"/>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2646" w:val="left" w:leader="none"/>
        </w:tabs>
        <w:spacing w:before="0"/>
        <w:ind w:left="67" w:right="-2" w:firstLine="0"/>
        <w:jc w:val="left"/>
        <w:rPr>
          <w:rFonts w:ascii="宋体" w:hAnsi="宋体" w:cs="宋体" w:eastAsia="宋体" w:hint="default"/>
          <w:sz w:val="18"/>
          <w:szCs w:val="18"/>
        </w:rPr>
      </w:pP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65.02%</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p>
      <w:pPr>
        <w:spacing w:line="300" w:lineRule="auto" w:before="122"/>
        <w:ind w:left="65" w:right="151"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股东大会决议公告》</w:t>
      </w:r>
    </w:p>
    <w:p>
      <w:pPr>
        <w:spacing w:before="31"/>
        <w:ind w:left="65" w:right="151"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line="300" w:lineRule="auto" w:before="76"/>
        <w:ind w:left="65" w:right="145"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巨潮资讯网。</w:t>
      </w:r>
    </w:p>
    <w:p>
      <w:pPr>
        <w:spacing w:after="0" w:line="300" w:lineRule="auto"/>
        <w:jc w:val="left"/>
        <w:rPr>
          <w:rFonts w:ascii="宋体" w:hAnsi="宋体" w:cs="宋体" w:eastAsia="宋体" w:hint="default"/>
          <w:sz w:val="18"/>
          <w:szCs w:val="18"/>
        </w:rPr>
        <w:sectPr>
          <w:type w:val="continuous"/>
          <w:pgSz w:w="11910" w:h="16840"/>
          <w:pgMar w:top="1060" w:bottom="1160" w:left="980" w:right="980"/>
          <w:cols w:num="3" w:equalWidth="0">
            <w:col w:w="1671" w:space="40"/>
            <w:col w:w="6341" w:space="40"/>
            <w:col w:w="18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97" w:lineRule="auto" w:before="119"/>
        <w:ind w:left="18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2646" w:val="left" w:leader="none"/>
        </w:tabs>
        <w:spacing w:before="0"/>
        <w:ind w:left="67" w:right="-2" w:firstLine="0"/>
        <w:jc w:val="left"/>
        <w:rPr>
          <w:rFonts w:ascii="宋体" w:hAnsi="宋体" w:cs="宋体" w:eastAsia="宋体" w:hint="default"/>
          <w:sz w:val="18"/>
          <w:szCs w:val="18"/>
        </w:rPr>
      </w:pP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48.51%</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p>
      <w:pPr>
        <w:spacing w:line="297" w:lineRule="auto" w:before="122"/>
        <w:ind w:left="65" w:right="151"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股东大会决议公告》</w:t>
      </w:r>
    </w:p>
    <w:p>
      <w:pPr>
        <w:spacing w:before="33"/>
        <w:ind w:left="65" w:right="151"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line="300" w:lineRule="auto" w:before="76"/>
        <w:ind w:left="65" w:right="145"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巨潮资讯网。</w:t>
      </w:r>
    </w:p>
    <w:p>
      <w:pPr>
        <w:spacing w:after="0" w:line="300" w:lineRule="auto"/>
        <w:jc w:val="left"/>
        <w:rPr>
          <w:rFonts w:ascii="宋体" w:hAnsi="宋体" w:cs="宋体" w:eastAsia="宋体" w:hint="default"/>
          <w:sz w:val="18"/>
          <w:szCs w:val="18"/>
        </w:rPr>
        <w:sectPr>
          <w:type w:val="continuous"/>
          <w:pgSz w:w="11910" w:h="16840"/>
          <w:pgMar w:top="1060" w:bottom="1160" w:left="980" w:right="980"/>
          <w:cols w:num="3" w:equalWidth="0">
            <w:col w:w="1671" w:space="40"/>
            <w:col w:w="6341" w:space="40"/>
            <w:col w:w="1858"/>
          </w:cols>
        </w:sectPr>
      </w:pPr>
    </w:p>
    <w:p>
      <w:pPr>
        <w:spacing w:line="240" w:lineRule="auto" w:before="10"/>
        <w:rPr>
          <w:rFonts w:ascii="宋体" w:hAnsi="宋体" w:cs="宋体" w:eastAsia="宋体" w:hint="default"/>
          <w:sz w:val="24"/>
          <w:szCs w:val="24"/>
        </w:rPr>
      </w:pPr>
    </w:p>
    <w:p>
      <w:pPr>
        <w:pStyle w:val="Heading3"/>
        <w:spacing w:line="240" w:lineRule="auto" w:before="36"/>
        <w:ind w:right="9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4"/>
          <w:szCs w:val="24"/>
        </w:rPr>
      </w:pPr>
    </w:p>
    <w:p>
      <w:pPr>
        <w:spacing w:line="491" w:lineRule="auto" w:before="0"/>
        <w:ind w:left="152" w:right="5738"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 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罗会远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盛昭瀚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王普超</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3"/>
        <w:rPr>
          <w:rFonts w:ascii="宋体" w:hAnsi="宋体" w:cs="宋体" w:eastAsia="宋体" w:hint="default"/>
          <w:b/>
          <w:bCs/>
          <w:sz w:val="5"/>
          <w:szCs w:val="5"/>
        </w:rPr>
      </w:pPr>
    </w:p>
    <w:p>
      <w:pPr>
        <w:pStyle w:val="BodyText"/>
        <w:spacing w:line="240" w:lineRule="auto" w:before="36"/>
        <w:ind w:right="92"/>
        <w:jc w:val="left"/>
      </w:pPr>
      <w:r>
        <w:rPr/>
        <w:t>连续两次未亲自出席董事会的说明</w:t>
      </w:r>
    </w:p>
    <w:p>
      <w:pPr>
        <w:spacing w:line="670" w:lineRule="atLeast" w:before="34"/>
        <w:ind w:left="152" w:right="387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、独立董事对公司有关事项提出异议的情况</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独立董事对公司有关事项是否提出异议</w:t>
      </w:r>
    </w:p>
    <w:p>
      <w:pPr>
        <w:spacing w:line="240" w:lineRule="auto" w:before="12"/>
        <w:rPr>
          <w:rFonts w:ascii="宋体" w:hAnsi="宋体" w:cs="宋体" w:eastAsia="宋体" w:hint="default"/>
          <w:sz w:val="17"/>
          <w:szCs w:val="17"/>
        </w:rPr>
      </w:pPr>
    </w:p>
    <w:p>
      <w:pPr>
        <w:pStyle w:val="BodyText"/>
        <w:spacing w:line="441" w:lineRule="auto" w:before="0"/>
        <w:ind w:right="4524"/>
        <w:jc w:val="left"/>
      </w:pPr>
      <w:r>
        <w:rPr/>
        <w:t>□ 是 √ 否</w:t>
      </w:r>
      <w:r>
        <w:rPr>
          <w:spacing w:val="-104"/>
        </w:rPr>
        <w:t> </w:t>
      </w:r>
      <w:r>
        <w:rPr>
          <w:spacing w:val="-104"/>
        </w:rPr>
      </w:r>
      <w:r>
        <w:rPr>
          <w:spacing w:val="-2"/>
        </w:rPr>
        <w:t>报告期内独立董事对公司有关事项未提出异议。</w:t>
      </w:r>
    </w:p>
    <w:p>
      <w:pPr>
        <w:spacing w:line="240" w:lineRule="auto" w:before="5"/>
        <w:rPr>
          <w:rFonts w:ascii="宋体" w:hAnsi="宋体" w:cs="宋体" w:eastAsia="宋体" w:hint="default"/>
          <w:sz w:val="18"/>
          <w:szCs w:val="18"/>
        </w:rPr>
      </w:pPr>
    </w:p>
    <w:p>
      <w:pPr>
        <w:pStyle w:val="Heading3"/>
        <w:spacing w:line="240" w:lineRule="auto"/>
        <w:ind w:right="9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92"/>
        <w:jc w:val="left"/>
      </w:pPr>
      <w:r>
        <w:rPr/>
        <w:t>独立董事对公司有关建议是否被采纳</w:t>
      </w:r>
    </w:p>
    <w:p>
      <w:pPr>
        <w:spacing w:line="240" w:lineRule="auto" w:before="12"/>
        <w:rPr>
          <w:rFonts w:ascii="宋体" w:hAnsi="宋体" w:cs="宋体" w:eastAsia="宋体" w:hint="default"/>
          <w:sz w:val="17"/>
          <w:szCs w:val="17"/>
        </w:rPr>
      </w:pPr>
    </w:p>
    <w:p>
      <w:pPr>
        <w:pStyle w:val="BodyText"/>
        <w:spacing w:line="444" w:lineRule="auto" w:before="0"/>
        <w:ind w:right="4524"/>
        <w:jc w:val="left"/>
      </w:pPr>
      <w:r>
        <w:rPr/>
        <w:t>√ 是 □ 否</w:t>
      </w:r>
      <w:r>
        <w:rPr>
          <w:spacing w:val="-104"/>
        </w:rPr>
        <w:t> </w:t>
      </w:r>
      <w:r>
        <w:rPr>
          <w:spacing w:val="-104"/>
        </w:rPr>
      </w:r>
      <w:r>
        <w:rPr/>
        <w:t>独立董事对公司有关建议被采纳或未被采纳的说明</w:t>
      </w:r>
      <w:r>
        <w:rPr>
          <w:w w:val="100"/>
        </w:rPr>
        <w:t> </w:t>
      </w:r>
      <w:r>
        <w:rPr/>
        <w:t>报告期内，独立董事提出的合理建议均被采纳。</w:t>
      </w:r>
    </w:p>
    <w:p>
      <w:pPr>
        <w:spacing w:line="240" w:lineRule="auto" w:before="3"/>
        <w:rPr>
          <w:rFonts w:ascii="宋体" w:hAnsi="宋体" w:cs="宋体" w:eastAsia="宋体" w:hint="default"/>
          <w:sz w:val="16"/>
          <w:szCs w:val="16"/>
        </w:rPr>
      </w:pPr>
    </w:p>
    <w:p>
      <w:pPr>
        <w:pStyle w:val="Heading2"/>
        <w:spacing w:line="240" w:lineRule="auto"/>
        <w:ind w:right="92"/>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25" w:right="92"/>
        <w:jc w:val="left"/>
      </w:pPr>
      <w:r>
        <w:rPr>
          <w:spacing w:val="-4"/>
        </w:rPr>
        <w:t>根据《公司法》、《上市公司治理准则》以及《公司章程》的有关规定，公司董事会下设战略委员会、</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85"/>
        <w:jc w:val="both"/>
      </w:pPr>
      <w:r>
        <w:rPr>
          <w:spacing w:val="-2"/>
        </w:rPr>
        <w:t>审计委员会、提名委员会和薪酬与考核委员会四个专门委员会，各专门委员会对董事会负责并报告工作。</w:t>
      </w:r>
      <w:r>
        <w:rPr>
          <w:spacing w:val="-21"/>
        </w:rPr>
        <w:t> </w:t>
      </w:r>
      <w:r>
        <w:rPr>
          <w:spacing w:val="-21"/>
        </w:rPr>
      </w:r>
      <w:r>
        <w:rPr>
          <w:spacing w:val="-2"/>
        </w:rPr>
        <w:t>报告期内，董事会各专门委员会按照《公司章程》及各自议事规则的规定开展工作，保障了董事会的有效</w:t>
      </w:r>
      <w:r>
        <w:rPr>
          <w:spacing w:val="-47"/>
        </w:rPr>
        <w:t> </w:t>
      </w:r>
      <w:r>
        <w:rPr>
          <w:spacing w:val="-47"/>
        </w:rPr>
      </w:r>
      <w:r>
        <w:rPr/>
        <w:t>运作。</w:t>
      </w:r>
    </w:p>
    <w:p>
      <w:pPr>
        <w:pStyle w:val="BodyText"/>
        <w:spacing w:line="408" w:lineRule="auto"/>
        <w:ind w:left="575" w:right="92"/>
        <w:jc w:val="left"/>
      </w:pPr>
      <w:r>
        <w:rPr>
          <w:rFonts w:ascii="宋体" w:hAnsi="宋体" w:cs="宋体" w:eastAsia="宋体" w:hint="default"/>
        </w:rPr>
        <w:t>1</w:t>
      </w:r>
      <w:r>
        <w:rPr/>
        <w:t>、战略委员会</w:t>
      </w:r>
      <w:r>
        <w:rPr>
          <w:w w:val="100"/>
        </w:rPr>
        <w:t> </w:t>
      </w:r>
      <w:r>
        <w:rPr>
          <w:spacing w:val="-2"/>
        </w:rPr>
        <w:t>公司董事会战略委员会由十一名董事组成，其中四名为独立董事。报告期内，董事会战略委员会根据</w:t>
      </w:r>
    </w:p>
    <w:p>
      <w:pPr>
        <w:pStyle w:val="BodyText"/>
        <w:spacing w:line="408" w:lineRule="auto"/>
        <w:ind w:right="92"/>
        <w:jc w:val="left"/>
      </w:pPr>
      <w:r>
        <w:rPr>
          <w:spacing w:val="-2"/>
        </w:rPr>
        <w:t>《公司章程》和《战略委员会议事规则》的有关规定，召集召开了会议，对公司的长期发展规划、经营目</w:t>
      </w:r>
      <w:r>
        <w:rPr>
          <w:spacing w:val="-42"/>
        </w:rPr>
        <w:t> </w:t>
      </w:r>
      <w:r>
        <w:rPr>
          <w:spacing w:val="-42"/>
        </w:rPr>
      </w:r>
      <w:r>
        <w:rPr/>
        <w:t>标、发展方针、经营战略等重大决策进行研究并提出了建议。</w:t>
      </w:r>
    </w:p>
    <w:p>
      <w:pPr>
        <w:pStyle w:val="BodyText"/>
        <w:spacing w:line="408" w:lineRule="auto"/>
        <w:ind w:left="575" w:right="92"/>
        <w:jc w:val="left"/>
      </w:pPr>
      <w:r>
        <w:rPr>
          <w:rFonts w:ascii="宋体" w:hAnsi="宋体" w:cs="宋体" w:eastAsia="宋体" w:hint="default"/>
        </w:rPr>
        <w:t>2</w:t>
      </w:r>
      <w:r>
        <w:rPr/>
        <w:t>、审计委员会</w:t>
      </w:r>
      <w:r>
        <w:rPr>
          <w:w w:val="100"/>
        </w:rPr>
        <w:t> </w:t>
      </w:r>
      <w:r>
        <w:rPr>
          <w:spacing w:val="-2"/>
        </w:rPr>
        <w:t>公司董事会审计委员会由七名董事组成，其中四名独立董事，并由具有注册会计师资格的独立董事担</w:t>
      </w:r>
    </w:p>
    <w:p>
      <w:pPr>
        <w:pStyle w:val="BodyText"/>
        <w:spacing w:line="408" w:lineRule="auto"/>
        <w:ind w:right="206"/>
        <w:jc w:val="both"/>
      </w:pPr>
      <w:r>
        <w:rPr>
          <w:spacing w:val="-2"/>
        </w:rPr>
        <w:t>任主任委员和会议召集人。报告期内，董事会审计委员会严格按照《审计委员会议事规则》和《审计委员</w:t>
      </w:r>
      <w:r>
        <w:rPr>
          <w:spacing w:val="-43"/>
        </w:rPr>
        <w:t> </w:t>
      </w:r>
      <w:r>
        <w:rPr>
          <w:spacing w:val="-43"/>
        </w:rPr>
      </w:r>
      <w:r>
        <w:rPr>
          <w:spacing w:val="-2"/>
        </w:rPr>
        <w:t>会年报工作制度》的规定履行职责，并召开多次会议对公司内部审计工作进度、重大事项实施情况的报告</w:t>
      </w:r>
      <w:r>
        <w:rPr>
          <w:spacing w:val="-44"/>
        </w:rPr>
        <w:t> </w:t>
      </w:r>
      <w:r>
        <w:rPr>
          <w:spacing w:val="-44"/>
        </w:rPr>
      </w:r>
      <w:r>
        <w:rPr>
          <w:spacing w:val="-2"/>
        </w:rPr>
        <w:t>等事项进行了审议，对公司内部控制制度的建设及执行情况进行了检查，监督公司财务信息的有关披露工</w:t>
      </w:r>
      <w:r>
        <w:rPr>
          <w:spacing w:val="-43"/>
        </w:rPr>
        <w:t> </w:t>
      </w:r>
      <w:r>
        <w:rPr>
          <w:spacing w:val="-43"/>
        </w:rPr>
      </w:r>
      <w:r>
        <w:rPr>
          <w:spacing w:val="-2"/>
        </w:rPr>
        <w:t>作，并与公司年审注册会计师就审计过程中发现的问题进行了沟通和交流，同时对会计师事务所审计工作</w:t>
      </w:r>
      <w:r>
        <w:rPr>
          <w:spacing w:val="-43"/>
        </w:rPr>
        <w:t> </w:t>
      </w:r>
      <w:r>
        <w:rPr>
          <w:spacing w:val="-43"/>
        </w:rPr>
      </w:r>
      <w:r>
        <w:rPr>
          <w:spacing w:val="-2"/>
        </w:rPr>
        <w:t>进行评价且提出了续聘建议，对年度审计工作进行总结，对下一年度工作提出计划。报告期内，审计委员</w:t>
      </w:r>
      <w:r>
        <w:rPr>
          <w:spacing w:val="-47"/>
        </w:rPr>
        <w:t> </w:t>
      </w:r>
      <w:r>
        <w:rPr>
          <w:spacing w:val="-47"/>
        </w:rPr>
      </w:r>
      <w:r>
        <w:rPr/>
        <w:t>会切实履行了监督核查职能，维护了审计的独立性。</w:t>
      </w:r>
    </w:p>
    <w:p>
      <w:pPr>
        <w:pStyle w:val="BodyText"/>
        <w:spacing w:line="408" w:lineRule="auto"/>
        <w:ind w:left="575" w:right="92"/>
        <w:jc w:val="left"/>
      </w:pPr>
      <w:r>
        <w:rPr>
          <w:rFonts w:ascii="宋体" w:hAnsi="宋体" w:cs="宋体" w:eastAsia="宋体" w:hint="default"/>
        </w:rPr>
        <w:t>3</w:t>
      </w:r>
      <w:r>
        <w:rPr/>
        <w:t>、提名委员会</w:t>
      </w:r>
      <w:r>
        <w:rPr>
          <w:w w:val="100"/>
        </w:rPr>
        <w:t> </w:t>
      </w:r>
      <w:r>
        <w:rPr>
          <w:spacing w:val="-2"/>
        </w:rPr>
        <w:t>公司董事会提名委员会由七名董事组成，其中四名独立董事，并由独立董事担任主任委员和会议召集</w:t>
      </w:r>
    </w:p>
    <w:p>
      <w:pPr>
        <w:pStyle w:val="BodyText"/>
        <w:spacing w:line="408" w:lineRule="auto"/>
        <w:ind w:right="92"/>
        <w:jc w:val="left"/>
      </w:pPr>
      <w:r>
        <w:rPr>
          <w:spacing w:val="-2"/>
        </w:rPr>
        <w:t>人。报告期内，提名委员会严格按照《公司章程》和《提名委员会议事规则》的有关规定履行职责，对公</w:t>
      </w:r>
      <w:r>
        <w:rPr>
          <w:spacing w:val="-46"/>
        </w:rPr>
        <w:t> </w:t>
      </w:r>
      <w:r>
        <w:rPr>
          <w:spacing w:val="-46"/>
        </w:rPr>
      </w:r>
      <w:r>
        <w:rPr>
          <w:spacing w:val="-5"/>
        </w:rPr>
        <w:t>司董事候选人、拟聘任高管人员人选的任职资格、专业能力和职业素质等进行了审查并发表了客观的意见。</w:t>
      </w:r>
    </w:p>
    <w:p>
      <w:pPr>
        <w:pStyle w:val="BodyText"/>
        <w:spacing w:line="408" w:lineRule="auto"/>
        <w:ind w:left="575" w:right="92" w:firstLine="105"/>
        <w:jc w:val="left"/>
      </w:pPr>
      <w:r>
        <w:rPr>
          <w:rFonts w:ascii="宋体" w:hAnsi="宋体" w:cs="宋体" w:eastAsia="宋体" w:hint="default"/>
        </w:rPr>
        <w:t>4</w:t>
      </w:r>
      <w:r>
        <w:rPr/>
        <w:t>、薪酬与考核委员会</w:t>
      </w:r>
      <w:r>
        <w:rPr>
          <w:w w:val="100"/>
        </w:rPr>
        <w:t> </w:t>
      </w:r>
      <w:r>
        <w:rPr>
          <w:spacing w:val="-2"/>
        </w:rPr>
        <w:t>公司董事会薪酬与考核委员会由七名董事组成，其中四名独立董事，并由独立董事担任主任委员和会</w:t>
      </w:r>
    </w:p>
    <w:p>
      <w:pPr>
        <w:pStyle w:val="BodyText"/>
        <w:spacing w:line="408" w:lineRule="auto"/>
        <w:ind w:right="92"/>
        <w:jc w:val="left"/>
      </w:pPr>
      <w:r>
        <w:rPr/>
        <w:t>议召集人。报告期内，董事会薪酬与考核委员会严格按照《公司章程》和《薪酬与考核委员会议事规则》</w:t>
      </w:r>
      <w:r>
        <w:rPr>
          <w:w w:val="100"/>
        </w:rPr>
        <w:t> </w:t>
      </w:r>
      <w:r>
        <w:rPr>
          <w:spacing w:val="-5"/>
        </w:rPr>
        <w:t>的有关规定履行职责，对公司董事、监事和高级管理人员的履职情况和薪酬分配方案等进行了检查和审议。</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七、监事会工作情况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both"/>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444" w:lineRule="auto" w:before="0"/>
        <w:ind w:right="5738"/>
        <w:jc w:val="left"/>
      </w:pPr>
      <w:r>
        <w:rPr/>
        <w:t>□ 是 √ 否</w:t>
      </w:r>
      <w:r>
        <w:rPr>
          <w:spacing w:val="-104"/>
        </w:rPr>
        <w:t> </w:t>
      </w:r>
      <w:r>
        <w:rPr>
          <w:spacing w:val="-104"/>
        </w:rPr>
      </w:r>
      <w:r>
        <w:rPr>
          <w:spacing w:val="-2"/>
        </w:rPr>
        <w:t>监事会对报告期内的监督事项无异议。</w:t>
      </w:r>
    </w:p>
    <w:p>
      <w:pPr>
        <w:spacing w:after="0" w:line="444" w:lineRule="auto"/>
        <w:jc w:val="left"/>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92"/>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92" w:firstLine="420"/>
        <w:jc w:val="left"/>
      </w:pPr>
      <w:r>
        <w:rPr>
          <w:spacing w:val="-5"/>
        </w:rPr>
        <w:t>公司在董事会薪酬与考核委员会的主持下，按照《公司章程》、《董事会薪酬与考核委员会议事规则》</w:t>
      </w:r>
      <w:r>
        <w:rPr>
          <w:w w:val="100"/>
        </w:rPr>
        <w:t> </w:t>
      </w:r>
      <w:r>
        <w:rPr>
          <w:spacing w:val="-2"/>
        </w:rPr>
        <w:t>等规定，综合评判各高级管理人员的工作能力、道德素养、履职情况及经营目标完成程度等情况，奖优惩</w:t>
      </w:r>
      <w:r>
        <w:rPr>
          <w:spacing w:val="-50"/>
        </w:rPr>
        <w:t> </w:t>
      </w:r>
      <w:r>
        <w:rPr>
          <w:spacing w:val="-50"/>
        </w:rPr>
      </w:r>
      <w:r>
        <w:rPr>
          <w:spacing w:val="-2"/>
        </w:rPr>
        <w:t>劣。报告期内，公司高级管理人员能够严格按照《公司法》、《公司章程》及国家有关法律法规认真履行</w:t>
      </w:r>
      <w:r>
        <w:rPr>
          <w:spacing w:val="-45"/>
        </w:rPr>
        <w:t> </w:t>
      </w:r>
      <w:r>
        <w:rPr>
          <w:spacing w:val="-45"/>
        </w:rPr>
      </w:r>
      <w:r>
        <w:rPr>
          <w:spacing w:val="-2"/>
        </w:rPr>
        <w:t>职责，积极落实公司股东大会和董事会相关决议，促进了公司持续健康发展，维护了公司利益和股东的合</w:t>
      </w:r>
      <w:r>
        <w:rPr>
          <w:spacing w:val="-44"/>
        </w:rPr>
        <w:t> </w:t>
      </w:r>
      <w:r>
        <w:rPr>
          <w:spacing w:val="-44"/>
        </w:rPr>
      </w:r>
      <w:r>
        <w:rPr/>
        <w:t>法权益。</w:t>
      </w:r>
    </w:p>
    <w:p>
      <w:pPr>
        <w:spacing w:line="240" w:lineRule="auto" w:before="9"/>
        <w:rPr>
          <w:rFonts w:ascii="宋体" w:hAnsi="宋体" w:cs="宋体" w:eastAsia="宋体" w:hint="default"/>
          <w:sz w:val="18"/>
          <w:szCs w:val="18"/>
        </w:rPr>
      </w:pPr>
    </w:p>
    <w:p>
      <w:pPr>
        <w:pStyle w:val="Heading2"/>
        <w:spacing w:line="240" w:lineRule="auto"/>
        <w:ind w:right="92"/>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92"/>
        <w:jc w:val="left"/>
      </w:pPr>
      <w:r>
        <w:rPr/>
        <w:t>□ 是 √</w:t>
      </w:r>
      <w:r>
        <w:rPr>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spacing w:before="44"/>
        <w:ind w:left="0" w:right="218" w:firstLine="0"/>
        <w:jc w:val="right"/>
        <w:rPr>
          <w:rFonts w:ascii="宋体" w:hAnsi="宋体" w:cs="宋体" w:eastAsia="宋体" w:hint="default"/>
          <w:sz w:val="18"/>
          <w:szCs w:val="18"/>
        </w:rPr>
      </w:pPr>
      <w:r>
        <w:rPr/>
        <w:pict>
          <v:shape style="position:absolute;margin-left:57pt;margin-top:-168.1483pt;width:478.7pt;height:410.9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8"/>
                    <w:gridCol w:w="3341"/>
                    <w:gridCol w:w="3040"/>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0" w:space="0" w:color="FFFFFF"/>
                        </w:tcBorders>
                      </w:tcPr>
                      <w:p>
                        <w:pPr>
                          <w:pStyle w:val="TableParagraph"/>
                          <w:spacing w:line="307" w:lineRule="auto" w:before="49"/>
                          <w:ind w:left="23" w:right="-30"/>
                          <w:jc w:val="left"/>
                          <w:rPr>
                            <w:rFonts w:ascii="宋体" w:hAnsi="宋体" w:cs="宋体" w:eastAsia="宋体" w:hint="default"/>
                            <w:sz w:val="18"/>
                            <w:szCs w:val="18"/>
                          </w:rPr>
                        </w:pPr>
                        <w:r>
                          <w:rPr>
                            <w:rFonts w:ascii="宋体" w:hAnsi="宋体" w:cs="宋体" w:eastAsia="宋体" w:hint="default"/>
                            <w:spacing w:val="-5"/>
                            <w:sz w:val="18"/>
                            <w:szCs w:val="18"/>
                          </w:rPr>
                          <w:t>重大缺陷标准：（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w:t>
                        </w:r>
                        <w:r>
                          <w:rPr>
                            <w:rFonts w:ascii="宋体" w:hAnsi="宋体" w:cs="宋体" w:eastAsia="宋体" w:hint="default"/>
                            <w:spacing w:val="-86"/>
                            <w:sz w:val="18"/>
                            <w:szCs w:val="18"/>
                          </w:rPr>
                          <w:t> </w:t>
                        </w:r>
                        <w:r>
                          <w:rPr>
                            <w:rFonts w:ascii="宋体" w:hAnsi="宋体" w:cs="宋体" w:eastAsia="宋体" w:hint="default"/>
                            <w:sz w:val="18"/>
                            <w:szCs w:val="18"/>
                          </w:rPr>
                          <w:t>级管理人员舞弊并给企业造成重大损失和 </w:t>
                        </w:r>
                        <w:r>
                          <w:rPr>
                            <w:rFonts w:ascii="宋体" w:hAnsi="宋体" w:cs="宋体" w:eastAsia="宋体" w:hint="default"/>
                            <w:spacing w:val="-5"/>
                            <w:sz w:val="18"/>
                            <w:szCs w:val="18"/>
                          </w:rPr>
                          <w:t>不利影响；（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）外部审计发现当期财务报</w:t>
                        </w:r>
                        <w:r>
                          <w:rPr>
                            <w:rFonts w:ascii="宋体" w:hAnsi="宋体" w:cs="宋体" w:eastAsia="宋体" w:hint="default"/>
                            <w:spacing w:val="-86"/>
                            <w:sz w:val="18"/>
                            <w:szCs w:val="18"/>
                          </w:rPr>
                          <w:t> </w:t>
                        </w:r>
                        <w:r>
                          <w:rPr>
                            <w:rFonts w:ascii="宋体" w:hAnsi="宋体" w:cs="宋体" w:eastAsia="宋体" w:hint="default"/>
                            <w:spacing w:val="-10"/>
                            <w:sz w:val="18"/>
                            <w:szCs w:val="18"/>
                          </w:rPr>
                          <w:t>告存在重大错报，公司未能首先发现；（</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已经发现并报告给管理层的重大缺陷在合</w:t>
                        </w:r>
                        <w:r>
                          <w:rPr>
                            <w:rFonts w:ascii="宋体" w:hAnsi="宋体" w:cs="宋体" w:eastAsia="宋体" w:hint="default"/>
                            <w:sz w:val="18"/>
                            <w:szCs w:val="18"/>
                          </w:rPr>
                          <w:t> </w:t>
                        </w:r>
                        <w:r>
                          <w:rPr>
                            <w:rFonts w:ascii="宋体" w:hAnsi="宋体" w:cs="宋体" w:eastAsia="宋体" w:hint="default"/>
                            <w:spacing w:val="-5"/>
                            <w:sz w:val="18"/>
                            <w:szCs w:val="18"/>
                          </w:rPr>
                          <w:t>理的时间内未加以改正；（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pacing w:val="-86"/>
                            <w:sz w:val="18"/>
                            <w:szCs w:val="18"/>
                          </w:rPr>
                          <w:t> </w:t>
                        </w:r>
                        <w:r>
                          <w:rPr>
                            <w:rFonts w:ascii="宋体" w:hAnsi="宋体" w:cs="宋体" w:eastAsia="宋体" w:hint="default"/>
                            <w:sz w:val="18"/>
                            <w:szCs w:val="18"/>
                          </w:rPr>
                          <w:t>员会和公司内部审计部门对内部控制的监 </w:t>
                        </w:r>
                        <w:r>
                          <w:rPr>
                            <w:rFonts w:ascii="宋体" w:hAnsi="宋体" w:cs="宋体" w:eastAsia="宋体" w:hint="default"/>
                            <w:spacing w:val="-5"/>
                            <w:sz w:val="18"/>
                            <w:szCs w:val="18"/>
                          </w:rPr>
                          <w:t>督无效。重要缺陷标准：（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w:t>
                        </w:r>
                        <w:r>
                          <w:rPr>
                            <w:rFonts w:ascii="宋体" w:hAnsi="宋体" w:cs="宋体" w:eastAsia="宋体" w:hint="default"/>
                            <w:spacing w:val="-86"/>
                            <w:sz w:val="18"/>
                            <w:szCs w:val="18"/>
                          </w:rPr>
                          <w:t> </w:t>
                        </w:r>
                        <w:r>
                          <w:rPr>
                            <w:rFonts w:ascii="宋体" w:hAnsi="宋体" w:cs="宋体" w:eastAsia="宋体" w:hint="default"/>
                            <w:spacing w:val="-5"/>
                            <w:sz w:val="18"/>
                            <w:szCs w:val="18"/>
                          </w:rPr>
                          <w:t>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w:t>
                        </w:r>
                        <w:r>
                          <w:rPr>
                            <w:rFonts w:ascii="宋体" w:hAnsi="宋体" w:cs="宋体" w:eastAsia="宋体" w:hint="default"/>
                            <w:spacing w:val="-83"/>
                            <w:sz w:val="18"/>
                            <w:szCs w:val="18"/>
                          </w:rPr>
                          <w:t> </w:t>
                        </w:r>
                        <w:r>
                          <w:rPr>
                            <w:rFonts w:ascii="宋体" w:hAnsi="宋体" w:cs="宋体" w:eastAsia="宋体" w:hint="default"/>
                            <w:spacing w:val="-5"/>
                            <w:sz w:val="18"/>
                            <w:szCs w:val="18"/>
                          </w:rPr>
                          <w:t>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w:t>
                        </w:r>
                        <w:r>
                          <w:rPr>
                            <w:rFonts w:ascii="宋体" w:hAnsi="宋体" w:cs="宋体" w:eastAsia="宋体" w:hint="default"/>
                            <w:spacing w:val="-86"/>
                            <w:sz w:val="18"/>
                            <w:szCs w:val="18"/>
                          </w:rPr>
                          <w:t> </w:t>
                        </w:r>
                        <w:r>
                          <w:rPr>
                            <w:rFonts w:ascii="宋体" w:hAnsi="宋体" w:cs="宋体" w:eastAsia="宋体" w:hint="default"/>
                            <w:sz w:val="18"/>
                            <w:szCs w:val="18"/>
                          </w:rPr>
                          <w:t>规或特殊交易的账务处理没有建立相应的 控制机制或没有实施且没有相应的补偿性 </w:t>
                        </w:r>
                        <w:r>
                          <w:rPr>
                            <w:rFonts w:ascii="宋体" w:hAnsi="宋体" w:cs="宋体" w:eastAsia="宋体" w:hint="default"/>
                            <w:spacing w:val="-5"/>
                            <w:sz w:val="18"/>
                            <w:szCs w:val="18"/>
                          </w:rPr>
                          <w:t>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w:t>
                        </w:r>
                        <w:r>
                          <w:rPr>
                            <w:rFonts w:ascii="宋体" w:hAnsi="宋体" w:cs="宋体" w:eastAsia="宋体" w:hint="default"/>
                            <w:spacing w:val="-86"/>
                            <w:sz w:val="18"/>
                            <w:szCs w:val="18"/>
                          </w:rPr>
                          <w:t> </w:t>
                        </w:r>
                        <w:r>
                          <w:rPr>
                            <w:rFonts w:ascii="宋体" w:hAnsi="宋体" w:cs="宋体" w:eastAsia="宋体" w:hint="default"/>
                            <w:sz w:val="18"/>
                            <w:szCs w:val="18"/>
                          </w:rPr>
                          <w:t>存在一项或多项缺陷且不能合理保证编制 的财务报表达到真实、完整的目标。</w:t>
                        </w:r>
                      </w:p>
                    </w:tc>
                    <w:tc>
                      <w:tcPr>
                        <w:tcW w:w="3040"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）非财务报告重大缺陷的迹象包括</w:t>
                        </w:r>
                        <w:r>
                          <w:rPr>
                            <w:rFonts w:ascii="宋体" w:hAnsi="宋体" w:cs="宋体" w:eastAsia="宋体" w:hint="default"/>
                            <w:sz w:val="18"/>
                            <w:szCs w:val="18"/>
                          </w:rPr>
                          <w:t> </w:t>
                        </w:r>
                        <w:r>
                          <w:rPr>
                            <w:rFonts w:ascii="宋体" w:hAnsi="宋体" w:cs="宋体" w:eastAsia="宋体" w:hint="default"/>
                            <w:spacing w:val="-4"/>
                            <w:sz w:val="18"/>
                            <w:szCs w:val="18"/>
                          </w:rPr>
                          <w:t>违犯国家法律法规或规范性文件、重大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决策程序不科学、制度缺失可能导致内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部控制系统性失效、重大或重要缺陷未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得到整改、其他对公司负面影响重大的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情形。（</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）非财务报告重要缺陷的迹象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包括：重要业务制度或流程存在的缺 </w:t>
                        </w:r>
                        <w:r>
                          <w:rPr>
                            <w:rFonts w:ascii="宋体" w:hAnsi="宋体" w:cs="宋体" w:eastAsia="宋体" w:hint="default"/>
                            <w:spacing w:val="-4"/>
                            <w:sz w:val="18"/>
                            <w:szCs w:val="18"/>
                          </w:rPr>
                          <w:t>陷；决策程序出现重大失误；关键岗位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人员流失严重；内部控制内部监督发现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的重要缺陷未及时整改；其他对公司产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生较大负面影响的情形。（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）非财务报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告一般缺陷是指除上述重大缺陷、重要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缺陷之外的其他控制缺陷。</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0" w:space="0" w:color="FFFFFF"/>
                        </w:tcBorders>
                      </w:tcPr>
                      <w:p>
                        <w:pPr/>
                      </w:p>
                    </w:tc>
                    <w:tc>
                      <w:tcPr>
                        <w:tcW w:w="3040" w:type="dxa"/>
                        <w:vMerge/>
                        <w:tcBorders>
                          <w:left w:val="single" w:sz="10" w:space="0" w:color="FFFFFF"/>
                          <w:right w:val="single" w:sz="4" w:space="0" w:color="000000"/>
                        </w:tcBorders>
                      </w:tcPr>
                      <w:p>
                        <w:pPr/>
                      </w:p>
                    </w:tc>
                  </w:tr>
                  <w:tr>
                    <w:trPr>
                      <w:trHeight w:val="2189"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0" w:space="0" w:color="FFFFFF"/>
                        </w:tcBorders>
                      </w:tcPr>
                      <w:p>
                        <w:pPr/>
                      </w:p>
                    </w:tc>
                    <w:tc>
                      <w:tcPr>
                        <w:tcW w:w="3040" w:type="dxa"/>
                        <w:vMerge/>
                        <w:tcBorders>
                          <w:left w:val="single" w:sz="10" w:space="0" w:color="FFFFFF"/>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right="9"/>
                          <w:jc w:val="center"/>
                          <w:rPr>
                            <w:rFonts w:ascii="宋体" w:hAnsi="宋体" w:cs="宋体" w:eastAsia="宋体" w:hint="default"/>
                            <w:sz w:val="18"/>
                            <w:szCs w:val="18"/>
                          </w:rPr>
                        </w:pP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合并财务报表利润总额的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0"/>
                          <w:jc w:val="center"/>
                          <w:rPr>
                            <w:rFonts w:ascii="宋体" w:hAnsi="宋体" w:cs="宋体" w:eastAsia="宋体" w:hint="default"/>
                            <w:sz w:val="18"/>
                            <w:szCs w:val="18"/>
                          </w:rPr>
                        </w:pPr>
                        <w:r>
                          <w:rPr>
                            <w:rFonts w:ascii="宋体" w:hAnsi="宋体" w:cs="宋体" w:eastAsia="宋体" w:hint="default"/>
                            <w:sz w:val="18"/>
                            <w:szCs w:val="18"/>
                          </w:rPr>
                          <w:t>重大缺陷：直接财产损失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tc>
                  </w:tr>
                </w:tbl>
                <w:p>
                  <w:pP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29"/>
          <w:szCs w:val="29"/>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5pt;mso-position-horizontal-relative:char;mso-position-vertical-relative:line" coordorigin="0,0" coordsize="2994,313">
            <v:group style="position:absolute;left:0;top:0;width:2994;height:313" coordorigin="0,0" coordsize="2994,313">
              <v:shape style="position:absolute;left:0;top:0;width:2994;height:313" coordorigin="0,0" coordsize="2994,313"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；重要缺陷：合并财务报表利润总额的</w:t>
            </w:r>
          </w:p>
          <w:p>
            <w:pPr>
              <w:pStyle w:val="TableParagraph"/>
              <w:spacing w:line="300"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5"/>
                <w:sz w:val="18"/>
                <w:szCs w:val="18"/>
              </w:rPr>
              <w:t>一般缺陷：错报</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合并财务报表利润总额的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17"/>
              <w:jc w:val="left"/>
              <w:rPr>
                <w:rFonts w:ascii="宋体" w:hAnsi="宋体" w:cs="宋体" w:eastAsia="宋体" w:hint="default"/>
                <w:sz w:val="18"/>
                <w:szCs w:val="18"/>
              </w:rPr>
            </w:pPr>
            <w:r>
              <w:rPr>
                <w:rFonts w:ascii="宋体" w:hAnsi="宋体" w:cs="宋体" w:eastAsia="宋体" w:hint="default"/>
                <w:spacing w:val="-5"/>
                <w:sz w:val="18"/>
                <w:szCs w:val="18"/>
              </w:rPr>
              <w:t>以上；重要缺陷：直接财产损失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万元；一般缺 陷：直接财产损失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right="0"/>
        <w:jc w:val="left"/>
      </w:pPr>
      <w:r>
        <w:rPr/>
        <w:t>内部控制审计报告</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 了有效的财务报告内部控制。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会计师事务所是否出具非标准意见的内部控制审计报告</w:t>
      </w:r>
    </w:p>
    <w:p>
      <w:pPr>
        <w:spacing w:line="240" w:lineRule="auto" w:before="9"/>
        <w:rPr>
          <w:rFonts w:ascii="宋体" w:hAnsi="宋体" w:cs="宋体" w:eastAsia="宋体" w:hint="default"/>
          <w:sz w:val="17"/>
          <w:szCs w:val="17"/>
        </w:rPr>
      </w:pPr>
    </w:p>
    <w:p>
      <w:pPr>
        <w:pStyle w:val="BodyText"/>
        <w:spacing w:line="444" w:lineRule="auto" w:before="0"/>
        <w:ind w:right="1587"/>
        <w:jc w:val="left"/>
      </w:pPr>
      <w:r>
        <w:rPr/>
        <w:t>□ 是 √ 否</w:t>
      </w:r>
      <w:r>
        <w:rPr>
          <w:spacing w:val="-104"/>
        </w:rPr>
        <w:t> </w:t>
      </w:r>
      <w:r>
        <w:rPr>
          <w:spacing w:val="-104"/>
        </w:rPr>
      </w:r>
      <w:r>
        <w:rPr>
          <w:spacing w:val="-2"/>
        </w:rPr>
        <w:t>会计师事务所出具的内部控制审计报告与董事会的自我评价报告意见是否一致</w:t>
      </w:r>
    </w:p>
    <w:p>
      <w:pPr>
        <w:pStyle w:val="BodyText"/>
        <w:spacing w:line="240" w:lineRule="auto" w:before="55"/>
        <w:ind w:right="0"/>
        <w:jc w:val="left"/>
      </w:pPr>
      <w:r>
        <w:rPr/>
        <w:t>√ 是 □</w:t>
      </w:r>
      <w:r>
        <w:rPr>
          <w:spacing w:val="1"/>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259"/>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[2016]01620003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谢卉、张丽丽</w:t>
            </w:r>
          </w:p>
        </w:tc>
      </w:tr>
    </w:tbl>
    <w:p>
      <w:pPr>
        <w:spacing w:line="240" w:lineRule="auto" w:before="3"/>
        <w:rPr>
          <w:rFonts w:ascii="宋体" w:hAnsi="宋体" w:cs="宋体" w:eastAsia="宋体" w:hint="default"/>
          <w:b/>
          <w:bCs/>
          <w:sz w:val="5"/>
          <w:szCs w:val="5"/>
        </w:rPr>
      </w:pPr>
    </w:p>
    <w:p>
      <w:pPr>
        <w:spacing w:line="441" w:lineRule="auto" w:before="36"/>
        <w:ind w:left="152" w:right="4331" w:firstLine="4189"/>
        <w:jc w:val="left"/>
        <w:rPr>
          <w:rFonts w:ascii="宋体" w:hAnsi="宋体" w:cs="宋体" w:eastAsia="宋体" w:hint="default"/>
          <w:sz w:val="21"/>
          <w:szCs w:val="21"/>
        </w:rPr>
      </w:pPr>
      <w:r>
        <w:rPr>
          <w:rFonts w:ascii="宋体" w:hAnsi="宋体" w:cs="宋体" w:eastAsia="宋体" w:hint="default"/>
          <w:spacing w:val="-1"/>
          <w:sz w:val="21"/>
          <w:szCs w:val="21"/>
        </w:rPr>
        <w:t>审计报告正文</w:t>
      </w:r>
      <w:r>
        <w:rPr>
          <w:rFonts w:ascii="宋体" w:hAnsi="宋体" w:cs="宋体" w:eastAsia="宋体" w:hint="default"/>
          <w:w w:val="100"/>
          <w:sz w:val="21"/>
          <w:szCs w:val="21"/>
        </w:rPr>
        <w:t> </w:t>
      </w:r>
      <w:r>
        <w:rPr>
          <w:rFonts w:ascii="宋体" w:hAnsi="宋体" w:cs="宋体" w:eastAsia="宋体" w:hint="default"/>
          <w:b/>
          <w:bCs/>
          <w:sz w:val="21"/>
          <w:szCs w:val="21"/>
        </w:rPr>
        <w:t>美年大健康产业控股股份有限公司全体股东：</w:t>
      </w:r>
      <w:r>
        <w:rPr>
          <w:rFonts w:ascii="宋体" w:hAnsi="宋体" w:cs="宋体" w:eastAsia="宋体" w:hint="default"/>
          <w:sz w:val="21"/>
          <w:szCs w:val="21"/>
        </w:rPr>
      </w:r>
    </w:p>
    <w:p>
      <w:pPr>
        <w:pStyle w:val="BodyText"/>
        <w:spacing w:line="408" w:lineRule="auto" w:before="16"/>
        <w:ind w:right="146" w:firstLine="317"/>
        <w:jc w:val="both"/>
      </w:pPr>
      <w:r>
        <w:rPr>
          <w:spacing w:val="-5"/>
        </w:rPr>
        <w:t>我们审计了后附的美年大健康产业控股股份有限公司（以下简称“美年健康”）的财务报表，包括</w:t>
      </w:r>
      <w:r>
        <w:rPr>
          <w:rFonts w:ascii="宋体" w:hAnsi="宋体" w:cs="宋体" w:eastAsia="宋体" w:hint="default"/>
          <w:spacing w:val="-5"/>
        </w:rPr>
        <w:t>2015</w:t>
      </w:r>
      <w:r>
        <w:rPr>
          <w:rFonts w:ascii="宋体" w:hAnsi="宋体" w:cs="宋体" w:eastAsia="宋体" w:hint="default"/>
          <w:w w:val="100"/>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日合并及公司的资产负债表，</w:t>
      </w:r>
      <w:r>
        <w:rPr>
          <w:rFonts w:ascii="宋体" w:hAnsi="宋体" w:cs="宋体" w:eastAsia="宋体" w:hint="default"/>
          <w:spacing w:val="-2"/>
        </w:rPr>
        <w:t>2015</w:t>
      </w:r>
      <w:r>
        <w:rPr>
          <w:spacing w:val="-2"/>
        </w:rPr>
        <w:t>年度合并及公司的利润表、合并及公司的现金流量表和合并及</w:t>
      </w:r>
      <w:r>
        <w:rPr>
          <w:spacing w:val="-35"/>
        </w:rPr>
        <w:t> </w:t>
      </w:r>
      <w:r>
        <w:rPr>
          <w:spacing w:val="-35"/>
        </w:rPr>
      </w:r>
      <w:r>
        <w:rPr/>
        <w:t>公司的股东权益变动表以及财务报表附注。</w:t>
      </w:r>
    </w:p>
    <w:p>
      <w:pPr>
        <w:spacing w:line="408"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编制和公允列报财务报表是美年大健康管理层的责任。这种责任包括：（</w:t>
      </w:r>
      <w:r>
        <w:rPr>
          <w:rFonts w:ascii="宋体" w:hAnsi="宋体" w:cs="宋体" w:eastAsia="宋体" w:hint="default"/>
          <w:spacing w:val="-1"/>
          <w:sz w:val="21"/>
          <w:szCs w:val="21"/>
        </w:rPr>
        <w:t>1</w:t>
      </w:r>
      <w:r>
        <w:rPr>
          <w:rFonts w:ascii="宋体" w:hAnsi="宋体" w:cs="宋体" w:eastAsia="宋体" w:hint="default"/>
          <w:spacing w:val="-1"/>
          <w:sz w:val="21"/>
          <w:szCs w:val="21"/>
        </w:rPr>
        <w:t>）按照企业会计准则的规</w:t>
      </w:r>
    </w:p>
    <w:p>
      <w:pPr>
        <w:pStyle w:val="BodyText"/>
        <w:spacing w:line="408" w:lineRule="auto"/>
        <w:ind w:right="0"/>
        <w:jc w:val="left"/>
      </w:pPr>
      <w:r>
        <w:rPr/>
        <w:t>定编制财务报表，并使其实现公允反映；（</w:t>
      </w:r>
      <w:r>
        <w:rPr>
          <w:rFonts w:ascii="宋体" w:hAnsi="宋体" w:cs="宋体" w:eastAsia="宋体" w:hint="default"/>
        </w:rPr>
        <w:t>2</w:t>
      </w:r>
      <w:r>
        <w:rPr/>
        <w:t>）设计、执行和维护必要的内部控制，以使财务报表不存在</w:t>
      </w:r>
      <w:r>
        <w:rPr>
          <w:spacing w:val="-23"/>
        </w:rPr>
        <w:t> </w:t>
      </w:r>
      <w:r>
        <w:rPr>
          <w:spacing w:val="-23"/>
        </w:rPr>
      </w:r>
      <w:r>
        <w:rPr/>
        <w:t>由于舞弊或错误导致的重大错报。</w:t>
      </w:r>
    </w:p>
    <w:p>
      <w:pPr>
        <w:pStyle w:val="BodyText"/>
        <w:spacing w:line="408" w:lineRule="auto"/>
        <w:ind w:left="633"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4"/>
        </w:rPr>
        <w:t>我们的责任是在执行审计工作的基础上对财务报表发表审计意见。我们按照中国注册会计师审计准则</w:t>
      </w:r>
    </w:p>
    <w:p>
      <w:pPr>
        <w:pStyle w:val="BodyText"/>
        <w:spacing w:line="410" w:lineRule="auto"/>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before="44"/>
        <w:ind w:right="146"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408" w:lineRule="auto"/>
        <w:ind w:left="635" w:right="1587"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pStyle w:val="BodyText"/>
        <w:spacing w:line="240" w:lineRule="auto"/>
        <w:ind w:left="633" w:right="0"/>
        <w:jc w:val="left"/>
      </w:pPr>
      <w:r>
        <w:rPr>
          <w:spacing w:val="-4"/>
        </w:rPr>
        <w:t>我们认为，上述财务报表在所有重大方面按照企业会计准则的规定编制，公允反映了美年大健康产业</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t>控股股份有限公司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2015</w:t>
      </w:r>
      <w:r>
        <w:rPr/>
        <w:t>年度合并及公司的经营成果和现金流</w:t>
      </w:r>
      <w:r>
        <w:rPr>
          <w:spacing w:val="65"/>
        </w:rPr>
        <w:t> </w:t>
      </w:r>
      <w:r>
        <w:rPr>
          <w:spacing w:val="65"/>
        </w:rPr>
      </w:r>
      <w:r>
        <w:rPr/>
        <w:t>量。</w:t>
      </w:r>
    </w:p>
    <w:p>
      <w:pPr>
        <w:spacing w:line="240" w:lineRule="auto" w:before="8"/>
        <w:rPr>
          <w:rFonts w:ascii="宋体" w:hAnsi="宋体" w:cs="宋体" w:eastAsia="宋体" w:hint="default"/>
          <w:sz w:val="18"/>
          <w:szCs w:val="18"/>
        </w:rPr>
      </w:pPr>
    </w:p>
    <w:p>
      <w:pPr>
        <w:spacing w:line="511" w:lineRule="auto" w:before="0"/>
        <w:ind w:left="152" w:right="5723"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511" w:lineRule="auto"/>
        <w:jc w:val="left"/>
        <w:rPr>
          <w:rFonts w:ascii="宋体" w:hAnsi="宋体" w:cs="宋体" w:eastAsia="宋体" w:hint="default"/>
          <w:sz w:val="21"/>
          <w:szCs w:val="21"/>
        </w:rPr>
        <w:sectPr>
          <w:pgSz w:w="11910" w:h="16840"/>
          <w:pgMar w:header="745" w:footer="979" w:top="1060" w:bottom="1160" w:left="980" w:right="980"/>
        </w:sectPr>
      </w:pPr>
    </w:p>
    <w:p>
      <w:pPr>
        <w:pStyle w:val="BodyText"/>
        <w:spacing w:line="240" w:lineRule="auto" w:before="61"/>
        <w:ind w:right="0"/>
        <w:jc w:val="left"/>
      </w:pPr>
      <w:r>
        <w:rPr/>
        <w:t>编制单位：美年大健康产业控股股份有限公司</w:t>
      </w:r>
    </w:p>
    <w:p>
      <w:pPr>
        <w:spacing w:before="99"/>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718" w:space="3203"/>
            <w:col w:w="102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1,105,736,784.18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577,386,076.94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131,438.30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537,576,765.79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328,159,133.59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75,279,601.24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41,182,314.25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154,219,296.59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111,000,145.54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24,659,185.92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14,589,006.98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1,463,066.67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2,016,495.85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1,901,111,196.24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1,072,584,115.60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1,070,865,925.70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2,750,288.89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2,932,214.37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39,954,303.87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137,161,122.89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624,270,621.21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425,967,115.63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64,095,829.43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75,397,407.39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12,664,653.48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12,859,454.24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417,249,139.40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111,878,604.96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284,440,506.02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214,219,107.33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39,731,451.79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45,263,656.53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23,812,543.91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23,470,223.00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2,579,835,263.70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1,056,368,906.34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4,480,946,459.94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2,128,953,021.94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1,662,750.00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2,785,150.00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153,152,617.45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98,082,161.59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204,488,955.45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108,418,126.62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64,899,428.40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39,513,560.20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51,279,893.28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36,573,691.19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810,416.35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850,201.59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850,201.59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95,945,997.95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51,755,776.27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64,838,998.61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38,900,075.64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1,116,429,259.08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569,678,743.10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86,379,900.00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4,490,909.15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33,923,010.98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59,944,538.25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1,286,364.54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548,168.22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122,989,275.52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64,983,615.62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1,239,418,534.60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634,662,358.72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1,210,741,353.00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732,748,260.00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1,315,080,527.29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419,068,014.54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417,407.86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530,152,490.18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270,296,463.89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3,056,391,778.33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1,422,112,738.43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185,136,147.01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72,177,924.79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3,241,527,925.34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1,494,290,663.22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4,480,946,459.94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2,128,953,021.94</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5" w:firstLine="0"/>
        <w:jc w:val="right"/>
        <w:rPr>
          <w:rFonts w:ascii="宋体" w:hAnsi="宋体" w:cs="宋体" w:eastAsia="宋体" w:hint="default"/>
          <w:sz w:val="18"/>
          <w:szCs w:val="18"/>
        </w:rPr>
      </w:pPr>
      <w:r>
        <w:rPr>
          <w:rFonts w:ascii="宋体" w:hAnsi="宋体" w:cs="宋体" w:eastAsia="宋体" w:hint="default"/>
          <w:sz w:val="18"/>
          <w:szCs w:val="18"/>
        </w:rPr>
        <w:t>法定代表人：俞熔</w:t>
        <w:tab/>
      </w:r>
      <w:r>
        <w:rPr>
          <w:rFonts w:ascii="宋体" w:hAnsi="宋体" w:cs="宋体" w:eastAsia="宋体" w:hint="default"/>
          <w:spacing w:val="-1"/>
          <w:sz w:val="18"/>
          <w:szCs w:val="18"/>
        </w:rPr>
        <w:t>主管会计工作负责人：兰佳</w:t>
        <w:tab/>
      </w:r>
      <w:r>
        <w:rPr>
          <w:rFonts w:ascii="宋体" w:hAnsi="宋体" w:cs="宋体" w:eastAsia="宋体" w:hint="default"/>
          <w:sz w:val="18"/>
          <w:szCs w:val="18"/>
        </w:rPr>
        <w:t>会计机构负责人：兰佳</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32,904,612.31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128,744,952.40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40,687,823.86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2,444,430.12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25,169,606.00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45,841,531.57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29,134,253.78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27,461,288.90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22,995,219.78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85,584,642.21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269,848,211.51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5,882,699,415.39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177,077,890.52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5,386,554.98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15,987,747.05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4,016,489.78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5,145,442.17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728,923.96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5,882,699,415.39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258,343,048.46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5,968,284,057.60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528,191,259.97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37,076,017.84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482,010.63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543,416.68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20,876,695.53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25,169,606.00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5,344,623.46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61,977,580.39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3,847,781.42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87,690,603.07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147,627,128.88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87,690,603.07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148,627,128.88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1,210,741,353.00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4,489,272,536.17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761,500.74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92,526,982.61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81,450,230.50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88,052,582.75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73,102,399.85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5,880,593,454.53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379,564,131.09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5,968,284,057.60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528,191,259.97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2,101,482,138.09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1,430,687,178.54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2,101,482,138.09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1,430,687,178.54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60.569977pt;width:158.9pt;height:20.65pt;mso-position-horizontal-relative:page;mso-position-vertical-relative:page;z-index:-1400440" coordorigin="4220,9211" coordsize="3178,413">
            <v:group style="position:absolute;left:4231;top:9222;width:2;height:392" coordorigin="4231,9222" coordsize="2,392">
              <v:shape style="position:absolute;left:4231;top:9222;width:2;height:392" coordorigin="4231,9222" coordsize="0,392" path="m4231,9222l4231,9613e" filled="false" stroked="true" strokeweight="1.08pt" strokecolor="#ffffff">
                <v:path arrowok="t"/>
              </v:shape>
            </v:group>
            <v:group style="position:absolute;left:4242;top:9222;width:3157;height:392" coordorigin="4242,9222" coordsize="3157,392">
              <v:shape style="position:absolute;left:4242;top:9222;width:3157;height:392" coordorigin="4242,9222" coordsize="3157,392" path="m4242,9613l7398,9613,7398,9222,4242,9222,4242,9613xe" filled="true" fillcolor="#ffffff" stroked="false">
                <v:path arrowok="t"/>
                <v:fill type="solid"/>
              </v:shape>
            </v:group>
            <w10:wrap type="none"/>
          </v:group>
        </w:pict>
      </w:r>
      <w:r>
        <w:rPr/>
        <w:pict>
          <v:group style="position:absolute;margin-left:211.009995pt;margin-top:581.200012pt;width:158.9pt;height:20.65pt;mso-position-horizontal-relative:page;mso-position-vertical-relative:page;z-index:-1400416" coordorigin="4220,11624" coordsize="3178,413">
            <v:group style="position:absolute;left:4231;top:11635;width:2;height:392" coordorigin="4231,11635" coordsize="2,392">
              <v:shape style="position:absolute;left:4231;top:11635;width:2;height:392" coordorigin="4231,11635" coordsize="0,392" path="m4231,11635l4231,12026e" filled="false" stroked="true" strokeweight="1.08pt" strokecolor="#ffffff">
                <v:path arrowok="t"/>
              </v:shape>
            </v:group>
            <v:group style="position:absolute;left:4242;top:11635;width:3157;height:392" coordorigin="4242,11635" coordsize="3157,392">
              <v:shape style="position:absolute;left:4242;top:11635;width:3157;height:392" coordorigin="4242,11635" coordsize="3157,392" path="m4242,12026l7398,12026,7398,11635,4242,11635,4242,120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21" w:right="0"/>
              <w:jc w:val="left"/>
              <w:rPr>
                <w:rFonts w:ascii="Times New Roman" w:hAnsi="Times New Roman" w:cs="Times New Roman" w:eastAsia="Times New Roman" w:hint="default"/>
                <w:sz w:val="18"/>
                <w:szCs w:val="18"/>
              </w:rPr>
            </w:pPr>
            <w:r>
              <w:rPr>
                <w:rFonts w:ascii="Times New Roman"/>
                <w:sz w:val="18"/>
              </w:rPr>
              <w:t>1,797,357,013.72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1,267,302,892.27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21" w:right="0"/>
              <w:jc w:val="left"/>
              <w:rPr>
                <w:rFonts w:ascii="Times New Roman" w:hAnsi="Times New Roman" w:cs="Times New Roman" w:eastAsia="Times New Roman" w:hint="default"/>
                <w:sz w:val="18"/>
                <w:szCs w:val="18"/>
              </w:rPr>
            </w:pPr>
            <w:r>
              <w:rPr>
                <w:rFonts w:ascii="Times New Roman"/>
                <w:sz w:val="18"/>
              </w:rPr>
              <w:t>1,093,803,294.70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739,234,444.55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2,354,162.14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1,453,819.60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483,963,720.39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339,777,839.09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195,338,730.59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179,840,253.78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19,881,250.48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7,123,170.06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2,015,855.42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-126,634.81</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-31,438.30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20,653.57</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53,570,772.77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10,821,613.57</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3,501,929.12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7,335,814.76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357,664,458.84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174,226,553.41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1,652,435.75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4,745,072.15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424,442.64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765,287.81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294,172.09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454,370.34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358,892,451.95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178,206,337.75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72,732,218.76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32,583,840.44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286,160,233.19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145,622,497.31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260,273,434.15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140,110,161.65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25,886,799.04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5,512,335.66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286,160,233.19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145,622,497.31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260,273,434.15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140,110,161.65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25,886,799.04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5,512,335.66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bl>
    <w:p>
      <w:pPr>
        <w:tabs>
          <w:tab w:pos="3667" w:val="left" w:leader="none"/>
          <w:tab w:pos="7898" w:val="left" w:leader="none"/>
        </w:tabs>
        <w:spacing w:line="588" w:lineRule="auto" w:before="33"/>
        <w:ind w:left="152" w:right="226" w:firstLine="0"/>
        <w:jc w:val="left"/>
        <w:rPr>
          <w:rFonts w:ascii="宋体" w:hAnsi="宋体" w:cs="宋体" w:eastAsia="宋体" w:hint="default"/>
          <w:sz w:val="21"/>
          <w:szCs w:val="21"/>
        </w:rPr>
      </w:pPr>
      <w:r>
        <w:rPr>
          <w:rFonts w:ascii="宋体" w:hAnsi="宋体" w:cs="宋体" w:eastAsia="宋体" w:hint="default"/>
          <w:spacing w:val="-1"/>
          <w:w w:val="95"/>
          <w:sz w:val="20"/>
          <w:szCs w:val="20"/>
        </w:rPr>
        <w:t>本期发生同一控制下企业合并的，被合并方在合并前实现的净利润为：元，上期被合并方实现的净利润为：元。</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18"/>
          <w:szCs w:val="18"/>
        </w:rPr>
        <w:t>法定代表人：俞熔</w:t>
        <w:tab/>
      </w:r>
      <w:r>
        <w:rPr>
          <w:rFonts w:ascii="宋体" w:hAnsi="宋体" w:cs="宋体" w:eastAsia="宋体" w:hint="default"/>
          <w:spacing w:val="-1"/>
          <w:sz w:val="18"/>
          <w:szCs w:val="18"/>
        </w:rPr>
        <w:t>主管会计工作负责人：兰佳</w:t>
        <w:tab/>
      </w:r>
      <w:r>
        <w:rPr>
          <w:rFonts w:ascii="宋体" w:hAnsi="宋体" w:cs="宋体" w:eastAsia="宋体" w:hint="default"/>
          <w:sz w:val="18"/>
          <w:szCs w:val="18"/>
        </w:rPr>
        <w:t>会计机构负责人：兰佳</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571,938,994.86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559,418,493.27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455,014,413.91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436,819,555.60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4,177,961.39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4,139,899.45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5,302,359.35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8,625,823.08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73,672,881.13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27,312,654.67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-3,789,092.73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4,659,775.55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-5,423,895.14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31,708,115.48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-197,777.80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38,659,842.51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1,933,172.10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29,945.64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35,490.75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81,644,209.46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47,888,063.74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64,992,691.46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1,356,684.15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63,447,578.80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3,402,877.69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11,482,600.42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1,519,208.65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1,825,279.65</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143,234,023.23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37,762,147.47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32,466,502.10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19,747,985.34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110,767,521.13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18,014,162.13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53" w:right="0"/>
              <w:jc w:val="left"/>
              <w:rPr>
                <w:rFonts w:ascii="Times New Roman" w:hAnsi="Times New Roman" w:cs="Times New Roman" w:eastAsia="Times New Roman" w:hint="default"/>
                <w:sz w:val="18"/>
                <w:szCs w:val="18"/>
              </w:rPr>
            </w:pPr>
            <w:r>
              <w:rPr>
                <w:rFonts w:ascii="Times New Roman"/>
                <w:sz w:val="18"/>
              </w:rPr>
              <w:t>110,767,521.13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18,014,162.13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2,007,165,347.31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1,351,375,926.06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1,053,593.82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2,553,707.94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56,084,354.60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84,977,245.21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2,064,303,295.73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1,438,906,879.21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561,321,834.41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360,296,608.04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747,644,103.14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522,452,735.63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60,149,161.63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49,106,781.09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365,348,794.47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299,629,465.04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1,734,463,893.65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1,231,485,589.80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329,839,402.08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207,421,289.41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1,480,588.03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19,269.70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189,089.59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525,010.41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6,166,411.08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1,688,947.32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6,691,421.49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347,085,165.62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257,760,645.42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1,099,828,567.55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123,729,484.24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10,562,899.50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1,570,643,217.41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321,173,544.92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-1,568,954,270.09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-314,482,123.43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1,481,909,988.90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228,420,001.00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2,109,909,988.90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463,620,001.00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237,751,600.00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36,963,632.00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17,362,234.46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8,618,114.67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87,626,503.31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21,082,015.67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342,740,337.77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66,663,762.34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1,767,169,651.13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396,956,238.66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528,054,837.36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289,895,407.84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576,797,731.18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286,902,323.34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1,104,852,568.54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576,797,731.18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636,639,820.58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580,830,772.14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38,135,811.33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26,939,122.10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34,634,572.17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6,265,517.64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709,410,204.08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614,035,411.88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411,857,343.48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422,604,725.15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102,856,937.44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63,821,042.36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90,704,430.63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26,144,910.77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237,801,118.26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75,918,165.39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843,219,829.81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588,488,843.67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-133,809,625.73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25,546,568.21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21,169,848.99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718,428.23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742,859.44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1,827,888.31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5,427,900.00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28,542,377.22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2,570,747.75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12,872,648.63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3,366,802.75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11,591,258.00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392,872,648.63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85,824,060.75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-364,330,271.41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-83,253,313.00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379,999,988.90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373,660,000.00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6,496,748.18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760,156,737.08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327,362,561.11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20,563,241.31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18,099,638.89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12,569,678.24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360,495,480.66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238,099,638.89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399,661,256.42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-68,099,638.89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2,602,794.42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1,210,972.56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-95,875,846.30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-124,595,411.12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128,709,446.19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253,340,363.52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32,833,599.89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128,744,952.40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732,74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419,068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,014.54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270,296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,463.89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72,177,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924.79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732,74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8,260.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419,068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,014.54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270,296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,463.89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72,177,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924.79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90,663.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477,99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896,012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417,407</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259,856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,026.29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112,958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,222.22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260,273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,434.15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25,886,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799.04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286,160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,233.19</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477,99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896,012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87,071,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423.18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477,99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3,093.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898,420</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,117.66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71,910,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23,210.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-2,407,6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15,161,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423.18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12,753,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818.27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417,407</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-417,40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417,407</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-417,40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741,35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417,407</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530,152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,490.18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185,136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,147.01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482,04</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8,826.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264,737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,023.02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130,186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,302.24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120,052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,369.95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997,024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,521.21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482,04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8,826.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264,737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,023.02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130,186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,302.24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120,052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,369.95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997,024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,521.21</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337,699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140,110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,161.65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-47,874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,445.16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497,266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,142.01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140,110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,161.65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5,512,3</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35.66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145,622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,497.31</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337,699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-53,386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,780.82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351,643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,644.70</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67,330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454,139</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,398.00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11,820,</w:t>
            </w:r>
          </w:p>
          <w:p>
            <w:pPr>
              <w:pStyle w:val="TableParagraph"/>
              <w:spacing w:line="240" w:lineRule="auto" w:before="103"/>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533,290</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,001.00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9,575.4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-65,206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,780.82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6,356.3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549,37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9,429.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602,436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,845.54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270,296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,463.89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72,177,</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924.79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90,663.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761,500.7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81,450,23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0.50</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73,102,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399.85</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379,564,1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31.09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761,500.7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81,450,23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73,102,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399.85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379,564,1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31.09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986,491,</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4,488,511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,035.43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11,076,75</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14,950,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5,501,029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,323.44</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110,767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,521.13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110,767,5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21.13</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932,671,</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4,522,097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,813.67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5,454,769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,166.67</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932,671,</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4,522,097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,813.67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5,454,769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,166.67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53,820,0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11,076,75</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2.11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4"/>
              <w:ind w:left="20" w:right="0"/>
              <w:jc w:val="center"/>
              <w:rPr>
                <w:rFonts w:ascii="Times New Roman" w:hAnsi="Times New Roman" w:cs="Times New Roman" w:eastAsia="Times New Roman" w:hint="default"/>
                <w:sz w:val="18"/>
                <w:szCs w:val="18"/>
              </w:rPr>
            </w:pPr>
            <w:r>
              <w:rPr>
                <w:rFonts w:ascii="Times New Roman"/>
                <w:sz w:val="18"/>
              </w:rPr>
              <w:t>-82,836,</w:t>
            </w:r>
          </w:p>
          <w:p>
            <w:pPr>
              <w:pStyle w:val="TableParagraph"/>
              <w:spacing w:line="240" w:lineRule="auto" w:before="102"/>
              <w:ind w:left="132" w:right="0"/>
              <w:jc w:val="center"/>
              <w:rPr>
                <w:rFonts w:ascii="Times New Roman" w:hAnsi="Times New Roman" w:cs="Times New Roman" w:eastAsia="Times New Roman" w:hint="default"/>
                <w:sz w:val="18"/>
                <w:szCs w:val="18"/>
              </w:rPr>
            </w:pPr>
            <w:r>
              <w:rPr>
                <w:rFonts w:ascii="Times New Roman"/>
                <w:sz w:val="18"/>
              </w:rPr>
              <w:t>752.11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-17,940,0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11,076,75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-11,076,</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8" w:right="0"/>
              <w:jc w:val="left"/>
              <w:rPr>
                <w:rFonts w:ascii="Times New Roman" w:hAnsi="Times New Roman" w:cs="Times New Roman" w:eastAsia="Times New Roman" w:hint="default"/>
                <w:sz w:val="18"/>
                <w:szCs w:val="18"/>
              </w:rPr>
            </w:pPr>
            <w:r>
              <w:rPr>
                <w:rFonts w:ascii="Times New Roman"/>
                <w:sz w:val="18"/>
              </w:rPr>
              <w:t>2.11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752.11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53,820,0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-71,760,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-17,940,0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-33,586,7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586.12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-46,567,3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64.36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1,353.00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4,489,272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,536.17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92,526,98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88,052,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5,880,593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,454.53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761,500.7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80,626,08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2.73</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67,124,</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885.49</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372,762,4</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68.96</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761,500.7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80,626,08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2.73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67,124,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885.49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372,762,4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68.96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824,147.7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5,977,5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14.36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6,801,662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18,014,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162.13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18,014,16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2.13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824,147.7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-12,036,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647.77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-11,212,5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824,147.7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-824,14</w:t>
            </w:r>
          </w:p>
          <w:p>
            <w:pPr>
              <w:pStyle w:val="TableParagraph"/>
              <w:spacing w:line="240" w:lineRule="auto" w:before="102"/>
              <w:ind w:left="328" w:right="0"/>
              <w:jc w:val="left"/>
              <w:rPr>
                <w:rFonts w:ascii="Times New Roman" w:hAnsi="Times New Roman" w:cs="Times New Roman" w:eastAsia="Times New Roman" w:hint="default"/>
                <w:sz w:val="18"/>
                <w:szCs w:val="18"/>
              </w:rPr>
            </w:pPr>
            <w:r>
              <w:rPr>
                <w:rFonts w:ascii="Times New Roman"/>
                <w:sz w:val="18"/>
              </w:rPr>
              <w:t>7.77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-11,212,5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761,500.7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81,450,23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73,102,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399.85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379,564,1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31.09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633" w:right="0"/>
        <w:jc w:val="left"/>
      </w:pPr>
      <w:r>
        <w:rPr>
          <w:spacing w:val="-4"/>
        </w:rPr>
        <w:t>美年大健康产业控股股份有限公司（以下简称“本公司”、“公司”或“本集团”），前身为江苏三</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206"/>
        <w:jc w:val="both"/>
      </w:pPr>
      <w:r>
        <w:rPr>
          <w:spacing w:val="-2"/>
        </w:rPr>
        <w:t>友集团股份有限公司（以下简称“江苏三友”），系江苏三友集团有限公司在吸收合并南通三和时装有限</w:t>
      </w:r>
      <w:r>
        <w:rPr>
          <w:spacing w:val="-42"/>
        </w:rPr>
        <w:t> </w:t>
      </w:r>
      <w:r>
        <w:rPr>
          <w:spacing w:val="-42"/>
        </w:rPr>
      </w:r>
      <w:r>
        <w:rPr>
          <w:spacing w:val="-2"/>
        </w:rPr>
        <w:t>公司基础上整体变更设立。本公司成立于</w:t>
      </w:r>
      <w:r>
        <w:rPr>
          <w:rFonts w:ascii="宋体" w:hAnsi="宋体" w:cs="宋体" w:eastAsia="宋体" w:hint="default"/>
          <w:spacing w:val="-2"/>
        </w:rPr>
        <w:t>1991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日，现总部地址位于江苏南通市人民东路</w:t>
      </w:r>
      <w:r>
        <w:rPr>
          <w:rFonts w:ascii="宋体" w:hAnsi="宋体" w:cs="宋体" w:eastAsia="宋体" w:hint="default"/>
          <w:spacing w:val="-2"/>
        </w:rPr>
        <w:t>218</w:t>
      </w:r>
      <w:r>
        <w:rPr>
          <w:spacing w:val="-2"/>
        </w:rPr>
        <w:t>号。截</w:t>
      </w:r>
      <w:r>
        <w:rPr>
          <w:spacing w:val="-38"/>
        </w:rPr>
        <w:t> </w:t>
      </w:r>
      <w:r>
        <w:rPr>
          <w:spacing w:val="-38"/>
        </w:rPr>
      </w:r>
      <w:r>
        <w:rPr/>
        <w:t>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日，注册资本及实收资本为人民币</w:t>
      </w:r>
      <w:r>
        <w:rPr>
          <w:rFonts w:ascii="宋体" w:hAnsi="宋体" w:cs="宋体" w:eastAsia="宋体" w:hint="default"/>
        </w:rPr>
        <w:t>22,425.0000</w:t>
      </w:r>
      <w:r>
        <w:rPr/>
        <w:t>万元。</w:t>
      </w:r>
    </w:p>
    <w:p>
      <w:pPr>
        <w:pStyle w:val="BodyText"/>
        <w:spacing w:line="408" w:lineRule="auto"/>
        <w:ind w:right="92" w:firstLine="480"/>
        <w:jc w:val="left"/>
      </w:pPr>
      <w:r>
        <w:rPr>
          <w:spacing w:val="-3"/>
        </w:rPr>
        <w:t>根据本公司</w:t>
      </w:r>
      <w:r>
        <w:rPr>
          <w:rFonts w:ascii="宋体" w:hAnsi="宋体" w:cs="宋体" w:eastAsia="宋体" w:hint="default"/>
          <w:spacing w:val="-3"/>
        </w:rPr>
        <w:t>2014</w:t>
      </w:r>
      <w:r>
        <w:rPr>
          <w:spacing w:val="-3"/>
        </w:rPr>
        <w:t>年度股东大会决议通过的利润分配预案，</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w:t>
      </w:r>
      <w:r>
        <w:rPr>
          <w:spacing w:val="-3"/>
        </w:rPr>
        <w:t>日，以本公司总股本</w:t>
      </w:r>
      <w:r>
        <w:rPr>
          <w:rFonts w:ascii="宋体" w:hAnsi="宋体" w:cs="宋体" w:eastAsia="宋体" w:hint="default"/>
          <w:spacing w:val="-3"/>
        </w:rPr>
        <w:t>22,425</w:t>
      </w:r>
      <w:r>
        <w:rPr>
          <w:spacing w:val="-3"/>
        </w:rPr>
        <w:t>万股</w:t>
      </w:r>
      <w:r>
        <w:rPr>
          <w:spacing w:val="-3"/>
          <w:w w:val="100"/>
        </w:rPr>
        <w:t> </w:t>
      </w:r>
      <w:r>
        <w:rPr/>
        <w:t>为基数，向全体股东每</w:t>
      </w:r>
      <w:r>
        <w:rPr>
          <w:rFonts w:ascii="宋体" w:hAnsi="宋体" w:cs="宋体" w:eastAsia="宋体" w:hint="default"/>
        </w:rPr>
        <w:t>10</w:t>
      </w:r>
      <w:r>
        <w:rPr/>
        <w:t>股送红股</w:t>
      </w:r>
      <w:r>
        <w:rPr>
          <w:rFonts w:ascii="宋体" w:hAnsi="宋体" w:cs="宋体" w:eastAsia="宋体" w:hint="default"/>
        </w:rPr>
        <w:t>2.40</w:t>
      </w:r>
      <w:r>
        <w:rPr/>
        <w:t>股，本次分红后本公司总股本增加至人民币</w:t>
      </w:r>
      <w:r>
        <w:rPr>
          <w:rFonts w:ascii="宋体" w:hAnsi="宋体" w:cs="宋体" w:eastAsia="宋体" w:hint="default"/>
        </w:rPr>
        <w:t>27,807.0000</w:t>
      </w:r>
      <w:r>
        <w:rPr/>
        <w:t>万元。</w:t>
      </w:r>
    </w:p>
    <w:p>
      <w:pPr>
        <w:pStyle w:val="BodyText"/>
        <w:spacing w:line="408" w:lineRule="auto"/>
        <w:ind w:right="206" w:firstLine="480"/>
        <w:jc w:val="both"/>
      </w:pPr>
      <w:r>
        <w:rPr>
          <w:spacing w:val="-1"/>
        </w:rPr>
        <w:t>根据中国证券监督管理委员会</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20</w:t>
      </w:r>
      <w:r>
        <w:rPr>
          <w:spacing w:val="-1"/>
        </w:rPr>
        <w:t>日核准并出具的《关于核准江苏三友集团股份有限公司重</w:t>
      </w:r>
      <w:r>
        <w:rPr>
          <w:w w:val="100"/>
        </w:rPr>
        <w:t> </w:t>
      </w:r>
      <w:r>
        <w:rPr>
          <w:spacing w:val="-2"/>
        </w:rPr>
        <w:t>大资产重组及向上海天亿投资（集团）有限公司等发行股份购买资产并募集配套资金的批复》（证监许可</w:t>
      </w:r>
      <w:r>
        <w:rPr>
          <w:spacing w:val="-44"/>
        </w:rPr>
        <w:t> </w:t>
      </w:r>
      <w:r>
        <w:rPr>
          <w:spacing w:val="-44"/>
        </w:rPr>
      </w:r>
      <w:r>
        <w:rPr>
          <w:rFonts w:ascii="宋体" w:hAnsi="宋体" w:cs="宋体" w:eastAsia="宋体" w:hint="default"/>
          <w:spacing w:val="-2"/>
        </w:rPr>
        <w:t>[2015]1718</w:t>
      </w:r>
      <w:r>
        <w:rPr>
          <w:spacing w:val="-2"/>
        </w:rPr>
        <w:t>号），江苏三友集团股份有限公司向美年大健康产业（集团）有限公司（以下简称“美年大健</w:t>
      </w:r>
      <w:r>
        <w:rPr>
          <w:spacing w:val="-33"/>
        </w:rPr>
        <w:t> </w:t>
      </w:r>
      <w:r>
        <w:rPr>
          <w:spacing w:val="-33"/>
        </w:rPr>
      </w:r>
      <w:r>
        <w:rPr>
          <w:spacing w:val="-2"/>
        </w:rPr>
        <w:t>康”）原股东上海天亿投资（集团）有限公司（以下简称“天亿投资”）等</w:t>
      </w:r>
      <w:r>
        <w:rPr>
          <w:rFonts w:ascii="宋体" w:hAnsi="宋体" w:cs="宋体" w:eastAsia="宋体" w:hint="default"/>
          <w:spacing w:val="-2"/>
        </w:rPr>
        <w:t>24</w:t>
      </w:r>
      <w:r>
        <w:rPr>
          <w:spacing w:val="-2"/>
        </w:rPr>
        <w:t>名机构股东及俞熔、徐可等</w:t>
      </w:r>
      <w:r>
        <w:rPr>
          <w:spacing w:val="-44"/>
        </w:rPr>
        <w:t> </w:t>
      </w:r>
      <w:r>
        <w:rPr>
          <w:spacing w:val="-44"/>
        </w:rPr>
      </w:r>
      <w:r>
        <w:rPr>
          <w:rFonts w:ascii="宋体" w:hAnsi="宋体" w:cs="宋体" w:eastAsia="宋体" w:hint="default"/>
        </w:rPr>
        <w:t>79</w:t>
      </w:r>
      <w:r>
        <w:rPr/>
        <w:t>名自然人股东发行股份购买资产（以下简称“重大资产置换及发行股份购买资产”），截至</w:t>
      </w:r>
      <w:r>
        <w:rPr>
          <w:rFonts w:ascii="宋体" w:hAnsi="宋体" w:cs="宋体" w:eastAsia="宋体" w:hint="default"/>
        </w:rPr>
        <w:t>2015</w:t>
      </w:r>
      <w:r>
        <w:rPr/>
        <w:t>年</w:t>
      </w:r>
      <w:r>
        <w:rPr>
          <w:rFonts w:ascii="宋体" w:hAnsi="宋体" w:cs="宋体" w:eastAsia="宋体" w:hint="default"/>
        </w:rPr>
        <w:t>8</w:t>
      </w:r>
      <w:r>
        <w:rPr/>
        <w:t>月</w:t>
      </w:r>
    </w:p>
    <w:p>
      <w:pPr>
        <w:pStyle w:val="BodyText"/>
        <w:spacing w:line="408" w:lineRule="auto"/>
        <w:ind w:right="206"/>
        <w:jc w:val="both"/>
      </w:pPr>
      <w:r>
        <w:rPr>
          <w:rFonts w:ascii="宋体" w:hAnsi="宋体" w:cs="宋体" w:eastAsia="宋体" w:hint="default"/>
          <w:spacing w:val="-2"/>
        </w:rPr>
        <w:t>10</w:t>
      </w:r>
      <w:r>
        <w:rPr>
          <w:spacing w:val="-2"/>
        </w:rPr>
        <w:t>日止，上述美年大健康原股东均已将股权过户至本公司，本次重大资产置换及发行股份购买资产新增股</w:t>
      </w:r>
      <w:r>
        <w:rPr>
          <w:spacing w:val="-42"/>
        </w:rPr>
        <w:t> </w:t>
      </w:r>
      <w:r>
        <w:rPr>
          <w:spacing w:val="-42"/>
        </w:rPr>
      </w:r>
      <w:r>
        <w:rPr/>
        <w:t>本人民币</w:t>
      </w:r>
      <w:r>
        <w:rPr>
          <w:rFonts w:ascii="宋体" w:hAnsi="宋体" w:cs="宋体" w:eastAsia="宋体" w:hint="default"/>
        </w:rPr>
        <w:t>91,934.2463</w:t>
      </w:r>
      <w:r>
        <w:rPr/>
        <w:t>万元，增资后本公司总股本增加至人民币</w:t>
      </w:r>
      <w:r>
        <w:rPr>
          <w:rFonts w:ascii="宋体" w:hAnsi="宋体" w:cs="宋体" w:eastAsia="宋体" w:hint="default"/>
        </w:rPr>
        <w:t>119,741.2463</w:t>
      </w:r>
      <w:r>
        <w:rPr/>
        <w:t>万元。</w:t>
      </w:r>
    </w:p>
    <w:p>
      <w:pPr>
        <w:pStyle w:val="BodyText"/>
        <w:spacing w:line="408" w:lineRule="auto"/>
        <w:ind w:right="208" w:firstLine="480"/>
        <w:jc w:val="both"/>
      </w:pPr>
      <w:r>
        <w:rPr>
          <w:spacing w:val="-1"/>
        </w:rPr>
        <w:t>根据上述证监许可</w:t>
      </w:r>
      <w:r>
        <w:rPr>
          <w:rFonts w:ascii="宋体" w:hAnsi="宋体" w:cs="宋体" w:eastAsia="宋体" w:hint="default"/>
          <w:spacing w:val="-1"/>
        </w:rPr>
        <w:t>[2015]1718</w:t>
      </w:r>
      <w:r>
        <w:rPr>
          <w:spacing w:val="-1"/>
        </w:rPr>
        <w:t>号文件核准，本公司募集配套资金非公开发行普通股（</w:t>
      </w:r>
      <w:r>
        <w:rPr>
          <w:rFonts w:ascii="宋体" w:hAnsi="宋体" w:cs="宋体" w:eastAsia="宋体" w:hint="default"/>
          <w:spacing w:val="-1"/>
        </w:rPr>
        <w:t>A</w:t>
      </w:r>
      <w:r>
        <w:rPr>
          <w:spacing w:val="-1"/>
        </w:rPr>
        <w:t>股）的发行数</w:t>
      </w:r>
      <w:r>
        <w:rPr>
          <w:w w:val="100"/>
        </w:rPr>
        <w:t> </w:t>
      </w:r>
      <w:r>
        <w:rPr>
          <w:spacing w:val="12"/>
        </w:rPr>
        <w:t>量不超过</w:t>
      </w:r>
      <w:r>
        <w:rPr>
          <w:spacing w:val="-72"/>
        </w:rPr>
        <w:t> </w:t>
      </w:r>
      <w:r>
        <w:rPr>
          <w:rFonts w:ascii="宋体" w:hAnsi="宋体" w:cs="宋体" w:eastAsia="宋体" w:hint="default"/>
        </w:rPr>
        <w:t>6,097.5609</w:t>
      </w:r>
      <w:r>
        <w:rPr/>
        <w:t>万</w:t>
      </w:r>
      <w:r>
        <w:rPr>
          <w:spacing w:val="-74"/>
        </w:rPr>
        <w:t> </w:t>
      </w:r>
      <w:r>
        <w:rPr>
          <w:spacing w:val="7"/>
        </w:rPr>
        <w:t>股。</w:t>
      </w:r>
      <w:r>
        <w:rPr>
          <w:spacing w:val="-74"/>
        </w:rPr>
        <w:t> </w:t>
      </w:r>
      <w:r>
        <w:rPr>
          <w:spacing w:val="7"/>
        </w:rPr>
        <w:t>截至</w:t>
      </w:r>
      <w:r>
        <w:rPr>
          <w:rFonts w:ascii="宋体" w:hAnsi="宋体" w:cs="宋体" w:eastAsia="宋体" w:hint="default"/>
          <w:spacing w:val="7"/>
        </w:rPr>
        <w:t>2015</w:t>
      </w:r>
      <w:r>
        <w:rPr>
          <w:spacing w:val="7"/>
        </w:rPr>
        <w:t>年</w:t>
      </w:r>
      <w:r>
        <w:rPr>
          <w:spacing w:val="-74"/>
        </w:rPr>
        <w:t> </w:t>
      </w:r>
      <w:r>
        <w:rPr>
          <w:rFonts w:ascii="宋体" w:hAnsi="宋体" w:cs="宋体" w:eastAsia="宋体" w:hint="default"/>
        </w:rPr>
        <w:t>8</w:t>
      </w:r>
      <w:r>
        <w:rPr>
          <w:rFonts w:ascii="宋体" w:hAnsi="宋体" w:cs="宋体" w:eastAsia="宋体" w:hint="default"/>
          <w:spacing w:val="-74"/>
        </w:rPr>
        <w:t> </w:t>
      </w:r>
      <w:r>
        <w:rPr>
          <w:spacing w:val="5"/>
        </w:rPr>
        <w:t>月</w:t>
      </w:r>
      <w:r>
        <w:rPr>
          <w:rFonts w:ascii="宋体" w:hAnsi="宋体" w:cs="宋体" w:eastAsia="宋体" w:hint="default"/>
          <w:spacing w:val="5"/>
        </w:rPr>
        <w:t>25</w:t>
      </w:r>
      <w:r>
        <w:rPr>
          <w:rFonts w:ascii="宋体" w:hAnsi="宋体" w:cs="宋体" w:eastAsia="宋体" w:hint="default"/>
          <w:spacing w:val="-74"/>
        </w:rPr>
        <w:t> </w:t>
      </w:r>
      <w:r>
        <w:rPr>
          <w:spacing w:val="10"/>
        </w:rPr>
        <w:t>日止，</w:t>
      </w:r>
      <w:r>
        <w:rPr>
          <w:spacing w:val="-74"/>
        </w:rPr>
        <w:t> </w:t>
      </w:r>
      <w:r>
        <w:rPr>
          <w:spacing w:val="15"/>
        </w:rPr>
        <w:t>本公司募集配套资金实际已发行人民币普通股</w:t>
      </w:r>
      <w:r>
        <w:rPr>
          <w:spacing w:val="-87"/>
        </w:rPr>
        <w:t> </w:t>
      </w:r>
      <w:r>
        <w:rPr>
          <w:spacing w:val="-87"/>
        </w:rPr>
      </w:r>
      <w:r>
        <w:rPr>
          <w:rFonts w:ascii="宋体" w:hAnsi="宋体" w:cs="宋体" w:eastAsia="宋体" w:hint="default"/>
        </w:rPr>
        <w:t>1,332.8890</w:t>
      </w:r>
      <w:r>
        <w:rPr/>
        <w:t>万股，增资后本公司总股本增加至人民币</w:t>
      </w:r>
      <w:r>
        <w:rPr>
          <w:rFonts w:ascii="宋体" w:hAnsi="宋体" w:cs="宋体" w:eastAsia="宋体" w:hint="default"/>
        </w:rPr>
        <w:t>121,074.1353</w:t>
      </w:r>
      <w:r>
        <w:rPr/>
        <w:t>万</w:t>
      </w:r>
      <w:r>
        <w:rPr>
          <w:color w:val="0D0D0D"/>
        </w:rPr>
        <w:t>元</w:t>
      </w:r>
      <w:r>
        <w:rPr/>
        <w:t>。</w:t>
      </w:r>
    </w:p>
    <w:p>
      <w:pPr>
        <w:pStyle w:val="BodyText"/>
        <w:spacing w:line="408" w:lineRule="auto"/>
        <w:ind w:right="92" w:firstLine="480"/>
        <w:jc w:val="left"/>
      </w:pPr>
      <w:r>
        <w:rPr>
          <w:spacing w:val="-1"/>
        </w:rPr>
        <w:t>本公司统一社会信用代码：</w:t>
      </w:r>
      <w:r>
        <w:rPr>
          <w:rFonts w:ascii="宋体" w:hAnsi="宋体" w:cs="宋体" w:eastAsia="宋体" w:hint="default"/>
          <w:spacing w:val="-1"/>
        </w:rPr>
        <w:t>91320600608304061J</w:t>
      </w:r>
      <w:r>
        <w:rPr>
          <w:spacing w:val="-1"/>
        </w:rPr>
        <w:t>，注册地址：江苏南通市人民东路</w:t>
      </w:r>
      <w:r>
        <w:rPr>
          <w:rFonts w:ascii="宋体" w:hAnsi="宋体" w:cs="宋体" w:eastAsia="宋体" w:hint="default"/>
          <w:spacing w:val="-1"/>
        </w:rPr>
        <w:t>218</w:t>
      </w:r>
      <w:r>
        <w:rPr>
          <w:spacing w:val="-1"/>
        </w:rPr>
        <w:t>号</w:t>
      </w:r>
      <w:r>
        <w:rPr>
          <w:color w:val="0D0D0D"/>
          <w:spacing w:val="-1"/>
        </w:rPr>
        <w:t>，法定代表</w:t>
      </w:r>
      <w:r>
        <w:rPr>
          <w:color w:val="0D0D0D"/>
          <w:w w:val="100"/>
        </w:rPr>
        <w:t> </w:t>
      </w:r>
      <w:r>
        <w:rPr>
          <w:color w:val="0D0D0D"/>
        </w:rPr>
        <w:t>人：俞熔。</w:t>
      </w:r>
      <w:r>
        <w:rPr/>
      </w:r>
    </w:p>
    <w:p>
      <w:pPr>
        <w:pStyle w:val="BodyText"/>
        <w:spacing w:line="408" w:lineRule="auto"/>
        <w:ind w:right="92" w:firstLine="480"/>
        <w:jc w:val="left"/>
      </w:pPr>
      <w:r>
        <w:rPr>
          <w:spacing w:val="-6"/>
        </w:rPr>
        <w:t>本公司经营范围：从事医疗技术专业领域内的技术开发、技术咨询、技术转让、技术服务、投资管理，</w:t>
      </w:r>
      <w:r>
        <w:rPr>
          <w:w w:val="100"/>
        </w:rPr>
        <w:t> </w:t>
      </w:r>
      <w:r>
        <w:rPr>
          <w:spacing w:val="-2"/>
        </w:rPr>
        <w:t>健康管理咨询（不得从事医疗活动、心理咨询）；设计、生产、销售各式服装、服饰及原辅材料；纺织服</w:t>
      </w:r>
      <w:r>
        <w:rPr>
          <w:spacing w:val="-48"/>
        </w:rPr>
        <w:t> </w:t>
      </w:r>
      <w:r>
        <w:rPr>
          <w:spacing w:val="-48"/>
        </w:rPr>
      </w:r>
      <w:r>
        <w:rPr>
          <w:spacing w:val="-2"/>
        </w:rPr>
        <w:t>装类产品的科技开发；自营和代理上述商品的进出口业务。【依法须经批准的项目，经相关部门批准后方</w:t>
      </w:r>
      <w:r>
        <w:rPr>
          <w:spacing w:val="-47"/>
        </w:rPr>
        <w:t> </w:t>
      </w:r>
      <w:r>
        <w:rPr>
          <w:spacing w:val="-47"/>
        </w:rPr>
      </w:r>
      <w:r>
        <w:rPr/>
        <w:t>可开展经营活动】</w:t>
      </w:r>
    </w:p>
    <w:p>
      <w:pPr>
        <w:pStyle w:val="BodyText"/>
        <w:spacing w:line="408" w:lineRule="auto"/>
        <w:ind w:right="92" w:firstLine="480"/>
        <w:jc w:val="left"/>
      </w:pP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日，江苏三友集团股份有限公司更名为美年大健康产业控股股份有限公司。</w:t>
      </w:r>
      <w:r>
        <w:rPr>
          <w:w w:val="100"/>
        </w:rPr>
        <w:t> </w:t>
      </w:r>
      <w:r>
        <w:rPr>
          <w:color w:val="0D0D0D"/>
        </w:rPr>
        <w:t>本财务报表业经本公司董事会于</w:t>
      </w:r>
      <w:r>
        <w:rPr>
          <w:rFonts w:ascii="宋体" w:hAnsi="宋体" w:cs="宋体" w:eastAsia="宋体" w:hint="default"/>
          <w:color w:val="0D0D0D"/>
        </w:rPr>
        <w:t>2016</w:t>
      </w:r>
      <w:r>
        <w:rPr>
          <w:color w:val="0D0D0D"/>
        </w:rPr>
        <w:t>年</w:t>
      </w:r>
      <w:r>
        <w:rPr>
          <w:rFonts w:ascii="宋体" w:hAnsi="宋体" w:cs="宋体" w:eastAsia="宋体" w:hint="default"/>
          <w:color w:val="0D0D0D"/>
        </w:rPr>
        <w:t>4</w:t>
      </w:r>
      <w:r>
        <w:rPr>
          <w:color w:val="0D0D0D"/>
        </w:rPr>
        <w:t>月</w:t>
      </w:r>
      <w:r>
        <w:rPr>
          <w:rFonts w:ascii="宋体" w:hAnsi="宋体" w:cs="宋体" w:eastAsia="宋体" w:hint="default"/>
          <w:color w:val="0D0D0D"/>
        </w:rPr>
        <w:t>20</w:t>
      </w:r>
      <w:r>
        <w:rPr>
          <w:color w:val="0D0D0D"/>
        </w:rPr>
        <w:t>日决议批准报出</w:t>
      </w:r>
      <w:r>
        <w:rPr/>
      </w:r>
    </w:p>
    <w:p>
      <w:pPr>
        <w:pStyle w:val="BodyText"/>
        <w:spacing w:line="408" w:lineRule="auto"/>
        <w:ind w:right="92" w:firstLine="480"/>
        <w:jc w:val="left"/>
      </w:pPr>
      <w:r>
        <w:rPr/>
        <w:t>本公司及各子公司主要从事健康体检。</w:t>
      </w:r>
      <w:r>
        <w:rPr>
          <w:w w:val="100"/>
        </w:rPr>
        <w:t> </w:t>
      </w:r>
      <w:r>
        <w:rPr>
          <w:spacing w:val="-5"/>
        </w:rPr>
        <w:t>本年度纳入合并报表的子公司包括美年大健康产业（集团）有限公司、沈阳大健康科技健康管理有限公司、</w:t>
      </w:r>
      <w:r>
        <w:rPr>
          <w:spacing w:val="-3"/>
        </w:rPr>
        <w:t> </w:t>
      </w:r>
      <w:r>
        <w:rPr>
          <w:spacing w:val="-3"/>
        </w:rPr>
      </w:r>
      <w:r>
        <w:rPr>
          <w:spacing w:val="-2"/>
        </w:rPr>
        <w:t>上海美年门诊部有限公司、北京美年健康科技有限公司、深圳市瑞格尔健康管理科技有限公司、武汉美年</w:t>
      </w:r>
      <w:r>
        <w:rPr>
          <w:spacing w:val="-44"/>
        </w:rPr>
        <w:t> </w:t>
      </w:r>
      <w:r>
        <w:rPr>
          <w:spacing w:val="-44"/>
        </w:rPr>
      </w:r>
      <w:r>
        <w:rPr>
          <w:spacing w:val="-2"/>
        </w:rPr>
        <w:t>大健康体检管理有限公司、西安美年大健康健康管理有限公司、云南美年大健康产业有限公司、深圳市鸿</w:t>
      </w:r>
      <w:r>
        <w:rPr>
          <w:spacing w:val="-43"/>
        </w:rPr>
        <w:t> </w:t>
      </w:r>
      <w:r>
        <w:rPr>
          <w:spacing w:val="-43"/>
        </w:rPr>
      </w:r>
      <w:r>
        <w:rPr>
          <w:spacing w:val="-2"/>
        </w:rPr>
        <w:t>康杰科技有限公司、上海美鑫融资租赁有限公司等</w:t>
      </w:r>
      <w:r>
        <w:rPr>
          <w:rFonts w:ascii="宋体" w:hAnsi="宋体" w:cs="宋体" w:eastAsia="宋体" w:hint="default"/>
          <w:spacing w:val="-2"/>
        </w:rPr>
        <w:t>83</w:t>
      </w:r>
      <w:r>
        <w:rPr>
          <w:spacing w:val="-2"/>
        </w:rPr>
        <w:t>家子公司，合并范围较</w:t>
      </w:r>
      <w:r>
        <w:rPr>
          <w:rFonts w:ascii="宋体" w:hAnsi="宋体" w:cs="宋体" w:eastAsia="宋体" w:hint="default"/>
          <w:spacing w:val="-2"/>
        </w:rPr>
        <w:t>2014</w:t>
      </w:r>
      <w:r>
        <w:rPr>
          <w:spacing w:val="-2"/>
        </w:rPr>
        <w:t>年增加了深圳市鸿康杰科</w:t>
      </w:r>
      <w:r>
        <w:rPr>
          <w:spacing w:val="-40"/>
        </w:rPr>
        <w:t> </w:t>
      </w:r>
      <w:r>
        <w:rPr>
          <w:spacing w:val="-40"/>
        </w:rPr>
      </w:r>
      <w:r>
        <w:rPr>
          <w:spacing w:val="-2"/>
        </w:rPr>
        <w:t>技有限公司、辽阳美年大健康管理有限公司、洛阳美年大健康信息咨询有限公司、江苏华康投资发展有限</w:t>
      </w:r>
      <w:r>
        <w:rPr>
          <w:spacing w:val="-43"/>
        </w:rPr>
        <w:t> </w:t>
      </w:r>
      <w:r>
        <w:rPr>
          <w:spacing w:val="-43"/>
        </w:rPr>
      </w:r>
      <w:r>
        <w:rPr>
          <w:spacing w:val="-2"/>
        </w:rPr>
        <w:t>公司、上海美鑫融资租赁有限公司、上海美阳门诊部有限公司，详见“附注八，合并范围变更”，“附注</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564" w:lineRule="auto" w:before="176"/>
        <w:ind w:left="152" w:right="7124" w:firstLine="0"/>
        <w:jc w:val="left"/>
        <w:rPr>
          <w:rFonts w:ascii="宋体" w:hAnsi="宋体" w:cs="宋体" w:eastAsia="宋体" w:hint="default"/>
          <w:sz w:val="21"/>
          <w:szCs w:val="21"/>
        </w:rPr>
      </w:pPr>
      <w:r>
        <w:rPr>
          <w:rFonts w:ascii="宋体" w:hAnsi="宋体" w:cs="宋体" w:eastAsia="宋体" w:hint="default"/>
          <w:sz w:val="21"/>
          <w:szCs w:val="21"/>
        </w:rPr>
        <w:t>九，在其他权益中的主体。</w:t>
      </w:r>
      <w:r>
        <w:rPr>
          <w:rFonts w:ascii="宋体" w:hAnsi="宋体" w:cs="宋体" w:eastAsia="宋体" w:hint="default"/>
          <w:w w:val="100"/>
          <w:sz w:val="21"/>
          <w:szCs w:val="21"/>
        </w:rPr>
        <w:t> </w:t>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pStyle w:val="BodyText"/>
        <w:spacing w:line="408" w:lineRule="auto" w:before="163"/>
        <w:ind w:right="146" w:firstLine="480"/>
        <w:jc w:val="both"/>
      </w:pPr>
      <w:r>
        <w:rPr>
          <w:spacing w:val="-4"/>
        </w:rPr>
        <w:t>本公司财务报表以持续经营假设为基础，根据实际发生的交易和事项，按照财政部发布的《企业会计</w:t>
      </w:r>
      <w:r>
        <w:rPr>
          <w:w w:val="100"/>
        </w:rPr>
        <w:t> </w:t>
      </w:r>
      <w:r>
        <w:rPr/>
        <w:t>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w:t>
      </w:r>
      <w:r>
        <w:rPr>
          <w:spacing w:val="-30"/>
        </w:rPr>
        <w:t> </w:t>
      </w:r>
      <w:r>
        <w:rPr>
          <w:spacing w:val="-30"/>
        </w:rPr>
      </w:r>
      <w:r>
        <w:rPr>
          <w:spacing w:val="-2"/>
        </w:rPr>
        <w:t>订的</w:t>
      </w:r>
      <w:r>
        <w:rPr>
          <w:rFonts w:ascii="宋体" w:hAnsi="宋体" w:cs="宋体" w:eastAsia="宋体" w:hint="default"/>
          <w:spacing w:val="-2"/>
        </w:rPr>
        <w:t>41</w:t>
      </w:r>
      <w:r>
        <w:rPr>
          <w:spacing w:val="-2"/>
        </w:rPr>
        <w:t>项具体会计准则、企业会计准则应用指南、企业会计准则解释及其他相关规定（以下合称“企业会</w:t>
      </w:r>
      <w:r>
        <w:rPr>
          <w:spacing w:val="-43"/>
        </w:rPr>
        <w:t> </w:t>
      </w:r>
      <w:r>
        <w:rPr>
          <w:spacing w:val="-43"/>
        </w:rPr>
      </w:r>
      <w:r>
        <w:rPr>
          <w:spacing w:val="-2"/>
        </w:rPr>
        <w:t>计准则”），以及中国证券监督管理委员会《公开发行证券的公司信息披露编报规则第</w:t>
      </w:r>
      <w:r>
        <w:rPr>
          <w:rFonts w:ascii="宋体" w:hAnsi="宋体" w:cs="宋体" w:eastAsia="宋体" w:hint="default"/>
          <w:spacing w:val="-2"/>
        </w:rPr>
        <w:t>15</w:t>
      </w:r>
      <w:r>
        <w:rPr>
          <w:spacing w:val="-2"/>
        </w:rPr>
        <w:t>号——财务报告</w:t>
      </w:r>
      <w:r>
        <w:rPr>
          <w:spacing w:val="-42"/>
        </w:rPr>
        <w:t> </w:t>
      </w:r>
      <w:r>
        <w:rPr>
          <w:spacing w:val="-42"/>
        </w:rPr>
      </w:r>
      <w:r>
        <w:rPr/>
        <w:t>的一般规定》（</w:t>
      </w:r>
      <w:r>
        <w:rPr>
          <w:rFonts w:ascii="宋体" w:hAnsi="宋体" w:cs="宋体" w:eastAsia="宋体" w:hint="default"/>
        </w:rPr>
        <w:t>2014</w:t>
      </w:r>
      <w:r>
        <w:rPr/>
        <w:t>年修订）的披露规定编制。</w:t>
      </w:r>
    </w:p>
    <w:p>
      <w:pPr>
        <w:pStyle w:val="BodyText"/>
        <w:spacing w:line="408" w:lineRule="auto"/>
        <w:ind w:right="148" w:firstLine="480"/>
        <w:jc w:val="both"/>
      </w:pPr>
      <w:r>
        <w:rPr>
          <w:spacing w:val="-4"/>
        </w:rPr>
        <w:t>根据企业会计准则的相关规定，本公司会计核算以权责发生制为基础。除某些金融工具外，本财务报</w:t>
      </w:r>
      <w:r>
        <w:rPr>
          <w:w w:val="100"/>
        </w:rPr>
        <w:t> </w:t>
      </w:r>
      <w:r>
        <w:rPr/>
        <w:t>表均以历史成本为计量基础。资产如果发生减值，则按照相关规定计提相应的减值准备。</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230" w:firstLine="420"/>
        <w:jc w:val="both"/>
      </w:pPr>
      <w:r>
        <w:rPr/>
        <w:t>本公司财务报表以持续经营假设为基础，公司自本报告期末起</w:t>
      </w:r>
      <w:r>
        <w:rPr>
          <w:rFonts w:ascii="宋体" w:hAnsi="宋体" w:cs="宋体" w:eastAsia="宋体" w:hint="default"/>
        </w:rPr>
        <w:t>12</w:t>
      </w:r>
      <w:r>
        <w:rPr>
          <w:rFonts w:ascii="宋体" w:hAnsi="宋体" w:cs="宋体" w:eastAsia="宋体" w:hint="default"/>
          <w:spacing w:val="-7"/>
        </w:rPr>
        <w:t> </w:t>
      </w:r>
      <w:r>
        <w:rPr/>
        <w:t>个月具备持续经营能力，无影响持</w:t>
      </w:r>
      <w:r>
        <w:rPr>
          <w:w w:val="100"/>
        </w:rPr>
        <w:t> </w:t>
      </w:r>
      <w:r>
        <w:rPr/>
        <w:t>续经营能力的重大事项。</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633" w:right="0" w:hanging="481"/>
        <w:jc w:val="left"/>
      </w:pPr>
      <w:r>
        <w:rPr/>
        <w:t>具体会计政策和会计估计提示：</w:t>
      </w:r>
      <w:r>
        <w:rPr>
          <w:w w:val="100"/>
        </w:rPr>
        <w:t> </w:t>
      </w:r>
      <w:r>
        <w:rPr>
          <w:spacing w:val="-4"/>
        </w:rPr>
        <w:t>本公司及各子公司从事健康体检、医疗技术专业领域内的技术开发、咨询、服务以及投资管理、健康</w:t>
      </w:r>
    </w:p>
    <w:p>
      <w:pPr>
        <w:pStyle w:val="BodyText"/>
        <w:spacing w:line="408" w:lineRule="auto" w:before="14"/>
        <w:ind w:right="146"/>
        <w:jc w:val="both"/>
      </w:pPr>
      <w:r>
        <w:rPr>
          <w:spacing w:val="-2"/>
        </w:rPr>
        <w:t>管理咨询等。本公司及各子公司根据实际生产经营特点，依据相关企业会计准则的规定，对收入确认等交</w:t>
      </w:r>
      <w:r>
        <w:rPr>
          <w:spacing w:val="-43"/>
        </w:rPr>
        <w:t> </w:t>
      </w:r>
      <w:r>
        <w:rPr>
          <w:spacing w:val="-43"/>
        </w:rPr>
      </w:r>
      <w:r>
        <w:rPr>
          <w:spacing w:val="-2"/>
        </w:rPr>
        <w:t>易和事项制定了若干项具体会计政策和会计估计，详见本附注五、28“收入”的描述。关于管理层所作出</w:t>
      </w:r>
      <w:r>
        <w:rPr>
          <w:spacing w:val="-41"/>
        </w:rPr>
        <w:t> </w:t>
      </w:r>
      <w:r>
        <w:rPr>
          <w:spacing w:val="-41"/>
        </w:rPr>
      </w:r>
      <w:r>
        <w:rPr/>
        <w:t>的重大会计判断和估计的说明，请参阅附注五、32“重大会计判断和估计”。</w:t>
      </w:r>
    </w:p>
    <w:p>
      <w:pPr>
        <w:spacing w:line="240" w:lineRule="auto" w:before="2"/>
        <w:rPr>
          <w:rFonts w:ascii="宋体" w:hAnsi="宋体" w:cs="宋体" w:eastAsia="宋体" w:hint="default"/>
          <w:sz w:val="25"/>
          <w:szCs w:val="25"/>
        </w:rPr>
      </w:pPr>
    </w:p>
    <w:p>
      <w:pPr>
        <w:spacing w:line="760" w:lineRule="atLeast" w:before="0"/>
        <w:ind w:left="633" w:right="0" w:hanging="4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本公司编制的财务报表符合企业会计准则的要求，真实、完整地反映了本公司</w:t>
      </w:r>
      <w:r>
        <w:rPr>
          <w:rFonts w:ascii="宋体" w:hAnsi="宋体" w:cs="宋体" w:eastAsia="宋体" w:hint="default"/>
          <w:spacing w:val="-4"/>
          <w:sz w:val="21"/>
          <w:szCs w:val="21"/>
        </w:rPr>
        <w:t>2015</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w:t>
      </w:r>
      <w:r>
        <w:rPr>
          <w:rFonts w:ascii="宋体" w:hAnsi="宋体" w:cs="宋体" w:eastAsia="宋体" w:hint="default"/>
          <w:spacing w:val="-4"/>
          <w:sz w:val="21"/>
          <w:szCs w:val="21"/>
        </w:rPr>
        <w:t>31</w:t>
      </w:r>
      <w:r>
        <w:rPr>
          <w:rFonts w:ascii="宋体" w:hAnsi="宋体" w:cs="宋体" w:eastAsia="宋体" w:hint="default"/>
          <w:spacing w:val="-4"/>
          <w:sz w:val="21"/>
          <w:szCs w:val="21"/>
        </w:rPr>
        <w:t>日的财务</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状况及</w:t>
      </w:r>
      <w:r>
        <w:rPr>
          <w:rFonts w:ascii="宋体" w:hAnsi="宋体" w:cs="宋体" w:eastAsia="宋体" w:hint="default"/>
          <w:spacing w:val="-2"/>
        </w:rPr>
        <w:t>2015</w:t>
      </w:r>
      <w:r>
        <w:rPr>
          <w:spacing w:val="-2"/>
        </w:rPr>
        <w:t>年度的经营成果和现金流量等有关信息。此外，本公司的财务报表在所有重大方面符合中国证</w:t>
      </w:r>
      <w:r>
        <w:rPr>
          <w:spacing w:val="-38"/>
        </w:rPr>
        <w:t> </w:t>
      </w:r>
      <w:r>
        <w:rPr>
          <w:spacing w:val="-38"/>
        </w:rPr>
      </w:r>
      <w:r>
        <w:rPr>
          <w:spacing w:val="-2"/>
        </w:rPr>
        <w:t>券监督管理委员会</w:t>
      </w:r>
      <w:r>
        <w:rPr>
          <w:rFonts w:ascii="宋体" w:hAnsi="宋体" w:cs="宋体" w:eastAsia="宋体" w:hint="default"/>
          <w:spacing w:val="-2"/>
        </w:rPr>
        <w:t>2014</w:t>
      </w:r>
      <w:r>
        <w:rPr>
          <w:spacing w:val="-2"/>
        </w:rPr>
        <w:t>年修订的《公开发行证券的公司信息披露编报规则第</w:t>
      </w:r>
      <w:r>
        <w:rPr>
          <w:rFonts w:ascii="宋体" w:hAnsi="宋体" w:cs="宋体" w:eastAsia="宋体" w:hint="default"/>
          <w:spacing w:val="-2"/>
        </w:rPr>
        <w:t>15</w:t>
      </w:r>
      <w:r>
        <w:rPr>
          <w:spacing w:val="-2"/>
        </w:rPr>
        <w:t>号－财务报告的一般规定》</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669" w:lineRule="auto" w:before="176"/>
        <w:ind w:left="152" w:right="5723" w:firstLine="0"/>
        <w:jc w:val="left"/>
        <w:rPr>
          <w:rFonts w:ascii="宋体" w:hAnsi="宋体" w:cs="宋体" w:eastAsia="宋体" w:hint="default"/>
          <w:sz w:val="21"/>
          <w:szCs w:val="21"/>
        </w:rPr>
      </w:pPr>
      <w:r>
        <w:rPr>
          <w:rFonts w:ascii="宋体" w:hAnsi="宋体" w:cs="宋体" w:eastAsia="宋体" w:hint="default"/>
          <w:spacing w:val="-2"/>
          <w:sz w:val="21"/>
          <w:szCs w:val="21"/>
        </w:rPr>
        <w:t>有关财务报表及其附注的披露要求。</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pStyle w:val="BodyText"/>
        <w:spacing w:line="669" w:lineRule="auto" w:before="117"/>
        <w:ind w:right="2785" w:firstLine="480"/>
        <w:jc w:val="left"/>
        <w:rPr>
          <w:rFonts w:ascii="宋体" w:hAnsi="宋体" w:cs="宋体" w:eastAsia="宋体" w:hint="default"/>
        </w:rPr>
      </w:pPr>
      <w:r>
        <w:rPr>
          <w:spacing w:val="-2"/>
        </w:rPr>
        <w:t>本公司会计年度采用公历年度，即每年自</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w:t>
      </w:r>
      <w:r>
        <w:rPr>
          <w:w w:val="100"/>
        </w:rPr>
        <w:t> </w:t>
      </w:r>
      <w:r>
        <w:rPr>
          <w:rFonts w:ascii="宋体" w:hAnsi="宋体" w:cs="宋体" w:eastAsia="宋体" w:hint="default"/>
          <w:b/>
          <w:bCs/>
        </w:rPr>
        <w:t>3</w:t>
      </w:r>
      <w:r>
        <w:rPr>
          <w:rFonts w:ascii="宋体" w:hAnsi="宋体" w:cs="宋体" w:eastAsia="宋体" w:hint="default"/>
          <w:b/>
          <w:bCs/>
        </w:rPr>
        <w:t>、营业周期</w:t>
      </w:r>
      <w:r>
        <w:rPr>
          <w:rFonts w:ascii="宋体" w:hAnsi="宋体" w:cs="宋体" w:eastAsia="宋体" w:hint="default"/>
        </w:rPr>
      </w:r>
    </w:p>
    <w:p>
      <w:pPr>
        <w:pStyle w:val="BodyText"/>
        <w:spacing w:line="410" w:lineRule="auto" w:before="117"/>
        <w:ind w:right="148" w:firstLine="480"/>
        <w:jc w:val="both"/>
      </w:pPr>
      <w:r>
        <w:rPr>
          <w:spacing w:val="-4"/>
          <w:w w:val="100"/>
        </w:rPr>
        <w:t>正常营业周期是指本公司从购买用于加工的资产起至实现现金或现金等价物的期间。本公司以</w:t>
      </w:r>
      <w:r>
        <w:rPr>
          <w:rFonts w:ascii="宋体" w:hAnsi="宋体" w:cs="宋体" w:eastAsia="宋体" w:hint="default"/>
          <w:spacing w:val="-4"/>
          <w:w w:val="100"/>
        </w:rPr>
        <w:t>12</w:t>
      </w:r>
      <w:r>
        <w:rPr>
          <w:spacing w:val="-4"/>
          <w:w w:val="100"/>
        </w:rPr>
        <w:t>个月</w:t>
      </w:r>
      <w:r>
        <w:rPr>
          <w:spacing w:val="-3"/>
          <w:w w:val="100"/>
        </w:rPr>
        <w:t> </w:t>
      </w:r>
      <w:r>
        <w:rPr/>
        <w:t>作为一个营业周期，并以其作为资产和负债的流动性划分标准。</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、记账本位币</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146" w:firstLine="480"/>
        <w:jc w:val="both"/>
      </w:pPr>
      <w:r>
        <w:rPr>
          <w:spacing w:val="-4"/>
        </w:rPr>
        <w:t>人民币为本公司及境内子公司经营所处的主要经济环境中的货币，本公司及境内子公司以人民币为记</w:t>
      </w:r>
      <w:r>
        <w:rPr>
          <w:w w:val="100"/>
        </w:rPr>
        <w:t> </w:t>
      </w:r>
      <w:r>
        <w:rPr/>
        <w:t>账本位币。本公司编制本财务报表时所采用的货币为人民币。</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155" w:right="146" w:firstLine="480"/>
        <w:jc w:val="both"/>
      </w:pPr>
      <w:r>
        <w:rPr>
          <w:spacing w:val="-4"/>
        </w:rPr>
        <w:t>企业合并，是指将两个或两个以上单独的企业合并形成一个报告主体的交易或事项。企业合并分为同</w:t>
      </w:r>
      <w:r>
        <w:rPr>
          <w:w w:val="100"/>
        </w:rPr>
        <w:t> </w:t>
      </w:r>
      <w:r>
        <w:rPr/>
        <w:t>一控制下企业合并和非同一控制下企业合并。</w:t>
      </w:r>
    </w:p>
    <w:p>
      <w:pPr>
        <w:pStyle w:val="BodyText"/>
        <w:spacing w:line="408" w:lineRule="auto"/>
        <w:ind w:left="633" w:right="0"/>
        <w:jc w:val="left"/>
      </w:pPr>
      <w:r>
        <w:rPr/>
        <w:t>（</w:t>
      </w:r>
      <w:r>
        <w:rPr>
          <w:rFonts w:ascii="宋体" w:hAnsi="宋体" w:cs="宋体" w:eastAsia="宋体" w:hint="default"/>
        </w:rPr>
        <w:t>1</w:t>
      </w:r>
      <w:r>
        <w:rPr/>
        <w:t>）同一控制下企业合并</w:t>
      </w:r>
      <w:r>
        <w:rPr>
          <w:w w:val="100"/>
        </w:rPr>
        <w:t> </w:t>
      </w:r>
      <w:r>
        <w:rPr>
          <w:spacing w:val="-4"/>
        </w:rPr>
        <w:t>参与合并的企业在合并前后均受同一方或相同的多方最终控制，且该控制并非暂时性的，为同一控制</w:t>
      </w:r>
    </w:p>
    <w:p>
      <w:pPr>
        <w:pStyle w:val="BodyText"/>
        <w:spacing w:line="408" w:lineRule="auto"/>
        <w:ind w:right="0"/>
        <w:jc w:val="left"/>
      </w:pPr>
      <w:r>
        <w:rPr>
          <w:spacing w:val="-2"/>
        </w:rPr>
        <w:t>下的企业合并。同一控制下的企业合并，在合并日取得对其他参与合并企业控制权的一方为合并方，参与</w:t>
      </w:r>
      <w:r>
        <w:rPr>
          <w:spacing w:val="-44"/>
        </w:rPr>
        <w:t> </w:t>
      </w:r>
      <w:r>
        <w:rPr>
          <w:spacing w:val="-44"/>
        </w:rPr>
      </w:r>
      <w:r>
        <w:rPr/>
        <w:t>合并的其他企业为被合并方。合并日，是指合并方实际取得对被合并方控制权的日期。</w:t>
      </w:r>
    </w:p>
    <w:p>
      <w:pPr>
        <w:pStyle w:val="BodyText"/>
        <w:spacing w:line="408" w:lineRule="auto"/>
        <w:ind w:right="146" w:firstLine="480"/>
        <w:jc w:val="both"/>
      </w:pPr>
      <w:r>
        <w:rPr>
          <w:spacing w:val="-4"/>
        </w:rPr>
        <w:t>合并方取得的资产和负债均按合并日在被合并方的账面价值计量。合并方取得的净资产账面价值与支</w:t>
      </w:r>
      <w:r>
        <w:rPr>
          <w:w w:val="100"/>
        </w:rPr>
        <w:t> </w:t>
      </w:r>
      <w:r>
        <w:rPr>
          <w:spacing w:val="-2"/>
        </w:rPr>
        <w:t>付的合并对价账面价值（或发行股份面值总额）的差额，调整资本公积（股本溢价）；资本公积（股本溢</w:t>
      </w:r>
      <w:r>
        <w:rPr>
          <w:spacing w:val="-45"/>
        </w:rPr>
        <w:t> </w:t>
      </w:r>
      <w:r>
        <w:rPr>
          <w:spacing w:val="-45"/>
        </w:rPr>
      </w:r>
      <w:r>
        <w:rPr/>
        <w:t>价）不足以冲减的，调整留存收益。</w:t>
      </w:r>
    </w:p>
    <w:p>
      <w:pPr>
        <w:pStyle w:val="BodyText"/>
        <w:spacing w:line="240" w:lineRule="auto"/>
        <w:ind w:left="633" w:right="0"/>
        <w:jc w:val="left"/>
      </w:pPr>
      <w:r>
        <w:rPr/>
        <w:t>合并方为进行企业合并发生的各项直接费用，于发生时计入当期损益。</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t>（</w:t>
      </w:r>
      <w:r>
        <w:rPr>
          <w:rFonts w:ascii="宋体" w:hAnsi="宋体" w:cs="宋体" w:eastAsia="宋体" w:hint="default"/>
        </w:rPr>
        <w:t>2</w:t>
      </w:r>
      <w:r>
        <w:rPr/>
        <w:t>）非同一控制下企业合并</w:t>
      </w:r>
      <w:r>
        <w:rPr>
          <w:w w:val="100"/>
        </w:rPr>
        <w:t> </w:t>
      </w:r>
      <w:r>
        <w:rPr>
          <w:spacing w:val="-4"/>
        </w:rPr>
        <w:t>参与合并的企业在合并前后不受同一方或相同的多方最终控制的，为非同一控制下的企业合并。非同</w:t>
      </w:r>
    </w:p>
    <w:p>
      <w:pPr>
        <w:pStyle w:val="BodyText"/>
        <w:spacing w:line="408" w:lineRule="auto"/>
        <w:ind w:right="0"/>
        <w:jc w:val="left"/>
      </w:pPr>
      <w:r>
        <w:rPr>
          <w:spacing w:val="-2"/>
        </w:rPr>
        <w:t>一控制下的企业合并，在购买日取得对其他参与合并企业控制权的一方为购买方，参与合并的其他企业为</w:t>
      </w:r>
      <w:r>
        <w:rPr>
          <w:spacing w:val="-43"/>
        </w:rPr>
        <w:t> </w:t>
      </w:r>
      <w:r>
        <w:rPr>
          <w:spacing w:val="-43"/>
        </w:rPr>
      </w:r>
      <w:r>
        <w:rPr/>
        <w:t>被购买方。购买日，是指为购买方实际取得对被购买方控制权的日期。</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2" w:firstLine="480"/>
        <w:jc w:val="left"/>
      </w:pPr>
      <w:r>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47"/>
        </w:rPr>
        <w:t> </w:t>
      </w:r>
      <w:r>
        <w:rPr>
          <w:spacing w:val="-47"/>
        </w:rPr>
      </w:r>
      <w:r>
        <w:rPr>
          <w:spacing w:val="-2"/>
        </w:rPr>
        <w:t>等中介费用以及其他管理费用于发生时计入当期损益。购买方作为合并对价发行的权益性证券或债务性证</w:t>
      </w:r>
      <w:r>
        <w:rPr>
          <w:spacing w:val="-43"/>
        </w:rPr>
        <w:t> </w:t>
      </w:r>
      <w:r>
        <w:rPr>
          <w:spacing w:val="-43"/>
        </w:rPr>
      </w:r>
      <w:r>
        <w:rPr>
          <w:spacing w:val="-2"/>
        </w:rPr>
        <w:t>券的交易费用，计入权益性证券或债务性证券的初始确认金额。所涉及的或有对价按其在购买日的公允价</w:t>
      </w:r>
      <w:r>
        <w:rPr>
          <w:spacing w:val="-43"/>
        </w:rPr>
        <w:t> </w:t>
      </w:r>
      <w:r>
        <w:rPr>
          <w:spacing w:val="-43"/>
        </w:rPr>
      </w:r>
      <w:r>
        <w:rPr>
          <w:spacing w:val="2"/>
        </w:rPr>
        <w:t>值计入合并成本，购买日后</w:t>
      </w:r>
      <w:r>
        <w:rPr>
          <w:rFonts w:ascii="宋体" w:hAnsi="宋体" w:cs="宋体" w:eastAsia="宋体" w:hint="default"/>
          <w:spacing w:val="2"/>
        </w:rPr>
        <w:t>12</w:t>
      </w:r>
      <w:r>
        <w:rPr>
          <w:spacing w:val="2"/>
        </w:rPr>
        <w:t>个月内出现对购买日已存在情况的新的或进一步证据而需要调整或有对价</w:t>
      </w:r>
      <w:r>
        <w:rPr>
          <w:spacing w:val="-29"/>
        </w:rPr>
        <w:t> </w:t>
      </w:r>
      <w:r>
        <w:rPr>
          <w:spacing w:val="-29"/>
        </w:rPr>
      </w:r>
      <w:r>
        <w:rPr>
          <w:spacing w:val="-5"/>
        </w:rPr>
        <w:t>的，相应调整合并商誉。购买方发生的合并成本及在合并中取得的可辨认净资产按购买日的公允价值计量。</w:t>
      </w:r>
      <w:r>
        <w:rPr>
          <w:spacing w:val="-4"/>
        </w:rPr>
        <w:t> </w:t>
      </w:r>
      <w:r>
        <w:rPr>
          <w:spacing w:val="-4"/>
        </w:rPr>
      </w:r>
      <w:r>
        <w:rPr>
          <w:spacing w:val="-2"/>
        </w:rPr>
        <w:t>合并成本大于合并中取得的被购买方于购买日可辨认净资产公允价值份额的差额，确认为商誉。合并成本</w:t>
      </w:r>
      <w:r>
        <w:rPr>
          <w:spacing w:val="-43"/>
        </w:rPr>
        <w:t> </w:t>
      </w:r>
      <w:r>
        <w:rPr>
          <w:spacing w:val="-43"/>
        </w:rPr>
      </w:r>
      <w:r>
        <w:rPr>
          <w:spacing w:val="-2"/>
        </w:rPr>
        <w:t>小于合并中取得的被购买方可辨认净资产公允价值份额的，首先对取得的被购买方各项可辨认资产、负债</w:t>
      </w:r>
      <w:r>
        <w:rPr>
          <w:spacing w:val="-43"/>
        </w:rPr>
        <w:t> </w:t>
      </w:r>
      <w:r>
        <w:rPr>
          <w:spacing w:val="-43"/>
        </w:rPr>
      </w:r>
      <w:r>
        <w:rPr>
          <w:spacing w:val="-2"/>
        </w:rPr>
        <w:t>及或有负债的公允价值以及合并成本的计量进行复核，复核后合并成本仍小于合并中取得的被购买方可辨</w:t>
      </w:r>
      <w:r>
        <w:rPr>
          <w:spacing w:val="-43"/>
        </w:rPr>
        <w:t> </w:t>
      </w:r>
      <w:r>
        <w:rPr>
          <w:spacing w:val="-43"/>
        </w:rPr>
      </w:r>
      <w:r>
        <w:rPr/>
        <w:t>认净资产公允价值份额的，其差额计入当期损益。</w:t>
      </w:r>
    </w:p>
    <w:p>
      <w:pPr>
        <w:pStyle w:val="BodyText"/>
        <w:spacing w:line="408" w:lineRule="auto"/>
        <w:ind w:right="185" w:firstLine="480"/>
        <w:jc w:val="both"/>
      </w:pPr>
      <w:r>
        <w:rPr/>
        <w:t>购买方取得被购买方的可抵扣暂时性差异，在购买日因不符合递延所得税资产确认条件而未予确认</w:t>
      </w:r>
      <w:r>
        <w:rPr>
          <w:w w:val="100"/>
        </w:rPr>
        <w:t> </w:t>
      </w:r>
      <w:r>
        <w:rPr>
          <w:spacing w:val="-2"/>
        </w:rPr>
        <w:t>的，在购买日后</w:t>
      </w:r>
      <w:r>
        <w:rPr>
          <w:rFonts w:ascii="宋体" w:hAnsi="宋体" w:cs="宋体" w:eastAsia="宋体" w:hint="default"/>
          <w:spacing w:val="-2"/>
        </w:rPr>
        <w:t>12</w:t>
      </w:r>
      <w:r>
        <w:rPr>
          <w:spacing w:val="-2"/>
        </w:rPr>
        <w:t>个月内，如取得新的或进一步的信息表明购买日的相关情况已经存在，预期被购买方在</w:t>
      </w:r>
      <w:r>
        <w:rPr>
          <w:spacing w:val="-41"/>
        </w:rPr>
        <w:t> </w:t>
      </w:r>
      <w:r>
        <w:rPr>
          <w:spacing w:val="-41"/>
        </w:rPr>
      </w:r>
      <w:r>
        <w:rPr>
          <w:spacing w:val="-2"/>
        </w:rPr>
        <w:t>购买日可抵扣暂时性差异带来的经济利益能够实现的，则确认相关的递延所得税资产，同时减少商誉，商</w:t>
      </w:r>
      <w:r>
        <w:rPr>
          <w:spacing w:val="-43"/>
        </w:rPr>
        <w:t> </w:t>
      </w:r>
      <w:r>
        <w:rPr>
          <w:spacing w:val="-43"/>
        </w:rPr>
      </w:r>
      <w:r>
        <w:rPr>
          <w:spacing w:val="-2"/>
        </w:rPr>
        <w:t>誉不足冲减的，差额部分确认为当期损益；除上述情况以外，确认与企业合并相关的递延所得税资产的，</w:t>
      </w:r>
      <w:r>
        <w:rPr>
          <w:spacing w:val="-21"/>
        </w:rPr>
        <w:t> </w:t>
      </w:r>
      <w:r>
        <w:rPr>
          <w:spacing w:val="-21"/>
        </w:rPr>
      </w:r>
      <w:r>
        <w:rPr/>
        <w:t>计入当期损益。</w:t>
      </w:r>
    </w:p>
    <w:p>
      <w:pPr>
        <w:pStyle w:val="BodyText"/>
        <w:spacing w:line="408" w:lineRule="auto"/>
        <w:ind w:right="92" w:firstLine="480"/>
        <w:jc w:val="left"/>
      </w:pPr>
      <w:r>
        <w:rPr/>
        <w:t>通过多次交易分步实现的非同一控制下企业合并，根据《财政部关于印发企业会计准则解释第</w:t>
      </w:r>
      <w:r>
        <w:rPr>
          <w:rFonts w:ascii="宋体" w:hAnsi="宋体" w:cs="宋体" w:eastAsia="宋体" w:hint="default"/>
        </w:rPr>
        <w:t>5</w:t>
      </w:r>
      <w:r>
        <w:rPr/>
        <w:t>号的</w:t>
      </w:r>
      <w:r>
        <w:rPr>
          <w:spacing w:val="-3"/>
          <w:w w:val="100"/>
        </w:rPr>
        <w:t> </w:t>
      </w:r>
      <w:r>
        <w:rPr>
          <w:spacing w:val="-6"/>
        </w:rPr>
        <w:t>通知》（财会〔</w:t>
      </w:r>
      <w:r>
        <w:rPr>
          <w:rFonts w:ascii="宋体" w:hAnsi="宋体" w:cs="宋体" w:eastAsia="宋体" w:hint="default"/>
          <w:spacing w:val="-6"/>
        </w:rPr>
        <w:t>2012</w:t>
      </w:r>
      <w:r>
        <w:rPr>
          <w:spacing w:val="-6"/>
        </w:rPr>
        <w:t>〕</w:t>
      </w:r>
      <w:r>
        <w:rPr>
          <w:rFonts w:ascii="宋体" w:hAnsi="宋体" w:cs="宋体" w:eastAsia="宋体" w:hint="default"/>
          <w:spacing w:val="-6"/>
        </w:rPr>
        <w:t>19</w:t>
      </w:r>
      <w:r>
        <w:rPr>
          <w:spacing w:val="-6"/>
        </w:rPr>
        <w:t>号）和《企业会计准则第</w:t>
      </w:r>
      <w:r>
        <w:rPr>
          <w:rFonts w:ascii="宋体" w:hAnsi="宋体" w:cs="宋体" w:eastAsia="宋体" w:hint="default"/>
          <w:spacing w:val="-6"/>
        </w:rPr>
        <w:t>33</w:t>
      </w:r>
      <w:r>
        <w:rPr>
          <w:spacing w:val="-6"/>
        </w:rPr>
        <w:t>号——合并财务报表》第五十一条关于“一揽子交易”</w:t>
      </w:r>
      <w:r>
        <w:rPr>
          <w:spacing w:val="-42"/>
        </w:rPr>
        <w:t> </w:t>
      </w:r>
      <w:r>
        <w:rPr>
          <w:spacing w:val="-42"/>
        </w:rPr>
      </w:r>
      <w:r>
        <w:rPr>
          <w:spacing w:val="-2"/>
        </w:rPr>
        <w:t>的判断标准（参见本附注五、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）），判断该多次交易是否属于“一揽子交易”。属于“一揽子交易”</w:t>
      </w:r>
      <w:r>
        <w:rPr>
          <w:spacing w:val="-43"/>
        </w:rPr>
        <w:t> </w:t>
      </w:r>
      <w:r>
        <w:rPr>
          <w:spacing w:val="-43"/>
        </w:rPr>
      </w:r>
      <w:r>
        <w:rPr>
          <w:spacing w:val="-4"/>
        </w:rPr>
        <w:t>的，参考本部分前面各段描述及本附注五、14“长期股权投资”进行会计处理；不属于“一揽子交易”的，</w:t>
      </w:r>
      <w:r>
        <w:rPr>
          <w:spacing w:val="-49"/>
        </w:rPr>
        <w:t> </w:t>
      </w:r>
      <w:r>
        <w:rPr>
          <w:spacing w:val="-49"/>
        </w:rPr>
      </w:r>
      <w:r>
        <w:rPr/>
        <w:t>区分个别财务报表和合并财务报表进行相关会计处理：</w:t>
      </w:r>
    </w:p>
    <w:p>
      <w:pPr>
        <w:pStyle w:val="BodyText"/>
        <w:spacing w:line="408" w:lineRule="auto"/>
        <w:ind w:right="92" w:firstLine="480"/>
        <w:jc w:val="left"/>
      </w:pPr>
      <w:r>
        <w:rPr>
          <w:spacing w:val="-2"/>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43"/>
        </w:rPr>
        <w:t> </w:t>
      </w:r>
      <w:r>
        <w:rPr>
          <w:spacing w:val="-43"/>
        </w:rPr>
      </w:r>
      <w:r>
        <w:rPr>
          <w:spacing w:val="-2"/>
        </w:rPr>
        <w:t>时将与其相关的其他综合收益采用与被购买方直接处置相关资产或负债相同的基础进行会计处理（即，除</w:t>
      </w:r>
      <w:r>
        <w:rPr>
          <w:spacing w:val="-43"/>
        </w:rPr>
        <w:t> </w:t>
      </w:r>
      <w:r>
        <w:rPr>
          <w:spacing w:val="-43"/>
        </w:rPr>
      </w:r>
      <w:r>
        <w:rPr>
          <w:spacing w:val="-2"/>
        </w:rPr>
        <w:t>了按照权益法核算的在被购买方重新计量设定受益计划净负债或净资产导致的变动中的相应份额以外，其</w:t>
      </w:r>
      <w:r>
        <w:rPr>
          <w:spacing w:val="-42"/>
        </w:rPr>
        <w:t> </w:t>
      </w:r>
      <w:r>
        <w:rPr>
          <w:spacing w:val="-42"/>
        </w:rPr>
      </w:r>
      <w:r>
        <w:rPr/>
        <w:t>余转入当期投资收益）。</w:t>
      </w:r>
    </w:p>
    <w:p>
      <w:pPr>
        <w:pStyle w:val="BodyText"/>
        <w:spacing w:line="408" w:lineRule="auto"/>
        <w:ind w:right="206" w:firstLine="480"/>
        <w:jc w:val="both"/>
      </w:pPr>
      <w:r>
        <w:rPr>
          <w:spacing w:val="-4"/>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44"/>
        </w:rPr>
        <w:t> </w:t>
      </w:r>
      <w:r>
        <w:rPr>
          <w:spacing w:val="-44"/>
        </w:rPr>
      </w:r>
      <w:r>
        <w:rPr>
          <w:spacing w:val="-2"/>
        </w:rPr>
        <w:t>合收益的，与其相关的其他综合收益应当采用与被购买方直接处置相关资产或负债相同的基础进行会计处</w:t>
      </w:r>
      <w:r>
        <w:rPr>
          <w:spacing w:val="-43"/>
        </w:rPr>
        <w:t> </w:t>
      </w:r>
      <w:r>
        <w:rPr>
          <w:spacing w:val="-43"/>
        </w:rPr>
      </w:r>
      <w:r>
        <w:rPr>
          <w:spacing w:val="-2"/>
        </w:rPr>
        <w:t>理（即，除了按照权益法核算的在被购买方重新计量设定受益计划净负债或净资产导致的变动中的相应份</w:t>
      </w:r>
      <w:r>
        <w:rPr>
          <w:spacing w:val="-43"/>
        </w:rPr>
        <w:t> </w:t>
      </w:r>
      <w:r>
        <w:rPr>
          <w:spacing w:val="-43"/>
        </w:rPr>
      </w:r>
      <w:r>
        <w:rPr/>
        <w:t>额以外，其余转为购买日所属当期投资收益）。</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Heading3"/>
        <w:spacing w:line="240" w:lineRule="auto" w:before="176"/>
        <w:ind w:right="0"/>
        <w:jc w:val="both"/>
        <w:rPr>
          <w:b w:val="0"/>
          <w:bCs w:val="0"/>
        </w:rPr>
      </w:pP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633" w:right="92"/>
        <w:jc w:val="left"/>
      </w:pPr>
      <w:r>
        <w:rPr/>
        <w:t>（</w:t>
      </w:r>
      <w:r>
        <w:rPr>
          <w:rFonts w:ascii="宋体" w:hAnsi="宋体" w:cs="宋体" w:eastAsia="宋体" w:hint="default"/>
        </w:rPr>
        <w:t>1</w:t>
      </w:r>
      <w:r>
        <w:rPr/>
        <w:t>）合并财务报表范围的确定原则</w:t>
      </w:r>
      <w:r>
        <w:rPr>
          <w:w w:val="100"/>
        </w:rPr>
        <w:t> </w:t>
      </w:r>
      <w:r>
        <w:rPr>
          <w:spacing w:val="-4"/>
        </w:rPr>
        <w:t>合并财务报表的合并范围以控制为基础予以确定。控制是指本公司拥有对被投资方的权力，通过参与</w:t>
      </w:r>
    </w:p>
    <w:p>
      <w:pPr>
        <w:pStyle w:val="BodyText"/>
        <w:spacing w:line="408" w:lineRule="auto"/>
        <w:ind w:right="206"/>
        <w:jc w:val="both"/>
      </w:pPr>
      <w:r>
        <w:rPr>
          <w:spacing w:val="-2"/>
        </w:rPr>
        <w:t>被投资方的相关活动而享有可变回报，并且有能力运用对被投资方的权力影响该回报金额。合并范围包括</w:t>
      </w:r>
      <w:r>
        <w:rPr>
          <w:spacing w:val="-43"/>
        </w:rPr>
        <w:t> </w:t>
      </w:r>
      <w:r>
        <w:rPr>
          <w:spacing w:val="-43"/>
        </w:rPr>
      </w:r>
      <w:r>
        <w:rPr/>
        <w:t>本公司及全部子公司。子公司，是指被本公司控制的主体。</w:t>
      </w:r>
    </w:p>
    <w:p>
      <w:pPr>
        <w:pStyle w:val="BodyText"/>
        <w:spacing w:line="240" w:lineRule="auto"/>
        <w:ind w:left="633" w:right="92"/>
        <w:jc w:val="left"/>
      </w:pPr>
      <w:r>
        <w:rPr/>
        <w:t>一旦相关事实和情况的变化导致上述控制定义涉及的相关要素发生了变化，本公司将进行重新评估。</w:t>
      </w:r>
    </w:p>
    <w:p>
      <w:pPr>
        <w:spacing w:line="240" w:lineRule="auto" w:before="11"/>
        <w:rPr>
          <w:rFonts w:ascii="宋体" w:hAnsi="宋体" w:cs="宋体" w:eastAsia="宋体" w:hint="default"/>
          <w:sz w:val="14"/>
          <w:szCs w:val="14"/>
        </w:rPr>
      </w:pPr>
    </w:p>
    <w:p>
      <w:pPr>
        <w:pStyle w:val="BodyText"/>
        <w:spacing w:line="408" w:lineRule="auto" w:before="0"/>
        <w:ind w:left="633" w:right="92"/>
        <w:jc w:val="left"/>
      </w:pPr>
      <w:r>
        <w:rPr/>
        <w:t>（</w:t>
      </w:r>
      <w:r>
        <w:rPr>
          <w:rFonts w:ascii="宋体" w:hAnsi="宋体" w:cs="宋体" w:eastAsia="宋体" w:hint="default"/>
        </w:rPr>
        <w:t>2</w:t>
      </w:r>
      <w:r>
        <w:rPr/>
        <w:t>）合并财务报表编制的方法</w:t>
      </w:r>
      <w:r>
        <w:rPr>
          <w:w w:val="100"/>
        </w:rPr>
        <w:t> </w:t>
      </w:r>
      <w:r>
        <w:rPr>
          <w:spacing w:val="-4"/>
        </w:rPr>
        <w:t>从取得子公司的净资产和生产经营决策的实际控制权之日起，本公司开始将其纳入合并范围；从丧失</w:t>
      </w:r>
    </w:p>
    <w:p>
      <w:pPr>
        <w:pStyle w:val="BodyText"/>
        <w:spacing w:line="408" w:lineRule="auto"/>
        <w:ind w:right="206"/>
        <w:jc w:val="both"/>
      </w:pPr>
      <w:r>
        <w:rPr>
          <w:spacing w:val="-2"/>
        </w:rPr>
        <w:t>实际控制权之日起停止纳入合并范围。对于处置的子公司，处置日前的经营成果和现金流量已经适当地包</w:t>
      </w:r>
      <w:r>
        <w:rPr>
          <w:spacing w:val="-44"/>
        </w:rPr>
        <w:t> </w:t>
      </w:r>
      <w:r>
        <w:rPr>
          <w:spacing w:val="-44"/>
        </w:rPr>
      </w:r>
      <w:r>
        <w:rPr>
          <w:spacing w:val="-2"/>
        </w:rPr>
        <w:t>括在合并利润表和合并现金流量表中；当期处置的子公司，不调整合并资产负债表的期初数。非同一控制</w:t>
      </w:r>
      <w:r>
        <w:rPr>
          <w:spacing w:val="-43"/>
        </w:rPr>
        <w:t> </w:t>
      </w:r>
      <w:r>
        <w:rPr>
          <w:spacing w:val="-43"/>
        </w:rPr>
      </w:r>
      <w:r>
        <w:rPr>
          <w:spacing w:val="-2"/>
        </w:rPr>
        <w:t>下企业合并增加的子公司，其购买日后的经营成果及现金流量已经适当地包括在合并利润表和合并现金流</w:t>
      </w:r>
      <w:r>
        <w:rPr>
          <w:spacing w:val="-43"/>
        </w:rPr>
        <w:t> </w:t>
      </w:r>
      <w:r>
        <w:rPr>
          <w:spacing w:val="-43"/>
        </w:rPr>
      </w:r>
      <w:r>
        <w:rPr>
          <w:spacing w:val="-2"/>
        </w:rPr>
        <w:t>量表中，且不调整合并财务报表的期初数和对比数。同一控制下企业合并增加的子公司，其自合并当期期</w:t>
      </w:r>
      <w:r>
        <w:rPr>
          <w:spacing w:val="-43"/>
        </w:rPr>
        <w:t> </w:t>
      </w:r>
      <w:r>
        <w:rPr>
          <w:spacing w:val="-43"/>
        </w:rPr>
      </w:r>
      <w:r>
        <w:rPr>
          <w:spacing w:val="-2"/>
        </w:rPr>
        <w:t>初至合并日的经营成果和现金流量已经适当地包括在合并利润表和合并现金流量表中，并且同时调整合并</w:t>
      </w:r>
      <w:r>
        <w:rPr>
          <w:spacing w:val="-43"/>
        </w:rPr>
        <w:t> </w:t>
      </w:r>
      <w:r>
        <w:rPr>
          <w:spacing w:val="-43"/>
        </w:rPr>
      </w:r>
      <w:r>
        <w:rPr/>
        <w:t>财务报表的对比数。</w:t>
      </w:r>
    </w:p>
    <w:p>
      <w:pPr>
        <w:pStyle w:val="BodyText"/>
        <w:spacing w:line="408" w:lineRule="auto"/>
        <w:ind w:right="206" w:firstLine="480"/>
        <w:jc w:val="both"/>
      </w:pPr>
      <w:r>
        <w:rPr>
          <w:spacing w:val="-4"/>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43"/>
        </w:rPr>
        <w:t> </w:t>
      </w:r>
      <w:r>
        <w:rPr>
          <w:spacing w:val="-43"/>
        </w:rPr>
      </w:r>
      <w:r>
        <w:rPr/>
        <w:t>辨认净资产公允价值为基础对其财务报表进行调整。</w:t>
      </w:r>
    </w:p>
    <w:p>
      <w:pPr>
        <w:pStyle w:val="BodyText"/>
        <w:spacing w:line="408" w:lineRule="auto"/>
        <w:ind w:left="633" w:right="92"/>
        <w:jc w:val="left"/>
      </w:pPr>
      <w:r>
        <w:rPr/>
        <w:t>公司内所有重大往来余额、交易及未实现利润在合并财务报表编制时予以抵销。</w:t>
      </w:r>
      <w:r>
        <w:rPr>
          <w:w w:val="100"/>
        </w:rPr>
        <w:t> </w:t>
      </w:r>
      <w:r>
        <w:rPr/>
        <w:t>子公司的股东权益及当期净损益中不属于本公司所拥有的部分分别作为少数股东权益及少数股东损</w:t>
      </w:r>
    </w:p>
    <w:p>
      <w:pPr>
        <w:pStyle w:val="BodyText"/>
        <w:spacing w:line="408" w:lineRule="auto"/>
        <w:ind w:right="206"/>
        <w:jc w:val="both"/>
      </w:pPr>
      <w:r>
        <w:rPr>
          <w:spacing w:val="-2"/>
        </w:rPr>
        <w:t>益在合并财务报表中股东权益及净利润项下单独列示。子公司当期净损益中属于少数股东权益的份额，在</w:t>
      </w:r>
      <w:r>
        <w:rPr>
          <w:spacing w:val="-44"/>
        </w:rPr>
        <w:t> </w:t>
      </w:r>
      <w:r>
        <w:rPr>
          <w:spacing w:val="-44"/>
        </w:rPr>
      </w:r>
      <w:r>
        <w:rPr>
          <w:spacing w:val="-2"/>
        </w:rPr>
        <w:t>合并利润表中净利润项目下以“少数股东损益”项目列示。少数股东分担的子公司的亏损超过了少数股东</w:t>
      </w:r>
      <w:r>
        <w:rPr>
          <w:spacing w:val="-42"/>
        </w:rPr>
        <w:t> </w:t>
      </w:r>
      <w:r>
        <w:rPr>
          <w:spacing w:val="-42"/>
        </w:rPr>
      </w:r>
      <w:r>
        <w:rPr/>
        <w:t>在该子公司期初股东权益中所享有的份额，仍冲减少数股东权益。</w:t>
      </w:r>
    </w:p>
    <w:p>
      <w:pPr>
        <w:pStyle w:val="BodyText"/>
        <w:spacing w:line="408" w:lineRule="auto"/>
        <w:ind w:right="92" w:firstLine="480"/>
        <w:jc w:val="left"/>
      </w:pPr>
      <w:r>
        <w:rPr>
          <w:spacing w:val="-4"/>
        </w:rPr>
        <w:t>当因处置部分股权投资或其他原因丧失了对原有子公司的控制权时，对于剩余股权，按照其在丧失控</w:t>
      </w:r>
      <w:r>
        <w:rPr>
          <w:w w:val="100"/>
        </w:rPr>
        <w:t> </w:t>
      </w:r>
      <w:r>
        <w:rPr>
          <w:spacing w:val="-2"/>
        </w:rPr>
        <w:t>制权日的公允价值进行重新计量。处置股权取得的对价与剩余股权公允价值之和，减去按原持股比例计算</w:t>
      </w:r>
      <w:r>
        <w:rPr>
          <w:spacing w:val="-43"/>
        </w:rPr>
        <w:t> </w:t>
      </w:r>
      <w:r>
        <w:rPr>
          <w:spacing w:val="-43"/>
        </w:rPr>
      </w:r>
      <w:r>
        <w:rPr/>
        <w:t>应享有原有子公司自购买日开始持续计算的净资产的份额之间的差额，计入丧失控制权当期的投资收益。</w:t>
      </w:r>
      <w:r>
        <w:rPr>
          <w:w w:val="100"/>
        </w:rPr>
        <w:t> </w:t>
      </w:r>
      <w:r>
        <w:rPr>
          <w:spacing w:val="-2"/>
        </w:rPr>
        <w:t>与原有子公司股权投资相关的其他综合收益，在丧失控制权时采用与被购买方直接处置相关资产或负债相</w:t>
      </w:r>
      <w:r>
        <w:rPr>
          <w:spacing w:val="-43"/>
        </w:rPr>
        <w:t> </w:t>
      </w:r>
      <w:r>
        <w:rPr>
          <w:spacing w:val="-43"/>
        </w:rPr>
      </w:r>
      <w:r>
        <w:rPr>
          <w:spacing w:val="-5"/>
        </w:rPr>
        <w:t>同的基础进行会计处理（即，除了在该原有子公司重新计量设定受益计划净负债或净资产导致的变动以外，</w:t>
      </w:r>
      <w:r>
        <w:rPr>
          <w:spacing w:val="-4"/>
        </w:rPr>
        <w:t> </w:t>
      </w:r>
      <w:r>
        <w:rPr>
          <w:spacing w:val="-4"/>
        </w:rPr>
      </w:r>
      <w:r>
        <w:rPr/>
        <w:t>其余一并转为当期投资收益）。其后，对该部分剩余股权按照《企业会计准则第</w:t>
      </w:r>
      <w:r>
        <w:rPr>
          <w:rFonts w:ascii="宋体" w:hAnsi="宋体" w:cs="宋体" w:eastAsia="宋体" w:hint="default"/>
        </w:rPr>
        <w:t>2</w:t>
      </w:r>
      <w:r>
        <w:rPr/>
        <w:t>号——长期股权投资》</w:t>
      </w:r>
      <w:r>
        <w:rPr>
          <w:w w:val="100"/>
        </w:rPr>
        <w:t> </w:t>
      </w:r>
      <w:r>
        <w:rPr>
          <w:spacing w:val="-2"/>
        </w:rPr>
        <w:t>或《企业会计准则第</w:t>
      </w:r>
      <w:r>
        <w:rPr>
          <w:rFonts w:ascii="宋体" w:hAnsi="宋体" w:cs="宋体" w:eastAsia="宋体" w:hint="default"/>
          <w:spacing w:val="-2"/>
        </w:rPr>
        <w:t>22</w:t>
      </w:r>
      <w:r>
        <w:rPr>
          <w:spacing w:val="-2"/>
        </w:rPr>
        <w:t>号——金融工具确认和计量》等相关规定进行后续计量，详见本附注五、14“长期</w:t>
      </w:r>
    </w:p>
    <w:p>
      <w:pPr>
        <w:spacing w:after="0" w:line="408" w:lineRule="auto"/>
        <w:jc w:val="left"/>
        <w:sectPr>
          <w:footerReference w:type="default" r:id="rId21"/>
          <w:pgSz w:w="11910" w:h="16840"/>
          <w:pgMar w:footer="979" w:header="745" w:top="1060" w:bottom="1160" w:left="980" w:right="920"/>
          <w:pgNumType w:start="152"/>
        </w:sectPr>
      </w:pPr>
    </w:p>
    <w:p>
      <w:pPr>
        <w:spacing w:line="240" w:lineRule="auto" w:before="0"/>
        <w:rPr>
          <w:rFonts w:ascii="宋体" w:hAnsi="宋体" w:cs="宋体" w:eastAsia="宋体" w:hint="default"/>
          <w:sz w:val="20"/>
          <w:szCs w:val="20"/>
        </w:rPr>
      </w:pPr>
    </w:p>
    <w:p>
      <w:pPr>
        <w:pStyle w:val="BodyText"/>
        <w:spacing w:line="408" w:lineRule="auto" w:before="176"/>
        <w:ind w:left="633" w:right="0" w:hanging="481"/>
        <w:jc w:val="left"/>
      </w:pPr>
      <w:r>
        <w:rPr/>
        <w:t>股权投资”或本附注五、10“金融工具”。</w:t>
      </w:r>
      <w:r>
        <w:rPr>
          <w:w w:val="100"/>
        </w:rPr>
        <w:t> </w:t>
      </w:r>
      <w:r>
        <w:rPr>
          <w:spacing w:val="-4"/>
          <w:w w:val="100"/>
        </w:rPr>
        <w:t>本公司通过多次交易分步处置对子公司股权投资直至丧失控制权的，需区分处置对子公司股权投资直</w:t>
      </w:r>
    </w:p>
    <w:p>
      <w:pPr>
        <w:pStyle w:val="BodyText"/>
        <w:spacing w:line="408" w:lineRule="auto"/>
        <w:ind w:right="0"/>
        <w:jc w:val="left"/>
      </w:pPr>
      <w:r>
        <w:rPr>
          <w:spacing w:val="-2"/>
        </w:rPr>
        <w:t>至丧失控制权的各项交易是否属于一揽子交易。处置对子公司股权投资的各项交易的条款、条件以及经济</w:t>
      </w:r>
      <w:r>
        <w:rPr>
          <w:spacing w:val="-43"/>
        </w:rPr>
        <w:t> </w:t>
      </w:r>
      <w:r>
        <w:rPr>
          <w:spacing w:val="-43"/>
        </w:rPr>
      </w:r>
      <w:r>
        <w:rPr>
          <w:spacing w:val="-2"/>
        </w:rPr>
        <w:t>影响符合以下一种或多种情况，通常表明应将多次交易事项作为一揽子交易进行会计处理：①这些交易是</w:t>
      </w:r>
      <w:r>
        <w:rPr>
          <w:spacing w:val="-42"/>
        </w:rPr>
        <w:t> </w:t>
      </w:r>
      <w:r>
        <w:rPr>
          <w:spacing w:val="-42"/>
        </w:rPr>
      </w:r>
      <w:r>
        <w:rPr>
          <w:spacing w:val="-2"/>
        </w:rPr>
        <w:t>同时或者在考虑了彼此影响的情况下订立的；②这些交易整体才能达成一项完整的商业结果；③一项交易</w:t>
      </w:r>
      <w:r>
        <w:rPr>
          <w:spacing w:val="-43"/>
        </w:rPr>
        <w:t> </w:t>
      </w:r>
      <w:r>
        <w:rPr>
          <w:spacing w:val="-43"/>
        </w:rPr>
      </w:r>
      <w:r>
        <w:rPr>
          <w:spacing w:val="-2"/>
        </w:rPr>
        <w:t>的发生取决于其他至少一项交易的发生；④一项交易单独看是不经济的，但是和其他交易一并考虑时是经</w:t>
      </w:r>
      <w:r>
        <w:rPr>
          <w:spacing w:val="-43"/>
        </w:rPr>
        <w:t> </w:t>
      </w:r>
      <w:r>
        <w:rPr>
          <w:spacing w:val="-43"/>
        </w:rPr>
      </w:r>
      <w:r>
        <w:rPr>
          <w:spacing w:val="-2"/>
        </w:rPr>
        <w:t>济的。不属于一揽子交易的，对其中的每一项交易视情况分别按照“不丧失控制权的情况下部分处置对子</w:t>
      </w:r>
      <w:r>
        <w:rPr>
          <w:spacing w:val="-42"/>
        </w:rPr>
        <w:t> </w:t>
      </w:r>
      <w:r>
        <w:rPr>
          <w:spacing w:val="-42"/>
        </w:rPr>
      </w:r>
      <w:r>
        <w:rPr/>
        <w:t>公司的长期股权投资”（详见本附注五、</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）④）和“因处置部分股权投资或其他原因丧失了对原</w:t>
      </w:r>
      <w:r>
        <w:rPr>
          <w:w w:val="100"/>
        </w:rPr>
        <w:t> </w:t>
      </w:r>
      <w:r>
        <w:rPr>
          <w:spacing w:val="-2"/>
        </w:rPr>
        <w:t>有子公司的控制权”（详见前段）适用的原则进行会计处理。处置对子公司股权投资直至丧失控制权的各</w:t>
      </w:r>
      <w:r>
        <w:rPr>
          <w:spacing w:val="-43"/>
        </w:rPr>
        <w:t> </w:t>
      </w:r>
      <w:r>
        <w:rPr>
          <w:spacing w:val="-43"/>
        </w:rPr>
      </w:r>
      <w:r>
        <w:rPr>
          <w:spacing w:val="-2"/>
        </w:rPr>
        <w:t>项交易属于一揽子交易的，将各项交易作为一项处置子公司并丧失控制权的交易进行会计处理；但是，在</w:t>
      </w:r>
      <w:r>
        <w:rPr>
          <w:spacing w:val="-43"/>
        </w:rPr>
        <w:t> </w:t>
      </w:r>
      <w:r>
        <w:rPr>
          <w:spacing w:val="-43"/>
        </w:rPr>
      </w:r>
      <w:r>
        <w:rPr>
          <w:spacing w:val="-2"/>
        </w:rPr>
        <w:t>丧失控制权之前每一次处置价款与处置投资对应的享有该子公司净资产份额的差额，在合并财务报表中确</w:t>
      </w:r>
      <w:r>
        <w:rPr>
          <w:spacing w:val="-43"/>
        </w:rPr>
        <w:t> </w:t>
      </w:r>
      <w:r>
        <w:rPr>
          <w:spacing w:val="-43"/>
        </w:rPr>
      </w:r>
      <w:r>
        <w:rPr/>
        <w:t>认为其他综合收益，在丧失控制权时一并转入丧失控制权当期的损益。</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146" w:firstLine="480"/>
        <w:jc w:val="both"/>
      </w:pPr>
      <w:r>
        <w:rPr>
          <w:spacing w:val="-4"/>
        </w:rPr>
        <w:t>合营安排，是指一项由两个或两个以上的参与方共同控制的安排。本公司根据在合营安排中享有的权</w:t>
      </w:r>
      <w:r>
        <w:rPr>
          <w:w w:val="100"/>
        </w:rPr>
        <w:t> </w:t>
      </w:r>
      <w:r>
        <w:rPr>
          <w:spacing w:val="-2"/>
        </w:rPr>
        <w:t>利和承担的义务，将合营安排分为共同经营和合营企业。共同经营，是指本公司享有该安排相关资产且承</w:t>
      </w:r>
      <w:r>
        <w:rPr>
          <w:spacing w:val="-44"/>
        </w:rPr>
        <w:t> </w:t>
      </w:r>
      <w:r>
        <w:rPr>
          <w:spacing w:val="-44"/>
        </w:rPr>
      </w:r>
      <w:r>
        <w:rPr/>
        <w:t>担该安排相关负债的合营安排。合营企业，是指本公司仅对该安排的净资产享有权利的合营安排。</w:t>
      </w:r>
    </w:p>
    <w:p>
      <w:pPr>
        <w:pStyle w:val="BodyText"/>
        <w:spacing w:line="408" w:lineRule="auto"/>
        <w:ind w:right="146" w:firstLine="480"/>
        <w:jc w:val="both"/>
      </w:pPr>
      <w:r>
        <w:rPr>
          <w:spacing w:val="-11"/>
        </w:rPr>
        <w:t>本公司对合营企业的投资采用权益法核算，按照本附注五、</w:t>
      </w:r>
      <w:r>
        <w:rPr>
          <w:rFonts w:ascii="宋体" w:hAnsi="宋体" w:cs="宋体" w:eastAsia="宋体" w:hint="default"/>
          <w:spacing w:val="-11"/>
        </w:rPr>
        <w:t>14</w:t>
      </w:r>
      <w:r>
        <w:rPr>
          <w:spacing w:val="-11"/>
        </w:rPr>
        <w:t>（</w:t>
      </w:r>
      <w:r>
        <w:rPr>
          <w:rFonts w:ascii="宋体" w:hAnsi="宋体" w:cs="宋体" w:eastAsia="宋体" w:hint="default"/>
          <w:spacing w:val="-11"/>
        </w:rPr>
        <w:t>2</w:t>
      </w:r>
      <w:r>
        <w:rPr>
          <w:spacing w:val="-11"/>
        </w:rPr>
        <w:t>）②</w:t>
      </w:r>
      <w:r>
        <w:rPr>
          <w:spacing w:val="43"/>
        </w:rPr>
        <w:t> </w:t>
      </w:r>
      <w:r>
        <w:rPr/>
        <w:t>“权益法核算的长期股权投资”</w:t>
      </w:r>
      <w:r>
        <w:rPr>
          <w:w w:val="100"/>
        </w:rPr>
        <w:t> </w:t>
      </w:r>
      <w:r>
        <w:rPr/>
        <w:t>中所述的会计政策处理。</w:t>
      </w:r>
    </w:p>
    <w:p>
      <w:pPr>
        <w:pStyle w:val="BodyText"/>
        <w:spacing w:line="408" w:lineRule="auto"/>
        <w:ind w:right="146" w:firstLine="480"/>
        <w:jc w:val="both"/>
      </w:pPr>
      <w:r>
        <w:rPr>
          <w:spacing w:val="-4"/>
        </w:rPr>
        <w:t>本公司作为合营方对共同经营，确认本公司单独持有的资产、单独所承担的负债，以及按本公司份额</w:t>
      </w:r>
      <w:r>
        <w:rPr>
          <w:w w:val="100"/>
        </w:rPr>
        <w:t> </w:t>
      </w:r>
      <w:r>
        <w:rPr>
          <w:spacing w:val="-2"/>
        </w:rPr>
        <w:t>确认共同持有的资产和共同承担的负债；确认出售本公司享有的共同经营产出份额所产生的收入；按本公</w:t>
      </w:r>
      <w:r>
        <w:rPr>
          <w:spacing w:val="-43"/>
        </w:rPr>
        <w:t> </w:t>
      </w:r>
      <w:r>
        <w:rPr>
          <w:spacing w:val="-43"/>
        </w:rPr>
      </w:r>
      <w:r>
        <w:rPr>
          <w:spacing w:val="-2"/>
        </w:rPr>
        <w:t>司份额确认共同经营因出售产出所产生的收入；确认本公司单独所发生的费用，以及按本公司份额确认共</w:t>
      </w:r>
      <w:r>
        <w:rPr>
          <w:spacing w:val="-44"/>
        </w:rPr>
        <w:t> </w:t>
      </w:r>
      <w:r>
        <w:rPr>
          <w:spacing w:val="-44"/>
        </w:rPr>
      </w:r>
      <w:r>
        <w:rPr/>
        <w:t>同经营发生的费用。</w:t>
      </w:r>
    </w:p>
    <w:p>
      <w:pPr>
        <w:pStyle w:val="BodyText"/>
        <w:spacing w:line="408" w:lineRule="auto"/>
        <w:ind w:right="0" w:firstLine="480"/>
        <w:jc w:val="left"/>
      </w:pPr>
      <w:r>
        <w:rPr>
          <w:spacing w:val="-4"/>
        </w:rPr>
        <w:t>当本公司作为合营方向共同经营投出或出售资产（该资产不构成业务，下同）、或者自共同经营购买</w:t>
      </w:r>
      <w:r>
        <w:rPr>
          <w:w w:val="100"/>
        </w:rPr>
        <w:t> </w:t>
      </w:r>
      <w:r>
        <w:rPr>
          <w:spacing w:val="-2"/>
        </w:rPr>
        <w:t>资产时，在该等资产出售给第三方之前，本公司仅确认因该交易产生的损益中归属于共同经营其他参与方</w:t>
      </w:r>
      <w:r>
        <w:rPr>
          <w:spacing w:val="-42"/>
        </w:rPr>
        <w:t> </w:t>
      </w:r>
      <w:r>
        <w:rPr>
          <w:spacing w:val="-42"/>
        </w:rPr>
      </w:r>
      <w:r>
        <w:rPr/>
        <w:t>的部分。该等资产发生符合《企业会计准则第</w:t>
      </w:r>
      <w:r>
        <w:rPr>
          <w:rFonts w:ascii="宋体" w:hAnsi="宋体" w:cs="宋体" w:eastAsia="宋体" w:hint="default"/>
        </w:rPr>
        <w:t>8</w:t>
      </w:r>
      <w:r>
        <w:rPr/>
        <w:t>号——资产减值》等规定的资产减值损失的，对于由本公</w:t>
      </w:r>
      <w:r>
        <w:rPr>
          <w:w w:val="100"/>
        </w:rPr>
        <w:t> </w:t>
      </w:r>
      <w:r>
        <w:rPr>
          <w:spacing w:val="-2"/>
        </w:rPr>
        <w:t>司向共同经营投出或出售资产的情况，本公司全额确认该损失；对于本公司自共同经营购买资产的情况，</w:t>
      </w:r>
      <w:r>
        <w:rPr>
          <w:spacing w:val="-21"/>
        </w:rPr>
        <w:t> </w:t>
      </w:r>
      <w:r>
        <w:rPr>
          <w:spacing w:val="-21"/>
        </w:rPr>
      </w:r>
      <w:r>
        <w:rPr/>
        <w:t>本公司按承担的份额确认该损失。</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Heading3"/>
        <w:spacing w:line="240" w:lineRule="auto" w:before="176"/>
        <w:ind w:right="0"/>
        <w:jc w:val="both"/>
        <w:rPr>
          <w:b w:val="0"/>
          <w:bCs w:val="0"/>
        </w:rPr>
      </w:pPr>
      <w:r>
        <w:rPr>
          <w:rFonts w:ascii="宋体" w:hAnsi="宋体" w:cs="宋体" w:eastAsia="宋体" w:hint="default"/>
        </w:rPr>
        <w:t>8</w:t>
      </w:r>
      <w:r>
        <w:rPr/>
        <w:t>、现金及现金等价物的确定标准</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148" w:firstLine="480"/>
        <w:jc w:val="both"/>
      </w:pPr>
      <w:r>
        <w:rPr>
          <w:spacing w:val="-4"/>
        </w:rPr>
        <w:t>本公司现金及现金等价物包括库存现金、可以随时用于支付的存款以及本公司持有的期限短（一般为</w:t>
      </w:r>
      <w:r>
        <w:rPr>
          <w:w w:val="100"/>
        </w:rPr>
        <w:t> </w:t>
      </w:r>
      <w:r>
        <w:rPr/>
        <w:t>从购买日起，三个月内到期）、流动性强、易于转换为已知金额的现金、价值变动风险很小的投资。</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10" w:lineRule="auto" w:before="0"/>
        <w:ind w:left="633" w:right="0"/>
        <w:jc w:val="left"/>
      </w:pPr>
      <w:r>
        <w:rPr/>
        <w:t>（</w:t>
      </w:r>
      <w:r>
        <w:rPr>
          <w:rFonts w:ascii="宋体" w:hAnsi="宋体" w:cs="宋体" w:eastAsia="宋体" w:hint="default"/>
        </w:rPr>
        <w:t>1</w:t>
      </w:r>
      <w:r>
        <w:rPr/>
        <w:t>）外币交易的折算方法</w:t>
      </w:r>
      <w:r>
        <w:rPr>
          <w:w w:val="100"/>
        </w:rPr>
        <w:t> </w:t>
      </w:r>
      <w:r>
        <w:rPr>
          <w:spacing w:val="-4"/>
        </w:rPr>
        <w:t>本公司发生的外币交易在初始确认时，按交易日的即期汇率（通常指中国人民银行公布的当日外汇牌</w:t>
      </w:r>
    </w:p>
    <w:p>
      <w:pPr>
        <w:pStyle w:val="BodyText"/>
        <w:spacing w:line="408" w:lineRule="auto" w:before="44"/>
        <w:ind w:right="146"/>
        <w:jc w:val="both"/>
      </w:pPr>
      <w:r>
        <w:rPr>
          <w:spacing w:val="-2"/>
        </w:rPr>
        <w:t>价的中间价，下同）折算为记账本位币金额，但公司发生的外币兑换业务或涉及外币兑换的交易事项，按</w:t>
      </w:r>
      <w:r>
        <w:rPr>
          <w:spacing w:val="-44"/>
        </w:rPr>
        <w:t> </w:t>
      </w:r>
      <w:r>
        <w:rPr>
          <w:spacing w:val="-44"/>
        </w:rPr>
      </w:r>
      <w:r>
        <w:rPr/>
        <w:t>照实际采用的汇率折算为记账本位币金额。</w:t>
      </w:r>
    </w:p>
    <w:p>
      <w:pPr>
        <w:pStyle w:val="BodyText"/>
        <w:spacing w:line="408" w:lineRule="auto"/>
        <w:ind w:left="633" w:right="0"/>
        <w:jc w:val="left"/>
      </w:pPr>
      <w:r>
        <w:rPr/>
        <w:t>（</w:t>
      </w:r>
      <w:r>
        <w:rPr>
          <w:rFonts w:ascii="宋体" w:hAnsi="宋体" w:cs="宋体" w:eastAsia="宋体" w:hint="default"/>
        </w:rPr>
        <w:t>2</w:t>
      </w:r>
      <w:r>
        <w:rPr/>
        <w:t>）对于外币货币性项目和外币非货币性项目的折算方法</w:t>
      </w:r>
      <w:r>
        <w:rPr>
          <w:w w:val="100"/>
        </w:rPr>
        <w:t> </w:t>
      </w:r>
      <w:r>
        <w:rPr>
          <w:spacing w:val="-4"/>
        </w:rPr>
        <w:t>资产负债表日，对于外币货币性项目采用资产负债表日即期汇率折算，由此产生的汇兑差额，除：①</w:t>
      </w:r>
    </w:p>
    <w:p>
      <w:pPr>
        <w:pStyle w:val="BodyText"/>
        <w:spacing w:line="408" w:lineRule="auto"/>
        <w:ind w:right="125"/>
        <w:jc w:val="both"/>
      </w:pPr>
      <w:r>
        <w:rPr>
          <w:spacing w:val="-2"/>
        </w:rPr>
        <w:t>属于与购建符合资本化条件的资产相关的外币专门借款产生的汇兑差额按照借款费用资本化的原则处理；</w:t>
      </w:r>
      <w:r>
        <w:rPr>
          <w:spacing w:val="-21"/>
        </w:rPr>
        <w:t> </w:t>
      </w:r>
      <w:r>
        <w:rPr>
          <w:spacing w:val="-21"/>
        </w:rPr>
      </w:r>
      <w:r>
        <w:rPr>
          <w:spacing w:val="2"/>
        </w:rPr>
        <w:t>以及②可供出售的外币货币性项目除摊余成本之外的其他账面余额变动产生的汇兑差额计入其他综合收</w:t>
      </w:r>
      <w:r>
        <w:rPr>
          <w:spacing w:val="-16"/>
        </w:rPr>
        <w:t> </w:t>
      </w:r>
      <w:r>
        <w:rPr>
          <w:spacing w:val="-16"/>
        </w:rPr>
      </w:r>
      <w:r>
        <w:rPr/>
        <w:t>益之外，均计入当期损益。</w:t>
      </w:r>
    </w:p>
    <w:p>
      <w:pPr>
        <w:pStyle w:val="BodyText"/>
        <w:spacing w:line="408" w:lineRule="auto"/>
        <w:ind w:right="127" w:firstLine="480"/>
        <w:jc w:val="both"/>
      </w:pPr>
      <w:r>
        <w:rPr>
          <w:spacing w:val="-4"/>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42"/>
        </w:rPr>
        <w:t> </w:t>
      </w:r>
      <w:r>
        <w:rPr>
          <w:spacing w:val="-42"/>
        </w:rPr>
      </w:r>
      <w:r>
        <w:rPr>
          <w:spacing w:val="-2"/>
        </w:rPr>
        <w:t>记账本位币金额的差额，作为公允价值变动（含汇率变动）处理，计入当期损益或确认为其他综合收益。</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146" w:firstLine="480"/>
        <w:jc w:val="both"/>
      </w:pPr>
      <w:r>
        <w:rPr>
          <w:spacing w:val="-4"/>
          <w:w w:val="100"/>
        </w:rPr>
        <w:t>在本公司成为金融工具合同的一方时确认一项金融资产或金融负债。金融资产和金融负债在初始确认</w:t>
      </w:r>
      <w:r>
        <w:rPr>
          <w:w w:val="100"/>
        </w:rPr>
        <w:t> </w:t>
      </w:r>
      <w:r>
        <w:rPr>
          <w:spacing w:val="-2"/>
        </w:rPr>
        <w:t>时以公允价值计量。对于以公允价值计量且其变动计入当期损益的金融资产和金融负债，相关的交易费用</w:t>
      </w:r>
      <w:r>
        <w:rPr>
          <w:spacing w:val="-43"/>
        </w:rPr>
        <w:t> </w:t>
      </w:r>
      <w:r>
        <w:rPr>
          <w:spacing w:val="-43"/>
        </w:rPr>
      </w:r>
      <w:r>
        <w:rPr/>
        <w:t>直接计入损益，对于其他类别的金融资产和金融负债，相关交易费用计入初始确认金额。</w:t>
      </w:r>
    </w:p>
    <w:p>
      <w:pPr>
        <w:pStyle w:val="BodyText"/>
        <w:spacing w:line="408" w:lineRule="auto"/>
        <w:ind w:left="633" w:right="0"/>
        <w:jc w:val="left"/>
      </w:pPr>
      <w:r>
        <w:rPr/>
        <w:t>（</w:t>
      </w:r>
      <w:r>
        <w:rPr>
          <w:rFonts w:ascii="宋体" w:hAnsi="宋体" w:cs="宋体" w:eastAsia="宋体" w:hint="default"/>
        </w:rPr>
        <w:t>1</w:t>
      </w:r>
      <w:r>
        <w:rPr/>
        <w:t>）金融资产和金融负债的公允价值确定方法</w:t>
      </w:r>
      <w:r>
        <w:rPr>
          <w:w w:val="100"/>
        </w:rPr>
        <w:t> </w:t>
      </w:r>
      <w:r>
        <w:rPr>
          <w:spacing w:val="-4"/>
        </w:rPr>
        <w:t>公允价值，是指市场参与者在计量日发生的有序交易中，出售一项资产所能收到或者转移一项负债所</w:t>
      </w:r>
    </w:p>
    <w:p>
      <w:pPr>
        <w:pStyle w:val="BodyText"/>
        <w:spacing w:line="408" w:lineRule="auto"/>
        <w:ind w:right="146"/>
        <w:jc w:val="both"/>
      </w:pPr>
      <w:r>
        <w:rPr>
          <w:spacing w:val="-2"/>
        </w:rPr>
        <w:t>需支付的价格。金融工具存在活跃市场的，本公司采用活跃市场中的报价确定其公允价值。活跃市场中的</w:t>
      </w:r>
      <w:r>
        <w:rPr>
          <w:spacing w:val="-45"/>
        </w:rPr>
        <w:t> </w:t>
      </w:r>
      <w:r>
        <w:rPr>
          <w:spacing w:val="-45"/>
        </w:rPr>
      </w:r>
      <w:r>
        <w:rPr>
          <w:spacing w:val="-2"/>
        </w:rPr>
        <w:t>报价是指易于定期从交易所、经纪商、行业协会、定价服务机构等获得的价格，且代表了在公平交易中实</w:t>
      </w:r>
      <w:r>
        <w:rPr>
          <w:spacing w:val="-44"/>
        </w:rPr>
        <w:t> </w:t>
      </w:r>
      <w:r>
        <w:rPr>
          <w:spacing w:val="-44"/>
        </w:rPr>
      </w:r>
      <w:r>
        <w:rPr>
          <w:spacing w:val="-2"/>
        </w:rPr>
        <w:t>际发生的市场交易的价格。金融工具不存在活跃市场的，本公司采用估值技术确定其公允价值。估值技术</w:t>
      </w:r>
      <w:r>
        <w:rPr>
          <w:spacing w:val="-44"/>
        </w:rPr>
        <w:t> </w:t>
      </w:r>
      <w:r>
        <w:rPr>
          <w:spacing w:val="-44"/>
        </w:rPr>
      </w:r>
      <w:r>
        <w:rPr>
          <w:spacing w:val="-2"/>
        </w:rPr>
        <w:t>包括参考熟悉情况并自愿交易的各方最近进行的市场交易中使用的价格、参照实质上相同的其他金融工具</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当前的公允价值、现金流量折现法和期权定价模型等。</w:t>
      </w:r>
    </w:p>
    <w:p>
      <w:pPr>
        <w:spacing w:line="240" w:lineRule="auto" w:before="10"/>
        <w:rPr>
          <w:rFonts w:ascii="宋体" w:hAnsi="宋体" w:cs="宋体" w:eastAsia="宋体" w:hint="default"/>
          <w:sz w:val="14"/>
          <w:szCs w:val="14"/>
        </w:rPr>
      </w:pPr>
    </w:p>
    <w:p>
      <w:pPr>
        <w:pStyle w:val="BodyText"/>
        <w:spacing w:line="408" w:lineRule="auto" w:before="0"/>
        <w:ind w:left="633" w:right="92"/>
        <w:jc w:val="left"/>
      </w:pPr>
      <w:r>
        <w:rPr/>
        <w:t>（</w:t>
      </w:r>
      <w:r>
        <w:rPr>
          <w:rFonts w:ascii="宋体" w:hAnsi="宋体" w:cs="宋体" w:eastAsia="宋体" w:hint="default"/>
        </w:rPr>
        <w:t>2</w:t>
      </w:r>
      <w:r>
        <w:rPr/>
        <w:t>）金融资产的分类、确认和计量</w:t>
      </w:r>
      <w:r>
        <w:rPr>
          <w:w w:val="100"/>
        </w:rPr>
        <w:t> </w:t>
      </w:r>
      <w:r>
        <w:rPr>
          <w:spacing w:val="-4"/>
        </w:rPr>
        <w:t>以常规方式买卖金融资产，按交易日进行会计确认和终止确认。金融资产在初始确认时划分为以公允</w:t>
      </w:r>
    </w:p>
    <w:p>
      <w:pPr>
        <w:pStyle w:val="BodyText"/>
        <w:spacing w:line="240" w:lineRule="auto"/>
        <w:ind w:right="0"/>
        <w:jc w:val="both"/>
      </w:pPr>
      <w:r>
        <w:rPr/>
        <w:t>价值计量且其变动计入当期损益的金融资产、持有至到期投资、贷款和应收款项以及可供出售金融资产。</w:t>
      </w:r>
    </w:p>
    <w:p>
      <w:pPr>
        <w:spacing w:line="240" w:lineRule="auto" w:before="10"/>
        <w:rPr>
          <w:rFonts w:ascii="宋体" w:hAnsi="宋体" w:cs="宋体" w:eastAsia="宋体" w:hint="default"/>
          <w:sz w:val="14"/>
          <w:szCs w:val="14"/>
        </w:rPr>
      </w:pPr>
    </w:p>
    <w:p>
      <w:pPr>
        <w:pStyle w:val="BodyText"/>
        <w:spacing w:line="408" w:lineRule="auto" w:before="0"/>
        <w:ind w:left="633" w:right="92"/>
        <w:jc w:val="left"/>
      </w:pPr>
      <w:r>
        <w:rPr/>
        <w:t>①</w:t>
      </w:r>
      <w:r>
        <w:rPr>
          <w:spacing w:val="-1"/>
        </w:rPr>
        <w:t> </w:t>
      </w:r>
      <w:r>
        <w:rPr/>
        <w:t>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4"/>
        </w:rPr>
        <w:t>交易性金融资产是指满足下列条件之一的金融资产：</w:t>
      </w:r>
      <w:r>
        <w:rPr>
          <w:rFonts w:ascii="宋体" w:hAnsi="宋体" w:cs="宋体" w:eastAsia="宋体" w:hint="default"/>
          <w:spacing w:val="-4"/>
        </w:rPr>
        <w:t>A.</w:t>
      </w:r>
      <w:r>
        <w:rPr>
          <w:spacing w:val="-4"/>
        </w:rPr>
        <w:t>取得该金融资产的目的，主要是为了近期内出</w:t>
      </w:r>
    </w:p>
    <w:p>
      <w:pPr>
        <w:pStyle w:val="BodyText"/>
        <w:spacing w:line="408" w:lineRule="auto"/>
        <w:ind w:right="206"/>
        <w:jc w:val="both"/>
      </w:pPr>
      <w:r>
        <w:rPr>
          <w:spacing w:val="-2"/>
        </w:rPr>
        <w:t>售；</w:t>
      </w:r>
      <w:r>
        <w:rPr>
          <w:rFonts w:ascii="宋体" w:hAnsi="宋体" w:cs="宋体" w:eastAsia="宋体" w:hint="default"/>
          <w:spacing w:val="-2"/>
        </w:rPr>
        <w:t>B.</w:t>
      </w:r>
      <w:r>
        <w:rPr>
          <w:spacing w:val="-2"/>
        </w:rPr>
        <w:t>属于进行集中管理的可辨认金融工具组合的一部分，且有客观证据表明本公司近期采用短期获利方</w:t>
      </w:r>
      <w:r>
        <w:rPr>
          <w:spacing w:val="-41"/>
        </w:rPr>
        <w:t> </w:t>
      </w:r>
      <w:r>
        <w:rPr>
          <w:spacing w:val="-41"/>
        </w:rPr>
      </w:r>
      <w:r>
        <w:rPr>
          <w:spacing w:val="-2"/>
        </w:rPr>
        <w:t>式对该组合进行管理；</w:t>
      </w:r>
      <w:r>
        <w:rPr>
          <w:rFonts w:ascii="宋体" w:hAnsi="宋体" w:cs="宋体" w:eastAsia="宋体" w:hint="default"/>
          <w:spacing w:val="-2"/>
        </w:rPr>
        <w:t>C.</w:t>
      </w:r>
      <w:r>
        <w:rPr>
          <w:spacing w:val="-2"/>
        </w:rPr>
        <w:t>属于衍生工具，但是，被指定且为有效套期工具的衍生工具、属于财务担保合同</w:t>
      </w:r>
      <w:r>
        <w:rPr>
          <w:spacing w:val="-45"/>
        </w:rPr>
        <w:t> </w:t>
      </w:r>
      <w:r>
        <w:rPr>
          <w:spacing w:val="-45"/>
        </w:rPr>
      </w:r>
      <w:r>
        <w:rPr>
          <w:spacing w:val="-2"/>
        </w:rPr>
        <w:t>的衍生工具、与在活跃市场中没有报价且其公允价值不能可靠计量的权益工具投资挂钩并须通过交付该权</w:t>
      </w:r>
      <w:r>
        <w:rPr>
          <w:spacing w:val="-43"/>
        </w:rPr>
        <w:t> </w:t>
      </w:r>
      <w:r>
        <w:rPr>
          <w:spacing w:val="-43"/>
        </w:rPr>
      </w:r>
      <w:r>
        <w:rPr/>
        <w:t>益工具结算的衍生工具除外。</w:t>
      </w:r>
    </w:p>
    <w:p>
      <w:pPr>
        <w:pStyle w:val="BodyText"/>
        <w:spacing w:line="408" w:lineRule="auto"/>
        <w:ind w:right="206" w:firstLine="480"/>
        <w:jc w:val="both"/>
      </w:pPr>
      <w:r>
        <w:rPr>
          <w:spacing w:val="-4"/>
        </w:rPr>
        <w:t>符合下述条件之一的金融资产，在初始确认时可指定为以公允价值计量且其变动计入当期损益的金融</w:t>
      </w:r>
      <w:r>
        <w:rPr>
          <w:w w:val="100"/>
        </w:rPr>
        <w:t> </w:t>
      </w:r>
      <w:r>
        <w:rPr>
          <w:spacing w:val="-2"/>
        </w:rPr>
        <w:t>资产：</w:t>
      </w:r>
      <w:r>
        <w:rPr>
          <w:rFonts w:ascii="宋体" w:hAnsi="宋体" w:cs="宋体" w:eastAsia="宋体" w:hint="default"/>
          <w:spacing w:val="-2"/>
        </w:rPr>
        <w:t>A.</w:t>
      </w:r>
      <w:r>
        <w:rPr>
          <w:spacing w:val="-2"/>
        </w:rPr>
        <w:t>该指定可以消除或明显减少由于该金融资产的计量基础不同所导致的相关利得或损失在确认或计</w:t>
      </w:r>
      <w:r>
        <w:rPr>
          <w:spacing w:val="-41"/>
        </w:rPr>
        <w:t> </w:t>
      </w:r>
      <w:r>
        <w:rPr>
          <w:spacing w:val="-41"/>
        </w:rPr>
      </w:r>
      <w:r>
        <w:rPr>
          <w:spacing w:val="-2"/>
        </w:rPr>
        <w:t>量方面不一致的情况；</w:t>
      </w:r>
      <w:r>
        <w:rPr>
          <w:rFonts w:ascii="宋体" w:hAnsi="宋体" w:cs="宋体" w:eastAsia="宋体" w:hint="default"/>
          <w:spacing w:val="-2"/>
        </w:rPr>
        <w:t>B.</w:t>
      </w:r>
      <w:r>
        <w:rPr>
          <w:spacing w:val="-2"/>
        </w:rPr>
        <w:t>本公司风险管理或投资策略的正式书面文件已载明，对该金融资产所在的金融资</w:t>
      </w:r>
      <w:r>
        <w:rPr>
          <w:spacing w:val="-41"/>
        </w:rPr>
        <w:t> </w:t>
      </w:r>
      <w:r>
        <w:rPr>
          <w:spacing w:val="-41"/>
        </w:rPr>
      </w:r>
      <w:r>
        <w:rPr/>
        <w:t>产组合或金融资产和金融负债组合以公允价值为基础进行管理、评价并向关键管理人员报告。</w:t>
      </w:r>
    </w:p>
    <w:p>
      <w:pPr>
        <w:pStyle w:val="BodyText"/>
        <w:spacing w:line="408" w:lineRule="auto"/>
        <w:ind w:right="206" w:firstLine="480"/>
        <w:jc w:val="both"/>
      </w:pPr>
      <w:r>
        <w:rPr>
          <w:spacing w:val="-4"/>
          <w:w w:val="100"/>
        </w:rPr>
        <w:t>以公允价值计量且其变动计入当期损益的金融资产采用公允价值进行后续计量，公允价值变动形成的</w:t>
      </w:r>
      <w:r>
        <w:rPr>
          <w:w w:val="100"/>
        </w:rPr>
        <w:t> </w:t>
      </w:r>
      <w:r>
        <w:rPr/>
        <w:t>利得或损失以及与该等金融资产相关的股利和利息收入计入当期损益。</w:t>
      </w:r>
    </w:p>
    <w:p>
      <w:pPr>
        <w:pStyle w:val="BodyText"/>
        <w:spacing w:line="408" w:lineRule="auto"/>
        <w:ind w:left="633" w:right="92"/>
        <w:jc w:val="left"/>
      </w:pPr>
      <w:r>
        <w:rPr/>
        <w:t>② 持有至到期投资</w:t>
      </w:r>
      <w:r>
        <w:rPr>
          <w:w w:val="100"/>
        </w:rPr>
        <w:t> </w:t>
      </w:r>
      <w:r>
        <w:rPr>
          <w:spacing w:val="-6"/>
          <w:w w:val="100"/>
        </w:rPr>
        <w:t>是指到期日固定、回收金额固定或可确定，且本公司有明确意图和能力持有至到期的非衍生金融资产。</w:t>
      </w:r>
      <w:r>
        <w:rPr>
          <w:spacing w:val="-87"/>
          <w:w w:val="100"/>
        </w:rPr>
        <w:t> </w:t>
      </w:r>
      <w:r>
        <w:rPr>
          <w:spacing w:val="-87"/>
          <w:w w:val="100"/>
        </w:rPr>
      </w:r>
      <w:r>
        <w:rPr>
          <w:spacing w:val="-4"/>
        </w:rPr>
        <w:t>持有至到期投资采用实际利率法，按摊余成本进行后续计量，在终止确认、发生减值或摊销时产生的</w:t>
      </w:r>
    </w:p>
    <w:p>
      <w:pPr>
        <w:pStyle w:val="BodyText"/>
        <w:spacing w:line="410" w:lineRule="auto"/>
        <w:ind w:left="633" w:right="92" w:hanging="481"/>
        <w:jc w:val="left"/>
      </w:pPr>
      <w:r>
        <w:rPr/>
        <w:t>利得或损失，计入当期损益。</w:t>
      </w:r>
      <w:r>
        <w:rPr>
          <w:w w:val="100"/>
        </w:rPr>
        <w:t> </w:t>
      </w:r>
      <w:r>
        <w:rPr>
          <w:spacing w:val="-4"/>
        </w:rPr>
        <w:t>实际利率法是指按照金融资产或金融负债（含一组金融资产或金融负债）的实际利率计算其摊余成本</w:t>
      </w:r>
    </w:p>
    <w:p>
      <w:pPr>
        <w:pStyle w:val="BodyText"/>
        <w:spacing w:line="408" w:lineRule="auto" w:before="44"/>
        <w:ind w:right="206"/>
        <w:jc w:val="both"/>
      </w:pPr>
      <w:r>
        <w:rPr>
          <w:spacing w:val="-2"/>
        </w:rPr>
        <w:t>及各期利息收入或支出的方法。实际利率是指将金融资产或金融负债在预期存续期间或适用的更短期间内</w:t>
      </w:r>
      <w:r>
        <w:rPr>
          <w:spacing w:val="-43"/>
        </w:rPr>
        <w:t> </w:t>
      </w:r>
      <w:r>
        <w:rPr>
          <w:spacing w:val="-43"/>
        </w:rPr>
      </w:r>
      <w:r>
        <w:rPr/>
        <w:t>的未来现金流量，折现为该金融资产或金融负债当前账面价值所使用的利率。</w:t>
      </w:r>
    </w:p>
    <w:p>
      <w:pPr>
        <w:pStyle w:val="BodyText"/>
        <w:spacing w:line="240" w:lineRule="auto"/>
        <w:ind w:left="633" w:right="92"/>
        <w:jc w:val="left"/>
      </w:pPr>
      <w:r>
        <w:rPr/>
        <w:t>在计算实际利率时，本公司将在考虑金融资产或金融负债所有合同条款的基础上预计未来现金流量</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spacing w:val="-2"/>
        </w:rPr>
        <w:t>（不考虑未来的信用损失），同时还将考虑金融资产或金融负债合同各方之间支付或收取的、属于实际利</w:t>
      </w:r>
      <w:r>
        <w:rPr>
          <w:spacing w:val="-44"/>
        </w:rPr>
        <w:t> </w:t>
      </w:r>
      <w:r>
        <w:rPr>
          <w:spacing w:val="-44"/>
        </w:rPr>
      </w:r>
      <w:r>
        <w:rPr/>
        <w:t>率组成部分的各项收费、交易费用及折价或溢价等。</w:t>
      </w:r>
    </w:p>
    <w:p>
      <w:pPr>
        <w:pStyle w:val="BodyText"/>
        <w:spacing w:line="408" w:lineRule="auto"/>
        <w:ind w:left="633" w:right="92"/>
        <w:jc w:val="left"/>
      </w:pPr>
      <w:r>
        <w:rPr/>
        <w:t>③ 贷款和应收款项</w:t>
      </w:r>
      <w:r>
        <w:rPr>
          <w:w w:val="100"/>
        </w:rPr>
        <w:t> </w:t>
      </w:r>
      <w:r>
        <w:rPr>
          <w:spacing w:val="-4"/>
        </w:rPr>
        <w:t>是指在活跃市场中没有报价、回收金额固定或可确定的非衍生金融资产。本公司划分为贷款和应收款</w:t>
      </w:r>
    </w:p>
    <w:p>
      <w:pPr>
        <w:pStyle w:val="BodyText"/>
        <w:spacing w:line="240" w:lineRule="auto"/>
        <w:ind w:right="0"/>
        <w:jc w:val="both"/>
      </w:pPr>
      <w:r>
        <w:rPr/>
        <w:t>的金融资产包括应收票据、应收账款、应收利息、应收股利及其他应收款等。</w:t>
      </w:r>
    </w:p>
    <w:p>
      <w:pPr>
        <w:spacing w:after="0" w:line="240"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206" w:firstLine="480"/>
        <w:jc w:val="both"/>
      </w:pPr>
      <w:r>
        <w:rPr>
          <w:spacing w:val="-4"/>
        </w:rPr>
        <w:t>贷款和应收款项采用实际利率法，按摊余成本进行后续计量，在终止确认、发生减值或摊销时产生的</w:t>
      </w:r>
      <w:r>
        <w:rPr>
          <w:w w:val="100"/>
        </w:rPr>
        <w:t> </w:t>
      </w:r>
      <w:r>
        <w:rPr/>
        <w:t>利得或损失，计入当期损益。</w:t>
      </w:r>
    </w:p>
    <w:p>
      <w:pPr>
        <w:pStyle w:val="BodyText"/>
        <w:spacing w:line="408" w:lineRule="auto"/>
        <w:ind w:left="633" w:right="92"/>
        <w:jc w:val="left"/>
      </w:pPr>
      <w:r>
        <w:rPr/>
        <w:t>④ 可供出售金融资产</w:t>
      </w:r>
      <w:r>
        <w:rPr>
          <w:w w:val="100"/>
        </w:rPr>
        <w:t> </w:t>
      </w:r>
      <w:r>
        <w:rPr>
          <w:spacing w:val="-4"/>
        </w:rPr>
        <w:t>包括初始确认时即被指定为可供出售的非衍生金融资产，以及除了以公允价值计量且其变动计入当期</w:t>
      </w:r>
    </w:p>
    <w:p>
      <w:pPr>
        <w:pStyle w:val="BodyText"/>
        <w:spacing w:line="408" w:lineRule="auto"/>
        <w:ind w:left="633" w:right="92" w:hanging="481"/>
        <w:jc w:val="left"/>
      </w:pPr>
      <w:r>
        <w:rPr/>
        <w:t>损益的金融资产、贷款和应收款项、持有至到期投资以外的金融资产。</w:t>
      </w:r>
      <w:r>
        <w:rPr>
          <w:w w:val="100"/>
        </w:rPr>
        <w:t> </w:t>
      </w:r>
      <w:r>
        <w:rPr>
          <w:spacing w:val="-4"/>
        </w:rPr>
        <w:t>可供出售债务工具投资的期末成本按照摊余成本法确定，即初始确认金额扣除已偿还的本金，加上或</w:t>
      </w:r>
    </w:p>
    <w:p>
      <w:pPr>
        <w:pStyle w:val="BodyText"/>
        <w:spacing w:line="410" w:lineRule="auto"/>
        <w:ind w:right="206"/>
        <w:jc w:val="both"/>
      </w:pPr>
      <w:r>
        <w:rPr>
          <w:spacing w:val="-2"/>
        </w:rPr>
        <w:t>减去采用实际利率法将该初始确认金额与到期日金额之间的差额进行摊销形成的累计摊销额，并扣除已发</w:t>
      </w:r>
      <w:r>
        <w:rPr>
          <w:spacing w:val="-43"/>
        </w:rPr>
        <w:t> </w:t>
      </w:r>
      <w:r>
        <w:rPr>
          <w:spacing w:val="-43"/>
        </w:rPr>
      </w:r>
      <w:r>
        <w:rPr/>
        <w:t>生的减值损失后的金额。可供出售权益工具投资的期末成本为其初始取得成本。</w:t>
      </w:r>
    </w:p>
    <w:p>
      <w:pPr>
        <w:pStyle w:val="BodyText"/>
        <w:spacing w:line="408" w:lineRule="auto" w:before="44"/>
        <w:ind w:right="206" w:firstLine="480"/>
        <w:jc w:val="both"/>
      </w:pPr>
      <w:r>
        <w:rPr>
          <w:spacing w:val="-4"/>
        </w:rPr>
        <w:t>可供出售金融资产采用公允价值进行后续计量，公允价值变动形成的利得或损失，除减值损失和外币</w:t>
      </w:r>
      <w:r>
        <w:rPr>
          <w:w w:val="100"/>
        </w:rPr>
        <w:t> </w:t>
      </w:r>
      <w:r>
        <w:rPr>
          <w:spacing w:val="-2"/>
        </w:rPr>
        <w:t>货币性金融资产与摊余成本相关的汇兑差额计入当期损益外，确认为其他综合收益，在该金融资产终止确</w:t>
      </w:r>
      <w:r>
        <w:rPr>
          <w:spacing w:val="-43"/>
        </w:rPr>
        <w:t> </w:t>
      </w:r>
      <w:r>
        <w:rPr>
          <w:spacing w:val="-43"/>
        </w:rPr>
      </w:r>
      <w:r>
        <w:rPr>
          <w:spacing w:val="-2"/>
        </w:rPr>
        <w:t>认时转出，计入当期损益。但是，在活跃市场中没有报价且其公允价值不能可靠计量的权益工具投资，以</w:t>
      </w:r>
      <w:r>
        <w:rPr>
          <w:spacing w:val="-44"/>
        </w:rPr>
        <w:t> </w:t>
      </w:r>
      <w:r>
        <w:rPr>
          <w:spacing w:val="-44"/>
        </w:rPr>
      </w:r>
      <w:r>
        <w:rPr/>
        <w:t>及与该权益工具挂钩并须通过交付该权益工具结算的衍生金融资产，按照成本进行后续计量。</w:t>
      </w:r>
    </w:p>
    <w:p>
      <w:pPr>
        <w:pStyle w:val="BodyText"/>
        <w:spacing w:line="240" w:lineRule="auto"/>
        <w:ind w:left="633" w:right="92"/>
        <w:jc w:val="left"/>
      </w:pPr>
      <w:r>
        <w:rPr/>
        <w:t>可供出售金融资产持有期间取得的利息及被投资单位宣告发放的现金股利，计入投资收益。</w:t>
      </w:r>
    </w:p>
    <w:p>
      <w:pPr>
        <w:spacing w:line="240" w:lineRule="auto" w:before="10"/>
        <w:rPr>
          <w:rFonts w:ascii="宋体" w:hAnsi="宋体" w:cs="宋体" w:eastAsia="宋体" w:hint="default"/>
          <w:sz w:val="14"/>
          <w:szCs w:val="14"/>
        </w:rPr>
      </w:pPr>
    </w:p>
    <w:p>
      <w:pPr>
        <w:pStyle w:val="BodyText"/>
        <w:spacing w:line="408" w:lineRule="auto" w:before="0"/>
        <w:ind w:left="633" w:right="92"/>
        <w:jc w:val="left"/>
      </w:pPr>
      <w:r>
        <w:rPr/>
        <w:t>（</w:t>
      </w:r>
      <w:r>
        <w:rPr>
          <w:rFonts w:ascii="宋体" w:hAnsi="宋体" w:cs="宋体" w:eastAsia="宋体" w:hint="default"/>
        </w:rPr>
        <w:t>3</w:t>
      </w:r>
      <w:r>
        <w:rPr/>
        <w:t>）金融资产减值</w:t>
      </w:r>
      <w:r>
        <w:rPr>
          <w:w w:val="100"/>
        </w:rPr>
        <w:t> </w:t>
      </w:r>
      <w:r>
        <w:rPr>
          <w:spacing w:val="-4"/>
          <w:w w:val="100"/>
        </w:rPr>
        <w:t>除了以公允价值计量且其变动计入当期损益的金融资产外，本公司在每个资产负债表日对其他金融资</w:t>
      </w:r>
    </w:p>
    <w:p>
      <w:pPr>
        <w:pStyle w:val="BodyText"/>
        <w:spacing w:line="408" w:lineRule="auto"/>
        <w:ind w:left="633" w:right="92" w:hanging="481"/>
        <w:jc w:val="left"/>
      </w:pPr>
      <w:r>
        <w:rPr/>
        <w:t>产的账面价值进行检查，有客观证据表明金融资产发生减值的，计提减值准备。</w:t>
      </w:r>
      <w:r>
        <w:rPr>
          <w:w w:val="100"/>
        </w:rPr>
        <w:t> </w:t>
      </w:r>
      <w:r>
        <w:rPr>
          <w:spacing w:val="-4"/>
        </w:rPr>
        <w:t>本公司对单项金额重大的金融资产单独进行减值测试；对单项金额不重大的金融资产，单独进行减值</w:t>
      </w:r>
    </w:p>
    <w:p>
      <w:pPr>
        <w:pStyle w:val="BodyText"/>
        <w:spacing w:line="240" w:lineRule="auto"/>
        <w:ind w:right="92"/>
        <w:jc w:val="left"/>
      </w:pPr>
      <w:r>
        <w:rPr/>
        <w:t>测试或包括在具有类似信用风险特征的金融资产组合中进行减值测试。单独测试未发生减值的金融资产</w:t>
      </w:r>
    </w:p>
    <w:p>
      <w:pPr>
        <w:spacing w:line="240" w:lineRule="auto" w:before="10"/>
        <w:rPr>
          <w:rFonts w:ascii="宋体" w:hAnsi="宋体" w:cs="宋体" w:eastAsia="宋体" w:hint="default"/>
          <w:sz w:val="14"/>
          <w:szCs w:val="14"/>
        </w:rPr>
      </w:pPr>
    </w:p>
    <w:p>
      <w:pPr>
        <w:pStyle w:val="BodyText"/>
        <w:spacing w:line="408" w:lineRule="auto" w:before="0"/>
        <w:ind w:right="92"/>
        <w:jc w:val="left"/>
      </w:pPr>
      <w:r>
        <w:rPr>
          <w:spacing w:val="-2"/>
        </w:rPr>
        <w:t>（包括单项金额重大和不重大的金融资产），包括在具有类似信用风险特征的金融资产组合中再进行减值</w:t>
      </w:r>
      <w:r>
        <w:rPr>
          <w:spacing w:val="-44"/>
        </w:rPr>
        <w:t> </w:t>
      </w:r>
      <w:r>
        <w:rPr>
          <w:spacing w:val="-44"/>
        </w:rPr>
      </w:r>
      <w:r>
        <w:rPr>
          <w:spacing w:val="-5"/>
        </w:rPr>
        <w:t>测试。已单项确认减值损失的金融资产，不包括在具有类似信用风险特征的金融资产组合中进行减值测试。</w:t>
      </w:r>
    </w:p>
    <w:p>
      <w:pPr>
        <w:pStyle w:val="BodyText"/>
        <w:spacing w:line="410" w:lineRule="auto"/>
        <w:ind w:left="633" w:right="92"/>
        <w:jc w:val="left"/>
      </w:pPr>
      <w:r>
        <w:rPr/>
        <w:t>①</w:t>
      </w:r>
      <w:r>
        <w:rPr>
          <w:spacing w:val="-1"/>
        </w:rPr>
        <w:t> </w:t>
      </w:r>
      <w:r>
        <w:rPr/>
        <w:t>持有至到期投资、贷款和应收款项减值</w:t>
      </w:r>
      <w:r>
        <w:rPr>
          <w:w w:val="100"/>
        </w:rPr>
        <w:t> </w:t>
      </w:r>
      <w:r>
        <w:rPr>
          <w:spacing w:val="-4"/>
          <w:w w:val="100"/>
        </w:rPr>
        <w:t>以成本或摊余成本计量的金融资产将其账面价值减记至预计未来现金流量现值，减记金额确认为减值</w:t>
      </w:r>
    </w:p>
    <w:p>
      <w:pPr>
        <w:pStyle w:val="BodyText"/>
        <w:spacing w:line="408" w:lineRule="auto" w:before="44"/>
        <w:ind w:right="206"/>
        <w:jc w:val="both"/>
      </w:pPr>
      <w:r>
        <w:rPr>
          <w:spacing w:val="-2"/>
        </w:rPr>
        <w:t>损失，计入当期损益。金融资产在确认减值损失后，如有客观证据表明该金融资产价值已恢复，且客观上</w:t>
      </w:r>
      <w:r>
        <w:rPr>
          <w:spacing w:val="-47"/>
        </w:rPr>
        <w:t> </w:t>
      </w:r>
      <w:r>
        <w:rPr>
          <w:spacing w:val="-47"/>
        </w:rPr>
      </w:r>
      <w:r>
        <w:rPr>
          <w:spacing w:val="-2"/>
        </w:rPr>
        <w:t>与确认该损失后发生的事项有关，原确认的减值损失予以转回，金融资产转回减值损失后的账面价值不超</w:t>
      </w:r>
      <w:r>
        <w:rPr>
          <w:spacing w:val="-44"/>
        </w:rPr>
        <w:t> </w:t>
      </w:r>
      <w:r>
        <w:rPr>
          <w:spacing w:val="-44"/>
        </w:rPr>
      </w:r>
      <w:r>
        <w:rPr/>
        <w:t>过假定不计提减值准备情况下该金融资产在转回日的摊余成本。</w:t>
      </w:r>
    </w:p>
    <w:p>
      <w:pPr>
        <w:pStyle w:val="BodyText"/>
        <w:spacing w:line="408" w:lineRule="auto"/>
        <w:ind w:left="633" w:right="92"/>
        <w:jc w:val="left"/>
      </w:pPr>
      <w:r>
        <w:rPr/>
        <w:t>②</w:t>
      </w:r>
      <w:r>
        <w:rPr>
          <w:spacing w:val="-1"/>
        </w:rPr>
        <w:t> </w:t>
      </w:r>
      <w:r>
        <w:rPr/>
        <w:t>可供出售金融资产减值</w:t>
      </w:r>
      <w:r>
        <w:rPr>
          <w:w w:val="100"/>
        </w:rPr>
        <w:t> </w:t>
      </w:r>
      <w:r>
        <w:rPr>
          <w:spacing w:val="-4"/>
          <w:w w:val="100"/>
        </w:rPr>
        <w:t>当综合相关因素判断可供出售权益工具投资公允价值下跌是严重或非暂时性下跌时，表明该可供出售</w:t>
      </w:r>
    </w:p>
    <w:p>
      <w:pPr>
        <w:pStyle w:val="BodyText"/>
        <w:spacing w:line="408" w:lineRule="auto"/>
        <w:ind w:left="633" w:right="92" w:hanging="481"/>
        <w:jc w:val="left"/>
      </w:pPr>
      <w:r>
        <w:rPr/>
        <w:t>权益工具投资发生减值。</w:t>
      </w:r>
      <w:r>
        <w:rPr>
          <w:w w:val="100"/>
        </w:rPr>
        <w:t> </w:t>
      </w:r>
      <w:r>
        <w:rPr>
          <w:spacing w:val="-4"/>
        </w:rPr>
        <w:t>可供出售金融资产发生减值时，将原计入其他综合收益的因公允价值下降形成的累计损失予以转出并</w:t>
      </w:r>
    </w:p>
    <w:p>
      <w:pPr>
        <w:pStyle w:val="BodyText"/>
        <w:spacing w:line="240" w:lineRule="auto"/>
        <w:ind w:right="92"/>
        <w:jc w:val="left"/>
      </w:pPr>
      <w:r>
        <w:rPr/>
        <w:t>计入当期损益，该转出的累计损失为该资产初始取得成本扣除已收回本金和已摊销金额、当前公允价值和</w:t>
      </w:r>
    </w:p>
    <w:p>
      <w:pPr>
        <w:spacing w:after="0" w:line="240" w:lineRule="auto"/>
        <w:jc w:val="left"/>
        <w:sectPr>
          <w:footerReference w:type="default" r:id="rId22"/>
          <w:pgSz w:w="11910" w:h="16840"/>
          <w:pgMar w:footer="979" w:header="745" w:top="1060" w:bottom="1160" w:left="980" w:right="920"/>
          <w:pgNumType w:start="156"/>
        </w:sectPr>
      </w:pPr>
    </w:p>
    <w:p>
      <w:pPr>
        <w:spacing w:line="240" w:lineRule="auto" w:before="0"/>
        <w:rPr>
          <w:rFonts w:ascii="宋体" w:hAnsi="宋体" w:cs="宋体" w:eastAsia="宋体" w:hint="default"/>
          <w:sz w:val="20"/>
          <w:szCs w:val="20"/>
        </w:rPr>
      </w:pPr>
    </w:p>
    <w:p>
      <w:pPr>
        <w:pStyle w:val="BodyText"/>
        <w:spacing w:line="408" w:lineRule="auto" w:before="176"/>
        <w:ind w:left="633" w:right="0" w:hanging="481"/>
        <w:jc w:val="left"/>
      </w:pPr>
      <w:r>
        <w:rPr/>
        <w:t>原已计入损益的减值损失后的余额。</w:t>
      </w:r>
      <w:r>
        <w:rPr>
          <w:w w:val="100"/>
        </w:rPr>
        <w:t> </w:t>
      </w:r>
      <w:r>
        <w:rPr>
          <w:spacing w:val="-4"/>
        </w:rPr>
        <w:t>在确认减值损失后，期后如有客观证据表明该金融资产价值已恢复，且客观上与确认该损失后发生的</w:t>
      </w:r>
    </w:p>
    <w:p>
      <w:pPr>
        <w:pStyle w:val="BodyText"/>
        <w:spacing w:line="408" w:lineRule="auto"/>
        <w:ind w:right="0"/>
        <w:jc w:val="left"/>
      </w:pPr>
      <w:r>
        <w:rPr>
          <w:spacing w:val="-2"/>
        </w:rPr>
        <w:t>事项有关，原确认的减值损失予以转回，可供出售权益工具投资的减值损失转回确认为其他综合收益，可</w:t>
      </w:r>
      <w:r>
        <w:rPr>
          <w:spacing w:val="-44"/>
        </w:rPr>
        <w:t> </w:t>
      </w:r>
      <w:r>
        <w:rPr>
          <w:spacing w:val="-44"/>
        </w:rPr>
      </w:r>
      <w:r>
        <w:rPr/>
        <w:t>供出售债务工具的减值损失转回计入当期损益。</w:t>
      </w:r>
    </w:p>
    <w:p>
      <w:pPr>
        <w:pStyle w:val="BodyText"/>
        <w:spacing w:line="408" w:lineRule="auto"/>
        <w:ind w:right="146" w:firstLine="480"/>
        <w:jc w:val="both"/>
      </w:pPr>
      <w:r>
        <w:rPr>
          <w:spacing w:val="-4"/>
          <w:w w:val="100"/>
        </w:rPr>
        <w:t>在活跃市场中没有报价且其公允价值不能可靠计量的权益工具投资，或与该权益工具挂钩并须通过交</w:t>
      </w:r>
      <w:r>
        <w:rPr>
          <w:w w:val="100"/>
        </w:rPr>
        <w:t> </w:t>
      </w:r>
      <w:r>
        <w:rPr/>
        <w:t>付该权益工具结算的衍生金融资产的减值损失，不予转回。</w:t>
      </w:r>
    </w:p>
    <w:p>
      <w:pPr>
        <w:pStyle w:val="BodyText"/>
        <w:spacing w:line="240" w:lineRule="auto"/>
        <w:ind w:left="633" w:right="0"/>
        <w:jc w:val="left"/>
      </w:pPr>
      <w:r>
        <w:rPr/>
        <w:t>（</w:t>
      </w:r>
      <w:r>
        <w:rPr>
          <w:rFonts w:ascii="宋体" w:hAnsi="宋体" w:cs="宋体" w:eastAsia="宋体" w:hint="default"/>
        </w:rPr>
        <w:t>4</w:t>
      </w:r>
      <w:r>
        <w:rPr/>
        <w:t>）金融资产转移的确认依据和计量方法</w:t>
      </w:r>
    </w:p>
    <w:p>
      <w:pPr>
        <w:spacing w:line="240" w:lineRule="auto" w:before="11"/>
        <w:rPr>
          <w:rFonts w:ascii="宋体" w:hAnsi="宋体" w:cs="宋体" w:eastAsia="宋体" w:hint="default"/>
          <w:sz w:val="14"/>
          <w:szCs w:val="14"/>
        </w:rPr>
      </w:pPr>
    </w:p>
    <w:p>
      <w:pPr>
        <w:pStyle w:val="BodyText"/>
        <w:spacing w:line="408" w:lineRule="auto" w:before="0"/>
        <w:ind w:right="0" w:firstLine="480"/>
        <w:jc w:val="left"/>
      </w:pPr>
      <w:r>
        <w:rPr>
          <w:spacing w:val="-4"/>
        </w:rPr>
        <w:t>满足下列条件之一的金融资产，予以终止确认：① </w:t>
      </w:r>
      <w:r>
        <w:rPr>
          <w:spacing w:val="-3"/>
        </w:rPr>
        <w:t>收取该金融资产现金流量的合同权利终止；②</w:t>
      </w:r>
      <w:r>
        <w:rPr>
          <w:spacing w:val="55"/>
        </w:rPr>
        <w:t> </w:t>
      </w:r>
      <w:r>
        <w:rPr/>
        <w:t>该</w:t>
      </w:r>
      <w:r>
        <w:rPr>
          <w:w w:val="100"/>
        </w:rPr>
        <w:t> </w:t>
      </w:r>
      <w:r>
        <w:rPr>
          <w:spacing w:val="-2"/>
        </w:rPr>
        <w:t>金融资产已转移，且将金融资产所有权上几乎所有的风险和报酬转移给转入方；③该金融资产已转移，虽</w:t>
      </w:r>
      <w:r>
        <w:rPr>
          <w:spacing w:val="-43"/>
        </w:rPr>
        <w:t> </w:t>
      </w:r>
      <w:r>
        <w:rPr>
          <w:spacing w:val="-43"/>
        </w:rPr>
      </w:r>
      <w:r>
        <w:rPr/>
        <w:t>然企业既没有转移也没有保留金融资产所有权上几乎所有的风险和报酬，但是放弃了对该金融资产的控</w:t>
      </w:r>
      <w:r>
        <w:rPr>
          <w:w w:val="100"/>
        </w:rPr>
        <w:t> </w:t>
      </w:r>
      <w:r>
        <w:rPr/>
        <w:t>制。</w:t>
      </w:r>
    </w:p>
    <w:p>
      <w:pPr>
        <w:pStyle w:val="BodyText"/>
        <w:spacing w:line="408" w:lineRule="auto"/>
        <w:ind w:right="146" w:firstLine="480"/>
        <w:jc w:val="both"/>
      </w:pPr>
      <w:r>
        <w:rPr>
          <w:spacing w:val="-4"/>
          <w:w w:val="100"/>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r>
        <w:rPr>
          <w:spacing w:val="-44"/>
        </w:rPr>
        <w:t> </w:t>
      </w:r>
      <w:r>
        <w:rPr>
          <w:spacing w:val="-44"/>
        </w:rPr>
      </w:r>
      <w:r>
        <w:rPr/>
        <w:t>金融资产的程度，是指该金融资产价值变动使企业面临的风险水平。</w:t>
      </w:r>
    </w:p>
    <w:p>
      <w:pPr>
        <w:pStyle w:val="BodyText"/>
        <w:spacing w:line="408" w:lineRule="auto"/>
        <w:ind w:right="146" w:firstLine="480"/>
        <w:jc w:val="both"/>
      </w:pPr>
      <w:r>
        <w:rPr>
          <w:spacing w:val="-4"/>
        </w:rPr>
        <w:t>金融资产整体转移满足终止确认条件的，将所转移金融资产的账面价值及因转移而收到的对价与原计</w:t>
      </w:r>
      <w:r>
        <w:rPr>
          <w:w w:val="100"/>
        </w:rPr>
        <w:t> </w:t>
      </w:r>
      <w:r>
        <w:rPr/>
        <w:t>入其他综合收益的公允价值变动累计额之和的差额计入当期损益。</w:t>
      </w:r>
    </w:p>
    <w:p>
      <w:pPr>
        <w:pStyle w:val="BodyText"/>
        <w:spacing w:line="408" w:lineRule="auto"/>
        <w:ind w:right="146" w:firstLine="480"/>
        <w:jc w:val="both"/>
      </w:pPr>
      <w:r>
        <w:rPr>
          <w:spacing w:val="-4"/>
        </w:rPr>
        <w:t>金融资产部分转移满足终止确认条件的，将所转移金融资产的账面价值在终止确认及未终止确认部分</w:t>
      </w:r>
      <w:r>
        <w:rPr>
          <w:w w:val="100"/>
        </w:rPr>
        <w:t> </w:t>
      </w:r>
      <w:r>
        <w:rPr>
          <w:spacing w:val="-2"/>
        </w:rPr>
        <w:t>之间按其相对的公允价值进行分摊，并将因转移而收到的对价与应分摊至终止确认部分的原计入其他综合</w:t>
      </w:r>
      <w:r>
        <w:rPr>
          <w:spacing w:val="-43"/>
        </w:rPr>
        <w:t> </w:t>
      </w:r>
      <w:r>
        <w:rPr>
          <w:spacing w:val="-43"/>
        </w:rPr>
      </w:r>
      <w:r>
        <w:rPr/>
        <w:t>收益的公允价值变动累计额之和与分摊的前述账面金额之差额计入当期损益。</w:t>
      </w:r>
    </w:p>
    <w:p>
      <w:pPr>
        <w:pStyle w:val="BodyText"/>
        <w:spacing w:line="408" w:lineRule="auto"/>
        <w:ind w:right="125" w:firstLine="480"/>
        <w:jc w:val="both"/>
      </w:pPr>
      <w:r>
        <w:rPr>
          <w:spacing w:val="-4"/>
        </w:rPr>
        <w:t>本公司对采用附追索权方式出售的金融资产，或将持有的金融资产背书转让，需确定该金融资产所有</w:t>
      </w:r>
      <w:r>
        <w:rPr>
          <w:w w:val="100"/>
        </w:rPr>
        <w:t> </w:t>
      </w:r>
      <w:r>
        <w:rPr>
          <w:spacing w:val="-2"/>
        </w:rPr>
        <w:t>权上几乎所有的风险和报酬是否已经转移。已将该金融资产所有权上几乎所有的风险和报酬转移给转入方</w:t>
      </w:r>
      <w:r>
        <w:rPr>
          <w:spacing w:val="-43"/>
        </w:rPr>
        <w:t> </w:t>
      </w:r>
      <w:r>
        <w:rPr>
          <w:spacing w:val="-43"/>
        </w:rPr>
      </w:r>
      <w:r>
        <w:rPr>
          <w:spacing w:val="-2"/>
        </w:rPr>
        <w:t>的，终止确认该金融资产；保留了金融资产所有权上几乎所有的风险和报酬的，不终止确认该金融资产；</w:t>
      </w:r>
      <w:r>
        <w:rPr>
          <w:spacing w:val="-21"/>
        </w:rPr>
        <w:t> </w:t>
      </w:r>
      <w:r>
        <w:rPr>
          <w:spacing w:val="-21"/>
        </w:rPr>
      </w:r>
      <w:r>
        <w:rPr>
          <w:spacing w:val="-2"/>
        </w:rPr>
        <w:t>既没有转移也没有保留金融资产所有权上几乎所有的风险和报酬的，则继续判断企业是否对该资产保留了</w:t>
      </w:r>
      <w:r>
        <w:rPr>
          <w:spacing w:val="-42"/>
        </w:rPr>
        <w:t> </w:t>
      </w:r>
      <w:r>
        <w:rPr>
          <w:spacing w:val="-42"/>
        </w:rPr>
      </w:r>
      <w:r>
        <w:rPr/>
        <w:t>控制，并根据前面各段所述的原则进行会计处理。</w:t>
      </w:r>
    </w:p>
    <w:p>
      <w:pPr>
        <w:pStyle w:val="BodyText"/>
        <w:spacing w:line="408" w:lineRule="auto"/>
        <w:ind w:left="633" w:right="0"/>
        <w:jc w:val="left"/>
      </w:pPr>
      <w:r>
        <w:rPr/>
        <w:t>（</w:t>
      </w:r>
      <w:r>
        <w:rPr>
          <w:rFonts w:ascii="宋体" w:hAnsi="宋体" w:cs="宋体" w:eastAsia="宋体" w:hint="default"/>
        </w:rPr>
        <w:t>5</w:t>
      </w:r>
      <w:r>
        <w:rPr/>
        <w:t>）金融负债的分类和计量</w:t>
      </w:r>
      <w:r>
        <w:rPr>
          <w:w w:val="100"/>
        </w:rPr>
        <w:t> </w:t>
      </w:r>
      <w:r>
        <w:rPr>
          <w:spacing w:val="-4"/>
          <w:w w:val="100"/>
        </w:rPr>
        <w:t>金融负债在初始确认时划分为以公允价值计量且其变动计入当期损益的金融负债和其他金融负债。初</w:t>
      </w:r>
    </w:p>
    <w:p>
      <w:pPr>
        <w:pStyle w:val="BodyText"/>
        <w:spacing w:line="408" w:lineRule="auto"/>
        <w:ind w:right="0"/>
        <w:jc w:val="left"/>
      </w:pPr>
      <w:r>
        <w:rPr>
          <w:spacing w:val="-2"/>
        </w:rPr>
        <w:t>始确认金融负债，以公允价值计量。对于以公允价值计量且其变动计入当期损益的金融负债，相关的交易</w:t>
      </w:r>
      <w:r>
        <w:rPr>
          <w:spacing w:val="-45"/>
        </w:rPr>
        <w:t> </w:t>
      </w:r>
      <w:r>
        <w:rPr>
          <w:spacing w:val="-45"/>
        </w:rPr>
      </w:r>
      <w:r>
        <w:rPr/>
        <w:t>费用直接计入当期损益，对于其他金融负债，相关交易费用计入初始确认金额。</w:t>
      </w:r>
    </w:p>
    <w:p>
      <w:pPr>
        <w:pStyle w:val="BodyText"/>
        <w:spacing w:line="408" w:lineRule="auto"/>
        <w:ind w:left="633" w:right="0"/>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分类为交易性金融负债和在初始确认时指定为以公允价值计量且其变动计入当期损益的金融负债的</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92"/>
        <w:jc w:val="left"/>
      </w:pPr>
      <w:r>
        <w:rPr>
          <w:spacing w:val="-2"/>
        </w:rPr>
        <w:t>条件与分类为交易性金融资产和在初始确认时指定为以公允价值计量且其变动计入当期损益的金融资产</w:t>
      </w:r>
      <w:r>
        <w:rPr>
          <w:spacing w:val="-21"/>
        </w:rPr>
        <w:t> </w:t>
      </w:r>
      <w:r>
        <w:rPr>
          <w:spacing w:val="-21"/>
        </w:rPr>
      </w:r>
      <w:r>
        <w:rPr/>
        <w:t>的条件一致。</w:t>
      </w:r>
    </w:p>
    <w:p>
      <w:pPr>
        <w:pStyle w:val="BodyText"/>
        <w:spacing w:line="408" w:lineRule="auto"/>
        <w:ind w:right="92" w:firstLine="480"/>
        <w:jc w:val="left"/>
      </w:pPr>
      <w:r>
        <w:rPr>
          <w:spacing w:val="-4"/>
          <w:w w:val="100"/>
        </w:rPr>
        <w:t>以公允价值计量且其变动计入当期损益的金融负债采用公允价值进行后续计量，公允价值的变动形成</w:t>
      </w:r>
      <w:r>
        <w:rPr>
          <w:w w:val="100"/>
        </w:rPr>
        <w:t> </w:t>
      </w:r>
      <w:r>
        <w:rPr/>
        <w:t>的利得或损失以及与该等金融负债相关的股利和利息支出计入当期损益。</w:t>
      </w:r>
    </w:p>
    <w:p>
      <w:pPr>
        <w:pStyle w:val="BodyText"/>
        <w:spacing w:line="408" w:lineRule="auto"/>
        <w:ind w:left="633" w:right="92"/>
        <w:jc w:val="left"/>
      </w:pPr>
      <w:r>
        <w:rPr/>
        <w:t>② 其他金融负债</w:t>
      </w:r>
      <w:r>
        <w:rPr>
          <w:w w:val="100"/>
        </w:rPr>
        <w:t> </w:t>
      </w:r>
      <w:r>
        <w:rPr>
          <w:spacing w:val="-4"/>
          <w:w w:val="100"/>
        </w:rPr>
        <w:t>与在活跃市场中没有报价、公允价值不能可靠计量的权益工具挂钩并须通过交付该权益工具结算的衍</w:t>
      </w:r>
    </w:p>
    <w:p>
      <w:pPr>
        <w:pStyle w:val="BodyText"/>
        <w:spacing w:line="410" w:lineRule="auto"/>
        <w:ind w:right="211"/>
        <w:jc w:val="both"/>
      </w:pPr>
      <w:r>
        <w:rPr>
          <w:spacing w:val="-2"/>
        </w:rPr>
        <w:t>生金融负债，按照成本进行后续计量。其他金融负债采用实际利率法，按摊余成本进行后续计量，终止确</w:t>
      </w:r>
      <w:r>
        <w:rPr>
          <w:spacing w:val="-50"/>
        </w:rPr>
        <w:t> </w:t>
      </w:r>
      <w:r>
        <w:rPr>
          <w:spacing w:val="-50"/>
        </w:rPr>
      </w:r>
      <w:r>
        <w:rPr/>
        <w:t>认或摊销产生的利得或损失计入当期损益。</w:t>
      </w:r>
    </w:p>
    <w:p>
      <w:pPr>
        <w:pStyle w:val="BodyText"/>
        <w:spacing w:line="408" w:lineRule="auto" w:before="44"/>
        <w:ind w:left="633" w:right="92"/>
        <w:jc w:val="left"/>
      </w:pPr>
      <w:r>
        <w:rPr/>
        <w:t>③ 财务担保合同</w:t>
      </w:r>
      <w:r>
        <w:rPr>
          <w:w w:val="100"/>
        </w:rPr>
        <w:t> </w:t>
      </w:r>
      <w:r>
        <w:rPr>
          <w:spacing w:val="-4"/>
        </w:rPr>
        <w:t>不属于指定为以公允价值计量且其变动计入当期损益的金融负债的财务担保合同，以公允价值进行初</w:t>
      </w:r>
    </w:p>
    <w:p>
      <w:pPr>
        <w:pStyle w:val="BodyText"/>
        <w:spacing w:line="408" w:lineRule="auto"/>
        <w:ind w:right="209"/>
        <w:jc w:val="both"/>
      </w:pPr>
      <w:r>
        <w:rPr>
          <w:spacing w:val="-2"/>
        </w:rPr>
        <w:t>始确认，在初始确认后按照《企业会计准则第</w:t>
      </w:r>
      <w:r>
        <w:rPr>
          <w:rFonts w:ascii="宋体" w:hAnsi="宋体" w:cs="宋体" w:eastAsia="宋体" w:hint="default"/>
          <w:spacing w:val="-2"/>
        </w:rPr>
        <w:t>13</w:t>
      </w:r>
      <w:r>
        <w:rPr>
          <w:spacing w:val="-2"/>
        </w:rPr>
        <w:t>号—或有事项》确定的金额和初始确认金额扣除按照《企</w:t>
      </w:r>
      <w:r>
        <w:rPr>
          <w:spacing w:val="-45"/>
        </w:rPr>
        <w:t> </w:t>
      </w:r>
      <w:r>
        <w:rPr>
          <w:spacing w:val="-45"/>
        </w:rPr>
      </w:r>
      <w:r>
        <w:rPr/>
        <w:t>业会计准则第</w:t>
      </w:r>
      <w:r>
        <w:rPr>
          <w:rFonts w:ascii="宋体" w:hAnsi="宋体" w:cs="宋体" w:eastAsia="宋体" w:hint="default"/>
        </w:rPr>
        <w:t>14</w:t>
      </w:r>
      <w:r>
        <w:rPr/>
        <w:t>号—收入》的原则确定的累计摊销额后的余额之中的较高者进行后续计量。</w:t>
      </w:r>
    </w:p>
    <w:p>
      <w:pPr>
        <w:pStyle w:val="BodyText"/>
        <w:spacing w:line="408" w:lineRule="auto"/>
        <w:ind w:left="633" w:right="92"/>
        <w:jc w:val="left"/>
      </w:pPr>
      <w:r>
        <w:rPr/>
        <w:t>（</w:t>
      </w:r>
      <w:r>
        <w:rPr>
          <w:rFonts w:ascii="宋体" w:hAnsi="宋体" w:cs="宋体" w:eastAsia="宋体" w:hint="default"/>
        </w:rPr>
        <w:t>6</w:t>
      </w:r>
      <w:r>
        <w:rPr/>
        <w:t>）金融负债的终止确认</w:t>
      </w:r>
      <w:r>
        <w:rPr>
          <w:w w:val="100"/>
        </w:rPr>
        <w:t> </w:t>
      </w:r>
      <w:r>
        <w:rPr>
          <w:spacing w:val="-6"/>
        </w:rPr>
        <w:t>金融负债的现时义务全部或部分已经解除的，才能终止确认该金融负债或其一部分。本公司（债务人）</w:t>
      </w:r>
    </w:p>
    <w:p>
      <w:pPr>
        <w:pStyle w:val="BodyText"/>
        <w:spacing w:line="408" w:lineRule="auto"/>
        <w:ind w:right="206"/>
        <w:jc w:val="both"/>
      </w:pPr>
      <w:r>
        <w:rPr>
          <w:spacing w:val="-2"/>
        </w:rPr>
        <w:t>与债权人之间签订协议，以承担新金融负债方式替换现存金融负债，且新金融负债与现存金融负债的合同</w:t>
      </w:r>
      <w:r>
        <w:rPr>
          <w:spacing w:val="-43"/>
        </w:rPr>
        <w:t> </w:t>
      </w:r>
      <w:r>
        <w:rPr>
          <w:spacing w:val="-43"/>
        </w:rPr>
      </w:r>
      <w:r>
        <w:rPr/>
        <w:t>条款实质上不同的，终止确认现存金融负债，并同时确认新金融负债。</w:t>
      </w:r>
    </w:p>
    <w:p>
      <w:pPr>
        <w:pStyle w:val="BodyText"/>
        <w:spacing w:line="408" w:lineRule="auto"/>
        <w:ind w:right="92" w:firstLine="480"/>
        <w:jc w:val="left"/>
      </w:pPr>
      <w:r>
        <w:rPr>
          <w:spacing w:val="-4"/>
        </w:rPr>
        <w:t>金融负债全部或部分终止确认的，将终止确认部分的账面价值与支付的对价（包括转出的非现金资产</w:t>
      </w:r>
      <w:r>
        <w:rPr>
          <w:w w:val="100"/>
        </w:rPr>
        <w:t> </w:t>
      </w:r>
      <w:r>
        <w:rPr/>
        <w:t>或承担的新金融负债）之间的差额，计入当期损益。</w:t>
      </w:r>
    </w:p>
    <w:p>
      <w:pPr>
        <w:pStyle w:val="BodyText"/>
        <w:spacing w:line="408" w:lineRule="auto"/>
        <w:ind w:left="633" w:right="92"/>
        <w:jc w:val="left"/>
      </w:pPr>
      <w:r>
        <w:rPr/>
        <w:t>（</w:t>
      </w:r>
      <w:r>
        <w:rPr>
          <w:rFonts w:ascii="宋体" w:hAnsi="宋体" w:cs="宋体" w:eastAsia="宋体" w:hint="default"/>
        </w:rPr>
        <w:t>7</w:t>
      </w:r>
      <w:r>
        <w:rPr/>
        <w:t>）衍生工具及嵌入衍生工具</w:t>
      </w:r>
      <w:r>
        <w:rPr>
          <w:w w:val="100"/>
        </w:rPr>
        <w:t> </w:t>
      </w:r>
      <w:r>
        <w:rPr>
          <w:spacing w:val="-4"/>
        </w:rPr>
        <w:t>衍生工具于相关合同签署日以公允价值进行初始计量，并以公允价值进行后续计量。衍生工具的公允</w:t>
      </w:r>
    </w:p>
    <w:p>
      <w:pPr>
        <w:pStyle w:val="BodyText"/>
        <w:spacing w:line="410" w:lineRule="auto"/>
        <w:ind w:left="633" w:right="92" w:hanging="481"/>
        <w:jc w:val="left"/>
      </w:pPr>
      <w:r>
        <w:rPr/>
        <w:t>价值变动计入当期损益。</w:t>
      </w:r>
      <w:r>
        <w:rPr>
          <w:w w:val="100"/>
        </w:rPr>
        <w:t> </w:t>
      </w:r>
      <w:r>
        <w:rPr>
          <w:spacing w:val="-4"/>
          <w:w w:val="100"/>
        </w:rPr>
        <w:t>对包含嵌入衍生工具的混合工具，如未指定为以公允价值计量且其变动计入当期损益的金融资产或金</w:t>
      </w:r>
    </w:p>
    <w:p>
      <w:pPr>
        <w:pStyle w:val="BodyText"/>
        <w:spacing w:line="408" w:lineRule="auto" w:before="44"/>
        <w:ind w:right="184"/>
        <w:jc w:val="both"/>
      </w:pPr>
      <w:r>
        <w:rPr>
          <w:spacing w:val="-2"/>
        </w:rPr>
        <w:t>融负债，嵌入衍生工具与该主合同在经济特征及风险方面不存在紧密关系，且与嵌入衍生工具条件相同，</w:t>
      </w:r>
      <w:r>
        <w:rPr>
          <w:spacing w:val="-21"/>
        </w:rPr>
        <w:t> </w:t>
      </w:r>
      <w:r>
        <w:rPr>
          <w:spacing w:val="-21"/>
        </w:rPr>
      </w:r>
      <w:r>
        <w:rPr>
          <w:spacing w:val="-2"/>
        </w:rPr>
        <w:t>单独存在的工具符合衍生工具定义的，嵌入衍生工具从混合工具中分拆，作为单独的衍生金融工具处理。</w:t>
      </w:r>
      <w:r>
        <w:rPr>
          <w:spacing w:val="-21"/>
        </w:rPr>
        <w:t> </w:t>
      </w:r>
      <w:r>
        <w:rPr>
          <w:spacing w:val="-21"/>
        </w:rPr>
      </w:r>
      <w:r>
        <w:rPr>
          <w:spacing w:val="-2"/>
        </w:rPr>
        <w:t>如果无法在取得时或后续的资产负债表日对嵌入衍生工具进行单独计量，则将混合工具整体指定为以公允</w:t>
      </w:r>
      <w:r>
        <w:rPr>
          <w:spacing w:val="-43"/>
        </w:rPr>
        <w:t> </w:t>
      </w:r>
      <w:r>
        <w:rPr>
          <w:spacing w:val="-43"/>
        </w:rPr>
      </w:r>
      <w:r>
        <w:rPr/>
        <w:t>价值计量且其变动计入当期损益的金融资产或金融负债。</w:t>
      </w:r>
    </w:p>
    <w:p>
      <w:pPr>
        <w:pStyle w:val="BodyText"/>
        <w:spacing w:line="408" w:lineRule="auto"/>
        <w:ind w:left="633" w:right="92"/>
        <w:jc w:val="left"/>
      </w:pPr>
      <w:r>
        <w:rPr/>
        <w:t>（</w:t>
      </w:r>
      <w:r>
        <w:rPr>
          <w:rFonts w:ascii="宋体" w:hAnsi="宋体" w:cs="宋体" w:eastAsia="宋体" w:hint="default"/>
        </w:rPr>
        <w:t>8</w:t>
      </w:r>
      <w:r>
        <w:rPr/>
        <w:t>）金融资产和金融负债的抵销</w:t>
      </w:r>
      <w:r>
        <w:rPr>
          <w:w w:val="100"/>
        </w:rPr>
        <w:t> </w:t>
      </w:r>
      <w:r>
        <w:rPr>
          <w:spacing w:val="-4"/>
        </w:rPr>
        <w:t>当本公司具有抵销已确认金融资产和金融负债的法定权利，且目前可执行该种法定权利，同时本公司</w:t>
      </w:r>
    </w:p>
    <w:p>
      <w:pPr>
        <w:pStyle w:val="BodyText"/>
        <w:spacing w:line="408" w:lineRule="auto"/>
        <w:ind w:right="206"/>
        <w:jc w:val="both"/>
      </w:pPr>
      <w:r>
        <w:rPr>
          <w:spacing w:val="-2"/>
        </w:rPr>
        <w:t>计划以净额结算或同时变现该金融资产和清偿该金融负债时，金融资产和金融负债以相互抵销后的金额在</w:t>
      </w:r>
      <w:r>
        <w:rPr>
          <w:spacing w:val="-43"/>
        </w:rPr>
        <w:t> </w:t>
      </w:r>
      <w:r>
        <w:rPr>
          <w:spacing w:val="-43"/>
        </w:rPr>
      </w:r>
      <w:r>
        <w:rPr/>
        <w:t>资产负债表内列示。除此以外，金融资产和金融负债在资产负债表内分别列示，不予相互抵销。</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left="633" w:right="0"/>
        <w:jc w:val="left"/>
      </w:pPr>
      <w:r>
        <w:rPr/>
        <w:t>（</w:t>
      </w:r>
      <w:r>
        <w:rPr>
          <w:rFonts w:ascii="宋体" w:hAnsi="宋体" w:cs="宋体" w:eastAsia="宋体" w:hint="default"/>
        </w:rPr>
        <w:t>9</w:t>
      </w:r>
      <w:r>
        <w:rPr/>
        <w:t>）权益工具</w:t>
      </w:r>
      <w:r>
        <w:rPr>
          <w:w w:val="100"/>
        </w:rPr>
        <w:t> </w:t>
      </w:r>
      <w:r>
        <w:rPr>
          <w:spacing w:val="-4"/>
        </w:rPr>
        <w:t>权益工具是指能证明拥有本公司在扣除所有负债后的资产中的剩余权益的合同。本公司发行（含再融</w:t>
      </w:r>
    </w:p>
    <w:p>
      <w:pPr>
        <w:pStyle w:val="BodyText"/>
        <w:spacing w:line="408" w:lineRule="auto"/>
        <w:ind w:right="0"/>
        <w:jc w:val="left"/>
      </w:pPr>
      <w:r>
        <w:rPr>
          <w:spacing w:val="-2"/>
        </w:rPr>
        <w:t>资）、回购、出售或注销权益工具作为权益的变动处理。本公司不确认权益工具的公允价值变动。与权益</w:t>
      </w:r>
      <w:r>
        <w:rPr>
          <w:spacing w:val="-43"/>
        </w:rPr>
        <w:t> </w:t>
      </w:r>
      <w:r>
        <w:rPr>
          <w:spacing w:val="-43"/>
        </w:rPr>
      </w:r>
      <w:r>
        <w:rPr/>
        <w:t>性交易相关的交易费用从权益中扣减。</w:t>
      </w:r>
    </w:p>
    <w:p>
      <w:pPr>
        <w:pStyle w:val="BodyText"/>
        <w:spacing w:line="408" w:lineRule="auto"/>
        <w:ind w:right="0" w:firstLine="480"/>
        <w:jc w:val="left"/>
      </w:pPr>
      <w:r>
        <w:rPr>
          <w:spacing w:val="-4"/>
        </w:rPr>
        <w:t>本公司对权益工具持有方的各种分配（不包括股票股利），减少股东权益。本公司不确认权益工具的</w:t>
      </w:r>
      <w:r>
        <w:rPr>
          <w:w w:val="100"/>
        </w:rPr>
        <w:t> </w:t>
      </w:r>
      <w:r>
        <w:rPr/>
        <w:t>公允价值变动额。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万元以上的应收款项确认为单项 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特殊款项性质组合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3"/>
        <w:rPr>
          <w:rFonts w:ascii="宋体" w:hAnsi="宋体" w:cs="宋体" w:eastAsia="宋体" w:hint="default"/>
          <w:b/>
          <w:bCs/>
          <w:sz w:val="5"/>
          <w:szCs w:val="5"/>
        </w:rPr>
      </w:pPr>
    </w:p>
    <w:p>
      <w:pPr>
        <w:pStyle w:val="BodyText"/>
        <w:spacing w:line="240" w:lineRule="auto" w:before="36"/>
        <w:ind w:right="0"/>
        <w:jc w:val="left"/>
      </w:pPr>
      <w:r>
        <w:rPr/>
        <w:t>组合中，采用账龄分析法计提坏账准备的：</w:t>
      </w:r>
    </w:p>
    <w:p>
      <w:pPr>
        <w:spacing w:line="240" w:lineRule="auto" w:before="10"/>
        <w:rPr>
          <w:rFonts w:ascii="宋体" w:hAnsi="宋体" w:cs="宋体" w:eastAsia="宋体" w:hint="default"/>
          <w:sz w:val="17"/>
          <w:szCs w:val="17"/>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组合中，采用余额百分比法计提坏账准备的：</w:t>
      </w:r>
    </w:p>
    <w:p>
      <w:pPr>
        <w:spacing w:after="0" w:line="240" w:lineRule="auto"/>
        <w:jc w:val="left"/>
        <w:sectPr>
          <w:footerReference w:type="default" r:id="rId23"/>
          <w:pgSz w:w="11910" w:h="16840"/>
          <w:pgMar w:footer="979" w:header="745" w:top="1060" w:bottom="1160" w:left="980" w:right="980"/>
          <w:pgNumType w:start="159"/>
        </w:sectPr>
      </w:pPr>
    </w:p>
    <w:p>
      <w:pPr>
        <w:spacing w:line="240" w:lineRule="auto" w:before="0"/>
        <w:rPr>
          <w:rFonts w:ascii="宋体" w:hAnsi="宋体" w:cs="宋体" w:eastAsia="宋体" w:hint="default"/>
          <w:sz w:val="20"/>
          <w:szCs w:val="20"/>
        </w:rPr>
      </w:pPr>
    </w:p>
    <w:p>
      <w:pPr>
        <w:pStyle w:val="BodyText"/>
        <w:spacing w:line="420" w:lineRule="auto" w:before="176"/>
        <w:ind w:right="57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p>
    <w:p>
      <w:pPr>
        <w:pStyle w:val="BodyText"/>
        <w:spacing w:line="240" w:lineRule="auto" w:before="7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特殊款项性质组合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96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本公司对于单项金额虽不重大但具备以下特征（应收关联方 款项；与对方存在争议或涉及诉讼、仲裁的应收款项；已有 明显迹象表明债务人很可能无法履行还款义务的应收款项 等）的应收款项，单独进行减值测试，有客观证据表明其发 生了减值的，根据其未来现金流量现值低于其账面价值的差 额，确认减值损失</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 其未来现金流量现值低于其账面价值的差额，确认减值损失</w:t>
            </w:r>
          </w:p>
        </w:tc>
      </w:tr>
    </w:tbl>
    <w:p>
      <w:pPr>
        <w:spacing w:line="240" w:lineRule="auto" w:before="1"/>
        <w:rPr>
          <w:rFonts w:ascii="宋体" w:hAnsi="宋体" w:cs="宋体" w:eastAsia="宋体" w:hint="default"/>
          <w:b/>
          <w:bCs/>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635" w:right="4344" w:hanging="3"/>
        <w:jc w:val="left"/>
      </w:pPr>
      <w:r>
        <w:rPr/>
        <w:t>（</w:t>
      </w:r>
      <w:r>
        <w:rPr>
          <w:rFonts w:ascii="宋体" w:hAnsi="宋体" w:cs="宋体" w:eastAsia="宋体" w:hint="default"/>
        </w:rPr>
        <w:t>1</w:t>
      </w:r>
      <w:r>
        <w:rPr/>
        <w:t>）存货的分类</w:t>
      </w:r>
      <w:r>
        <w:rPr>
          <w:w w:val="100"/>
        </w:rPr>
        <w:t> </w:t>
      </w:r>
      <w:r>
        <w:rPr>
          <w:spacing w:val="-2"/>
        </w:rPr>
        <w:t>存货主要包括试剂及耗材、低值易耗品等。</w:t>
      </w:r>
    </w:p>
    <w:p>
      <w:pPr>
        <w:pStyle w:val="BodyText"/>
        <w:spacing w:line="408" w:lineRule="auto"/>
        <w:ind w:left="633" w:right="0"/>
        <w:jc w:val="left"/>
      </w:pPr>
      <w:r>
        <w:rPr/>
        <w:t>（</w:t>
      </w:r>
      <w:r>
        <w:rPr>
          <w:rFonts w:ascii="宋体" w:hAnsi="宋体" w:cs="宋体" w:eastAsia="宋体" w:hint="default"/>
        </w:rPr>
        <w:t>2</w:t>
      </w:r>
      <w:r>
        <w:rPr/>
        <w:t>）存货取得和发出的计价方法</w:t>
      </w:r>
      <w:r>
        <w:rPr>
          <w:w w:val="100"/>
        </w:rPr>
        <w:t> </w:t>
      </w:r>
      <w:r>
        <w:rPr>
          <w:spacing w:val="-4"/>
        </w:rPr>
        <w:t>存货在取得时按实际成本计价，存货成本包括采购成本、加工成本和其他成本。领用和发出时按先进</w:t>
      </w:r>
    </w:p>
    <w:p>
      <w:pPr>
        <w:pStyle w:val="BodyText"/>
        <w:spacing w:line="240" w:lineRule="auto"/>
        <w:ind w:right="0"/>
        <w:jc w:val="left"/>
      </w:pPr>
      <w:r>
        <w:rPr/>
        <w:t>先出法计价。</w:t>
      </w:r>
    </w:p>
    <w:p>
      <w:pPr>
        <w:spacing w:line="240" w:lineRule="auto" w:before="11"/>
        <w:rPr>
          <w:rFonts w:ascii="宋体" w:hAnsi="宋体" w:cs="宋体" w:eastAsia="宋体" w:hint="default"/>
          <w:sz w:val="14"/>
          <w:szCs w:val="14"/>
        </w:rPr>
      </w:pPr>
    </w:p>
    <w:p>
      <w:pPr>
        <w:pStyle w:val="BodyText"/>
        <w:spacing w:line="408" w:lineRule="auto" w:before="0"/>
        <w:ind w:left="633" w:right="0"/>
        <w:jc w:val="left"/>
      </w:pPr>
      <w:r>
        <w:rPr/>
        <w:t>（</w:t>
      </w:r>
      <w:r>
        <w:rPr>
          <w:rFonts w:ascii="宋体" w:hAnsi="宋体" w:cs="宋体" w:eastAsia="宋体" w:hint="default"/>
        </w:rPr>
        <w:t>3</w:t>
      </w:r>
      <w:r>
        <w:rPr/>
        <w:t>）存货可变现净值的确认和跌价准备的计提方法</w:t>
      </w:r>
      <w:r>
        <w:rPr>
          <w:w w:val="100"/>
        </w:rPr>
        <w:t> </w:t>
      </w:r>
      <w:r>
        <w:rPr>
          <w:spacing w:val="-4"/>
        </w:rPr>
        <w:t>可变现净值是指在日常活动中，存货的估计售价减去至完工时估计将要发生的成本、估计的销售费用</w:t>
      </w:r>
    </w:p>
    <w:p>
      <w:pPr>
        <w:pStyle w:val="BodyText"/>
        <w:spacing w:line="408" w:lineRule="auto"/>
        <w:ind w:right="0"/>
        <w:jc w:val="left"/>
      </w:pPr>
      <w:r>
        <w:rPr>
          <w:spacing w:val="-2"/>
        </w:rPr>
        <w:t>以及相关税费后的金额。在确定存货的可变现净值时，以取得的确凿证据为基础，同时考虑持有存货的目</w:t>
      </w:r>
      <w:r>
        <w:rPr>
          <w:spacing w:val="-43"/>
        </w:rPr>
        <w:t> </w:t>
      </w:r>
      <w:r>
        <w:rPr>
          <w:spacing w:val="-43"/>
        </w:rPr>
      </w:r>
      <w:r>
        <w:rPr/>
        <w:t>的以及资产负债表日后事项的影响。</w:t>
      </w:r>
    </w:p>
    <w:p>
      <w:pPr>
        <w:pStyle w:val="BodyText"/>
        <w:spacing w:line="408" w:lineRule="auto"/>
        <w:ind w:right="0" w:firstLine="480"/>
        <w:jc w:val="left"/>
      </w:pPr>
      <w:r>
        <w:rPr>
          <w:spacing w:val="-4"/>
        </w:rPr>
        <w:t>在资产负债表日，存货按照成本与可变现净值孰低计量。当其可变现净值低于成本时，提取存货跌价</w:t>
      </w:r>
      <w:r>
        <w:rPr>
          <w:w w:val="100"/>
        </w:rPr>
        <w:t> </w:t>
      </w:r>
      <w:r>
        <w:rPr/>
        <w:t>准备。存货跌价准备按单个存货项目的成本高于其可变现净值的差额提取。</w:t>
      </w:r>
    </w:p>
    <w:p>
      <w:pPr>
        <w:pStyle w:val="BodyText"/>
        <w:spacing w:line="408" w:lineRule="auto"/>
        <w:ind w:right="0" w:firstLine="480"/>
        <w:jc w:val="left"/>
      </w:pPr>
      <w:r>
        <w:rPr>
          <w:spacing w:val="-4"/>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pStyle w:val="BodyText"/>
        <w:spacing w:line="240" w:lineRule="auto"/>
        <w:ind w:left="633" w:right="0"/>
        <w:jc w:val="left"/>
      </w:pPr>
      <w:r>
        <w:rPr/>
        <w:t>（</w:t>
      </w:r>
      <w:r>
        <w:rPr>
          <w:rFonts w:ascii="宋体" w:hAnsi="宋体" w:cs="宋体" w:eastAsia="宋体" w:hint="default"/>
        </w:rPr>
        <w:t>4</w:t>
      </w:r>
      <w:r>
        <w:rPr/>
        <w:t>）存货的盘存制度为永续盘存制。</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3873"/>
        <w:jc w:val="left"/>
      </w:pPr>
      <w:r>
        <w:rPr/>
        <w:t>（</w:t>
      </w:r>
      <w:r>
        <w:rPr>
          <w:rFonts w:ascii="宋体" w:hAnsi="宋体" w:cs="宋体" w:eastAsia="宋体" w:hint="default"/>
        </w:rPr>
        <w:t>5</w:t>
      </w:r>
      <w:r>
        <w:rPr/>
        <w:t>）低值易耗品和包装物的摊销方法</w:t>
      </w:r>
      <w:r>
        <w:rPr>
          <w:w w:val="100"/>
        </w:rPr>
        <w:t> </w:t>
      </w:r>
      <w:r>
        <w:rPr>
          <w:spacing w:val="-2"/>
        </w:rPr>
        <w:t>低值易耗品于领用时按一次摊销法摊销。</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13</w:t>
      </w:r>
      <w:r>
        <w:rPr/>
        <w:t>、划分为持有待售资产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92" w:firstLine="480"/>
        <w:jc w:val="left"/>
      </w:pPr>
      <w:r>
        <w:rPr>
          <w:spacing w:val="-4"/>
        </w:rPr>
        <w:t>若某项非流动资产在其当前状况下仅根据出售此类资产的惯常条款即可立即出售，本公司已就处置该</w:t>
      </w:r>
      <w:r>
        <w:rPr>
          <w:w w:val="100"/>
        </w:rPr>
        <w:t> </w:t>
      </w:r>
      <w:r>
        <w:rPr>
          <w:spacing w:val="-2"/>
        </w:rPr>
        <w:t>项非流动资产作出决议，已经与受让方签订了不可撤销的转让协议，且该项转让将在一年内完成，则该非</w:t>
      </w:r>
      <w:r>
        <w:rPr>
          <w:spacing w:val="-44"/>
        </w:rPr>
        <w:t> </w:t>
      </w:r>
      <w:r>
        <w:rPr>
          <w:spacing w:val="-44"/>
        </w:rPr>
      </w:r>
      <w:r>
        <w:rPr>
          <w:spacing w:val="-2"/>
        </w:rPr>
        <w:t>流动资产作为持有待售非流动资产核算，自划分为持有待售之日起不计提折旧或进行摊销，按照账面价值</w:t>
      </w:r>
      <w:r>
        <w:rPr>
          <w:spacing w:val="-42"/>
        </w:rPr>
        <w:t> </w:t>
      </w:r>
      <w:r>
        <w:rPr>
          <w:spacing w:val="-42"/>
        </w:rPr>
      </w:r>
      <w:r>
        <w:rPr>
          <w:spacing w:val="-2"/>
        </w:rPr>
        <w:t>与公允价值减去处置费用后的净额孰低计量。持有待售的非流动资产包括单项资产和处置组。如果处置组</w:t>
      </w:r>
      <w:r>
        <w:rPr>
          <w:spacing w:val="-43"/>
        </w:rPr>
        <w:t> </w:t>
      </w:r>
      <w:r>
        <w:rPr>
          <w:spacing w:val="-43"/>
        </w:rPr>
      </w:r>
      <w:r>
        <w:rPr/>
        <w:t>是一个《企业会计准则第</w:t>
      </w:r>
      <w:r>
        <w:rPr>
          <w:rFonts w:ascii="宋体" w:hAnsi="宋体" w:cs="宋体" w:eastAsia="宋体" w:hint="default"/>
        </w:rPr>
        <w:t>8</w:t>
      </w:r>
      <w:r>
        <w:rPr/>
        <w:t>号——资产减值》所定义的资产组，并且按照该准则的规定将企业合并中取得</w:t>
      </w:r>
      <w:r>
        <w:rPr>
          <w:w w:val="100"/>
        </w:rPr>
        <w:t> </w:t>
      </w:r>
      <w:r>
        <w:rPr>
          <w:spacing w:val="-5"/>
        </w:rPr>
        <w:t>的商誉分摊至该资产组，或者该处置组是资产组中的一项经营，则该处置组包括企业合并中所形成的商誉。</w:t>
      </w:r>
    </w:p>
    <w:p>
      <w:pPr>
        <w:pStyle w:val="BodyText"/>
        <w:spacing w:line="408" w:lineRule="auto"/>
        <w:ind w:right="92" w:firstLine="480"/>
        <w:jc w:val="left"/>
      </w:pPr>
      <w:r>
        <w:rPr>
          <w:spacing w:val="-4"/>
        </w:rPr>
        <w:t>被划分为持有待售的单项非流动资产和处置组中的资产，在资产负债表的流动资产部分单独列报；被</w:t>
      </w:r>
      <w:r>
        <w:rPr>
          <w:w w:val="100"/>
        </w:rPr>
        <w:t> </w:t>
      </w:r>
      <w:r>
        <w:rPr/>
        <w:t>划分为持有待售的处置组中的与转让资产相关的负债，在资产负债表的流动负债部分单独列报。</w:t>
      </w:r>
    </w:p>
    <w:p>
      <w:pPr>
        <w:pStyle w:val="BodyText"/>
        <w:spacing w:line="408" w:lineRule="auto"/>
        <w:ind w:right="352" w:firstLine="480"/>
        <w:jc w:val="both"/>
      </w:pPr>
      <w:r>
        <w:rPr>
          <w:spacing w:val="-2"/>
        </w:rPr>
        <w:t>某项资产或处置组被划归为持有待售，但后来不再满足持有待售的非流动资产的确认条件，本公司</w:t>
      </w:r>
      <w:r>
        <w:rPr>
          <w:w w:val="100"/>
        </w:rPr>
        <w:t> </w:t>
      </w:r>
      <w:r>
        <w:rPr>
          <w:spacing w:val="-3"/>
        </w:rPr>
        <w:t>停止将其划归为持有待售，并按照下列两项金额中较低者进行计量：（</w:t>
      </w:r>
      <w:r>
        <w:rPr>
          <w:rFonts w:ascii="宋体" w:hAnsi="宋体" w:cs="宋体" w:eastAsia="宋体" w:hint="default"/>
          <w:spacing w:val="-3"/>
        </w:rPr>
        <w:t>1</w:t>
      </w:r>
      <w:r>
        <w:rPr>
          <w:spacing w:val="-3"/>
        </w:rPr>
        <w:t>）该资产或处置组被划归为持有</w:t>
      </w:r>
      <w:r>
        <w:rPr>
          <w:spacing w:val="-41"/>
        </w:rPr>
        <w:t> </w:t>
      </w:r>
      <w:r>
        <w:rPr>
          <w:spacing w:val="-41"/>
        </w:rPr>
      </w:r>
      <w:r>
        <w:rPr>
          <w:spacing w:val="-1"/>
        </w:rPr>
        <w:t>待售之前的账面价值，按照其假定在没有被划归为持有待售的情况下原应确认的折旧、摊销或减值进行</w:t>
      </w:r>
      <w:r>
        <w:rPr>
          <w:spacing w:val="-18"/>
        </w:rPr>
        <w:t> </w:t>
      </w:r>
      <w:r>
        <w:rPr>
          <w:spacing w:val="-18"/>
        </w:rPr>
      </w:r>
      <w:r>
        <w:rPr/>
        <w:t>调整后的金额；（</w:t>
      </w:r>
      <w:r>
        <w:rPr>
          <w:rFonts w:ascii="宋体" w:hAnsi="宋体" w:cs="宋体" w:eastAsia="宋体" w:hint="default"/>
        </w:rPr>
        <w:t>2</w:t>
      </w:r>
      <w:r>
        <w:rPr/>
        <w:t>）决定不再出售之日的可收回金额。</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14</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92" w:firstLine="480"/>
        <w:jc w:val="left"/>
      </w:pPr>
      <w:r>
        <w:rPr/>
        <w:t>本部分所指的长期股权投资是指本公司对被投资单位具有控制、共同控制或重大影响的长期股权投</w:t>
      </w:r>
      <w:r>
        <w:rPr>
          <w:w w:val="100"/>
        </w:rPr>
        <w:t> </w:t>
      </w:r>
      <w:r>
        <w:rPr>
          <w:spacing w:val="-2"/>
        </w:rPr>
        <w:t>资。本公司对被投资单位不具有控制、共同控制或重大影响的长期股权投资，作为可供出售金融资产或以</w:t>
      </w:r>
      <w:r>
        <w:rPr>
          <w:spacing w:val="-43"/>
        </w:rPr>
        <w:t> </w:t>
      </w:r>
      <w:r>
        <w:rPr>
          <w:spacing w:val="-43"/>
        </w:rPr>
      </w:r>
      <w:r>
        <w:rPr/>
        <w:t>公允价值计量且其变动计入当期损益的金融资产核算，其会计政策详见附注五、10“金融工具”。</w:t>
      </w:r>
    </w:p>
    <w:p>
      <w:pPr>
        <w:pStyle w:val="BodyText"/>
        <w:spacing w:line="408" w:lineRule="auto"/>
        <w:ind w:right="206" w:firstLine="480"/>
        <w:jc w:val="both"/>
      </w:pPr>
      <w:r>
        <w:rPr>
          <w:spacing w:val="-4"/>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43"/>
        </w:rPr>
        <w:t> </w:t>
      </w:r>
      <w:r>
        <w:rPr>
          <w:spacing w:val="-43"/>
        </w:rPr>
      </w:r>
      <w:r>
        <w:rPr/>
        <w:t>的权力，但并不能够控制或者与其他方一起共同控制这些政策的制定。</w:t>
      </w:r>
    </w:p>
    <w:p>
      <w:pPr>
        <w:pStyle w:val="BodyText"/>
        <w:spacing w:line="408" w:lineRule="auto"/>
        <w:ind w:left="633" w:right="92"/>
        <w:jc w:val="left"/>
      </w:pPr>
      <w:r>
        <w:rPr/>
        <w:t>（</w:t>
      </w:r>
      <w:r>
        <w:rPr>
          <w:rFonts w:ascii="宋体" w:hAnsi="宋体" w:cs="宋体" w:eastAsia="宋体" w:hint="default"/>
        </w:rPr>
        <w:t>1</w:t>
      </w:r>
      <w:r>
        <w:rPr/>
        <w:t>）投资成本的确定</w:t>
      </w:r>
      <w:r>
        <w:rPr>
          <w:w w:val="100"/>
        </w:rPr>
        <w:t> </w:t>
      </w:r>
      <w:r>
        <w:rPr>
          <w:spacing w:val="-4"/>
        </w:rPr>
        <w:t>对于同一控制下的企业合并取得的长期股权投资，在合并日按照被合并方所有者权益在最终控制方合</w:t>
      </w:r>
    </w:p>
    <w:p>
      <w:pPr>
        <w:pStyle w:val="BodyText"/>
        <w:spacing w:line="408" w:lineRule="auto"/>
        <w:ind w:right="206"/>
        <w:jc w:val="both"/>
      </w:pPr>
      <w:r>
        <w:rPr>
          <w:spacing w:val="-2"/>
        </w:rPr>
        <w:t>并财务报表中的账面价值的份额作为长期股权投资的初始投资成本。长期股权投资初始投资成本与支付的</w:t>
      </w:r>
      <w:r>
        <w:rPr>
          <w:spacing w:val="-43"/>
        </w:rPr>
        <w:t> </w:t>
      </w:r>
      <w:r>
        <w:rPr>
          <w:spacing w:val="-43"/>
        </w:rPr>
      </w:r>
      <w:r>
        <w:rPr>
          <w:spacing w:val="-2"/>
        </w:rPr>
        <w:t>现金、转让的非现金资产以及所承担债务账面价值之间的差额，调整资本公积；资本公积不足冲减的，调</w:t>
      </w:r>
      <w:r>
        <w:rPr>
          <w:spacing w:val="-47"/>
        </w:rPr>
        <w:t> </w:t>
      </w:r>
      <w:r>
        <w:rPr>
          <w:spacing w:val="-47"/>
        </w:rPr>
      </w:r>
      <w:r>
        <w:rPr>
          <w:spacing w:val="-2"/>
        </w:rPr>
        <w:t>整留存收益。以发行权益性证券作为合并对价的，在合并日按照被合并方所有者权益在最终控制方合并财</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86"/>
        <w:jc w:val="both"/>
      </w:pPr>
      <w:r>
        <w:rPr>
          <w:spacing w:val="-2"/>
        </w:rPr>
        <w:t>务报表中的账面价值的份额作为长期股权投资的初始投资成本，按照发行股份的面值总额作为股本，长期</w:t>
      </w:r>
      <w:r>
        <w:rPr>
          <w:spacing w:val="-43"/>
        </w:rPr>
        <w:t> </w:t>
      </w:r>
      <w:r>
        <w:rPr>
          <w:spacing w:val="-43"/>
        </w:rPr>
      </w:r>
      <w:r>
        <w:rPr>
          <w:spacing w:val="-2"/>
        </w:rPr>
        <w:t>股权投资初始投资成本与所发行股份面值总额之间的差额，调整资本公积；资本公积不足冲减的，调整留</w:t>
      </w:r>
      <w:r>
        <w:rPr>
          <w:spacing w:val="-43"/>
        </w:rPr>
        <w:t> </w:t>
      </w:r>
      <w:r>
        <w:rPr>
          <w:spacing w:val="-43"/>
        </w:rPr>
      </w:r>
      <w:r>
        <w:rPr>
          <w:spacing w:val="-2"/>
        </w:rPr>
        <w:t>存收益。通过多次交易分步取得同一控制下被合并方的股权，最终形成同一控制下企业合并的，应分别是</w:t>
      </w:r>
      <w:r>
        <w:rPr>
          <w:spacing w:val="-43"/>
        </w:rPr>
        <w:t> </w:t>
      </w:r>
      <w:r>
        <w:rPr>
          <w:spacing w:val="-43"/>
        </w:rPr>
      </w:r>
      <w:r>
        <w:rPr>
          <w:spacing w:val="-2"/>
        </w:rPr>
        <w:t>否属于“一揽子交易”进行处理：属于“一揽子交易”的，将各项交易作为一项取得控制权的交易进行会</w:t>
      </w:r>
      <w:r>
        <w:rPr>
          <w:spacing w:val="-44"/>
        </w:rPr>
        <w:t> </w:t>
      </w:r>
      <w:r>
        <w:rPr>
          <w:spacing w:val="-44"/>
        </w:rPr>
      </w:r>
      <w:r>
        <w:rPr>
          <w:spacing w:val="-2"/>
        </w:rPr>
        <w:t>计处理。不属于“一揽子交易”的，在合并日按照应享有被合并方所有者权益在最终控制方合并财务报表</w:t>
      </w:r>
      <w:r>
        <w:rPr>
          <w:spacing w:val="-43"/>
        </w:rPr>
        <w:t> </w:t>
      </w:r>
      <w:r>
        <w:rPr>
          <w:spacing w:val="-43"/>
        </w:rPr>
      </w:r>
      <w:r>
        <w:rPr>
          <w:spacing w:val="-2"/>
        </w:rPr>
        <w:t>中的账面价值的份额作为长期股权投资的初始投资成本，长期股权投资初始投资成本与达到合并前的长期</w:t>
      </w:r>
      <w:r>
        <w:rPr>
          <w:spacing w:val="-43"/>
        </w:rPr>
        <w:t> </w:t>
      </w:r>
      <w:r>
        <w:rPr>
          <w:spacing w:val="-43"/>
        </w:rPr>
      </w:r>
      <w:r>
        <w:rPr>
          <w:spacing w:val="-2"/>
        </w:rPr>
        <w:t>股权投资账面价值加上合并日进一步取得股份新支付对价的账面价值之和的差额，调整资本公积；资本公</w:t>
      </w:r>
      <w:r>
        <w:rPr>
          <w:spacing w:val="-42"/>
        </w:rPr>
        <w:t> </w:t>
      </w:r>
      <w:r>
        <w:rPr>
          <w:spacing w:val="-42"/>
        </w:rPr>
      </w:r>
      <w:r>
        <w:rPr>
          <w:spacing w:val="-2"/>
        </w:rPr>
        <w:t>积不足冲减的，调整留存收益。合并日之前持有的股权投资因采用权益法核算或为可供出售金融资产而确</w:t>
      </w:r>
      <w:r>
        <w:rPr>
          <w:spacing w:val="-42"/>
        </w:rPr>
        <w:t> </w:t>
      </w:r>
      <w:r>
        <w:rPr>
          <w:spacing w:val="-42"/>
        </w:rPr>
      </w:r>
      <w:r>
        <w:rPr/>
        <w:t>认的其他综合收益，暂不进行会计处理。</w:t>
      </w:r>
    </w:p>
    <w:p>
      <w:pPr>
        <w:pStyle w:val="BodyText"/>
        <w:spacing w:line="408" w:lineRule="auto"/>
        <w:ind w:right="165" w:firstLine="480"/>
        <w:jc w:val="both"/>
      </w:pPr>
      <w:r>
        <w:rPr>
          <w:spacing w:val="-4"/>
          <w:w w:val="100"/>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7"/>
        </w:rPr>
        <w:t> </w:t>
      </w:r>
      <w:r>
        <w:rPr>
          <w:spacing w:val="-47"/>
        </w:rPr>
      </w:r>
      <w:r>
        <w:rPr>
          <w:spacing w:val="-2"/>
        </w:rPr>
        <w:t>过多次交易分步取得被购买方的股权，最终形成非同一控制下的企业合并的，应分别是否属于“一揽子交</w:t>
      </w:r>
      <w:r>
        <w:rPr>
          <w:spacing w:val="-44"/>
        </w:rPr>
        <w:t> </w:t>
      </w:r>
      <w:r>
        <w:rPr>
          <w:spacing w:val="-44"/>
        </w:rPr>
      </w:r>
      <w:r>
        <w:rPr>
          <w:spacing w:val="-7"/>
        </w:rPr>
        <w:t>易”进行处理：属于“一揽子交易”的，将各项交易作为一项取得控制权的交易进行会计处理。不属于“一</w:t>
      </w:r>
      <w:r>
        <w:rPr>
          <w:spacing w:val="-17"/>
        </w:rPr>
        <w:t> </w:t>
      </w:r>
      <w:r>
        <w:rPr>
          <w:spacing w:val="-17"/>
        </w:rPr>
      </w:r>
      <w:r>
        <w:rPr>
          <w:spacing w:val="-2"/>
        </w:rPr>
        <w:t>揽子交易”的，按照原持有被购买方的股权投资账面价值加上新增投资成本之和，作为改按成本法核算的</w:t>
      </w:r>
      <w:r>
        <w:rPr>
          <w:spacing w:val="-42"/>
        </w:rPr>
        <w:t> </w:t>
      </w:r>
      <w:r>
        <w:rPr>
          <w:spacing w:val="-42"/>
        </w:rPr>
      </w:r>
      <w:r>
        <w:rPr>
          <w:spacing w:val="-2"/>
        </w:rPr>
        <w:t>长期股权投资的初始投资成本。原持有的股权采用权益法核算的，相关其他综合收益暂不进行会计处理。</w:t>
      </w:r>
      <w:r>
        <w:rPr>
          <w:spacing w:val="-21"/>
        </w:rPr>
        <w:t> </w:t>
      </w:r>
      <w:r>
        <w:rPr>
          <w:spacing w:val="-21"/>
        </w:rPr>
      </w:r>
      <w:r>
        <w:rPr>
          <w:spacing w:val="-2"/>
        </w:rPr>
        <w:t>原持有股权投资为可供出售金融资产的，其公允价值与账面价值之间的差额，以及原计入其他综合收益的</w:t>
      </w:r>
      <w:r>
        <w:rPr>
          <w:spacing w:val="-43"/>
        </w:rPr>
        <w:t> </w:t>
      </w:r>
      <w:r>
        <w:rPr>
          <w:spacing w:val="-43"/>
        </w:rPr>
      </w:r>
      <w:r>
        <w:rPr/>
        <w:t>累计公允价值变动转入当期损益。</w:t>
      </w:r>
    </w:p>
    <w:p>
      <w:pPr>
        <w:pStyle w:val="BodyText"/>
        <w:spacing w:line="408" w:lineRule="auto"/>
        <w:ind w:right="188" w:firstLine="480"/>
        <w:jc w:val="both"/>
      </w:pPr>
      <w:r>
        <w:rPr>
          <w:spacing w:val="-4"/>
        </w:rPr>
        <w:t>合并方或购买方为企业合并发生的审计、法律服务、评估咨询等中介费用以及其他相关管理费用，于</w:t>
      </w:r>
      <w:r>
        <w:rPr>
          <w:w w:val="100"/>
        </w:rPr>
        <w:t> </w:t>
      </w:r>
      <w:r>
        <w:rPr/>
        <w:t>发生时计入当期损益。</w:t>
      </w:r>
    </w:p>
    <w:p>
      <w:pPr>
        <w:pStyle w:val="BodyText"/>
        <w:spacing w:line="408" w:lineRule="auto"/>
        <w:ind w:right="165" w:firstLine="480"/>
        <w:jc w:val="both"/>
      </w:pPr>
      <w:r>
        <w:rPr>
          <w:spacing w:val="-4"/>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44"/>
        </w:rPr>
        <w:t> </w:t>
      </w:r>
      <w:r>
        <w:rPr>
          <w:spacing w:val="-44"/>
        </w:rPr>
      </w:r>
      <w:r>
        <w:rPr>
          <w:spacing w:val="-2"/>
        </w:rPr>
        <w:t>同或协议约定的价值、非货币性资产交换交易中换出资产的公允价值或原账面价值、该项长期股权投资自</w:t>
      </w:r>
      <w:r>
        <w:rPr>
          <w:spacing w:val="-44"/>
        </w:rPr>
        <w:t> </w:t>
      </w:r>
      <w:r>
        <w:rPr>
          <w:spacing w:val="-44"/>
        </w:rPr>
      </w:r>
      <w:r>
        <w:rPr>
          <w:spacing w:val="-2"/>
        </w:rPr>
        <w:t>身的公允价值等方式确定。与取得长期股权投资直接相关的费用、税金及其他必要支出也计入投资成本。</w:t>
      </w:r>
      <w:r>
        <w:rPr>
          <w:spacing w:val="-21"/>
        </w:rPr>
        <w:t> </w:t>
      </w:r>
      <w:r>
        <w:rPr>
          <w:spacing w:val="-21"/>
        </w:rPr>
      </w:r>
      <w:r>
        <w:rPr>
          <w:spacing w:val="-2"/>
        </w:rPr>
        <w:t>对于因追加投资能够对被投资单位实施重大影响或实施共同控制但不构成控制的，长期股权投资成本为按</w:t>
      </w:r>
      <w:r>
        <w:rPr>
          <w:spacing w:val="-43"/>
        </w:rPr>
        <w:t> </w:t>
      </w:r>
      <w:r>
        <w:rPr>
          <w:spacing w:val="-43"/>
        </w:rPr>
      </w:r>
      <w:r>
        <w:rPr>
          <w:spacing w:val="-2"/>
        </w:rPr>
        <w:t>照《企业会计准则第</w:t>
      </w:r>
      <w:r>
        <w:rPr>
          <w:rFonts w:ascii="宋体" w:hAnsi="宋体" w:cs="宋体" w:eastAsia="宋体" w:hint="default"/>
          <w:spacing w:val="-2"/>
        </w:rPr>
        <w:t>22</w:t>
      </w:r>
      <w:r>
        <w:rPr>
          <w:spacing w:val="-2"/>
        </w:rPr>
        <w:t>号——金融工具确认和计量》确定的原持有股权投资的公允价值加上新增投资成本</w:t>
      </w:r>
      <w:r>
        <w:rPr>
          <w:spacing w:val="-42"/>
        </w:rPr>
        <w:t> </w:t>
      </w:r>
      <w:r>
        <w:rPr>
          <w:spacing w:val="-42"/>
        </w:rPr>
      </w:r>
      <w:r>
        <w:rPr/>
        <w:t>之和。</w:t>
      </w:r>
    </w:p>
    <w:p>
      <w:pPr>
        <w:pStyle w:val="BodyText"/>
        <w:spacing w:line="408" w:lineRule="auto"/>
        <w:ind w:left="633" w:right="0"/>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对被投资单位具有共同控制（构成共同经营者除外）或重大影响的长期股权投资，采用权益法核算。</w:t>
      </w:r>
      <w:r>
        <w:rPr/>
      </w:r>
    </w:p>
    <w:p>
      <w:pPr>
        <w:pStyle w:val="BodyText"/>
        <w:spacing w:line="240" w:lineRule="auto"/>
        <w:ind w:right="0"/>
        <w:jc w:val="both"/>
      </w:pPr>
      <w:r>
        <w:rPr/>
        <w:t>此外，公司财务报表采用成本法核算能够对被投资单位实施控制的长期股权投资。</w:t>
      </w:r>
    </w:p>
    <w:p>
      <w:pPr>
        <w:spacing w:line="240" w:lineRule="auto" w:before="10"/>
        <w:rPr>
          <w:rFonts w:ascii="宋体" w:hAnsi="宋体" w:cs="宋体" w:eastAsia="宋体" w:hint="default"/>
          <w:sz w:val="14"/>
          <w:szCs w:val="14"/>
        </w:rPr>
      </w:pPr>
    </w:p>
    <w:p>
      <w:pPr>
        <w:pStyle w:val="BodyText"/>
        <w:spacing w:line="240" w:lineRule="auto" w:before="0"/>
        <w:ind w:left="633" w:right="0"/>
        <w:jc w:val="left"/>
      </w:pPr>
      <w:r>
        <w:rPr/>
        <w:t>①</w:t>
      </w:r>
      <w:r>
        <w:rPr>
          <w:spacing w:val="-3"/>
        </w:rPr>
        <w:t> </w:t>
      </w:r>
      <w:r>
        <w:rPr/>
        <w:t>成本法核算的长期股权投资</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408" w:lineRule="auto" w:before="176"/>
        <w:ind w:right="0" w:firstLine="480"/>
        <w:jc w:val="left"/>
      </w:pPr>
      <w:r>
        <w:rPr>
          <w:spacing w:val="-2"/>
        </w:rPr>
        <w:t>采用成本法核算时，长期股权投资按初始投资成本计价，追加或收回投资调整长期股权投资的成本。</w:t>
      </w:r>
      <w:r>
        <w:rPr>
          <w:w w:val="100"/>
        </w:rPr>
        <w:t> </w:t>
      </w:r>
      <w:r>
        <w:rPr>
          <w:spacing w:val="-2"/>
        </w:rPr>
        <w:t>除取得投资时实际支付的价款或者对价中包含的已宣告但尚未发放的现金股利或者利润外，当期投资收益</w:t>
      </w:r>
      <w:r>
        <w:rPr>
          <w:spacing w:val="-43"/>
        </w:rPr>
        <w:t> </w:t>
      </w:r>
      <w:r>
        <w:rPr>
          <w:spacing w:val="-43"/>
        </w:rPr>
      </w:r>
      <w:r>
        <w:rPr/>
        <w:t>按照享有被投资单位宣告发放的现金股利或利润确认。</w:t>
      </w:r>
    </w:p>
    <w:p>
      <w:pPr>
        <w:pStyle w:val="BodyText"/>
        <w:spacing w:line="408" w:lineRule="auto"/>
        <w:ind w:left="633" w:right="0"/>
        <w:jc w:val="left"/>
      </w:pPr>
      <w:r>
        <w:rPr/>
        <w:t>②</w:t>
      </w:r>
      <w:r>
        <w:rPr>
          <w:spacing w:val="-1"/>
        </w:rPr>
        <w:t> </w:t>
      </w:r>
      <w:r>
        <w:rPr/>
        <w:t>权益法核算的长期股权投资</w:t>
      </w:r>
      <w:r>
        <w:rPr>
          <w:w w:val="100"/>
        </w:rPr>
        <w:t> </w:t>
      </w:r>
      <w:r>
        <w:rPr>
          <w:spacing w:val="-4"/>
        </w:rPr>
        <w:t>采用权益法核算时，长期股权投资的初始投资成本大于投资时应享有被投资单位可辨认净资产公允价</w:t>
      </w:r>
    </w:p>
    <w:p>
      <w:pPr>
        <w:pStyle w:val="BodyText"/>
        <w:spacing w:line="408" w:lineRule="auto"/>
        <w:ind w:right="0"/>
        <w:jc w:val="left"/>
      </w:pPr>
      <w:r>
        <w:rPr>
          <w:spacing w:val="-2"/>
        </w:rPr>
        <w:t>值份额的，不调整长期股权投资的初始投资成本；初始投资成本小于投资时应享有被投资单位可辨认净资</w:t>
      </w:r>
      <w:r>
        <w:rPr>
          <w:spacing w:val="-42"/>
        </w:rPr>
        <w:t> </w:t>
      </w:r>
      <w:r>
        <w:rPr>
          <w:spacing w:val="-42"/>
        </w:rPr>
      </w:r>
      <w:r>
        <w:rPr/>
        <w:t>产公允价值份额的，其差额计入当期损益，同时调整长期股权投资的成本。</w:t>
      </w:r>
    </w:p>
    <w:p>
      <w:pPr>
        <w:pStyle w:val="BodyText"/>
        <w:spacing w:line="408" w:lineRule="auto"/>
        <w:ind w:right="186" w:firstLine="480"/>
        <w:jc w:val="both"/>
      </w:pPr>
      <w:r>
        <w:rPr>
          <w:spacing w:val="-4"/>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股利计算应享有的部分，相应减少长期股权投资的账面价值；对于被投资单位除净损益、其他综合收益和</w:t>
      </w:r>
      <w:r>
        <w:rPr>
          <w:spacing w:val="-43"/>
        </w:rPr>
        <w:t> </w:t>
      </w:r>
      <w:r>
        <w:rPr>
          <w:spacing w:val="-43"/>
        </w:rPr>
      </w:r>
      <w:r>
        <w:rPr>
          <w:spacing w:val="-2"/>
        </w:rPr>
        <w:t>利润分配以外所有者权益的其他变动，调整长期股权投资的账面价值并计入资本公积。在确认应享有被投</w:t>
      </w:r>
      <w:r>
        <w:rPr>
          <w:spacing w:val="-43"/>
        </w:rPr>
        <w:t> </w:t>
      </w:r>
      <w:r>
        <w:rPr>
          <w:spacing w:val="-43"/>
        </w:rPr>
      </w:r>
      <w:r>
        <w:rPr>
          <w:spacing w:val="-2"/>
        </w:rPr>
        <w:t>资单位净损益的份额时，以取得投资时被投资单位各项可辨认资产等的公允价值为基础，对被投资单位的</w:t>
      </w:r>
      <w:r>
        <w:rPr>
          <w:spacing w:val="-43"/>
        </w:rPr>
        <w:t> </w:t>
      </w:r>
      <w:r>
        <w:rPr>
          <w:spacing w:val="-43"/>
        </w:rPr>
      </w:r>
      <w:r>
        <w:rPr>
          <w:spacing w:val="-2"/>
        </w:rPr>
        <w:t>净利润进行调整后确认。被投资单位采用的会计政策及会计期间与本公司不一致的，按照本公司的会计政</w:t>
      </w:r>
      <w:r>
        <w:rPr>
          <w:spacing w:val="-43"/>
        </w:rPr>
        <w:t> </w:t>
      </w:r>
      <w:r>
        <w:rPr>
          <w:spacing w:val="-43"/>
        </w:rPr>
      </w:r>
      <w:r>
        <w:rPr>
          <w:spacing w:val="-2"/>
        </w:rPr>
        <w:t>策及会计期间对被投资单位的财务报表进行调整，并据以确认投资收益和其他综合收益。对于本公司与联</w:t>
      </w:r>
      <w:r>
        <w:rPr>
          <w:spacing w:val="-43"/>
        </w:rPr>
        <w:t> </w:t>
      </w:r>
      <w:r>
        <w:rPr>
          <w:spacing w:val="-43"/>
        </w:rPr>
      </w:r>
      <w:r>
        <w:rPr>
          <w:spacing w:val="-2"/>
        </w:rPr>
        <w:t>营企业及合营企业之间发生的交易，投出或出售的资产不构成业务的，未实现内部交易损益按照享有的比</w:t>
      </w:r>
      <w:r>
        <w:rPr>
          <w:spacing w:val="-42"/>
        </w:rPr>
        <w:t> </w:t>
      </w:r>
      <w:r>
        <w:rPr>
          <w:spacing w:val="-42"/>
        </w:rPr>
      </w:r>
      <w:r>
        <w:rPr>
          <w:spacing w:val="-2"/>
        </w:rPr>
        <w:t>例计算归属于本公司的部分予以抵销，在此基础上确认投资损益。但本公司与被投资单位发生的未实现内</w:t>
      </w:r>
      <w:r>
        <w:rPr>
          <w:spacing w:val="-43"/>
        </w:rPr>
        <w:t> </w:t>
      </w:r>
      <w:r>
        <w:rPr>
          <w:spacing w:val="-43"/>
        </w:rPr>
      </w:r>
      <w:r>
        <w:rPr>
          <w:spacing w:val="-2"/>
        </w:rPr>
        <w:t>部交易损失，属于所转让资产减值损失的，不予以抵销。本公司向合营企业或联营企业投出的资产构成业</w:t>
      </w:r>
      <w:r>
        <w:rPr>
          <w:spacing w:val="-44"/>
        </w:rPr>
        <w:t> </w:t>
      </w:r>
      <w:r>
        <w:rPr>
          <w:spacing w:val="-44"/>
        </w:rPr>
      </w:r>
      <w:r>
        <w:rPr>
          <w:spacing w:val="-2"/>
        </w:rPr>
        <w:t>务的，投资方因此取得长期股权投资但未取得控制权的，以投出业务的公允价值作为新增长期股权投资的</w:t>
      </w:r>
      <w:r>
        <w:rPr>
          <w:spacing w:val="-42"/>
        </w:rPr>
        <w:t> </w:t>
      </w:r>
      <w:r>
        <w:rPr>
          <w:spacing w:val="-42"/>
        </w:rPr>
      </w:r>
      <w:r>
        <w:rPr>
          <w:spacing w:val="-2"/>
        </w:rPr>
        <w:t>初始投资成本，初始投资成本与投出业务的账面价值之差，全额计入当期损益。本公司向合营企业或联营</w:t>
      </w:r>
      <w:r>
        <w:rPr>
          <w:spacing w:val="-43"/>
        </w:rPr>
        <w:t> </w:t>
      </w:r>
      <w:r>
        <w:rPr>
          <w:spacing w:val="-43"/>
        </w:rPr>
      </w:r>
      <w:r>
        <w:rPr>
          <w:spacing w:val="-2"/>
        </w:rPr>
        <w:t>企业出售的资产构成业务的，取得的对价与业务的账面价值之差，全额计入当期损益。本公司自联营企业</w:t>
      </w:r>
      <w:r>
        <w:rPr>
          <w:spacing w:val="-44"/>
        </w:rPr>
        <w:t> </w:t>
      </w:r>
      <w:r>
        <w:rPr>
          <w:spacing w:val="-44"/>
        </w:rPr>
      </w:r>
      <w:r>
        <w:rPr>
          <w:spacing w:val="-2"/>
        </w:rPr>
        <w:t>及合营企业购入的资产构成业务的，按《企业会计准则第</w:t>
      </w:r>
      <w:r>
        <w:rPr>
          <w:rFonts w:ascii="宋体" w:hAnsi="宋体" w:cs="宋体" w:eastAsia="宋体" w:hint="default"/>
          <w:spacing w:val="-2"/>
        </w:rPr>
        <w:t>20</w:t>
      </w:r>
      <w:r>
        <w:rPr>
          <w:spacing w:val="-2"/>
        </w:rPr>
        <w:t>号——企业合并》的规定进行会计处理，全额</w:t>
      </w:r>
      <w:r>
        <w:rPr>
          <w:spacing w:val="-42"/>
        </w:rPr>
        <w:t> </w:t>
      </w:r>
      <w:r>
        <w:rPr>
          <w:spacing w:val="-42"/>
        </w:rPr>
      </w:r>
      <w:r>
        <w:rPr/>
        <w:t>确认与交易相关的利得或损失。</w:t>
      </w:r>
    </w:p>
    <w:p>
      <w:pPr>
        <w:pStyle w:val="BodyText"/>
        <w:spacing w:line="408" w:lineRule="auto"/>
        <w:ind w:right="186" w:firstLine="480"/>
        <w:jc w:val="both"/>
      </w:pPr>
      <w:r>
        <w:rPr>
          <w:spacing w:val="-4"/>
          <w:w w:val="100"/>
        </w:rPr>
        <w:t>在确认应分担被投资单位发生的净亏损时，以长期股权投资的账面价值和其他实质上构成对被投资单</w:t>
      </w:r>
      <w:r>
        <w:rPr>
          <w:w w:val="100"/>
        </w:rPr>
        <w:t> </w:t>
      </w:r>
      <w:r>
        <w:rPr>
          <w:spacing w:val="-2"/>
        </w:rPr>
        <w:t>位净投资的长期权益减记至零为限。此外，如本公司对被投资单位负有承担额外损失的义务，则按预计承</w:t>
      </w:r>
      <w:r>
        <w:rPr>
          <w:spacing w:val="-43"/>
        </w:rPr>
        <w:t> </w:t>
      </w:r>
      <w:r>
        <w:rPr>
          <w:spacing w:val="-43"/>
        </w:rPr>
      </w:r>
      <w:r>
        <w:rPr>
          <w:spacing w:val="-2"/>
        </w:rPr>
        <w:t>担的义务确认预计负债，计入当期投资损失。被投资单位以后期间实现净利润的，本公司在收益分享额弥</w:t>
      </w:r>
      <w:r>
        <w:rPr>
          <w:spacing w:val="-43"/>
        </w:rPr>
        <w:t> </w:t>
      </w:r>
      <w:r>
        <w:rPr>
          <w:spacing w:val="-43"/>
        </w:rPr>
      </w:r>
      <w:r>
        <w:rPr/>
        <w:t>补未确认的亏损分担额后，恢复确认收益分享额。</w:t>
      </w:r>
    </w:p>
    <w:p>
      <w:pPr>
        <w:pStyle w:val="BodyText"/>
        <w:spacing w:line="408" w:lineRule="auto"/>
        <w:ind w:right="186" w:firstLine="480"/>
        <w:jc w:val="both"/>
      </w:pPr>
      <w:r>
        <w:rPr>
          <w:spacing w:val="-4"/>
          <w:w w:val="100"/>
        </w:rPr>
        <w:t>对于本公司首次执行新会计准则之前已经持有的对联营企业和合营企业的长期股权投资，如存在与该</w:t>
      </w:r>
      <w:r>
        <w:rPr>
          <w:w w:val="100"/>
        </w:rPr>
        <w:t> </w:t>
      </w:r>
      <w:r>
        <w:rPr/>
        <w:t>投资相关的股权投资借方差额，按原剩余期限直线摊销的金额计入当期损益。</w:t>
      </w:r>
    </w:p>
    <w:p>
      <w:pPr>
        <w:pStyle w:val="BodyText"/>
        <w:spacing w:line="408" w:lineRule="auto"/>
        <w:ind w:left="633" w:right="0"/>
        <w:jc w:val="left"/>
      </w:pPr>
      <w:r>
        <w:rPr/>
        <w:t>③ 收购少数股权</w:t>
      </w:r>
      <w:r>
        <w:rPr>
          <w:w w:val="100"/>
        </w:rPr>
        <w:t> </w:t>
      </w:r>
      <w:r>
        <w:rPr>
          <w:spacing w:val="-4"/>
        </w:rPr>
        <w:t>在编制合并财务报表时，因购买少数股权新增的长期股权投资与按照新增持股比例计算应享有子公司</w:t>
      </w:r>
    </w:p>
    <w:p>
      <w:pPr>
        <w:spacing w:after="0" w:line="408" w:lineRule="auto"/>
        <w:jc w:val="left"/>
        <w:sectPr>
          <w:footerReference w:type="default" r:id="rId24"/>
          <w:pgSz w:w="11910" w:h="16840"/>
          <w:pgMar w:footer="979" w:header="745" w:top="1060" w:bottom="1160" w:left="980" w:right="940"/>
          <w:pgNumType w:start="163"/>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自购买日（或合并日）开始持续计算的净资产份额之间的差额，调整资本公积，资本公积不足冲减的，调</w:t>
      </w:r>
      <w:r>
        <w:rPr>
          <w:spacing w:val="-43"/>
        </w:rPr>
        <w:t> </w:t>
      </w:r>
      <w:r>
        <w:rPr>
          <w:spacing w:val="-43"/>
        </w:rPr>
      </w:r>
      <w:r>
        <w:rPr/>
        <w:t>整留存收益。</w:t>
      </w:r>
    </w:p>
    <w:p>
      <w:pPr>
        <w:pStyle w:val="BodyText"/>
        <w:spacing w:line="408" w:lineRule="auto"/>
        <w:ind w:left="633" w:right="0"/>
        <w:jc w:val="left"/>
      </w:pPr>
      <w:r>
        <w:rPr/>
        <w:t>④ 处置长期股权投资</w:t>
      </w:r>
      <w:r>
        <w:rPr>
          <w:w w:val="100"/>
        </w:rPr>
        <w:t> </w:t>
      </w:r>
      <w:r>
        <w:rPr>
          <w:spacing w:val="-4"/>
        </w:rPr>
        <w:t>在合并财务报表中，母公司在不丧失控制权的情况下部分处置对子公司的长期股权投资，处置价款与</w:t>
      </w:r>
    </w:p>
    <w:p>
      <w:pPr>
        <w:pStyle w:val="BodyText"/>
        <w:spacing w:line="408" w:lineRule="auto"/>
        <w:ind w:right="0"/>
        <w:jc w:val="left"/>
      </w:pPr>
      <w:r>
        <w:rPr>
          <w:spacing w:val="-2"/>
        </w:rPr>
        <w:t>处置长期股权投资相对应享有子公司净资产的差额计入股东权益；母公司部分处置对子公司的长期股权投</w:t>
      </w:r>
      <w:r>
        <w:rPr>
          <w:spacing w:val="-43"/>
        </w:rPr>
        <w:t> </w:t>
      </w:r>
      <w:r>
        <w:rPr>
          <w:spacing w:val="-43"/>
        </w:rPr>
      </w:r>
      <w:r>
        <w:rPr/>
        <w:t>资导致丧失对子公司控制权的，按本附注五、</w:t>
      </w:r>
      <w:r>
        <w:rPr>
          <w:rFonts w:ascii="宋体" w:hAnsi="宋体" w:cs="宋体" w:eastAsia="宋体" w:hint="default"/>
        </w:rPr>
        <w:t>6</w:t>
      </w:r>
      <w:r>
        <w:rPr/>
        <w:t>、“合并财务报表编制的方法”中所述的相关会计政策处</w:t>
      </w:r>
      <w:r>
        <w:rPr>
          <w:w w:val="100"/>
        </w:rPr>
        <w:t> </w:t>
      </w:r>
      <w:r>
        <w:rPr/>
        <w:t>理。</w:t>
      </w:r>
    </w:p>
    <w:p>
      <w:pPr>
        <w:pStyle w:val="BodyText"/>
        <w:spacing w:line="240" w:lineRule="auto"/>
        <w:ind w:left="633" w:right="0"/>
        <w:jc w:val="left"/>
      </w:pPr>
      <w:r>
        <w:rPr>
          <w:spacing w:val="-4"/>
        </w:rPr>
        <w:t>其他情形下的长期股权投资处置，对于处置的股权，其账面价值与实际取得价款的差额，计入当期损</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益。</w:t>
      </w:r>
    </w:p>
    <w:p>
      <w:pPr>
        <w:spacing w:line="240" w:lineRule="auto" w:before="10"/>
        <w:rPr>
          <w:rFonts w:ascii="宋体" w:hAnsi="宋体" w:cs="宋体" w:eastAsia="宋体" w:hint="default"/>
          <w:sz w:val="14"/>
          <w:szCs w:val="14"/>
        </w:rPr>
      </w:pPr>
    </w:p>
    <w:p>
      <w:pPr>
        <w:pStyle w:val="BodyText"/>
        <w:spacing w:line="408" w:lineRule="auto" w:before="0"/>
        <w:ind w:right="0" w:firstLine="480"/>
        <w:jc w:val="left"/>
      </w:pPr>
      <w:r>
        <w:rPr>
          <w:spacing w:val="-4"/>
        </w:rPr>
        <w:t>采用权益法核算的长期股权投资，处置后的剩余股权仍采用权益法核算的，在处置时将原计入所有者</w:t>
      </w:r>
      <w:r>
        <w:rPr>
          <w:w w:val="100"/>
        </w:rPr>
        <w:t> </w:t>
      </w:r>
      <w:r>
        <w:rPr/>
        <w:t>权益的其他综合收益部分按相应的比例采用与被投资单位直接处置相关资产或负债相同的基础进行会计</w:t>
      </w:r>
      <w:r>
        <w:rPr>
          <w:w w:val="100"/>
        </w:rPr>
        <w:t> </w:t>
      </w:r>
      <w:r>
        <w:rPr>
          <w:spacing w:val="-2"/>
        </w:rPr>
        <w:t>处理。因被投资方除净损益、其他综合收益和利润分配以外的其他所有者权益变动而确认的所有者权益，</w:t>
      </w:r>
      <w:r>
        <w:rPr>
          <w:spacing w:val="-21"/>
        </w:rPr>
        <w:t> </w:t>
      </w:r>
      <w:r>
        <w:rPr>
          <w:spacing w:val="-21"/>
        </w:rPr>
      </w:r>
      <w:r>
        <w:rPr/>
        <w:t>按比例结转入当期损益。</w:t>
      </w:r>
    </w:p>
    <w:p>
      <w:pPr>
        <w:pStyle w:val="BodyText"/>
        <w:spacing w:line="408" w:lineRule="auto"/>
        <w:ind w:right="146" w:firstLine="480"/>
        <w:jc w:val="both"/>
      </w:pPr>
      <w:r>
        <w:rPr>
          <w:spacing w:val="-4"/>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43"/>
        </w:rPr>
        <w:t> </w:t>
      </w:r>
      <w:r>
        <w:rPr>
          <w:spacing w:val="-43"/>
        </w:rPr>
      </w:r>
      <w:r>
        <w:rPr>
          <w:spacing w:val="-2"/>
        </w:rPr>
        <w:t>处置相关资产或负债相同的基础进行会计处理，并按比例结转当期损益；因采用权益法核算而确认的被投</w:t>
      </w:r>
      <w:r>
        <w:rPr>
          <w:spacing w:val="-44"/>
        </w:rPr>
        <w:t> </w:t>
      </w:r>
      <w:r>
        <w:rPr>
          <w:spacing w:val="-44"/>
        </w:rPr>
      </w:r>
      <w:r>
        <w:rPr/>
        <w:t>资单位净资产中除净损益、其他综合收益和利润分配以外的其他所有者权益变动按比例结转当期损益。</w:t>
      </w:r>
    </w:p>
    <w:p>
      <w:pPr>
        <w:pStyle w:val="BodyText"/>
        <w:spacing w:line="408" w:lineRule="auto"/>
        <w:ind w:right="146" w:firstLine="480"/>
        <w:jc w:val="both"/>
      </w:pPr>
      <w:r>
        <w:rPr>
          <w:spacing w:val="-4"/>
        </w:rPr>
        <w:t>本公司因处置部分股权投资丧失了对被投资单位的控制的，在编制个别财务报表时，处置后的剩余股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43"/>
        </w:rPr>
        <w:t> </w:t>
      </w:r>
      <w:r>
        <w:rPr>
          <w:spacing w:val="-43"/>
        </w:rPr>
      </w:r>
      <w:r>
        <w:rPr>
          <w:spacing w:val="-2"/>
        </w:rPr>
        <w:t>采用权益法核算进行调整；处置后的剩余股权不能对被投资单位实施共同控制或施加重大影响的，改按金</w:t>
      </w:r>
      <w:r>
        <w:rPr>
          <w:spacing w:val="-44"/>
        </w:rPr>
        <w:t> </w:t>
      </w:r>
      <w:r>
        <w:rPr>
          <w:spacing w:val="-44"/>
        </w:rPr>
      </w:r>
      <w:r>
        <w:rPr>
          <w:spacing w:val="-2"/>
        </w:rPr>
        <w:t>融工具确认和计量准则的有关规定进行会计处理，其在丧失控制之日的公允价值与账面价值之间的差额计</w:t>
      </w:r>
      <w:r>
        <w:rPr>
          <w:spacing w:val="-43"/>
        </w:rPr>
        <w:t> </w:t>
      </w:r>
      <w:r>
        <w:rPr>
          <w:spacing w:val="-43"/>
        </w:rPr>
      </w:r>
      <w:r>
        <w:rPr>
          <w:spacing w:val="-2"/>
        </w:rPr>
        <w:t>入当期损益。对于本公司取得对被投资单位的控制之前，因采用权益法核算或金融工具确认和计量准则核</w:t>
      </w:r>
      <w:r>
        <w:rPr>
          <w:spacing w:val="-43"/>
        </w:rPr>
        <w:t> </w:t>
      </w:r>
      <w:r>
        <w:rPr>
          <w:spacing w:val="-43"/>
        </w:rPr>
      </w:r>
      <w:r>
        <w:rPr>
          <w:spacing w:val="-2"/>
        </w:rPr>
        <w:t>算而确认的其他综合收益，在丧失对被投资单位控制时采用与被投资单位直接处置相关资产或负债相同的</w:t>
      </w:r>
      <w:r>
        <w:rPr>
          <w:spacing w:val="-43"/>
        </w:rPr>
        <w:t> </w:t>
      </w:r>
      <w:r>
        <w:rPr>
          <w:spacing w:val="-43"/>
        </w:rPr>
      </w:r>
      <w:r>
        <w:rPr>
          <w:spacing w:val="-2"/>
        </w:rPr>
        <w:t>基础进行会计处理，因采用权益法核算而确认的被投资单位净资产中除净损益、其他综合收益和利润分配</w:t>
      </w:r>
      <w:r>
        <w:rPr>
          <w:spacing w:val="-43"/>
        </w:rPr>
        <w:t> </w:t>
      </w:r>
      <w:r>
        <w:rPr>
          <w:spacing w:val="-43"/>
        </w:rPr>
      </w:r>
      <w:r>
        <w:rPr>
          <w:spacing w:val="-2"/>
        </w:rPr>
        <w:t>以外的其他所有者权益变动在丧失对被投资单位控制时结转入当期损益。其中，处置后的剩余股权采用权</w:t>
      </w:r>
      <w:r>
        <w:rPr>
          <w:spacing w:val="-44"/>
        </w:rPr>
        <w:t> </w:t>
      </w:r>
      <w:r>
        <w:rPr>
          <w:spacing w:val="-44"/>
        </w:rPr>
      </w:r>
      <w:r>
        <w:rPr>
          <w:spacing w:val="-2"/>
        </w:rPr>
        <w:t>益法核算的，其他综合收益和其他所有者权益按比例结转；处置后的剩余股权改按金融工具确认和计量准</w:t>
      </w:r>
      <w:r>
        <w:rPr>
          <w:spacing w:val="-44"/>
        </w:rPr>
        <w:t> </w:t>
      </w:r>
      <w:r>
        <w:rPr>
          <w:spacing w:val="-44"/>
        </w:rPr>
      </w:r>
      <w:r>
        <w:rPr/>
        <w:t>则进行会计处理的，其他综合收益和其他所有者权益全部结转。</w:t>
      </w:r>
    </w:p>
    <w:p>
      <w:pPr>
        <w:pStyle w:val="BodyText"/>
        <w:spacing w:line="408" w:lineRule="auto"/>
        <w:ind w:right="146" w:firstLine="480"/>
        <w:jc w:val="both"/>
      </w:pPr>
      <w:r>
        <w:rPr>
          <w:spacing w:val="-4"/>
        </w:rPr>
        <w:t>本公司因处置部分股权投资丧失了对被投资单位的共同控制或重大影响的，处置后的剩余股权改按金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p>
    <w:p>
      <w:pPr>
        <w:spacing w:after="0" w:line="408" w:lineRule="auto"/>
        <w:jc w:val="both"/>
        <w:sectPr>
          <w:footerReference w:type="default" r:id="rId25"/>
          <w:pgSz w:w="11910" w:h="16840"/>
          <w:pgMar w:footer="979" w:header="745" w:top="1060" w:bottom="1160" w:left="980" w:right="980"/>
          <w:pgNumType w:start="164"/>
        </w:sectPr>
      </w:pPr>
    </w:p>
    <w:p>
      <w:pPr>
        <w:spacing w:line="240" w:lineRule="auto" w:before="0"/>
        <w:rPr>
          <w:rFonts w:ascii="宋体" w:hAnsi="宋体" w:cs="宋体" w:eastAsia="宋体" w:hint="default"/>
          <w:sz w:val="20"/>
          <w:szCs w:val="20"/>
        </w:rPr>
      </w:pPr>
    </w:p>
    <w:p>
      <w:pPr>
        <w:pStyle w:val="BodyText"/>
        <w:spacing w:line="408" w:lineRule="auto" w:before="176"/>
        <w:ind w:right="92"/>
        <w:jc w:val="left"/>
      </w:pP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外的其他所有者权益变动而确认的所有者权益，在终止采用权益法时全部转入当期投资收益。</w:t>
      </w:r>
      <w:r>
        <w:rPr>
          <w:w w:val="100"/>
        </w:rPr>
        <w:t> </w:t>
      </w:r>
      <w:r>
        <w:rPr>
          <w:spacing w:val="-2"/>
        </w:rPr>
        <w:t>本公司通过多次交易分步处置对子公司股权投资直至丧失控制权，如果上述交易属于一揽子交易的，将各</w:t>
      </w:r>
      <w:r>
        <w:rPr>
          <w:spacing w:val="-42"/>
        </w:rPr>
        <w:t> </w:t>
      </w:r>
      <w:r>
        <w:rPr>
          <w:spacing w:val="-42"/>
        </w:rPr>
      </w:r>
      <w:r>
        <w:rPr>
          <w:spacing w:val="-2"/>
        </w:rPr>
        <w:t>项交易作为一项处置子公司股权投资并丧失控制权的交易进行会计处理，在丧失控制权之前每一次处置价</w:t>
      </w:r>
      <w:r>
        <w:rPr>
          <w:spacing w:val="-43"/>
        </w:rPr>
        <w:t> </w:t>
      </w:r>
      <w:r>
        <w:rPr>
          <w:spacing w:val="-43"/>
        </w:rPr>
      </w:r>
      <w:r>
        <w:rPr>
          <w:spacing w:val="-2"/>
        </w:rPr>
        <w:t>款与所处置的股权对应的长期股权投资账面价值之间的差额，先确认为其他综合收益，到丧失控制权时再</w:t>
      </w:r>
      <w:r>
        <w:rPr>
          <w:spacing w:val="-42"/>
        </w:rPr>
        <w:t> </w:t>
      </w:r>
      <w:r>
        <w:rPr>
          <w:spacing w:val="-42"/>
        </w:rPr>
      </w:r>
      <w:r>
        <w:rPr/>
        <w:t>一并转入丧失控制权的当期损益。</w:t>
      </w:r>
    </w:p>
    <w:p>
      <w:pPr>
        <w:spacing w:line="240" w:lineRule="auto" w:before="7"/>
        <w:rPr>
          <w:rFonts w:ascii="宋体" w:hAnsi="宋体" w:cs="宋体" w:eastAsia="宋体" w:hint="default"/>
          <w:sz w:val="26"/>
          <w:szCs w:val="26"/>
        </w:rPr>
      </w:pPr>
    </w:p>
    <w:p>
      <w:pPr>
        <w:pStyle w:val="Heading3"/>
        <w:spacing w:line="240" w:lineRule="auto"/>
        <w:ind w:right="92"/>
        <w:jc w:val="left"/>
        <w:rPr>
          <w:b w:val="0"/>
          <w:bCs w:val="0"/>
        </w:rPr>
      </w:pPr>
      <w:r>
        <w:rPr>
          <w:rFonts w:ascii="宋体" w:hAnsi="宋体" w:cs="宋体" w:eastAsia="宋体" w:hint="default"/>
        </w:rPr>
        <w:t>15</w:t>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44" w:lineRule="auto" w:before="0"/>
        <w:ind w:right="7164"/>
        <w:jc w:val="left"/>
      </w:pPr>
      <w:r>
        <w:rPr>
          <w:spacing w:val="-2"/>
        </w:rPr>
        <w:t>投资性房地产计量模式</w:t>
      </w:r>
      <w:r>
        <w:rPr>
          <w:spacing w:val="-85"/>
        </w:rPr>
        <w:t> </w:t>
      </w:r>
      <w:r>
        <w:rPr>
          <w:spacing w:val="-85"/>
        </w:rPr>
      </w:r>
      <w:r>
        <w:rPr/>
        <w:t>不适用</w:t>
      </w:r>
    </w:p>
    <w:p>
      <w:pPr>
        <w:spacing w:line="240" w:lineRule="auto" w:before="1"/>
        <w:rPr>
          <w:rFonts w:ascii="宋体" w:hAnsi="宋体" w:cs="宋体" w:eastAsia="宋体" w:hint="default"/>
          <w:sz w:val="24"/>
          <w:szCs w:val="24"/>
        </w:rPr>
      </w:pPr>
    </w:p>
    <w:p>
      <w:pPr>
        <w:pStyle w:val="Heading3"/>
        <w:spacing w:line="240" w:lineRule="auto"/>
        <w:ind w:right="92"/>
        <w:jc w:val="left"/>
        <w:rPr>
          <w:b w:val="0"/>
          <w:bCs w:val="0"/>
        </w:rPr>
      </w:pPr>
      <w:r>
        <w:rPr>
          <w:rFonts w:ascii="宋体" w:hAnsi="宋体" w:cs="宋体" w:eastAsia="宋体" w:hint="default"/>
        </w:rPr>
        <w:t>16</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3"/>
        <w:spacing w:line="240" w:lineRule="auto"/>
        <w:ind w:right="92"/>
        <w:jc w:val="left"/>
        <w:rPr>
          <w:b w:val="0"/>
          <w:bCs w:val="0"/>
        </w:rPr>
      </w:pP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92"/>
        <w:jc w:val="left"/>
      </w:pPr>
      <w:r>
        <w:rPr>
          <w:spacing w:val="-5"/>
        </w:rPr>
        <w:t>固定资产是指为生产商品、提供劳务、出租或经营管理而持有的，使用寿命超过一个会计年度的有形资产。 </w:t>
      </w:r>
      <w:r>
        <w:rPr>
          <w:spacing w:val="-2"/>
        </w:rPr>
        <w:t>固定资产仅在与其有关的经济利益很可能流入本公司，且其成本能够可靠地计量时才予以确认。固定资产</w:t>
      </w:r>
      <w:r>
        <w:rPr>
          <w:spacing w:val="-43"/>
        </w:rPr>
        <w:t> </w:t>
      </w:r>
      <w:r>
        <w:rPr>
          <w:spacing w:val="-43"/>
        </w:rPr>
      </w:r>
      <w:r>
        <w:rPr/>
        <w:t>按成本并考虑预计弃置费用因素的影响进行初始计量。</w:t>
      </w:r>
    </w:p>
    <w:p>
      <w:pPr>
        <w:spacing w:line="240" w:lineRule="auto" w:before="5"/>
        <w:rPr>
          <w:rFonts w:ascii="宋体" w:hAnsi="宋体" w:cs="宋体" w:eastAsia="宋体" w:hint="default"/>
          <w:sz w:val="20"/>
          <w:szCs w:val="20"/>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19.00%</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bl>
    <w:p>
      <w:pPr>
        <w:spacing w:line="240" w:lineRule="auto" w:before="1"/>
        <w:rPr>
          <w:rFonts w:ascii="宋体" w:hAnsi="宋体" w:cs="宋体" w:eastAsia="宋体" w:hint="default"/>
          <w:b/>
          <w:bCs/>
          <w:sz w:val="25"/>
          <w:szCs w:val="25"/>
        </w:rPr>
      </w:pPr>
    </w:p>
    <w:p>
      <w:pPr>
        <w:pStyle w:val="Heading3"/>
        <w:spacing w:line="240" w:lineRule="auto" w:before="36"/>
        <w:ind w:right="92"/>
        <w:jc w:val="left"/>
        <w:rPr>
          <w:b w:val="0"/>
          <w:bCs w:val="0"/>
        </w:rPr>
      </w:pPr>
      <w:r>
        <w:rPr/>
        <w:t>（</w:t>
      </w:r>
      <w:r>
        <w:rPr>
          <w:rFonts w:ascii="宋体" w:hAnsi="宋体" w:cs="宋体" w:eastAsia="宋体"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206" w:firstLine="420"/>
        <w:jc w:val="both"/>
      </w:pPr>
      <w:r>
        <w:rPr>
          <w:spacing w:val="-2"/>
        </w:rPr>
        <w:t>融资租赁为实质上转移了与资产所有权有关的全部风险和报酬的租赁，其所有权最终可能转移，也可</w:t>
      </w:r>
      <w:r>
        <w:rPr>
          <w:w w:val="100"/>
        </w:rPr>
        <w:t> </w:t>
      </w:r>
      <w:r>
        <w:rPr>
          <w:spacing w:val="-2"/>
        </w:rPr>
        <w:t>能不转移。以融资租赁方式租入的固定资产采用与自有固定资产一致的政策计提租赁资产折旧。能够合理</w:t>
      </w:r>
      <w:r>
        <w:rPr>
          <w:spacing w:val="-41"/>
        </w:rPr>
        <w:t> </w:t>
      </w:r>
      <w:r>
        <w:rPr>
          <w:spacing w:val="-41"/>
        </w:rPr>
      </w:r>
      <w:r>
        <w:rPr>
          <w:spacing w:val="-2"/>
        </w:rPr>
        <w:t>确定租赁期届满时取得租赁资产所有权的在租赁资产使用寿命内计提折旧，无法合理确定租赁期届满能够</w:t>
      </w:r>
      <w:r>
        <w:rPr>
          <w:spacing w:val="-43"/>
        </w:rPr>
        <w:t> </w:t>
      </w:r>
      <w:r>
        <w:rPr>
          <w:spacing w:val="-43"/>
        </w:rPr>
      </w:r>
      <w:r>
        <w:rPr/>
        <w:t>取得租赁资产所有权的，在租赁期与租赁资产使用寿命两者中较短的期间内计提折旧。</w:t>
      </w:r>
    </w:p>
    <w:p>
      <w:pPr>
        <w:spacing w:after="0" w:line="408" w:lineRule="auto"/>
        <w:jc w:val="both"/>
        <w:sectPr>
          <w:footerReference w:type="default" r:id="rId26"/>
          <w:pgSz w:w="11910" w:h="16840"/>
          <w:pgMar w:footer="979" w:header="745" w:top="1060" w:bottom="1160" w:left="980" w:right="920"/>
          <w:pgNumType w:start="165"/>
        </w:sectPr>
      </w:pPr>
    </w:p>
    <w:p>
      <w:pPr>
        <w:spacing w:line="240" w:lineRule="auto" w:before="0"/>
        <w:rPr>
          <w:rFonts w:ascii="宋体" w:hAnsi="宋体" w:cs="宋体" w:eastAsia="宋体" w:hint="default"/>
          <w:sz w:val="20"/>
          <w:szCs w:val="20"/>
        </w:rPr>
      </w:pPr>
    </w:p>
    <w:p>
      <w:pPr>
        <w:pStyle w:val="Heading3"/>
        <w:spacing w:line="240" w:lineRule="auto" w:before="178"/>
        <w:ind w:right="0"/>
        <w:jc w:val="left"/>
        <w:rPr>
          <w:b w:val="0"/>
          <w:bCs w:val="0"/>
        </w:rPr>
      </w:pPr>
      <w:r>
        <w:rPr>
          <w:rFonts w:ascii="宋体" w:hAnsi="宋体" w:cs="宋体" w:eastAsia="宋体" w:hint="default"/>
        </w:rPr>
        <w:t>17</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08" w:lineRule="auto" w:before="0"/>
        <w:ind w:right="148" w:firstLine="480"/>
        <w:jc w:val="both"/>
      </w:pPr>
      <w:r>
        <w:rPr>
          <w:spacing w:val="-4"/>
        </w:rPr>
        <w:t>在建工程成本按实际工程支出确定，包括在建期间发生的各项工程支出以及其他相关费用等。在建工</w:t>
      </w:r>
      <w:r>
        <w:rPr>
          <w:w w:val="100"/>
        </w:rPr>
        <w:t> </w:t>
      </w:r>
      <w:r>
        <w:rPr/>
        <w:t>程在达到预定可使用状态后结转为固定资产或长期待摊费用。</w:t>
      </w:r>
    </w:p>
    <w:p>
      <w:pPr>
        <w:pStyle w:val="BodyText"/>
        <w:spacing w:line="240" w:lineRule="auto"/>
        <w:ind w:left="573" w:right="0"/>
        <w:jc w:val="left"/>
      </w:pPr>
      <w:r>
        <w:rPr/>
        <w:t>在建工程的减值测试方法和减值准备计提方法详见附注五、22“长期资产减值”。</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46" w:firstLine="420"/>
        <w:jc w:val="both"/>
      </w:pPr>
      <w:r>
        <w:rPr>
          <w:spacing w:val="-2"/>
        </w:rPr>
        <w:t>借款费用包括借款利息、折价或溢价的摊销、辅助费用以及因外币借款而发生的汇兑差额等。可直接</w:t>
      </w:r>
      <w:r>
        <w:rPr>
          <w:w w:val="100"/>
        </w:rPr>
        <w:t> </w:t>
      </w:r>
      <w:r>
        <w:rPr>
          <w:spacing w:val="-2"/>
        </w:rPr>
        <w:t>归属于符合资本化条件的资产的购建或者生产的借款费用，在资产支出已经发生、借款费用已经发生、为</w:t>
      </w:r>
      <w:r>
        <w:rPr>
          <w:spacing w:val="-43"/>
        </w:rPr>
        <w:t> </w:t>
      </w:r>
      <w:r>
        <w:rPr>
          <w:spacing w:val="-43"/>
        </w:rPr>
      </w:r>
      <w:r>
        <w:rPr>
          <w:spacing w:val="-2"/>
        </w:rPr>
        <w:t>使资产达到预定可使用或可销售状态所必要的购建或生产活动已经开始时，开始资本化；构建或者生产的</w:t>
      </w:r>
      <w:r>
        <w:rPr>
          <w:spacing w:val="-43"/>
        </w:rPr>
        <w:t> </w:t>
      </w:r>
      <w:r>
        <w:rPr>
          <w:spacing w:val="-43"/>
        </w:rPr>
      </w:r>
      <w:r>
        <w:rPr>
          <w:spacing w:val="-2"/>
        </w:rPr>
        <w:t>符合资本化条件的资产达到预定可使用状态或者可销售状态时，停止资本化。其余借款费用在发生当期确</w:t>
      </w:r>
      <w:r>
        <w:rPr>
          <w:spacing w:val="-44"/>
        </w:rPr>
        <w:t> </w:t>
      </w:r>
      <w:r>
        <w:rPr>
          <w:spacing w:val="-44"/>
        </w:rPr>
      </w:r>
      <w:r>
        <w:rPr/>
        <w:t>认为费用。</w:t>
      </w:r>
    </w:p>
    <w:p>
      <w:pPr>
        <w:pStyle w:val="BodyText"/>
        <w:spacing w:line="408" w:lineRule="auto"/>
        <w:ind w:right="146" w:firstLine="420"/>
        <w:jc w:val="both"/>
      </w:pPr>
      <w:r>
        <w:rPr>
          <w:spacing w:val="-2"/>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43"/>
        </w:rPr>
        <w:t> </w:t>
      </w:r>
      <w:r>
        <w:rPr>
          <w:spacing w:val="-43"/>
        </w:rPr>
      </w:r>
      <w:r>
        <w:rPr>
          <w:spacing w:val="-2"/>
        </w:rPr>
        <w:t>平均数乘以所占用一般借款的资本化率，确定资本化金额。资本化率根据一般借款的加权平均利率计算确</w:t>
      </w:r>
      <w:r>
        <w:rPr>
          <w:spacing w:val="-43"/>
        </w:rPr>
        <w:t> </w:t>
      </w:r>
      <w:r>
        <w:rPr>
          <w:spacing w:val="-43"/>
        </w:rPr>
      </w:r>
      <w:r>
        <w:rPr/>
        <w:t>定。</w:t>
      </w:r>
    </w:p>
    <w:p>
      <w:pPr>
        <w:pStyle w:val="BodyText"/>
        <w:spacing w:line="408" w:lineRule="auto"/>
        <w:ind w:left="573" w:right="0"/>
        <w:jc w:val="left"/>
      </w:pPr>
      <w:r>
        <w:rPr>
          <w:spacing w:val="-2"/>
        </w:rPr>
        <w:t>资本化期间内，外币专门借款的汇兑差额全部予以资本化；外币一般借款的汇兑差额计入当期损益。</w:t>
      </w:r>
      <w:r>
        <w:rPr>
          <w:spacing w:val="-27"/>
        </w:rPr>
        <w:t> </w:t>
      </w:r>
      <w:r>
        <w:rPr>
          <w:spacing w:val="-27"/>
        </w:rPr>
      </w:r>
      <w:r>
        <w:rPr/>
        <w:t>符合资本化条件的资产指需要经过相当长时间的购建或者生产活动才能达到预定可使用或可销售状</w:t>
      </w:r>
    </w:p>
    <w:p>
      <w:pPr>
        <w:pStyle w:val="BodyText"/>
        <w:spacing w:line="408" w:lineRule="auto" w:before="43"/>
        <w:ind w:left="573" w:right="0" w:hanging="421"/>
        <w:jc w:val="left"/>
      </w:pPr>
      <w:r>
        <w:rPr/>
        <w:t>态的固定资产、投资性房地产和存货等资产。</w:t>
      </w:r>
      <w:r>
        <w:rPr>
          <w:w w:val="100"/>
        </w:rPr>
        <w:t> </w:t>
      </w:r>
      <w:r>
        <w:rPr/>
        <w:t>如果符合资本化条件的资产在购建或生产过程中发生非正常中断、并且中断时间连续超过</w:t>
      </w:r>
      <w:r>
        <w:rPr>
          <w:rFonts w:ascii="宋体" w:hAnsi="宋体" w:cs="宋体" w:eastAsia="宋体" w:hint="default"/>
        </w:rPr>
        <w:t>3</w:t>
      </w:r>
      <w:r>
        <w:rPr/>
        <w:t>个月的，</w:t>
      </w:r>
    </w:p>
    <w:p>
      <w:pPr>
        <w:pStyle w:val="BodyText"/>
        <w:spacing w:line="672" w:lineRule="auto"/>
        <w:ind w:right="2785"/>
        <w:jc w:val="left"/>
        <w:rPr>
          <w:rFonts w:ascii="宋体" w:hAnsi="宋体" w:cs="宋体" w:eastAsia="宋体" w:hint="default"/>
        </w:rPr>
      </w:pPr>
      <w:r>
        <w:rPr>
          <w:spacing w:val="-2"/>
        </w:rPr>
        <w:t>暂停借款费用的资本化，直至资产的购建或生产活动重新开始。</w:t>
      </w:r>
      <w:r>
        <w:rPr>
          <w:spacing w:val="-52"/>
        </w:rPr>
        <w:t> </w:t>
      </w:r>
      <w:r>
        <w:rPr>
          <w:spacing w:val="-52"/>
        </w:rPr>
      </w:r>
      <w:r>
        <w:rPr>
          <w:rFonts w:ascii="宋体" w:hAnsi="宋体" w:cs="宋体" w:eastAsia="宋体" w:hint="default"/>
          <w:b/>
          <w:bCs/>
        </w:rPr>
        <w:t>19</w:t>
      </w:r>
      <w:r>
        <w:rPr>
          <w:rFonts w:ascii="宋体" w:hAnsi="宋体" w:cs="宋体" w:eastAsia="宋体" w:hint="default"/>
          <w:b/>
          <w:bCs/>
        </w:rPr>
        <w:t>、生物资产</w:t>
      </w:r>
      <w:r>
        <w:rPr>
          <w:rFonts w:ascii="宋体" w:hAnsi="宋体" w:cs="宋体" w:eastAsia="宋体" w:hint="default"/>
        </w:rPr>
      </w:r>
    </w:p>
    <w:p>
      <w:pPr>
        <w:pStyle w:val="Heading3"/>
        <w:spacing w:line="240" w:lineRule="auto" w:before="115"/>
        <w:ind w:right="0"/>
        <w:jc w:val="left"/>
        <w:rPr>
          <w:b w:val="0"/>
          <w:bCs w:val="0"/>
        </w:rPr>
      </w:pPr>
      <w:r>
        <w:rPr>
          <w:rFonts w:ascii="宋体" w:hAnsi="宋体" w:cs="宋体" w:eastAsia="宋体" w:hint="default"/>
        </w:rPr>
        <w:t>20</w:t>
      </w:r>
      <w:r>
        <w:rPr/>
        <w:t>、油气资产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3"/>
        <w:spacing w:line="240" w:lineRule="auto"/>
        <w:ind w:right="0"/>
        <w:jc w:val="left"/>
        <w:rPr>
          <w:b w:val="0"/>
          <w:bCs w:val="0"/>
        </w:rPr>
      </w:pPr>
      <w:r>
        <w:rPr>
          <w:rFonts w:ascii="宋体" w:hAnsi="宋体" w:cs="宋体" w:eastAsia="宋体" w:hint="default"/>
        </w:rPr>
        <w:t>21</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3"/>
        <w:spacing w:line="240" w:lineRule="auto"/>
        <w:ind w:right="0"/>
        <w:jc w:val="left"/>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633" w:right="0"/>
        <w:jc w:val="left"/>
      </w:pPr>
      <w:r>
        <w:rPr/>
        <w:t>无形资产是指本公司拥有或者控制的没有实物形态的可辨认非货币性资产。</w:t>
      </w:r>
      <w:r>
        <w:rPr>
          <w:w w:val="100"/>
        </w:rPr>
        <w:t> </w:t>
      </w:r>
      <w:r>
        <w:rPr>
          <w:spacing w:val="-4"/>
        </w:rPr>
        <w:t>无形资产按成本进行初始计量。与无形资产有关的支出，如果相关的经济利益很可能流入本公司且其</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0" w:hanging="481"/>
        <w:jc w:val="left"/>
      </w:pPr>
      <w:r>
        <w:rPr/>
        <w:t>成本能可靠地计量，则计入无形资产成本。除此以外的其他项目的支出，在发生时计入当期损益。</w:t>
      </w:r>
      <w:r>
        <w:rPr>
          <w:w w:val="100"/>
        </w:rPr>
        <w:t> </w:t>
      </w:r>
      <w:r>
        <w:rPr>
          <w:spacing w:val="-4"/>
        </w:rPr>
        <w:t>取得的土地使用权通常作为无形资产核算。自行开发建造厂房等建筑物，相关的土地使用权支出和建</w:t>
      </w:r>
    </w:p>
    <w:p>
      <w:pPr>
        <w:pStyle w:val="BodyText"/>
        <w:spacing w:line="408" w:lineRule="auto"/>
        <w:ind w:right="0"/>
        <w:jc w:val="left"/>
      </w:pPr>
      <w:r>
        <w:rPr>
          <w:spacing w:val="-2"/>
        </w:rPr>
        <w:t>筑物建造成本则分别作为无形资产和固定资产核算。如为外购的房屋及建筑物，则将有关价款在土地使用</w:t>
      </w:r>
      <w:r>
        <w:rPr>
          <w:spacing w:val="-44"/>
        </w:rPr>
        <w:t> </w:t>
      </w:r>
      <w:r>
        <w:rPr>
          <w:spacing w:val="-44"/>
        </w:rPr>
      </w:r>
      <w:r>
        <w:rPr/>
        <w:t>权和建筑物之间进行分配，难以合理分配的，全部作为固定资产处理。</w:t>
      </w:r>
    </w:p>
    <w:p>
      <w:pPr>
        <w:pStyle w:val="BodyText"/>
        <w:spacing w:line="408" w:lineRule="auto"/>
        <w:ind w:right="0" w:firstLine="480"/>
        <w:jc w:val="left"/>
      </w:pPr>
      <w:r>
        <w:rPr>
          <w:spacing w:val="-4"/>
          <w:w w:val="100"/>
        </w:rPr>
        <w:t>使用寿命有限的无形资产自可供使用时起，对其原值在其预计使用寿命内或</w:t>
      </w:r>
      <w:r>
        <w:rPr>
          <w:rFonts w:ascii="宋体" w:hAnsi="宋体" w:cs="宋体" w:eastAsia="宋体" w:hint="default"/>
          <w:spacing w:val="-4"/>
          <w:w w:val="100"/>
        </w:rPr>
        <w:t>10</w:t>
      </w:r>
      <w:r>
        <w:rPr>
          <w:spacing w:val="-4"/>
          <w:w w:val="100"/>
        </w:rPr>
        <w:t>年孰短年限内用直线法</w:t>
      </w:r>
      <w:r>
        <w:rPr>
          <w:w w:val="100"/>
        </w:rPr>
        <w:t> </w:t>
      </w:r>
      <w:r>
        <w:rPr/>
        <w:t>分期平均摊销。使用寿命不确定的无形资产不予摊销。</w:t>
      </w:r>
    </w:p>
    <w:p>
      <w:pPr>
        <w:pStyle w:val="BodyText"/>
        <w:spacing w:line="410" w:lineRule="auto"/>
        <w:ind w:left="573" w:right="0"/>
        <w:jc w:val="left"/>
      </w:pPr>
      <w:r>
        <w:rPr/>
        <w:t>软件按其预计使用寿命或</w:t>
      </w:r>
      <w:r>
        <w:rPr>
          <w:rFonts w:ascii="宋体" w:hAnsi="宋体" w:cs="宋体" w:eastAsia="宋体" w:hint="default"/>
        </w:rPr>
        <w:t>10</w:t>
      </w:r>
      <w:r>
        <w:rPr/>
        <w:t>年孰短年限内采用直线法分期平均摊销。</w:t>
      </w:r>
      <w:r>
        <w:rPr>
          <w:w w:val="100"/>
        </w:rPr>
        <w:t> </w:t>
      </w:r>
      <w:r>
        <w:rPr>
          <w:spacing w:val="-2"/>
        </w:rPr>
        <w:t>期末，对使用寿命有限的无形资产的使用寿命和摊销方法进行复核，如发生变更则作为会计估计变更</w:t>
      </w:r>
    </w:p>
    <w:p>
      <w:pPr>
        <w:pStyle w:val="BodyText"/>
        <w:spacing w:line="408" w:lineRule="auto" w:before="44"/>
        <w:ind w:right="0"/>
        <w:jc w:val="left"/>
      </w:pPr>
      <w:r>
        <w:rPr>
          <w:spacing w:val="-2"/>
        </w:rPr>
        <w:t>处理。此外，还对使用寿命不确定的无形资产的使用寿命进行复核，如果有证据表明该无形资产为企业带</w:t>
      </w:r>
      <w:r>
        <w:rPr>
          <w:spacing w:val="-44"/>
        </w:rPr>
        <w:t> </w:t>
      </w:r>
      <w:r>
        <w:rPr>
          <w:spacing w:val="-44"/>
        </w:rPr>
      </w:r>
      <w:r>
        <w:rPr>
          <w:spacing w:val="-2"/>
        </w:rPr>
        <w:t>来经济利益的期限是可预见的，则估计其使用寿命并按照使用寿命有限的无形资产的摊销政策进行摊销。</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633" w:right="0"/>
        <w:jc w:val="left"/>
      </w:pPr>
      <w:r>
        <w:rPr/>
        <w:t>本公司内部研究开发项目的支出分为研究阶段支出与开发阶段支出。</w:t>
      </w:r>
      <w:r>
        <w:rPr>
          <w:w w:val="100"/>
        </w:rPr>
        <w:t> </w:t>
      </w:r>
      <w:r>
        <w:rPr/>
        <w:t>研究阶段的支出，于发生时计入当期损益。</w:t>
      </w:r>
      <w:r>
        <w:rPr>
          <w:w w:val="100"/>
        </w:rPr>
        <w:t> </w:t>
      </w:r>
      <w:r>
        <w:rPr>
          <w:spacing w:val="-4"/>
        </w:rPr>
        <w:t>开发阶段的支出同时满足下列条件的，确认为无形资产，不能满足下述条件的开发阶段的支出计入当</w:t>
      </w:r>
    </w:p>
    <w:p>
      <w:pPr>
        <w:pStyle w:val="BodyText"/>
        <w:spacing w:line="240" w:lineRule="auto"/>
        <w:ind w:right="0"/>
        <w:jc w:val="left"/>
      </w:pPr>
      <w:r>
        <w:rPr/>
        <w:t>期损益：</w:t>
      </w:r>
    </w:p>
    <w:p>
      <w:pPr>
        <w:spacing w:line="240" w:lineRule="auto" w:before="10"/>
        <w:rPr>
          <w:rFonts w:ascii="宋体" w:hAnsi="宋体" w:cs="宋体" w:eastAsia="宋体" w:hint="default"/>
          <w:sz w:val="14"/>
          <w:szCs w:val="14"/>
        </w:rPr>
      </w:pPr>
    </w:p>
    <w:p>
      <w:pPr>
        <w:pStyle w:val="BodyText"/>
        <w:spacing w:line="240" w:lineRule="auto" w:before="0"/>
        <w:ind w:left="633" w:right="0"/>
        <w:jc w:val="left"/>
      </w:pPr>
      <w:r>
        <w:rPr/>
        <w:t>①</w:t>
      </w:r>
      <w:r>
        <w:rPr>
          <w:spacing w:val="-6"/>
        </w:rPr>
        <w:t> </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633" w:right="0"/>
        <w:jc w:val="left"/>
      </w:pPr>
      <w:r>
        <w:rPr/>
        <w:t>②</w:t>
      </w:r>
      <w:r>
        <w:rPr>
          <w:spacing w:val="-3"/>
        </w:rPr>
        <w:t> </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206" w:firstLine="480"/>
        <w:jc w:val="left"/>
      </w:pPr>
      <w:r>
        <w:rPr/>
        <w:t>③</w:t>
      </w:r>
      <w:r>
        <w:rPr>
          <w:spacing w:val="-7"/>
        </w:rPr>
        <w:t> </w:t>
      </w:r>
      <w:r>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410" w:lineRule="auto"/>
        <w:ind w:right="206" w:firstLine="480"/>
        <w:jc w:val="left"/>
      </w:pPr>
      <w:r>
        <w:rPr/>
        <w:t>④</w:t>
      </w:r>
      <w:r>
        <w:rPr>
          <w:spacing w:val="-7"/>
        </w:rPr>
        <w:t> </w:t>
      </w:r>
      <w:r>
        <w:rPr/>
        <w:t>有足够的技术、财务资源和其他资源支持，以完成该无形资产的开发，并有能力使用或出售该无</w:t>
      </w:r>
      <w:r>
        <w:rPr>
          <w:w w:val="100"/>
        </w:rPr>
        <w:t> </w:t>
      </w:r>
      <w:r>
        <w:rPr/>
        <w:t>形资产；</w:t>
      </w:r>
    </w:p>
    <w:p>
      <w:pPr>
        <w:pStyle w:val="BodyText"/>
        <w:spacing w:line="408" w:lineRule="auto" w:before="44"/>
        <w:ind w:left="633" w:right="0"/>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pStyle w:val="BodyText"/>
        <w:spacing w:line="408" w:lineRule="auto"/>
        <w:ind w:right="0" w:firstLine="480"/>
        <w:jc w:val="left"/>
      </w:pPr>
      <w:r>
        <w:rPr/>
        <w:t>（</w:t>
      </w:r>
      <w:r>
        <w:rPr>
          <w:rFonts w:ascii="宋体" w:hAnsi="宋体" w:cs="宋体" w:eastAsia="宋体" w:hint="default"/>
        </w:rPr>
        <w:t>3</w:t>
      </w:r>
      <w:r>
        <w:rPr/>
        <w:t>）无形资产的减值测试方法及减值准备计提方法</w:t>
      </w:r>
      <w:r>
        <w:rPr>
          <w:w w:val="100"/>
        </w:rPr>
        <w:t> </w:t>
      </w:r>
      <w:r>
        <w:rPr>
          <w:spacing w:val="-2"/>
        </w:rPr>
        <w:t>无形资产的减值测试方法和减值准备计提方法详见附注五、22“长期资产减值”。</w:t>
      </w:r>
    </w:p>
    <w:p>
      <w:pPr>
        <w:spacing w:line="240" w:lineRule="auto" w:before="6"/>
        <w:rPr>
          <w:rFonts w:ascii="宋体" w:hAnsi="宋体" w:cs="宋体" w:eastAsia="宋体" w:hint="default"/>
          <w:sz w:val="26"/>
          <w:szCs w:val="26"/>
        </w:rPr>
      </w:pPr>
    </w:p>
    <w:p>
      <w:pPr>
        <w:pStyle w:val="BodyText"/>
        <w:spacing w:line="672" w:lineRule="auto" w:before="0"/>
        <w:ind w:left="633" w:right="0" w:hanging="481"/>
        <w:jc w:val="left"/>
      </w:pPr>
      <w:r>
        <w:rPr>
          <w:rFonts w:ascii="宋体" w:hAnsi="宋体" w:cs="宋体" w:eastAsia="宋体" w:hint="default"/>
          <w:b/>
          <w:bCs/>
        </w:rPr>
        <w:t>22</w:t>
      </w:r>
      <w:r>
        <w:rPr>
          <w:rFonts w:ascii="宋体" w:hAnsi="宋体" w:cs="宋体" w:eastAsia="宋体" w:hint="default"/>
          <w:b/>
          <w:bCs/>
        </w:rPr>
        <w:t>、长期资产减值</w:t>
      </w:r>
      <w:r>
        <w:rPr>
          <w:rFonts w:ascii="宋体" w:hAnsi="宋体" w:cs="宋体" w:eastAsia="宋体" w:hint="default"/>
          <w:b/>
          <w:bCs/>
          <w:spacing w:val="-104"/>
        </w:rPr>
        <w:t> </w:t>
      </w:r>
      <w:r>
        <w:rPr>
          <w:spacing w:val="-2"/>
        </w:rPr>
        <w:t>对于固定资产、在建工程、使用寿命有限的无形资产、以成本模式计量的投资性房地产及对子公司、</w:t>
      </w:r>
    </w:p>
    <w:p>
      <w:pPr>
        <w:spacing w:after="0" w:line="672"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408" w:lineRule="auto" w:before="176"/>
        <w:ind w:right="92"/>
        <w:jc w:val="left"/>
      </w:pPr>
      <w:r>
        <w:rPr>
          <w:spacing w:val="-5"/>
        </w:rPr>
        <w:t>合营企业、联营企业的长期股权投资等非流动非金融资产，本公司于资产负债表日判断是否存在减值迹象。 </w:t>
      </w:r>
      <w:r>
        <w:rPr>
          <w:spacing w:val="-2"/>
        </w:rPr>
        <w:t>如存在减值迹象的，则估计其可收回金额，进行减值测试。商誉、使用寿命不确定的无形资产和尚未达到</w:t>
      </w:r>
      <w:r>
        <w:rPr>
          <w:spacing w:val="-46"/>
        </w:rPr>
        <w:t> </w:t>
      </w:r>
      <w:r>
        <w:rPr>
          <w:spacing w:val="-46"/>
        </w:rPr>
      </w:r>
      <w:r>
        <w:rPr/>
        <w:t>可使用状态的无形资产，无论是否存在减值迹象，每年均进行减值测试。</w:t>
      </w:r>
    </w:p>
    <w:p>
      <w:pPr>
        <w:pStyle w:val="BodyText"/>
        <w:spacing w:line="408" w:lineRule="auto"/>
        <w:ind w:right="185" w:firstLine="480"/>
        <w:jc w:val="both"/>
      </w:pPr>
      <w:r>
        <w:rPr>
          <w:spacing w:val="-4"/>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pStyle w:val="BodyText"/>
        <w:spacing w:line="408" w:lineRule="auto"/>
        <w:ind w:right="206" w:firstLine="480"/>
        <w:jc w:val="both"/>
      </w:pPr>
      <w:r>
        <w:rPr>
          <w:spacing w:val="-4"/>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3"/>
        </w:rPr>
        <w:t> </w:t>
      </w:r>
      <w:r>
        <w:rPr>
          <w:spacing w:val="-43"/>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spacing w:line="669" w:lineRule="auto" w:before="46"/>
        <w:ind w:left="152" w:right="1583" w:firstLine="480"/>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上述资产减值损失一经确认，以后期间不予转回价值得以恢复的部分。</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408" w:lineRule="auto" w:before="117"/>
        <w:ind w:right="92" w:firstLine="480"/>
        <w:jc w:val="left"/>
      </w:pPr>
      <w:r>
        <w:rPr>
          <w:spacing w:val="-4"/>
        </w:rPr>
        <w:t>长期待摊费用为已经发生但应由报告期和以后各期负担的分摊期限在一年以上的各项费用。租入固定</w:t>
      </w:r>
      <w:r>
        <w:rPr>
          <w:w w:val="100"/>
        </w:rPr>
        <w:t> </w:t>
      </w:r>
      <w:r>
        <w:rPr/>
        <w:t>资产装修费除放置核磁设备的房屋装修费外按其预计受益期间或</w:t>
      </w:r>
      <w:r>
        <w:rPr>
          <w:rFonts w:ascii="宋体" w:hAnsi="宋体" w:cs="宋体" w:eastAsia="宋体" w:hint="default"/>
        </w:rPr>
        <w:t>5</w:t>
      </w:r>
      <w:r>
        <w:rPr/>
        <w:t>年孰短年限内采用直线法摊销，放置核</w:t>
      </w:r>
      <w:r>
        <w:rPr>
          <w:w w:val="100"/>
        </w:rPr>
        <w:t> </w:t>
      </w:r>
      <w:r>
        <w:rPr/>
        <w:t>磁设备的房屋装修费按</w:t>
      </w:r>
      <w:r>
        <w:rPr>
          <w:rFonts w:ascii="宋体" w:hAnsi="宋体" w:cs="宋体" w:eastAsia="宋体" w:hint="default"/>
        </w:rPr>
        <w:t>10</w:t>
      </w:r>
      <w:r>
        <w:rPr/>
        <w:t>年采用直线法摊销；其他长期待摊费用在预计受益期间按直线法摊销。</w:t>
      </w:r>
    </w:p>
    <w:p>
      <w:pPr>
        <w:spacing w:line="240" w:lineRule="auto" w:before="6"/>
        <w:rPr>
          <w:rFonts w:ascii="宋体" w:hAnsi="宋体" w:cs="宋体" w:eastAsia="宋体" w:hint="default"/>
          <w:sz w:val="26"/>
          <w:szCs w:val="26"/>
        </w:rPr>
      </w:pPr>
    </w:p>
    <w:p>
      <w:pPr>
        <w:pStyle w:val="Heading3"/>
        <w:spacing w:line="240" w:lineRule="auto"/>
        <w:ind w:right="92"/>
        <w:jc w:val="left"/>
        <w:rPr>
          <w:b w:val="0"/>
          <w:bCs w:val="0"/>
        </w:rPr>
      </w:pPr>
      <w:r>
        <w:rPr>
          <w:rFonts w:ascii="宋体" w:hAnsi="宋体" w:cs="宋体" w:eastAsia="宋体" w:hint="default"/>
        </w:rPr>
        <w:t>24</w:t>
      </w:r>
      <w:r>
        <w:rPr/>
        <w:t>、职工薪酬</w:t>
      </w:r>
      <w:r>
        <w:rPr>
          <w:b w:val="0"/>
          <w:bCs w:val="0"/>
        </w:rPr>
      </w:r>
    </w:p>
    <w:p>
      <w:pPr>
        <w:spacing w:line="770" w:lineRule="atLeast" w:before="0"/>
        <w:ind w:left="633" w:right="1583"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本公司职工薪酬主要包括短期职工薪酬、离职后福利、辞退福利。其中：</w:t>
      </w:r>
    </w:p>
    <w:p>
      <w:pPr>
        <w:spacing w:line="240" w:lineRule="auto" w:before="10"/>
        <w:rPr>
          <w:rFonts w:ascii="宋体" w:hAnsi="宋体" w:cs="宋体" w:eastAsia="宋体" w:hint="default"/>
          <w:sz w:val="14"/>
          <w:szCs w:val="14"/>
        </w:rPr>
      </w:pPr>
    </w:p>
    <w:p>
      <w:pPr>
        <w:pStyle w:val="BodyText"/>
        <w:spacing w:line="240" w:lineRule="auto" w:before="0"/>
        <w:ind w:left="633" w:right="92"/>
        <w:jc w:val="left"/>
      </w:pPr>
      <w:r>
        <w:rPr/>
        <w:t>短期薪酬主要包括工资、奖金、津贴和补贴、职工福利费、医疗保险费、生育保险费、工伤保险费、</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206"/>
        <w:jc w:val="both"/>
      </w:pPr>
      <w:r>
        <w:rPr>
          <w:spacing w:val="-2"/>
        </w:rPr>
        <w:t>住房公积金、工会经费和职工教育经费、非货币性福利等。本公司在职工为本公司提供服务的会计期间将</w:t>
      </w:r>
      <w:r>
        <w:rPr>
          <w:spacing w:val="-43"/>
        </w:rPr>
        <w:t> </w:t>
      </w:r>
      <w:r>
        <w:rPr>
          <w:spacing w:val="-43"/>
        </w:rPr>
      </w:r>
      <w:r>
        <w:rPr>
          <w:spacing w:val="-2"/>
        </w:rPr>
        <w:t>实际发生的短期职工薪酬确认为负债，并计入当期损益或相关资产成本。其中非货币性福利按公允价值计</w:t>
      </w:r>
      <w:r>
        <w:rPr>
          <w:spacing w:val="-44"/>
        </w:rPr>
        <w:t> </w:t>
      </w:r>
      <w:r>
        <w:rPr>
          <w:spacing w:val="-44"/>
        </w:rPr>
      </w:r>
      <w:r>
        <w:rPr/>
        <w:t>量。</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t>（</w:t>
      </w:r>
      <w:r>
        <w:rPr>
          <w:rFonts w:ascii="宋体" w:hAnsi="宋体" w:cs="宋体" w:eastAsia="宋体" w:hint="default"/>
        </w:rPr>
        <w:t>2</w:t>
      </w:r>
      <w:r>
        <w:rPr/>
        <w:t>）离职后福利的会计处理方法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92" w:firstLine="480"/>
        <w:jc w:val="left"/>
      </w:pPr>
      <w:r>
        <w:rPr>
          <w:spacing w:val="-6"/>
          <w:w w:val="100"/>
        </w:rPr>
        <w:t>离职后福利主要包括设定提存计划。其中设定提存计划主要包括基本养老保险、失业保险以及年金等，</w:t>
      </w:r>
      <w:r>
        <w:rPr>
          <w:w w:val="100"/>
        </w:rPr>
        <w:t> </w:t>
      </w:r>
      <w:r>
        <w:rPr/>
        <w:t>相应的应缴存金额于发生时计入相关资产成本或当期损益。</w:t>
      </w:r>
    </w:p>
    <w:p>
      <w:pPr>
        <w:spacing w:line="240" w:lineRule="auto" w:before="7"/>
        <w:rPr>
          <w:rFonts w:ascii="宋体" w:hAnsi="宋体" w:cs="宋体" w:eastAsia="宋体" w:hint="default"/>
          <w:sz w:val="26"/>
          <w:szCs w:val="26"/>
        </w:rPr>
      </w:pPr>
    </w:p>
    <w:p>
      <w:pPr>
        <w:pStyle w:val="Heading3"/>
        <w:spacing w:line="240" w:lineRule="auto"/>
        <w:ind w:right="0"/>
        <w:jc w:val="both"/>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206" w:firstLine="480"/>
        <w:jc w:val="both"/>
      </w:pPr>
      <w:r>
        <w:rPr/>
        <w:t>在职工劳动合同到期之前解除与职工的劳动关系，或为鼓励职工自愿接受裁减而提出给予补偿的建</w:t>
      </w:r>
      <w:r>
        <w:rPr>
          <w:w w:val="100"/>
        </w:rPr>
        <w:t> </w:t>
      </w:r>
      <w:r>
        <w:rPr>
          <w:spacing w:val="-2"/>
        </w:rPr>
        <w:t>议，在本公司不能单方面撤回因解除劳动关系计划或裁减建议所提供的辞退福利时，和本公司确认与涉及</w:t>
      </w:r>
      <w:r>
        <w:rPr>
          <w:spacing w:val="-44"/>
        </w:rPr>
        <w:t> </w:t>
      </w:r>
      <w:r>
        <w:rPr>
          <w:spacing w:val="-44"/>
        </w:rPr>
      </w:r>
      <w:r>
        <w:rPr>
          <w:spacing w:val="-2"/>
        </w:rPr>
        <w:t>支付辞退福利的重组相关的成本两者孰早日，确认辞退福利产生的职工薪酬负债，并计入当期损益。但辞</w:t>
      </w:r>
      <w:r>
        <w:rPr>
          <w:spacing w:val="-43"/>
        </w:rPr>
        <w:t> </w:t>
      </w:r>
      <w:r>
        <w:rPr>
          <w:spacing w:val="-43"/>
        </w:rPr>
      </w:r>
      <w:r>
        <w:rPr/>
        <w:t>退福利预期在年度报告期结束后十二个月不能完全支付的，按照其他长期职工薪酬处理。</w:t>
      </w:r>
    </w:p>
    <w:p>
      <w:pPr>
        <w:pStyle w:val="BodyText"/>
        <w:spacing w:line="408" w:lineRule="auto"/>
        <w:ind w:right="206" w:firstLine="480"/>
        <w:jc w:val="both"/>
      </w:pPr>
      <w:r>
        <w:rPr>
          <w:spacing w:val="-4"/>
        </w:rPr>
        <w:t>职工内部退休计划采用与上述辞退福利相同的原则处理。本公司将自职工停止提供服务日至正常退休</w:t>
      </w:r>
      <w:r>
        <w:rPr>
          <w:w w:val="100"/>
        </w:rPr>
        <w:t> </w:t>
      </w:r>
      <w:r>
        <w:rPr>
          <w:spacing w:val="-2"/>
        </w:rPr>
        <w:t>日的期间拟支付的内退人员工资和缴纳的社会保险费等，在符合预计负债确认条件时，计入当期损益（辞</w:t>
      </w:r>
      <w:r>
        <w:rPr>
          <w:spacing w:val="-44"/>
        </w:rPr>
        <w:t> </w:t>
      </w:r>
      <w:r>
        <w:rPr>
          <w:spacing w:val="-44"/>
        </w:rPr>
      </w:r>
      <w:r>
        <w:rPr/>
        <w:t>退福利）。</w:t>
      </w:r>
    </w:p>
    <w:p>
      <w:pPr>
        <w:pStyle w:val="BodyText"/>
        <w:spacing w:line="408" w:lineRule="auto"/>
        <w:ind w:right="208" w:firstLine="480"/>
        <w:jc w:val="both"/>
      </w:pPr>
      <w:r>
        <w:rPr>
          <w:spacing w:val="-4"/>
        </w:rPr>
        <w:t>本公司向职工提供的其他长期职工福利，符合设定提存计划的，按照设定提存计划进行会计处理，除</w:t>
      </w:r>
      <w:r>
        <w:rPr>
          <w:w w:val="100"/>
        </w:rPr>
        <w:t> </w:t>
      </w:r>
      <w:r>
        <w:rPr/>
        <w:t>此之外按照设定受益计划进行会计处理。</w:t>
      </w:r>
    </w:p>
    <w:p>
      <w:pPr>
        <w:spacing w:line="240" w:lineRule="auto" w:before="8"/>
        <w:rPr>
          <w:rFonts w:ascii="宋体" w:hAnsi="宋体" w:cs="宋体" w:eastAsia="宋体" w:hint="default"/>
          <w:sz w:val="20"/>
          <w:szCs w:val="20"/>
        </w:rPr>
      </w:pPr>
    </w:p>
    <w:p>
      <w:pPr>
        <w:pStyle w:val="Heading3"/>
        <w:spacing w:line="568" w:lineRule="auto"/>
        <w:ind w:right="5738"/>
        <w:jc w:val="left"/>
        <w:rPr>
          <w:b w:val="0"/>
          <w:bCs w:val="0"/>
        </w:rPr>
      </w:pPr>
      <w:r>
        <w:rPr>
          <w:spacing w:val="-1"/>
        </w:rPr>
        <w:t>（</w:t>
      </w:r>
      <w:r>
        <w:rPr>
          <w:rFonts w:ascii="Times New Roman" w:hAnsi="Times New Roman" w:cs="Times New Roman" w:eastAsia="Times New Roman" w:hint="default"/>
          <w:spacing w:val="-1"/>
        </w:rPr>
        <w:t>4</w:t>
      </w:r>
      <w:r>
        <w:rPr>
          <w:spacing w:val="-1"/>
        </w:rPr>
        <w:t>）其他长期职工福利的会计处理方法</w:t>
      </w:r>
      <w:r>
        <w:rPr>
          <w:spacing w:val="-88"/>
        </w:rPr>
        <w:t> </w:t>
      </w:r>
      <w:r>
        <w:rPr>
          <w:spacing w:val="-88"/>
        </w:rPr>
      </w:r>
      <w:r>
        <w:rPr>
          <w:rFonts w:ascii="宋体" w:hAnsi="宋体" w:cs="宋体" w:eastAsia="宋体" w:hint="default"/>
        </w:rPr>
        <w:t>25</w:t>
      </w:r>
      <w:r>
        <w:rPr/>
        <w:t>、预计负债</w:t>
      </w:r>
      <w:r>
        <w:rPr>
          <w:b w:val="0"/>
          <w:bCs w:val="0"/>
        </w:rPr>
      </w:r>
    </w:p>
    <w:p>
      <w:pPr>
        <w:spacing w:line="240" w:lineRule="auto" w:before="9"/>
        <w:rPr>
          <w:rFonts w:ascii="宋体" w:hAnsi="宋体" w:cs="宋体" w:eastAsia="宋体" w:hint="default"/>
          <w:b/>
          <w:bCs/>
          <w:sz w:val="15"/>
          <w:szCs w:val="15"/>
        </w:rPr>
      </w:pPr>
    </w:p>
    <w:p>
      <w:pPr>
        <w:pStyle w:val="BodyText"/>
        <w:spacing w:line="408" w:lineRule="auto" w:before="0"/>
        <w:ind w:right="230" w:firstLine="480"/>
        <w:jc w:val="both"/>
      </w:pPr>
      <w:r>
        <w:rPr>
          <w:spacing w:val="-2"/>
        </w:rPr>
        <w:t>当与或有事项相关的义务同时符合以下条件，确认为预计负债：（</w:t>
      </w:r>
      <w:r>
        <w:rPr>
          <w:rFonts w:ascii="宋体" w:hAnsi="宋体" w:cs="宋体" w:eastAsia="宋体" w:hint="default"/>
          <w:spacing w:val="-2"/>
        </w:rPr>
        <w:t>1</w:t>
      </w:r>
      <w:r>
        <w:rPr>
          <w:spacing w:val="-2"/>
        </w:rPr>
        <w:t>）该义务是本公司承担的现时义</w:t>
      </w:r>
      <w:r>
        <w:rPr>
          <w:w w:val="100"/>
        </w:rPr>
        <w:t> </w:t>
      </w:r>
      <w:r>
        <w:rPr/>
        <w:t>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p>
    <w:p>
      <w:pPr>
        <w:pStyle w:val="BodyText"/>
        <w:spacing w:line="408" w:lineRule="auto"/>
        <w:ind w:right="208" w:firstLine="480"/>
        <w:jc w:val="both"/>
      </w:pPr>
      <w:r>
        <w:rPr>
          <w:spacing w:val="-4"/>
        </w:rPr>
        <w:t>在资产负债表日，考虑与或有事项有关的风险、不确定性和货币时间价值等因素，按照履行相关现时</w:t>
      </w:r>
      <w:r>
        <w:rPr>
          <w:w w:val="100"/>
        </w:rPr>
        <w:t> </w:t>
      </w:r>
      <w:r>
        <w:rPr/>
        <w:t>义务所需支出的最佳估计数对预计负债进行计量。</w:t>
      </w:r>
    </w:p>
    <w:p>
      <w:pPr>
        <w:pStyle w:val="BodyText"/>
        <w:spacing w:line="408" w:lineRule="auto"/>
        <w:ind w:right="208" w:firstLine="480"/>
        <w:jc w:val="both"/>
      </w:pPr>
      <w:r>
        <w:rPr>
          <w:spacing w:val="-4"/>
        </w:rPr>
        <w:t>如果清偿预计负债所需支出全部或部分预期由第三方补偿的，补偿金额在基本确定能够收到时，作为</w:t>
      </w:r>
      <w:r>
        <w:rPr>
          <w:w w:val="100"/>
        </w:rPr>
        <w:t> </w:t>
      </w:r>
      <w:r>
        <w:rPr/>
        <w:t>资产单独确认，且确认的补偿金额不超过预计负债的账面价值。</w:t>
      </w:r>
    </w:p>
    <w:p>
      <w:pPr>
        <w:spacing w:after="0" w:line="408"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92"/>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633" w:right="92"/>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在已将商品所有权上的主要风险和报酬转移给买方，既没有保留通常与所有权相联系的继续管理权，</w:t>
      </w:r>
    </w:p>
    <w:p>
      <w:pPr>
        <w:pStyle w:val="BodyText"/>
        <w:spacing w:line="410" w:lineRule="auto"/>
        <w:ind w:right="92"/>
        <w:jc w:val="left"/>
      </w:pPr>
      <w:r>
        <w:rPr>
          <w:spacing w:val="-2"/>
        </w:rPr>
        <w:t>也没有对已售商品实施有效控制，收入的金额能够可靠地计量，相关的经济利益很可能流入企业，相关的</w:t>
      </w:r>
      <w:r>
        <w:rPr>
          <w:spacing w:val="-43"/>
        </w:rPr>
        <w:t> </w:t>
      </w:r>
      <w:r>
        <w:rPr>
          <w:spacing w:val="-43"/>
        </w:rPr>
      </w:r>
      <w:r>
        <w:rPr/>
        <w:t>已发生或将发生的成本能够可靠地计量时，确认商品销售收入的实现。</w:t>
      </w:r>
    </w:p>
    <w:p>
      <w:pPr>
        <w:pStyle w:val="BodyText"/>
        <w:spacing w:line="408" w:lineRule="auto" w:before="44"/>
        <w:ind w:left="633" w:right="1583"/>
        <w:jc w:val="left"/>
      </w:pPr>
      <w:r>
        <w:rPr/>
        <w:t>（</w:t>
      </w:r>
      <w:r>
        <w:rPr>
          <w:rFonts w:ascii="宋体" w:hAnsi="宋体" w:cs="宋体" w:eastAsia="宋体" w:hint="default"/>
        </w:rPr>
        <w:t>2</w:t>
      </w:r>
      <w:r>
        <w:rPr/>
        <w:t>）提供劳务收入</w:t>
      </w:r>
      <w:r>
        <w:rPr>
          <w:w w:val="100"/>
        </w:rPr>
        <w:t> </w:t>
      </w:r>
      <w:r>
        <w:rPr>
          <w:spacing w:val="-2"/>
        </w:rPr>
        <w:t>在提供劳务交易的结果能够可靠估计的情况下，按合同约定价格确认收入。</w:t>
      </w:r>
    </w:p>
    <w:p>
      <w:pPr>
        <w:pStyle w:val="BodyText"/>
        <w:spacing w:line="408" w:lineRule="auto"/>
        <w:ind w:right="187" w:firstLine="480"/>
        <w:jc w:val="right"/>
      </w:pPr>
      <w:r>
        <w:rPr>
          <w:spacing w:val="-4"/>
        </w:rPr>
        <w:t>提供劳务交易的结果能够可靠估计是指同时满足：①收入的金额能够可靠地计量；②相关的经济利益</w:t>
      </w:r>
      <w:r>
        <w:rPr>
          <w:w w:val="100"/>
        </w:rPr>
        <w:t> </w:t>
      </w:r>
      <w:r>
        <w:rPr>
          <w:spacing w:val="-2"/>
        </w:rPr>
        <w:t>很可能流入企业；③交易的完工程度能够可靠地确定；④交易中已发生和将发生的成本能够可靠地计量。</w:t>
      </w:r>
      <w:r>
        <w:rPr>
          <w:spacing w:val="-46"/>
        </w:rPr>
        <w:t> </w:t>
      </w:r>
      <w:r>
        <w:rPr>
          <w:spacing w:val="-46"/>
        </w:rPr>
      </w:r>
      <w:r>
        <w:rPr>
          <w:spacing w:val="-4"/>
          <w:w w:val="100"/>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p>
    <w:p>
      <w:pPr>
        <w:pStyle w:val="BodyText"/>
        <w:spacing w:line="240" w:lineRule="auto"/>
        <w:ind w:right="92"/>
        <w:jc w:val="left"/>
      </w:pPr>
      <w:r>
        <w:rPr/>
        <w:t>确认收入。</w:t>
      </w:r>
    </w:p>
    <w:p>
      <w:pPr>
        <w:spacing w:line="240" w:lineRule="auto" w:before="10"/>
        <w:rPr>
          <w:rFonts w:ascii="宋体" w:hAnsi="宋体" w:cs="宋体" w:eastAsia="宋体" w:hint="default"/>
          <w:sz w:val="14"/>
          <w:szCs w:val="14"/>
        </w:rPr>
      </w:pPr>
    </w:p>
    <w:p>
      <w:pPr>
        <w:pStyle w:val="BodyText"/>
        <w:spacing w:line="240" w:lineRule="auto" w:before="0"/>
        <w:ind w:left="633" w:right="92"/>
        <w:jc w:val="left"/>
      </w:pPr>
      <w:r>
        <w:rPr/>
        <w:t>本公司体检业务收入以完成体检业务为收入确认时点。</w:t>
      </w:r>
    </w:p>
    <w:p>
      <w:pPr>
        <w:spacing w:line="240" w:lineRule="auto" w:before="10"/>
        <w:rPr>
          <w:rFonts w:ascii="宋体" w:hAnsi="宋体" w:cs="宋体" w:eastAsia="宋体" w:hint="default"/>
          <w:sz w:val="14"/>
          <w:szCs w:val="14"/>
        </w:rPr>
      </w:pPr>
    </w:p>
    <w:p>
      <w:pPr>
        <w:pStyle w:val="BodyText"/>
        <w:spacing w:line="408" w:lineRule="auto" w:before="0"/>
        <w:ind w:left="633" w:right="3873"/>
        <w:jc w:val="left"/>
      </w:pPr>
      <w:r>
        <w:rPr/>
        <w:t>（</w:t>
      </w:r>
      <w:r>
        <w:rPr>
          <w:rFonts w:ascii="宋体" w:hAnsi="宋体" w:cs="宋体" w:eastAsia="宋体" w:hint="default"/>
        </w:rPr>
        <w:t>3</w:t>
      </w:r>
      <w:r>
        <w:rPr/>
        <w:t>）使用费收入</w:t>
      </w:r>
      <w:r>
        <w:rPr>
          <w:w w:val="100"/>
        </w:rPr>
        <w:t> </w:t>
      </w:r>
      <w:r>
        <w:rPr>
          <w:spacing w:val="-2"/>
        </w:rPr>
        <w:t>根据有关合同或协议，按权责发生制确认收入。</w:t>
      </w:r>
    </w:p>
    <w:p>
      <w:pPr>
        <w:pStyle w:val="BodyText"/>
        <w:spacing w:line="408" w:lineRule="auto"/>
        <w:ind w:left="633" w:right="3873"/>
        <w:jc w:val="left"/>
      </w:pPr>
      <w:r>
        <w:rPr/>
        <w:t>（</w:t>
      </w:r>
      <w:r>
        <w:rPr>
          <w:rFonts w:ascii="宋体" w:hAnsi="宋体" w:cs="宋体" w:eastAsia="宋体" w:hint="default"/>
        </w:rPr>
        <w:t>4</w:t>
      </w:r>
      <w:r>
        <w:rPr/>
        <w:t>）利息收入</w:t>
      </w:r>
      <w:r>
        <w:rPr>
          <w:w w:val="100"/>
        </w:rPr>
        <w:t> </w:t>
      </w:r>
      <w:r>
        <w:rPr>
          <w:spacing w:val="-2"/>
        </w:rPr>
        <w:t>按照他人使用本公司货币资金的时间和实际利率计算确定。</w:t>
      </w:r>
    </w:p>
    <w:p>
      <w:pPr>
        <w:pStyle w:val="BodyText"/>
        <w:spacing w:line="240" w:lineRule="auto"/>
        <w:ind w:left="633" w:right="92"/>
        <w:jc w:val="left"/>
      </w:pPr>
      <w:r>
        <w:rPr/>
        <w:t>（</w:t>
      </w:r>
      <w:r>
        <w:rPr>
          <w:rFonts w:ascii="宋体" w:hAnsi="宋体" w:cs="宋体" w:eastAsia="宋体" w:hint="default"/>
        </w:rPr>
        <w:t>5</w:t>
      </w:r>
      <w:r>
        <w:rPr/>
        <w:t>）融资租赁收入</w:t>
      </w:r>
    </w:p>
    <w:p>
      <w:pPr>
        <w:spacing w:line="240" w:lineRule="auto" w:before="11"/>
        <w:rPr>
          <w:rFonts w:ascii="宋体" w:hAnsi="宋体" w:cs="宋体" w:eastAsia="宋体" w:hint="default"/>
          <w:sz w:val="14"/>
          <w:szCs w:val="14"/>
        </w:rPr>
      </w:pPr>
    </w:p>
    <w:p>
      <w:pPr>
        <w:pStyle w:val="BodyText"/>
        <w:spacing w:line="408" w:lineRule="auto" w:before="0"/>
        <w:ind w:left="633" w:right="92"/>
        <w:jc w:val="left"/>
      </w:pPr>
      <w:r>
        <w:rPr/>
        <w:t>①租赁开始日的处理</w:t>
      </w:r>
      <w:r>
        <w:rPr>
          <w:w w:val="100"/>
        </w:rPr>
        <w:t> </w:t>
      </w:r>
      <w:r>
        <w:rPr>
          <w:spacing w:val="-4"/>
        </w:rPr>
        <w:t>在租赁期开始日，本公司将应收融资租赁款、未担保余值之和与其现值、未实现融资租赁增值税的差</w:t>
      </w:r>
    </w:p>
    <w:p>
      <w:pPr>
        <w:pStyle w:val="BodyText"/>
        <w:spacing w:line="408" w:lineRule="auto"/>
        <w:ind w:right="92"/>
        <w:jc w:val="left"/>
      </w:pPr>
      <w:r>
        <w:rPr>
          <w:spacing w:val="-2"/>
        </w:rPr>
        <w:t>额确认为未实现融资收益，在将来收到租金的各期内确认为租赁收入。公司发生的初始直接费用，应包括</w:t>
      </w:r>
      <w:r>
        <w:rPr>
          <w:spacing w:val="-44"/>
        </w:rPr>
        <w:t> </w:t>
      </w:r>
      <w:r>
        <w:rPr>
          <w:spacing w:val="-44"/>
        </w:rPr>
      </w:r>
      <w:r>
        <w:rPr>
          <w:spacing w:val="-2"/>
        </w:rPr>
        <w:t>在应收融资租赁款的初始计量中，并减少租赁期内确认的收益金额。租赁开始日是指租赁协议日与租赁各</w:t>
      </w:r>
      <w:r>
        <w:rPr>
          <w:spacing w:val="-44"/>
        </w:rPr>
        <w:t> </w:t>
      </w:r>
      <w:r>
        <w:rPr>
          <w:spacing w:val="-44"/>
        </w:rPr>
      </w:r>
      <w:r>
        <w:rPr>
          <w:spacing w:val="-5"/>
        </w:rPr>
        <w:t>方就主要条款作出承诺日中的较早者。在租赁开始日，本公司和承租人将租赁认定为融资租赁或经营租赁，</w:t>
      </w:r>
      <w:r>
        <w:rPr>
          <w:spacing w:val="-4"/>
        </w:rPr>
        <w:t> </w:t>
      </w:r>
      <w:r>
        <w:rPr>
          <w:spacing w:val="-4"/>
        </w:rPr>
      </w:r>
      <w:r>
        <w:rPr/>
        <w:t>并确定在租赁期开始日应确认的金额。</w:t>
      </w:r>
    </w:p>
    <w:p>
      <w:pPr>
        <w:pStyle w:val="BodyText"/>
        <w:spacing w:line="408" w:lineRule="auto"/>
        <w:ind w:left="633" w:right="92"/>
        <w:jc w:val="left"/>
      </w:pPr>
      <w:r>
        <w:rPr/>
        <w:t>②未实现融资收益的分配</w:t>
      </w:r>
      <w:r>
        <w:rPr>
          <w:w w:val="100"/>
        </w:rPr>
        <w:t> </w:t>
      </w:r>
      <w:r>
        <w:rPr>
          <w:spacing w:val="-2"/>
        </w:rPr>
        <w:t>根据租赁准则的规定，未实现融资收益应当在租赁期内各个期间进行分配，确认为各期的租赁收入。</w:t>
      </w:r>
    </w:p>
    <w:p>
      <w:pPr>
        <w:pStyle w:val="BodyText"/>
        <w:spacing w:line="240" w:lineRule="auto"/>
        <w:ind w:right="92"/>
        <w:jc w:val="left"/>
      </w:pPr>
      <w:r>
        <w:rPr/>
        <w:t>分配时，本公司采用实际利率法计算当期应当确认的租赁收入。实际利率是指在租赁开始日，使最低租赁</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spacing w:val="-2"/>
        </w:rPr>
        <w:t>收款额的现值与未担保余值的现值之和等于等于租赁资产公允价值与公司发生的初始直接费用之和的折</w:t>
      </w:r>
      <w:r>
        <w:rPr>
          <w:spacing w:val="-21"/>
        </w:rPr>
        <w:t> </w:t>
      </w:r>
      <w:r>
        <w:rPr>
          <w:spacing w:val="-21"/>
        </w:rPr>
      </w:r>
      <w:r>
        <w:rPr/>
        <w:t>现率。</w:t>
      </w:r>
    </w:p>
    <w:p>
      <w:pPr>
        <w:pStyle w:val="BodyText"/>
        <w:spacing w:line="408" w:lineRule="auto"/>
        <w:ind w:left="633" w:right="0" w:firstLine="105"/>
        <w:jc w:val="left"/>
      </w:pPr>
      <w:r>
        <w:rPr/>
        <w:t>③未担保余值发生变动时的处理</w:t>
      </w:r>
      <w:r>
        <w:rPr>
          <w:w w:val="100"/>
        </w:rPr>
        <w:t> </w:t>
      </w:r>
      <w:r>
        <w:rPr>
          <w:spacing w:val="-4"/>
        </w:rPr>
        <w:t>在未担保余值发生减少和已确认损失的未担保余值得以恢复的情况下，均重新计算租赁内含利率，以</w:t>
      </w:r>
    </w:p>
    <w:p>
      <w:pPr>
        <w:pStyle w:val="BodyText"/>
        <w:spacing w:line="408" w:lineRule="auto"/>
        <w:ind w:right="0"/>
        <w:jc w:val="left"/>
      </w:pPr>
      <w:r>
        <w:rPr>
          <w:spacing w:val="-2"/>
        </w:rPr>
        <w:t>后各期根据修正后的租赁投资净额和重新计算的租赁内含利率确定应确认的租赁收入。在未担保余值增加</w:t>
      </w:r>
      <w:r>
        <w:rPr>
          <w:spacing w:val="-43"/>
        </w:rPr>
        <w:t> </w:t>
      </w:r>
      <w:r>
        <w:rPr>
          <w:spacing w:val="-43"/>
        </w:rPr>
      </w:r>
      <w:r>
        <w:rPr/>
        <w:t>时，不做任何调整。未担保余值，指租赁资产余值中扣除就出租人而言的担保余值以后的资产余值。</w:t>
      </w:r>
    </w:p>
    <w:p>
      <w:pPr>
        <w:pStyle w:val="BodyText"/>
        <w:spacing w:line="410" w:lineRule="auto"/>
        <w:ind w:left="633" w:right="4344" w:firstLine="105"/>
        <w:jc w:val="left"/>
      </w:pPr>
      <w:r>
        <w:rPr/>
        <w:t>④或有租金的处理</w:t>
      </w:r>
      <w:r>
        <w:rPr>
          <w:w w:val="100"/>
        </w:rPr>
        <w:t> </w:t>
      </w:r>
      <w:r>
        <w:rPr>
          <w:spacing w:val="-2"/>
        </w:rPr>
        <w:t>本公司在融资租赁下收到的或有租金计入当期损益。</w:t>
      </w:r>
    </w:p>
    <w:p>
      <w:pPr>
        <w:pStyle w:val="BodyText"/>
        <w:spacing w:line="408" w:lineRule="auto" w:before="44"/>
        <w:ind w:left="633" w:right="4344"/>
        <w:jc w:val="left"/>
      </w:pPr>
      <w:r>
        <w:rPr/>
        <w:t>（</w:t>
      </w:r>
      <w:r>
        <w:rPr>
          <w:rFonts w:ascii="宋体" w:hAnsi="宋体" w:cs="宋体" w:eastAsia="宋体" w:hint="default"/>
        </w:rPr>
        <w:t>6</w:t>
      </w:r>
      <w:r>
        <w:rPr/>
        <w:t>）保理收入</w:t>
      </w:r>
      <w:r>
        <w:rPr>
          <w:w w:val="100"/>
        </w:rPr>
        <w:t> </w:t>
      </w:r>
      <w:r>
        <w:rPr>
          <w:spacing w:val="-2"/>
        </w:rPr>
        <w:t>本公司于保理合同生效时确认保理收入。</w:t>
      </w:r>
    </w:p>
    <w:p>
      <w:pPr>
        <w:pStyle w:val="BodyText"/>
        <w:spacing w:line="408" w:lineRule="auto"/>
        <w:ind w:left="633" w:right="4344"/>
        <w:jc w:val="left"/>
      </w:pPr>
      <w:r>
        <w:rPr/>
        <w:t>（</w:t>
      </w:r>
      <w:r>
        <w:rPr>
          <w:rFonts w:ascii="宋体" w:hAnsi="宋体" w:cs="宋体" w:eastAsia="宋体" w:hint="default"/>
        </w:rPr>
        <w:t>7</w:t>
      </w:r>
      <w:r>
        <w:rPr/>
        <w:t>）咨询费收入</w:t>
      </w:r>
      <w:r>
        <w:rPr>
          <w:w w:val="100"/>
        </w:rPr>
        <w:t> </w:t>
      </w:r>
      <w:r>
        <w:rPr>
          <w:spacing w:val="-2"/>
        </w:rPr>
        <w:t>根据有关合同或协议，按权责发生制确认收入。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688" w:lineRule="exact" w:before="19"/>
        <w:ind w:left="633" w:right="0"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政府补助是指本公司从政府无偿取得货币性资产和非货币性资产，不包括政府作为所有者投入的资</w:t>
      </w:r>
    </w:p>
    <w:p>
      <w:pPr>
        <w:pStyle w:val="BodyText"/>
        <w:spacing w:line="408" w:lineRule="auto" w:before="85"/>
        <w:ind w:left="633" w:right="0" w:hanging="481"/>
        <w:jc w:val="left"/>
      </w:pPr>
      <w:r>
        <w:rPr/>
        <w:t>本。政府补助分为与资产相关的政府补助和与收益相关的政府补助。</w:t>
      </w:r>
      <w:r>
        <w:rPr>
          <w:w w:val="100"/>
        </w:rPr>
        <w:t> </w:t>
      </w:r>
      <w:r>
        <w:rPr>
          <w:spacing w:val="-4"/>
        </w:rPr>
        <w:t>政府补助为货币性资产的，按照收到或应收的金额计量。政府补助为非货币性资产的，按照公允价值</w:t>
      </w:r>
    </w:p>
    <w:p>
      <w:pPr>
        <w:pStyle w:val="BodyText"/>
        <w:spacing w:line="408" w:lineRule="auto"/>
        <w:ind w:right="0"/>
        <w:jc w:val="left"/>
      </w:pPr>
      <w:r>
        <w:rPr>
          <w:spacing w:val="-2"/>
        </w:rPr>
        <w:t>计量；公允价值不能够可靠取得的，按照名义金额计量。按照名义金额计量的政府补助，直接计入当期损</w:t>
      </w:r>
      <w:r>
        <w:rPr>
          <w:spacing w:val="-50"/>
        </w:rPr>
        <w:t> </w:t>
      </w:r>
      <w:r>
        <w:rPr>
          <w:spacing w:val="-50"/>
        </w:rPr>
      </w:r>
      <w:r>
        <w:rPr/>
        <w:t>益。</w:t>
      </w:r>
    </w:p>
    <w:p>
      <w:pPr>
        <w:pStyle w:val="BodyText"/>
        <w:spacing w:line="240" w:lineRule="auto"/>
        <w:ind w:left="633" w:right="0"/>
        <w:jc w:val="left"/>
      </w:pPr>
      <w:r>
        <w:rPr/>
        <w:t>与资产相关的政府补助，确认为递延收益，并在相关资产的使用寿命内平均分配计入当期损益。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0"/>
        <w:jc w:val="left"/>
      </w:pPr>
      <w:r>
        <w:rPr>
          <w:spacing w:val="-2"/>
        </w:rPr>
        <w:t>与收益相关的政府补助，用于补偿以后期间的相关费用和损失的，确认为递延收益，并在确认相关费用的</w:t>
      </w:r>
      <w:r>
        <w:rPr>
          <w:spacing w:val="-43"/>
        </w:rPr>
        <w:t> </w:t>
      </w:r>
      <w:r>
        <w:rPr>
          <w:spacing w:val="-43"/>
        </w:rPr>
      </w:r>
      <w:r>
        <w:rPr/>
        <w:t>期间计入当期损益；用于补偿已经发生的相关费用和损失的，直接计入当期损益。</w:t>
      </w:r>
    </w:p>
    <w:p>
      <w:pPr>
        <w:pStyle w:val="BodyText"/>
        <w:spacing w:line="408" w:lineRule="auto"/>
        <w:ind w:right="0" w:firstLine="480"/>
        <w:jc w:val="left"/>
      </w:pPr>
      <w:r>
        <w:rPr>
          <w:spacing w:val="-4"/>
        </w:rPr>
        <w:t>已确认的政府补助需要返还时，存在相关递延收益余额的，冲减相关递延收益账面余额，超出部分计</w:t>
      </w:r>
      <w:r>
        <w:rPr>
          <w:w w:val="100"/>
        </w:rPr>
        <w:t> </w:t>
      </w:r>
      <w:r>
        <w:rPr/>
        <w:t>入当期损益；不存在相关递延收益的，直接计入当期损益。</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Heading3"/>
        <w:spacing w:line="240" w:lineRule="auto" w:before="176"/>
        <w:ind w:right="92"/>
        <w:jc w:val="left"/>
        <w:rPr>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633" w:right="92"/>
        <w:jc w:val="left"/>
      </w:pPr>
      <w:r>
        <w:rPr/>
        <w:t>（</w:t>
      </w:r>
      <w:r>
        <w:rPr>
          <w:rFonts w:ascii="宋体" w:hAnsi="宋体" w:cs="宋体" w:eastAsia="宋体" w:hint="default"/>
        </w:rPr>
        <w:t>1</w:t>
      </w:r>
      <w:r>
        <w:rPr/>
        <w:t>）当期所得税</w:t>
      </w:r>
      <w:r>
        <w:rPr>
          <w:w w:val="100"/>
        </w:rPr>
        <w:t> </w:t>
      </w:r>
      <w:r>
        <w:rPr>
          <w:spacing w:val="-4"/>
        </w:rPr>
        <w:t>资产负债表日，对于当期和以前期间形成的当期所得税负债（或资产），以按照税法规定计算的预期</w:t>
      </w:r>
    </w:p>
    <w:p>
      <w:pPr>
        <w:pStyle w:val="BodyText"/>
        <w:spacing w:line="408" w:lineRule="auto"/>
        <w:ind w:right="92"/>
        <w:jc w:val="left"/>
      </w:pPr>
      <w:r>
        <w:rPr>
          <w:spacing w:val="-2"/>
        </w:rPr>
        <w:t>应交纳（或返还）的所得税金额计量。计算当期所得税费用所依据的应纳税所得额系根据有关税法规定对</w:t>
      </w:r>
      <w:r>
        <w:rPr>
          <w:spacing w:val="-42"/>
        </w:rPr>
        <w:t> </w:t>
      </w:r>
      <w:r>
        <w:rPr>
          <w:spacing w:val="-42"/>
        </w:rPr>
      </w:r>
      <w:r>
        <w:rPr/>
        <w:t>本年度税前会计利润作相应调整后计算得出。</w:t>
      </w:r>
    </w:p>
    <w:p>
      <w:pPr>
        <w:pStyle w:val="BodyText"/>
        <w:spacing w:line="410" w:lineRule="auto"/>
        <w:ind w:left="633" w:right="92"/>
        <w:jc w:val="left"/>
      </w:pPr>
      <w:r>
        <w:rPr/>
        <w:t>（</w:t>
      </w:r>
      <w:r>
        <w:rPr>
          <w:rFonts w:ascii="宋体" w:hAnsi="宋体" w:cs="宋体" w:eastAsia="宋体" w:hint="default"/>
        </w:rPr>
        <w:t>2</w:t>
      </w:r>
      <w:r>
        <w:rPr/>
        <w:t>）递延所得税资产及递延所得税负债</w:t>
      </w:r>
      <w:r>
        <w:rPr>
          <w:w w:val="100"/>
        </w:rPr>
        <w:t> </w:t>
      </w:r>
      <w:r>
        <w:rPr>
          <w:spacing w:val="-4"/>
        </w:rPr>
        <w:t>某些资产、负债项目的账面价值与其计税基础之间的差额，以及未作为资产和负债确认但按照税法规</w:t>
      </w:r>
    </w:p>
    <w:p>
      <w:pPr>
        <w:pStyle w:val="BodyText"/>
        <w:spacing w:line="408" w:lineRule="auto" w:before="44"/>
        <w:ind w:right="92"/>
        <w:jc w:val="left"/>
      </w:pPr>
      <w:r>
        <w:rPr>
          <w:spacing w:val="-2"/>
        </w:rPr>
        <w:t>定可以确定其计税基础的项目的账面价值与计税基础之间的差额产生的暂时性差异，采用资产负债表债务</w:t>
      </w:r>
      <w:r>
        <w:rPr>
          <w:spacing w:val="-43"/>
        </w:rPr>
        <w:t> </w:t>
      </w:r>
      <w:r>
        <w:rPr>
          <w:spacing w:val="-43"/>
        </w:rPr>
      </w:r>
      <w:r>
        <w:rPr/>
        <w:t>法确认递延所得税资产及递延所得税负债。</w:t>
      </w:r>
    </w:p>
    <w:p>
      <w:pPr>
        <w:pStyle w:val="BodyText"/>
        <w:spacing w:line="408" w:lineRule="auto"/>
        <w:ind w:right="92" w:firstLine="480"/>
        <w:jc w:val="left"/>
      </w:pPr>
      <w:r>
        <w:rPr>
          <w:spacing w:val="-4"/>
        </w:rPr>
        <w:t>与商誉的初始确认有关，以及与既不是企业合并、发生时也不影响会计利润和应纳税所得额（或可抵</w:t>
      </w:r>
      <w:r>
        <w:rPr>
          <w:w w:val="100"/>
        </w:rPr>
        <w:t> </w:t>
      </w:r>
      <w:r>
        <w:rPr>
          <w:spacing w:val="-2"/>
        </w:rPr>
        <w:t>扣亏损）的交易中产生的资产或负债的初始确认有关的应纳税暂时性差异，不予确认有关的递延所得税负</w:t>
      </w:r>
      <w:r>
        <w:rPr>
          <w:spacing w:val="-43"/>
        </w:rPr>
        <w:t> </w:t>
      </w:r>
      <w:r>
        <w:rPr>
          <w:spacing w:val="-43"/>
        </w:rPr>
      </w:r>
      <w:r>
        <w:rPr>
          <w:spacing w:val="-2"/>
        </w:rPr>
        <w:t>债。此外，对与子公司、联营企业及合营企业投资相关的应纳税暂时性差异，如果本公司能够控制暂时性</w:t>
      </w:r>
      <w:r>
        <w:rPr>
          <w:spacing w:val="-44"/>
        </w:rPr>
        <w:t> </w:t>
      </w:r>
      <w:r>
        <w:rPr>
          <w:spacing w:val="-44"/>
        </w:rPr>
      </w:r>
      <w:r>
        <w:rPr>
          <w:spacing w:val="-5"/>
        </w:rPr>
        <w:t>差异转回的时间，而且该暂时性差异在可预见的未来很可能不会转回，也不予确认有关的递延所得税负债。 </w:t>
      </w:r>
      <w:r>
        <w:rPr>
          <w:spacing w:val="-5"/>
        </w:rPr>
      </w:r>
      <w:r>
        <w:rPr/>
        <w:t>除上述例外情况，本公司确认其他所有应纳税暂时性差异产生的递延所得税负债。</w:t>
      </w:r>
    </w:p>
    <w:p>
      <w:pPr>
        <w:pStyle w:val="BodyText"/>
        <w:spacing w:line="408" w:lineRule="auto"/>
        <w:ind w:right="206" w:firstLine="480"/>
        <w:jc w:val="both"/>
      </w:pPr>
      <w:r>
        <w:rPr>
          <w:spacing w:val="-4"/>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44"/>
        </w:rPr>
        <w:t> </w:t>
      </w:r>
      <w:r>
        <w:rPr>
          <w:spacing w:val="-44"/>
        </w:rPr>
      </w:r>
      <w:r>
        <w:rPr>
          <w:spacing w:val="-2"/>
        </w:rPr>
        <w:t>企业及合营企业投资相关的可抵扣暂时性差异，如果暂时性差异在可预见的未来不是很可能转回，或者未</w:t>
      </w:r>
      <w:r>
        <w:rPr>
          <w:spacing w:val="-44"/>
        </w:rPr>
        <w:t> </w:t>
      </w:r>
      <w:r>
        <w:rPr>
          <w:spacing w:val="-44"/>
        </w:rPr>
      </w:r>
      <w:r>
        <w:rPr>
          <w:spacing w:val="-2"/>
        </w:rPr>
        <w:t>来不是很可能获得用来抵扣可抵扣暂时性差异的应纳税所得额，不予确认有关的递延所得税资产。除上述</w:t>
      </w:r>
      <w:r>
        <w:rPr>
          <w:spacing w:val="-44"/>
        </w:rPr>
        <w:t> </w:t>
      </w:r>
      <w:r>
        <w:rPr>
          <w:spacing w:val="-44"/>
        </w:rPr>
      </w:r>
      <w:r>
        <w:rPr>
          <w:spacing w:val="-2"/>
        </w:rPr>
        <w:t>例外情况，本公司以很可能取得用来抵扣可抵扣暂时性差异的应纳税所得额为限，确认其他可抵扣暂时性</w:t>
      </w:r>
      <w:r>
        <w:rPr>
          <w:spacing w:val="-42"/>
        </w:rPr>
        <w:t> </w:t>
      </w:r>
      <w:r>
        <w:rPr>
          <w:spacing w:val="-42"/>
        </w:rPr>
      </w:r>
      <w:r>
        <w:rPr/>
        <w:t>差异产生的递延所得税资产。</w:t>
      </w:r>
    </w:p>
    <w:p>
      <w:pPr>
        <w:pStyle w:val="BodyText"/>
        <w:spacing w:line="408" w:lineRule="auto"/>
        <w:ind w:right="206" w:firstLine="480"/>
        <w:jc w:val="both"/>
      </w:pPr>
      <w:r>
        <w:rPr>
          <w:spacing w:val="-4"/>
        </w:rPr>
        <w:t>对于能够结转以后年度的可抵扣亏损和税款抵减，以很可能获得用来抵扣可抵扣亏损和税款抵减的未</w:t>
      </w:r>
      <w:r>
        <w:rPr>
          <w:w w:val="100"/>
        </w:rPr>
        <w:t> </w:t>
      </w:r>
      <w:r>
        <w:rPr/>
        <w:t>来应纳税所得额为限，确认相应的递延所得税资产。</w:t>
      </w:r>
    </w:p>
    <w:p>
      <w:pPr>
        <w:pStyle w:val="BodyText"/>
        <w:spacing w:line="408" w:lineRule="auto"/>
        <w:ind w:right="206" w:firstLine="480"/>
        <w:jc w:val="both"/>
      </w:pPr>
      <w:r>
        <w:rPr>
          <w:spacing w:val="-4"/>
        </w:rPr>
        <w:t>资产负债表日，对于递延所得税资产和递延所得税负债，根据税法规定，按照预期收回相关资产或清</w:t>
      </w:r>
      <w:r>
        <w:rPr>
          <w:w w:val="100"/>
        </w:rPr>
        <w:t> </w:t>
      </w:r>
      <w:r>
        <w:rPr/>
        <w:t>偿相关负债期间的适用税率计量。</w:t>
      </w:r>
    </w:p>
    <w:p>
      <w:pPr>
        <w:pStyle w:val="BodyText"/>
        <w:spacing w:line="408" w:lineRule="auto"/>
        <w:ind w:right="206" w:firstLine="480"/>
        <w:jc w:val="both"/>
      </w:pPr>
      <w:r>
        <w:rPr>
          <w:spacing w:val="-4"/>
        </w:rPr>
        <w:t>于资产负债表日，对递延所得税资产的账面价值进行复核，如果未来很可能无法获得足够的应纳税所</w:t>
      </w:r>
      <w:r>
        <w:rPr>
          <w:w w:val="100"/>
        </w:rPr>
        <w:t> </w:t>
      </w:r>
      <w:r>
        <w:rPr>
          <w:spacing w:val="-2"/>
        </w:rPr>
        <w:t>得额用以抵扣递延所得税资产的利益，则减记递延所得税资产的账面价值。在很可能获得足够的应纳税所</w:t>
      </w:r>
      <w:r>
        <w:rPr>
          <w:spacing w:val="-43"/>
        </w:rPr>
        <w:t> </w:t>
      </w:r>
      <w:r>
        <w:rPr>
          <w:spacing w:val="-43"/>
        </w:rPr>
      </w:r>
      <w:r>
        <w:rPr/>
        <w:t>得额时，减记的金额予以转回。</w:t>
      </w:r>
    </w:p>
    <w:p>
      <w:pPr>
        <w:pStyle w:val="BodyText"/>
        <w:spacing w:line="408" w:lineRule="auto"/>
        <w:ind w:left="633" w:right="3873"/>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0" w:firstLine="480"/>
        <w:jc w:val="left"/>
      </w:pPr>
      <w:r>
        <w:rPr/>
        <w:t>除确认为其他综合收益或直接计入股东权益的交易和事项相关的当期所得税和递延所得税计入其他</w:t>
      </w:r>
      <w:r>
        <w:rPr>
          <w:w w:val="100"/>
        </w:rPr>
        <w:t> </w:t>
      </w:r>
      <w:r>
        <w:rPr>
          <w:spacing w:val="-2"/>
        </w:rPr>
        <w:t>综合收益或股东权益，以及企业合并产生的递延所得税调整商誉的账面价值外，其余当期所得税和递延所</w:t>
      </w:r>
      <w:r>
        <w:rPr>
          <w:spacing w:val="-44"/>
        </w:rPr>
        <w:t> </w:t>
      </w:r>
      <w:r>
        <w:rPr>
          <w:spacing w:val="-44"/>
        </w:rPr>
      </w:r>
      <w:r>
        <w:rPr/>
        <w:t>得税费用或收益计入当期损益。</w:t>
      </w:r>
    </w:p>
    <w:p>
      <w:pPr>
        <w:pStyle w:val="BodyText"/>
        <w:spacing w:line="408" w:lineRule="auto"/>
        <w:ind w:left="633" w:right="0"/>
        <w:jc w:val="left"/>
      </w:pPr>
      <w:r>
        <w:rPr/>
        <w:t>（</w:t>
      </w:r>
      <w:r>
        <w:rPr>
          <w:rFonts w:ascii="宋体" w:hAnsi="宋体" w:cs="宋体" w:eastAsia="宋体" w:hint="default"/>
        </w:rPr>
        <w:t>4</w:t>
      </w:r>
      <w:r>
        <w:rPr/>
        <w:t>）所得税的抵销</w:t>
      </w:r>
      <w:r>
        <w:rPr>
          <w:w w:val="100"/>
        </w:rPr>
        <w:t> </w:t>
      </w:r>
      <w:r>
        <w:rPr>
          <w:spacing w:val="-4"/>
        </w:rPr>
        <w:t>当拥有以净额结算的法定权利，且意图以净额结算或取得资产、清偿负债同时进行时，本公司当期所</w:t>
      </w:r>
    </w:p>
    <w:p>
      <w:pPr>
        <w:pStyle w:val="BodyText"/>
        <w:spacing w:line="408" w:lineRule="auto"/>
        <w:ind w:left="633" w:right="0" w:hanging="481"/>
        <w:jc w:val="left"/>
      </w:pPr>
      <w:r>
        <w:rPr/>
        <w:t>得税资产及当期所得税负债以抵销后的净额列报。</w:t>
      </w:r>
      <w:r>
        <w:rPr>
          <w:w w:val="100"/>
        </w:rPr>
        <w:t> </w:t>
      </w:r>
      <w:r>
        <w:rPr>
          <w:spacing w:val="-4"/>
        </w:rPr>
        <w:t>当拥有以净额结算当期所得税资产及当期所得税负债的法定权利，且递延所得税资产及递延所得税负</w:t>
      </w:r>
    </w:p>
    <w:p>
      <w:pPr>
        <w:pStyle w:val="BodyText"/>
        <w:spacing w:line="408" w:lineRule="auto"/>
        <w:ind w:right="14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债或是同时取得资产、清偿负债时，本公司递延所得税资产及递延所得税负债以抵销后的净额列报。</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31</w:t>
      </w:r>
      <w:r>
        <w:rPr/>
        <w:t>、租赁</w:t>
      </w:r>
      <w:r>
        <w:rPr>
          <w:b w:val="0"/>
          <w:bCs w:val="0"/>
        </w:rPr>
      </w:r>
    </w:p>
    <w:p>
      <w:pPr>
        <w:spacing w:line="768" w:lineRule="exact" w:before="124"/>
        <w:ind w:left="738" w:right="0" w:hanging="58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融资租赁为实质上转移了与资产所有权有关的全部风险和报酬的租赁，其所有权最终可能转移，也</w:t>
      </w:r>
    </w:p>
    <w:p>
      <w:pPr>
        <w:pStyle w:val="BodyText"/>
        <w:spacing w:line="240" w:lineRule="auto" w:before="69"/>
        <w:ind w:right="0"/>
        <w:jc w:val="left"/>
      </w:pPr>
      <w:r>
        <w:rPr/>
        <w:t>可能不转移。融资租赁以外的其他租赁为经营租赁</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t>（</w:t>
      </w:r>
      <w:r>
        <w:rPr>
          <w:rFonts w:ascii="宋体" w:hAnsi="宋体" w:cs="宋体" w:eastAsia="宋体" w:hint="default"/>
        </w:rPr>
        <w:t>1</w:t>
      </w:r>
      <w:r>
        <w:rPr/>
        <w:t>）本公司作为承租人记录经营租赁业务</w:t>
      </w:r>
      <w:r>
        <w:rPr>
          <w:w w:val="100"/>
        </w:rPr>
        <w:t> </w:t>
      </w:r>
      <w:r>
        <w:rPr>
          <w:spacing w:val="-4"/>
          <w:w w:val="100"/>
        </w:rPr>
        <w:t>经营租赁的租金支出在租赁期内的各个期间按直线法计入相关资产成本或当期损益。初始直接费用计</w:t>
      </w:r>
    </w:p>
    <w:p>
      <w:pPr>
        <w:pStyle w:val="BodyText"/>
        <w:spacing w:line="240" w:lineRule="auto"/>
        <w:ind w:right="0"/>
        <w:jc w:val="left"/>
      </w:pPr>
      <w:r>
        <w:rPr/>
        <w:t>入当期损益。或有租金于实际发生时计入当期损益。</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t>（</w:t>
      </w:r>
      <w:r>
        <w:rPr>
          <w:rFonts w:ascii="宋体" w:hAnsi="宋体" w:cs="宋体" w:eastAsia="宋体" w:hint="default"/>
        </w:rPr>
        <w:t>2</w:t>
      </w:r>
      <w:r>
        <w:rPr/>
        <w:t>）本公司作为出租人记录经营租赁业务</w:t>
      </w:r>
      <w:r>
        <w:rPr>
          <w:w w:val="100"/>
        </w:rPr>
        <w:t> </w:t>
      </w:r>
      <w:r>
        <w:rPr>
          <w:spacing w:val="-4"/>
        </w:rPr>
        <w:t>经营租赁的租金收入在租赁期内的各个期间按直线法确认为当期损益。对金额较大的初始直接费用于</w:t>
      </w:r>
    </w:p>
    <w:p>
      <w:pPr>
        <w:pStyle w:val="BodyText"/>
        <w:spacing w:line="408" w:lineRule="auto"/>
        <w:ind w:right="0"/>
        <w:jc w:val="left"/>
      </w:pPr>
      <w:r>
        <w:rPr>
          <w:spacing w:val="-2"/>
        </w:rPr>
        <w:t>发生时予以资本化，在整个租赁期间内按照与确认租金收入相同的基础分期计入当期损益；其他金额较小</w:t>
      </w:r>
      <w:r>
        <w:rPr>
          <w:spacing w:val="-42"/>
        </w:rPr>
        <w:t> </w:t>
      </w:r>
      <w:r>
        <w:rPr>
          <w:spacing w:val="-42"/>
        </w:rPr>
      </w:r>
      <w:r>
        <w:rPr/>
        <w:t>的初始直接费用于发生时计入当期损益。或有租金于实际发生时计入当期损益。</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left="633" w:right="0"/>
        <w:jc w:val="left"/>
      </w:pPr>
      <w:r>
        <w:rPr/>
        <w:t>（</w:t>
      </w:r>
      <w:r>
        <w:rPr>
          <w:rFonts w:ascii="宋体" w:hAnsi="宋体" w:cs="宋体" w:eastAsia="宋体" w:hint="default"/>
        </w:rPr>
        <w:t>1</w:t>
      </w:r>
      <w:r>
        <w:rPr/>
        <w:t>）本公司作为承租人记录融资租赁业务</w:t>
      </w:r>
      <w:r>
        <w:rPr>
          <w:w w:val="100"/>
        </w:rPr>
        <w:t> </w:t>
      </w:r>
      <w:r>
        <w:rPr>
          <w:spacing w:val="-4"/>
          <w:w w:val="100"/>
        </w:rPr>
        <w:t>于租赁期开始日，将租赁开始日租赁资产的公允价值与最低租赁付款额现值两者中较低者作为租入资</w:t>
      </w:r>
    </w:p>
    <w:p>
      <w:pPr>
        <w:pStyle w:val="BodyText"/>
        <w:spacing w:line="408" w:lineRule="auto"/>
        <w:ind w:right="0"/>
        <w:jc w:val="left"/>
      </w:pPr>
      <w:r>
        <w:rPr>
          <w:spacing w:val="-2"/>
        </w:rPr>
        <w:t>产的入账价值，将最低租赁付款额作为长期应付款的入账价值，其差额作为未确认融资费用。此外，在租</w:t>
      </w:r>
      <w:r>
        <w:rPr>
          <w:spacing w:val="-47"/>
        </w:rPr>
        <w:t> </w:t>
      </w:r>
      <w:r>
        <w:rPr>
          <w:spacing w:val="-47"/>
        </w:rPr>
      </w:r>
      <w:r>
        <w:rPr>
          <w:spacing w:val="-2"/>
        </w:rPr>
        <w:t>赁谈判和签订租赁合同过程中发生的，可归属于租赁项目的初始直接费用也计入租入资产价值。最低租赁</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0" w:hanging="481"/>
        <w:jc w:val="left"/>
      </w:pPr>
      <w:r>
        <w:rPr/>
        <w:t>付款额扣除未确认融资费用后的余额分别长期负债和一年内到期的长期负债列示。</w:t>
      </w:r>
      <w:r>
        <w:rPr>
          <w:w w:val="100"/>
        </w:rPr>
        <w:t> </w:t>
      </w:r>
      <w:r>
        <w:rPr>
          <w:spacing w:val="-4"/>
        </w:rPr>
        <w:t>未确认融资费用在租赁期内采用实际利率法计算确认当期的融资费用。或有租金于实际发生时计入当</w:t>
      </w:r>
    </w:p>
    <w:p>
      <w:pPr>
        <w:pStyle w:val="BodyText"/>
        <w:spacing w:line="240" w:lineRule="auto"/>
        <w:ind w:right="0"/>
        <w:jc w:val="both"/>
      </w:pPr>
      <w:r>
        <w:rPr/>
        <w:t>期损益。</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于租赁期开始日，将租赁开始日最低租赁收款额与初始直接费用之和作为应收融资租赁款的入账价</w:t>
      </w:r>
    </w:p>
    <w:p>
      <w:pPr>
        <w:pStyle w:val="BodyText"/>
        <w:spacing w:line="408" w:lineRule="auto"/>
        <w:ind w:right="146"/>
        <w:jc w:val="both"/>
      </w:pPr>
      <w:r>
        <w:rPr>
          <w:spacing w:val="-2"/>
        </w:rPr>
        <w:t>值，同时记录未担保余值；将最低租赁收款额、初始直接费用及未担保余值之和与其现值之和的差额确认</w:t>
      </w:r>
      <w:r>
        <w:rPr>
          <w:spacing w:val="-43"/>
        </w:rPr>
        <w:t> </w:t>
      </w:r>
      <w:r>
        <w:rPr>
          <w:spacing w:val="-43"/>
        </w:rPr>
      </w:r>
      <w:r>
        <w:rPr>
          <w:spacing w:val="-2"/>
        </w:rPr>
        <w:t>为未实现融资收益。应收融资租赁款扣除未实现融资收益后的余额分别长期债权和一年内到期的长期债权</w:t>
      </w:r>
      <w:r>
        <w:rPr>
          <w:spacing w:val="-43"/>
        </w:rPr>
        <w:t> </w:t>
      </w:r>
      <w:r>
        <w:rPr>
          <w:spacing w:val="-43"/>
        </w:rPr>
      </w:r>
      <w:r>
        <w:rPr/>
        <w:t>列示。</w:t>
      </w:r>
    </w:p>
    <w:p>
      <w:pPr>
        <w:pStyle w:val="BodyText"/>
        <w:spacing w:line="408" w:lineRule="auto"/>
        <w:ind w:right="0" w:firstLine="480"/>
        <w:jc w:val="left"/>
      </w:pPr>
      <w:r>
        <w:rPr>
          <w:spacing w:val="-4"/>
        </w:rPr>
        <w:t>未实现融资收益在租赁期内采用实际利率法计算确认当期的融资收入。或有租金于实际发生时计入当</w:t>
      </w:r>
      <w:r>
        <w:rPr>
          <w:w w:val="100"/>
        </w:rPr>
        <w:t> </w:t>
      </w:r>
      <w:r>
        <w:rPr/>
        <w:t>期损益。</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32</w:t>
      </w:r>
      <w:r>
        <w:rPr/>
        <w:t>、其他重要的会计政策和会计估计</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146" w:firstLine="422"/>
        <w:jc w:val="both"/>
      </w:pPr>
      <w:r>
        <w:rPr>
          <w:spacing w:val="-2"/>
        </w:rPr>
        <w:t>本公司在运用会计政策过程中，由于经营活动内在的不确定性，本公司需要对无法准确计量的报表项</w:t>
      </w:r>
      <w:r>
        <w:rPr>
          <w:w w:val="100"/>
        </w:rPr>
        <w:t> </w:t>
      </w:r>
      <w:r>
        <w:rPr>
          <w:spacing w:val="-2"/>
        </w:rPr>
        <w:t>目的账面价值进行判断、估计和假设。这些判断、估计和假设是基于本公司管理层过去的历史经验，并在</w:t>
      </w:r>
      <w:r>
        <w:rPr>
          <w:spacing w:val="-47"/>
        </w:rPr>
        <w:t> </w:t>
      </w:r>
      <w:r>
        <w:rPr>
          <w:spacing w:val="-47"/>
        </w:rPr>
      </w:r>
      <w:r>
        <w:rPr>
          <w:spacing w:val="-2"/>
        </w:rPr>
        <w:t>考虑其他相关因素的基础上做出的。这些判断、估计和假设会影响收入、费用、资产和负债的报告金额以</w:t>
      </w:r>
      <w:r>
        <w:rPr>
          <w:spacing w:val="-47"/>
        </w:rPr>
        <w:t> </w:t>
      </w:r>
      <w:r>
        <w:rPr>
          <w:spacing w:val="-47"/>
        </w:rPr>
      </w:r>
      <w:r>
        <w:rPr>
          <w:spacing w:val="-2"/>
        </w:rPr>
        <w:t>及资产负债表日或有负债的披露。然而，这些估计的不确定性所导致的实际结果可能与本公司管理层当前</w:t>
      </w:r>
      <w:r>
        <w:rPr>
          <w:spacing w:val="-44"/>
        </w:rPr>
        <w:t> </w:t>
      </w:r>
      <w:r>
        <w:rPr>
          <w:spacing w:val="-44"/>
        </w:rPr>
      </w:r>
      <w:r>
        <w:rPr/>
        <w:t>的估计存在差异，进而造成对未来受影响的资产或负债的账面金额进行重大调整。</w:t>
      </w:r>
    </w:p>
    <w:p>
      <w:pPr>
        <w:pStyle w:val="BodyText"/>
        <w:spacing w:line="408" w:lineRule="auto"/>
        <w:ind w:right="0" w:firstLine="526"/>
        <w:jc w:val="left"/>
      </w:pPr>
      <w:r>
        <w:rPr/>
        <w:t>本公司对前述判断、估计和假设在持续经营的基础上进行定期复核，会计估计的变更仅影响变更当</w:t>
      </w:r>
      <w:r>
        <w:rPr>
          <w:w w:val="100"/>
        </w:rPr>
        <w:t> </w:t>
      </w:r>
      <w:r>
        <w:rPr>
          <w:spacing w:val="-2"/>
        </w:rPr>
        <w:t>期的，其影响数在变更当期予以确认；既影响变更当期又影响未来期间的，其影响数在变更当期和未来期</w:t>
      </w:r>
      <w:r>
        <w:rPr>
          <w:spacing w:val="-43"/>
        </w:rPr>
        <w:t> </w:t>
      </w:r>
      <w:r>
        <w:rPr>
          <w:spacing w:val="-43"/>
        </w:rPr>
      </w:r>
      <w:r>
        <w:rPr/>
        <w:t>间予以确认。</w:t>
      </w:r>
    </w:p>
    <w:p>
      <w:pPr>
        <w:pStyle w:val="BodyText"/>
        <w:spacing w:line="240" w:lineRule="auto"/>
        <w:ind w:left="633" w:right="0"/>
        <w:jc w:val="left"/>
      </w:pPr>
      <w:r>
        <w:rPr/>
        <w:t>于资产负债表日，本公司需对财务报表项目金额进行判断、估计和假设的重要领域如下：</w:t>
      </w:r>
    </w:p>
    <w:p>
      <w:pPr>
        <w:spacing w:line="240" w:lineRule="auto" w:before="11"/>
        <w:rPr>
          <w:rFonts w:ascii="宋体" w:hAnsi="宋体" w:cs="宋体" w:eastAsia="宋体" w:hint="default"/>
          <w:sz w:val="14"/>
          <w:szCs w:val="14"/>
        </w:rPr>
      </w:pPr>
    </w:p>
    <w:p>
      <w:pPr>
        <w:pStyle w:val="BodyText"/>
        <w:spacing w:line="408" w:lineRule="auto" w:before="0"/>
        <w:ind w:left="633" w:right="0"/>
        <w:jc w:val="left"/>
      </w:pPr>
      <w:r>
        <w:rPr/>
        <w:t>（</w:t>
      </w:r>
      <w:r>
        <w:rPr>
          <w:rFonts w:ascii="宋体" w:hAnsi="宋体" w:cs="宋体" w:eastAsia="宋体" w:hint="default"/>
        </w:rPr>
        <w:t>1</w:t>
      </w:r>
      <w:r>
        <w:rPr/>
        <w:t>）租赁的归类</w:t>
      </w:r>
      <w:r>
        <w:rPr>
          <w:w w:val="100"/>
        </w:rPr>
        <w:t> </w:t>
      </w:r>
      <w:r>
        <w:rPr>
          <w:spacing w:val="-4"/>
        </w:rPr>
        <w:t>本公司根据《企业会计准则第</w:t>
      </w:r>
      <w:r>
        <w:rPr>
          <w:rFonts w:ascii="宋体" w:hAnsi="宋体" w:cs="宋体" w:eastAsia="宋体" w:hint="default"/>
          <w:spacing w:val="-4"/>
        </w:rPr>
        <w:t>21</w:t>
      </w:r>
      <w:r>
        <w:rPr>
          <w:spacing w:val="-4"/>
        </w:rPr>
        <w:t>号——租赁》的规定，将租赁归类为经营租赁和融资租赁，在进行归</w:t>
      </w:r>
    </w:p>
    <w:p>
      <w:pPr>
        <w:pStyle w:val="BodyText"/>
        <w:spacing w:line="408" w:lineRule="auto"/>
        <w:ind w:right="146"/>
        <w:jc w:val="both"/>
      </w:pPr>
      <w:r>
        <w:rPr>
          <w:spacing w:val="-2"/>
        </w:rPr>
        <w:t>类时，管理层需要对是否已将与租出资产所有权有关的全部风险和报酬实质上转移给承租人，或者本公司</w:t>
      </w:r>
      <w:r>
        <w:rPr>
          <w:spacing w:val="-43"/>
        </w:rPr>
        <w:t> </w:t>
      </w:r>
      <w:r>
        <w:rPr>
          <w:spacing w:val="-43"/>
        </w:rPr>
      </w:r>
      <w:r>
        <w:rPr/>
        <w:t>是否已经实质上承担与租入资产所有权有关的全部风险和报酬，作出分析和判断。</w:t>
      </w:r>
    </w:p>
    <w:p>
      <w:pPr>
        <w:pStyle w:val="BodyText"/>
        <w:spacing w:line="408" w:lineRule="auto"/>
        <w:ind w:left="633" w:right="0"/>
        <w:jc w:val="left"/>
      </w:pPr>
      <w:r>
        <w:rPr/>
        <w:t>（</w:t>
      </w:r>
      <w:r>
        <w:rPr>
          <w:rFonts w:ascii="宋体" w:hAnsi="宋体" w:cs="宋体" w:eastAsia="宋体" w:hint="default"/>
        </w:rPr>
        <w:t>2</w:t>
      </w:r>
      <w:r>
        <w:rPr/>
        <w:t>）坏账准备计提</w:t>
      </w:r>
      <w:r>
        <w:rPr>
          <w:w w:val="100"/>
        </w:rPr>
        <w:t> </w:t>
      </w:r>
      <w:r>
        <w:rPr>
          <w:spacing w:val="-4"/>
        </w:rPr>
        <w:t>本公司根据应收款项的会计政策，采用备抵法核算坏账损失。应收款项减值是基于评估应收款项的可</w:t>
      </w:r>
    </w:p>
    <w:p>
      <w:pPr>
        <w:pStyle w:val="BodyText"/>
        <w:spacing w:line="408" w:lineRule="auto"/>
        <w:ind w:right="146"/>
        <w:jc w:val="both"/>
      </w:pPr>
      <w:r>
        <w:rPr>
          <w:spacing w:val="-2"/>
        </w:rPr>
        <w:t>收回性。鉴定应收款项减值要求管理层的判断和估计。实际的结果与原先估计的差异将在估计被改变的期</w:t>
      </w:r>
      <w:r>
        <w:rPr>
          <w:spacing w:val="-44"/>
        </w:rPr>
        <w:t> </w:t>
      </w:r>
      <w:r>
        <w:rPr>
          <w:spacing w:val="-44"/>
        </w:rPr>
      </w:r>
      <w:r>
        <w:rPr/>
        <w:t>间影响应收款项的账面价值及应收款项坏账准备的计提或转回。</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92"/>
        <w:jc w:val="left"/>
      </w:pPr>
      <w:r>
        <w:rPr/>
        <w:t>（</w:t>
      </w:r>
      <w:r>
        <w:rPr>
          <w:rFonts w:ascii="宋体" w:hAnsi="宋体" w:cs="宋体" w:eastAsia="宋体" w:hint="default"/>
        </w:rPr>
        <w:t>3</w:t>
      </w:r>
      <w:r>
        <w:rPr/>
        <w:t>）存货跌价准备</w:t>
      </w:r>
      <w:r>
        <w:rPr>
          <w:w w:val="100"/>
        </w:rPr>
        <w:t> </w:t>
      </w:r>
      <w:r>
        <w:rPr>
          <w:spacing w:val="-4"/>
        </w:rPr>
        <w:t>本公司根据存货会计政策，按照成本与可变现净值孰低计量，对成本高于可变现净值及陈旧和滞销的</w:t>
      </w:r>
    </w:p>
    <w:p>
      <w:pPr>
        <w:pStyle w:val="BodyText"/>
        <w:spacing w:line="408" w:lineRule="auto"/>
        <w:ind w:right="206"/>
        <w:jc w:val="both"/>
      </w:pPr>
      <w:r>
        <w:rPr>
          <w:spacing w:val="-2"/>
        </w:rPr>
        <w:t>存货，计提存货跌价准备。存货减值至可变现净值是基于评估存货的可售性及其可变现净值。鉴定存货减</w:t>
      </w:r>
      <w:r>
        <w:rPr>
          <w:spacing w:val="-45"/>
        </w:rPr>
        <w:t> </w:t>
      </w:r>
      <w:r>
        <w:rPr>
          <w:spacing w:val="-45"/>
        </w:rPr>
      </w:r>
      <w:r>
        <w:rPr>
          <w:spacing w:val="-2"/>
        </w:rPr>
        <w:t>值要求管理层在取得确凿证据，并且考虑持有存货的目的、资产负债表日后事项的影响等因素的基础上作</w:t>
      </w:r>
      <w:r>
        <w:rPr>
          <w:spacing w:val="-43"/>
        </w:rPr>
        <w:t> </w:t>
      </w:r>
      <w:r>
        <w:rPr>
          <w:spacing w:val="-43"/>
        </w:rPr>
      </w:r>
      <w:r>
        <w:rPr>
          <w:spacing w:val="-2"/>
        </w:rPr>
        <w:t>出判断和估计。实际的结果与原先估计的差异将在估计被改变的期间影响存货的账面价值及存货跌价准备</w:t>
      </w:r>
      <w:r>
        <w:rPr>
          <w:spacing w:val="-43"/>
        </w:rPr>
        <w:t> </w:t>
      </w:r>
      <w:r>
        <w:rPr>
          <w:spacing w:val="-43"/>
        </w:rPr>
      </w:r>
      <w:r>
        <w:rPr/>
        <w:t>的计提或转回。</w:t>
      </w:r>
    </w:p>
    <w:p>
      <w:pPr>
        <w:pStyle w:val="BodyText"/>
        <w:spacing w:line="410" w:lineRule="auto"/>
        <w:ind w:left="633" w:right="92"/>
        <w:jc w:val="left"/>
      </w:pPr>
      <w:r>
        <w:rPr/>
        <w:t>（</w:t>
      </w:r>
      <w:r>
        <w:rPr>
          <w:rFonts w:ascii="宋体" w:hAnsi="宋体" w:cs="宋体" w:eastAsia="宋体" w:hint="default"/>
        </w:rPr>
        <w:t>4</w:t>
      </w:r>
      <w:r>
        <w:rPr/>
        <w:t>）金融工具公允价值</w:t>
      </w:r>
      <w:r>
        <w:rPr>
          <w:w w:val="100"/>
        </w:rPr>
        <w:t> </w:t>
      </w:r>
      <w:r>
        <w:rPr>
          <w:spacing w:val="-4"/>
        </w:rPr>
        <w:t>对不存在活跃交易市场的金融工具，本公司通过各种估值方法确定其公允价值。这些估值方法包括贴</w:t>
      </w:r>
    </w:p>
    <w:p>
      <w:pPr>
        <w:pStyle w:val="BodyText"/>
        <w:spacing w:line="408" w:lineRule="auto" w:before="44"/>
        <w:ind w:right="101"/>
        <w:jc w:val="both"/>
      </w:pPr>
      <w:r>
        <w:rPr>
          <w:spacing w:val="-5"/>
        </w:rPr>
        <w:t>现现金流模型分析等。估值时本公司需对未来现金流量、信用风险、市场波动率和相关性等方面进行估计，</w:t>
      </w:r>
      <w:r>
        <w:rPr>
          <w:spacing w:val="-4"/>
        </w:rPr>
        <w:t> </w:t>
      </w:r>
      <w:r>
        <w:rPr>
          <w:spacing w:val="-4"/>
        </w:rPr>
      </w:r>
      <w:r>
        <w:rPr/>
        <w:t>并选择适当的折现率。这些相关假设具有不确定性，其变化会对金融工具的公允价值产生影响。</w:t>
      </w:r>
    </w:p>
    <w:p>
      <w:pPr>
        <w:pStyle w:val="BodyText"/>
        <w:spacing w:line="408" w:lineRule="auto"/>
        <w:ind w:left="633" w:right="92"/>
        <w:jc w:val="left"/>
      </w:pPr>
      <w:r>
        <w:rPr/>
        <w:t>（</w:t>
      </w:r>
      <w:r>
        <w:rPr>
          <w:rFonts w:ascii="宋体" w:hAnsi="宋体" w:cs="宋体" w:eastAsia="宋体" w:hint="default"/>
        </w:rPr>
        <w:t>5</w:t>
      </w:r>
      <w:r>
        <w:rPr/>
        <w:t>）可供出售金融资产减值</w:t>
      </w:r>
      <w:r>
        <w:rPr>
          <w:w w:val="100"/>
        </w:rPr>
        <w:t> </w:t>
      </w:r>
      <w:r>
        <w:rPr>
          <w:spacing w:val="-4"/>
        </w:rPr>
        <w:t>本公司确定可供出售金融资产是否减值在很大程度上依赖于管理层的判断和假设，以确定是否需要在</w:t>
      </w:r>
    </w:p>
    <w:p>
      <w:pPr>
        <w:pStyle w:val="BodyText"/>
        <w:spacing w:line="408" w:lineRule="auto"/>
        <w:ind w:right="185"/>
        <w:jc w:val="both"/>
      </w:pPr>
      <w:r>
        <w:rPr>
          <w:spacing w:val="-2"/>
        </w:rPr>
        <w:t>利润表中确认其减值损失。在进行判断和作出假设的过程中，本公司需评估该项投资的公允价值低于成本</w:t>
      </w:r>
      <w:r>
        <w:rPr>
          <w:spacing w:val="-43"/>
        </w:rPr>
        <w:t> </w:t>
      </w:r>
      <w:r>
        <w:rPr>
          <w:spacing w:val="-43"/>
        </w:rPr>
      </w:r>
      <w:r>
        <w:rPr>
          <w:spacing w:val="-2"/>
        </w:rPr>
        <w:t>的程度和持续期间，以及被投资对象的财务状况和短期业务展望，包括行业状况、技术变革、信用评级、</w:t>
      </w:r>
      <w:r>
        <w:rPr>
          <w:spacing w:val="-21"/>
        </w:rPr>
        <w:t> </w:t>
      </w:r>
      <w:r>
        <w:rPr>
          <w:spacing w:val="-21"/>
        </w:rPr>
      </w:r>
      <w:r>
        <w:rPr/>
        <w:t>违约率和对手方的风险。</w:t>
      </w:r>
    </w:p>
    <w:p>
      <w:pPr>
        <w:pStyle w:val="BodyText"/>
        <w:spacing w:line="408" w:lineRule="auto"/>
        <w:ind w:left="633" w:right="92"/>
        <w:jc w:val="left"/>
      </w:pPr>
      <w:r>
        <w:rPr/>
        <w:t>（</w:t>
      </w:r>
      <w:r>
        <w:rPr>
          <w:rFonts w:ascii="宋体" w:hAnsi="宋体" w:cs="宋体" w:eastAsia="宋体" w:hint="default"/>
        </w:rPr>
        <w:t>6</w:t>
      </w:r>
      <w:r>
        <w:rPr/>
        <w:t>）长期资产减值准备</w:t>
      </w:r>
      <w:r>
        <w:rPr>
          <w:w w:val="100"/>
        </w:rPr>
        <w:t> </w:t>
      </w:r>
      <w:r>
        <w:rPr>
          <w:spacing w:val="-4"/>
        </w:rPr>
        <w:t>本公司于资产负债表日对除金融资产之外的非流动资产判断是否存在可能发生减值的迹象。对使用寿</w:t>
      </w:r>
    </w:p>
    <w:p>
      <w:pPr>
        <w:pStyle w:val="BodyText"/>
        <w:spacing w:line="408" w:lineRule="auto"/>
        <w:ind w:right="211"/>
        <w:jc w:val="both"/>
      </w:pPr>
      <w:r>
        <w:rPr>
          <w:spacing w:val="-2"/>
        </w:rPr>
        <w:t>命不确定的无形资产，除每年进行的减值测试外，当其存在减值迹象时，也进行减值测试。其他除金融资</w:t>
      </w:r>
      <w:r>
        <w:rPr>
          <w:spacing w:val="-50"/>
        </w:rPr>
        <w:t> </w:t>
      </w:r>
      <w:r>
        <w:rPr>
          <w:spacing w:val="-50"/>
        </w:rPr>
      </w:r>
      <w:r>
        <w:rPr/>
        <w:t>产之外的非流动资产，当存在迹象表明其账面金额不可收回时，进行减值测试。</w:t>
      </w:r>
    </w:p>
    <w:p>
      <w:pPr>
        <w:pStyle w:val="BodyText"/>
        <w:spacing w:line="408" w:lineRule="auto"/>
        <w:ind w:right="206" w:firstLine="480"/>
        <w:jc w:val="both"/>
      </w:pPr>
      <w:r>
        <w:rPr>
          <w:spacing w:val="-4"/>
        </w:rPr>
        <w:t>当资产或资产组的账面价值高于可收回金额，即公允价值减去处置费用后的净额和预计未来现金流量</w:t>
      </w:r>
      <w:r>
        <w:rPr>
          <w:w w:val="100"/>
        </w:rPr>
        <w:t> </w:t>
      </w:r>
      <w:r>
        <w:rPr/>
        <w:t>的现值中的较高者，表明发生了减值。</w:t>
      </w:r>
    </w:p>
    <w:p>
      <w:pPr>
        <w:pStyle w:val="BodyText"/>
        <w:spacing w:line="408" w:lineRule="auto"/>
        <w:ind w:right="124" w:firstLine="480"/>
        <w:jc w:val="both"/>
      </w:pPr>
      <w:r>
        <w:rPr>
          <w:spacing w:val="-2"/>
        </w:rPr>
        <w:t>公允价值减去处置费用后的净额，参考公平交易中类似资产的销售协议价格或可观察到的市场价格，</w:t>
      </w:r>
      <w:r>
        <w:rPr>
          <w:w w:val="100"/>
        </w:rPr>
        <w:t> </w:t>
      </w:r>
      <w:r>
        <w:rPr/>
        <w:t>减去可直接归属于该资产处置的增量成本确定。</w:t>
      </w:r>
    </w:p>
    <w:p>
      <w:pPr>
        <w:pStyle w:val="BodyText"/>
        <w:spacing w:line="408" w:lineRule="auto"/>
        <w:ind w:right="206" w:firstLine="480"/>
        <w:jc w:val="both"/>
      </w:pPr>
      <w:r>
        <w:rPr>
          <w:spacing w:val="-4"/>
        </w:rPr>
        <w:t>在预计未来现金流量现值时，需要对该资产（或资产组）的产量、售价、相关经营成本以及计算现值</w:t>
      </w:r>
      <w:r>
        <w:rPr>
          <w:w w:val="100"/>
        </w:rPr>
        <w:t> </w:t>
      </w:r>
      <w:r>
        <w:rPr>
          <w:spacing w:val="-2"/>
        </w:rPr>
        <w:t>时使用的折现率等作出重大判断。本公司在估计可收回金额时会采用所有能够获得的相关资料，包括根据</w:t>
      </w:r>
      <w:r>
        <w:rPr>
          <w:spacing w:val="-43"/>
        </w:rPr>
        <w:t> </w:t>
      </w:r>
      <w:r>
        <w:rPr>
          <w:spacing w:val="-43"/>
        </w:rPr>
      </w:r>
      <w:r>
        <w:rPr/>
        <w:t>合理和可支持的假设所作出有关产量、售价和相关经营成本的预测。</w:t>
      </w:r>
    </w:p>
    <w:p>
      <w:pPr>
        <w:pStyle w:val="BodyText"/>
        <w:spacing w:line="408" w:lineRule="auto"/>
        <w:ind w:right="206" w:firstLine="480"/>
        <w:jc w:val="both"/>
      </w:pPr>
      <w:r>
        <w:rPr>
          <w:spacing w:val="-4"/>
        </w:rPr>
        <w:t>本公司至少每年测试商誉是否发生减值。这要求对分配了商誉的资产组或者资产组组合的未来现金流</w:t>
      </w:r>
      <w:r>
        <w:rPr>
          <w:w w:val="100"/>
        </w:rPr>
        <w:t> </w:t>
      </w:r>
      <w:r>
        <w:rPr>
          <w:spacing w:val="-2"/>
        </w:rPr>
        <w:t>量的现值进行预计。对未来现金流量的现值进行预计时，本公司需要预计未来资产组或者资产组组合产生</w:t>
      </w:r>
      <w:r>
        <w:rPr>
          <w:spacing w:val="-42"/>
        </w:rPr>
        <w:t> </w:t>
      </w:r>
      <w:r>
        <w:rPr>
          <w:spacing w:val="-42"/>
        </w:rPr>
      </w:r>
      <w:r>
        <w:rPr/>
        <w:t>的现金流量，同时选择恰当的折现率确定未来现金流量的现值。</w:t>
      </w:r>
    </w:p>
    <w:p>
      <w:pPr>
        <w:pStyle w:val="BodyText"/>
        <w:spacing w:line="240" w:lineRule="auto"/>
        <w:ind w:left="633" w:right="92"/>
        <w:jc w:val="left"/>
      </w:pPr>
      <w:r>
        <w:rPr/>
        <w:t>（</w:t>
      </w:r>
      <w:r>
        <w:rPr>
          <w:rFonts w:ascii="宋体" w:hAnsi="宋体" w:cs="宋体" w:eastAsia="宋体" w:hint="default"/>
        </w:rPr>
        <w:t>7</w:t>
      </w:r>
      <w:r>
        <w:rPr/>
        <w:t>）折旧和摊销</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6" w:firstLine="480"/>
        <w:jc w:val="both"/>
      </w:pPr>
      <w:r>
        <w:rPr>
          <w:spacing w:val="-4"/>
        </w:rPr>
        <w:t>本公司对投资性房地产、固定资产和无形资产在考虑其残值后，在使用寿命内按直线法计提折旧和摊</w:t>
      </w:r>
      <w:r>
        <w:rPr>
          <w:w w:val="100"/>
        </w:rPr>
        <w:t> </w:t>
      </w:r>
      <w:r>
        <w:rPr>
          <w:spacing w:val="-2"/>
        </w:rPr>
        <w:t>销。本公司定期复核使用寿命，以决定将计入每个报告期的折旧和摊销费用数额。使用寿命是本公司根据</w:t>
      </w:r>
      <w:r>
        <w:rPr>
          <w:spacing w:val="-44"/>
        </w:rPr>
        <w:t> </w:t>
      </w:r>
      <w:r>
        <w:rPr>
          <w:spacing w:val="-44"/>
        </w:rPr>
      </w:r>
      <w:r>
        <w:rPr>
          <w:spacing w:val="-2"/>
        </w:rPr>
        <w:t>对同类资产的以往经验并结合预期的技术更新而确定的。如果以前的估计发生重大变化，则会在未来期间</w:t>
      </w:r>
      <w:r>
        <w:rPr>
          <w:spacing w:val="-43"/>
        </w:rPr>
        <w:t> </w:t>
      </w:r>
      <w:r>
        <w:rPr>
          <w:spacing w:val="-43"/>
        </w:rPr>
      </w:r>
      <w:r>
        <w:rPr/>
        <w:t>对折旧和摊销费用进行调整。</w:t>
      </w:r>
    </w:p>
    <w:p>
      <w:pPr>
        <w:pStyle w:val="BodyText"/>
        <w:spacing w:line="408" w:lineRule="auto"/>
        <w:ind w:left="633" w:right="0"/>
        <w:jc w:val="left"/>
      </w:pPr>
      <w:r>
        <w:rPr/>
        <w:t>（</w:t>
      </w:r>
      <w:r>
        <w:rPr>
          <w:rFonts w:ascii="宋体" w:hAnsi="宋体" w:cs="宋体" w:eastAsia="宋体" w:hint="default"/>
        </w:rPr>
        <w:t>8</w:t>
      </w:r>
      <w:r>
        <w:rPr/>
        <w:t>）递延所得税资产</w:t>
      </w:r>
      <w:r>
        <w:rPr>
          <w:w w:val="100"/>
        </w:rPr>
        <w:t> </w:t>
      </w:r>
      <w:r>
        <w:rPr>
          <w:spacing w:val="-4"/>
          <w:w w:val="100"/>
        </w:rPr>
        <w:t>在很有可能有足够的应纳税利润来抵扣亏损的限度内，本公司就所有未利用的税务亏损确认递延所得</w:t>
      </w:r>
    </w:p>
    <w:p>
      <w:pPr>
        <w:pStyle w:val="BodyText"/>
        <w:spacing w:line="410" w:lineRule="auto"/>
        <w:ind w:right="0"/>
        <w:jc w:val="left"/>
      </w:pPr>
      <w:r>
        <w:rPr>
          <w:spacing w:val="-2"/>
        </w:rPr>
        <w:t>税资产。这需要本公司管理层运用大量的判断来估计未来应纳税利润发生的时间和金额，结合纳税筹划策</w:t>
      </w:r>
      <w:r>
        <w:rPr>
          <w:spacing w:val="-44"/>
        </w:rPr>
        <w:t> </w:t>
      </w:r>
      <w:r>
        <w:rPr>
          <w:spacing w:val="-44"/>
        </w:rPr>
      </w:r>
      <w:r>
        <w:rPr/>
        <w:t>略，以决定应确认的递延所得税资产的金额。</w:t>
      </w:r>
    </w:p>
    <w:p>
      <w:pPr>
        <w:pStyle w:val="BodyText"/>
        <w:spacing w:line="408" w:lineRule="auto" w:before="44"/>
        <w:ind w:left="573" w:right="0" w:firstLine="60"/>
        <w:jc w:val="left"/>
      </w:pPr>
      <w:r>
        <w:rPr/>
        <w:t>（</w:t>
      </w:r>
      <w:r>
        <w:rPr>
          <w:rFonts w:ascii="宋体" w:hAnsi="宋体" w:cs="宋体" w:eastAsia="宋体" w:hint="default"/>
        </w:rPr>
        <w:t>9</w:t>
      </w:r>
      <w:r>
        <w:rPr/>
        <w:t>）所得税</w:t>
      </w:r>
      <w:r>
        <w:rPr>
          <w:w w:val="100"/>
        </w:rPr>
        <w:t> </w:t>
      </w:r>
      <w:r>
        <w:rPr>
          <w:spacing w:val="-2"/>
        </w:rPr>
        <w:t>本公司在正常的经营活动中，有部分交易其最终的税务处理和计算存在一定的不确定性。部分项目是</w:t>
      </w:r>
    </w:p>
    <w:p>
      <w:pPr>
        <w:pStyle w:val="BodyText"/>
        <w:spacing w:line="408" w:lineRule="auto"/>
        <w:ind w:right="0"/>
        <w:jc w:val="left"/>
      </w:pPr>
      <w:r>
        <w:rPr>
          <w:spacing w:val="-2"/>
        </w:rPr>
        <w:t>否能够在税前列支需要税收主管机关的审批。如果这些税务事项的最终认定结果同最初估计的金额存在差</w:t>
      </w:r>
      <w:r>
        <w:rPr>
          <w:spacing w:val="-43"/>
        </w:rPr>
        <w:t> </w:t>
      </w:r>
      <w:r>
        <w:rPr>
          <w:spacing w:val="-43"/>
        </w:rPr>
      </w:r>
      <w:r>
        <w:rPr/>
        <w:t>异，则该差异将对其最终认定期间的当期所得税和递延所得税产生影响。</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5"/>
          <w:szCs w:val="25"/>
        </w:rPr>
      </w:pPr>
    </w:p>
    <w:p>
      <w:pPr>
        <w:spacing w:line="532" w:lineRule="auto" w:before="0"/>
        <w:ind w:left="152"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3"/>
        <w:spacing w:line="537" w:lineRule="auto" w:before="83"/>
        <w:ind w:right="7982"/>
        <w:jc w:val="left"/>
        <w:rPr>
          <w:b w:val="0"/>
          <w:bCs w:val="0"/>
        </w:rPr>
      </w:pPr>
      <w:r>
        <w:rPr/>
        <w:t>六、税项</w:t>
      </w:r>
      <w:r>
        <w:rPr>
          <w:w w:val="100"/>
        </w:rPr>
        <w:t> </w:t>
      </w:r>
      <w:r>
        <w:rPr>
          <w:rFonts w:ascii="宋体" w:hAnsi="宋体" w:cs="宋体" w:eastAsia="宋体" w:hint="default"/>
        </w:rPr>
        <w:t>1</w:t>
      </w:r>
      <w:r>
        <w:rPr/>
        <w:t>、主要税种及税率</w:t>
      </w:r>
      <w:r>
        <w:rPr>
          <w:b w:val="0"/>
          <w:bCs w:val="0"/>
        </w:rPr>
      </w:r>
    </w:p>
    <w:p>
      <w:pPr>
        <w:spacing w:line="240" w:lineRule="auto" w:before="11"/>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2" w:lineRule="auto" w:before="49"/>
              <w:ind w:left="17" w:right="23"/>
              <w:jc w:val="left"/>
              <w:rPr>
                <w:rFonts w:ascii="宋体" w:hAnsi="宋体" w:cs="宋体" w:eastAsia="宋体" w:hint="default"/>
                <w:sz w:val="18"/>
                <w:szCs w:val="18"/>
              </w:rPr>
            </w:pPr>
            <w:r>
              <w:rPr>
                <w:rFonts w:ascii="宋体" w:hAnsi="宋体" w:cs="宋体" w:eastAsia="宋体" w:hint="default"/>
                <w:sz w:val="18"/>
                <w:szCs w:val="18"/>
              </w:rPr>
              <w:t>一般纳税人应税收入按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 计算销项税，并按扣除当期允许抵扣的 进项税额后的差额计缴增值税，小规模 纳税企业按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简易征收。</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pStyle w:val="BodyText"/>
        <w:spacing w:line="240" w:lineRule="auto" w:before="176"/>
        <w:ind w:right="0"/>
        <w:jc w:val="left"/>
      </w:pPr>
      <w:r>
        <w:rPr/>
        <w:t>存在不同企业所得税税率纳税主体的，披露情况说明</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633" w:right="0"/>
        <w:jc w:val="left"/>
        <w:rPr>
          <w:rFonts w:ascii="宋体" w:hAnsi="宋体" w:cs="宋体" w:eastAsia="宋体" w:hint="default"/>
        </w:rPr>
      </w:pPr>
      <w:r>
        <w:rPr/>
        <w:t>（</w:t>
      </w:r>
      <w:r>
        <w:rPr>
          <w:rFonts w:ascii="宋体" w:hAnsi="宋体" w:cs="宋体" w:eastAsia="宋体" w:hint="default"/>
        </w:rPr>
        <w:t>1</w:t>
      </w:r>
      <w:r>
        <w:rPr/>
        <w:t>）增值税</w:t>
      </w:r>
      <w:r>
        <w:rPr>
          <w:w w:val="100"/>
        </w:rPr>
        <w:t> </w:t>
      </w:r>
      <w:r>
        <w:rPr>
          <w:spacing w:val="-1"/>
        </w:rPr>
        <w:t>根据财税（</w:t>
      </w:r>
      <w:r>
        <w:rPr>
          <w:rFonts w:ascii="宋体" w:hAnsi="宋体" w:cs="宋体" w:eastAsia="宋体" w:hint="default"/>
          <w:spacing w:val="-1"/>
        </w:rPr>
        <w:t>2011</w:t>
      </w:r>
      <w:r>
        <w:rPr>
          <w:spacing w:val="-1"/>
        </w:rPr>
        <w:t>）</w:t>
      </w:r>
      <w:r>
        <w:rPr>
          <w:rFonts w:ascii="宋体" w:hAnsi="宋体" w:cs="宋体" w:eastAsia="宋体" w:hint="default"/>
          <w:spacing w:val="-1"/>
        </w:rPr>
        <w:t>100</w:t>
      </w:r>
      <w:r>
        <w:rPr>
          <w:spacing w:val="-1"/>
        </w:rPr>
        <w:t>号、上海市浦东新区国家税务局第六税务所备案的“沪国税浦九</w:t>
      </w:r>
      <w:r>
        <w:rPr>
          <w:rFonts w:ascii="宋体" w:hAnsi="宋体" w:cs="宋体" w:eastAsia="宋体" w:hint="default"/>
          <w:spacing w:val="-1"/>
        </w:rPr>
        <w:t>[2014]000002</w:t>
      </w:r>
    </w:p>
    <w:p>
      <w:pPr>
        <w:pStyle w:val="BodyText"/>
        <w:spacing w:line="410" w:lineRule="auto"/>
        <w:ind w:right="146"/>
        <w:jc w:val="both"/>
      </w:pPr>
      <w:r>
        <w:rPr>
          <w:spacing w:val="-2"/>
        </w:rPr>
        <w:t>号增值税即征即退核定结果通知书”，本公司下属子公司上海美东软件开发有限公司，从事的软件产品收</w:t>
      </w:r>
      <w:r>
        <w:rPr>
          <w:spacing w:val="-43"/>
        </w:rPr>
        <w:t> </w:t>
      </w:r>
      <w:r>
        <w:rPr>
          <w:spacing w:val="-43"/>
        </w:rPr>
      </w:r>
      <w:r>
        <w:rPr/>
        <w:t>入享受增值税即征即退的税收优惠政策，税收优惠期间为</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408" w:lineRule="auto" w:before="44"/>
        <w:ind w:left="633" w:right="0"/>
        <w:jc w:val="left"/>
      </w:pPr>
      <w:r>
        <w:rPr/>
        <w:t>（</w:t>
      </w:r>
      <w:r>
        <w:rPr>
          <w:rFonts w:ascii="宋体" w:hAnsi="宋体" w:cs="宋体" w:eastAsia="宋体" w:hint="default"/>
        </w:rPr>
        <w:t>2</w:t>
      </w:r>
      <w:r>
        <w:rPr/>
        <w:t>）营业税</w:t>
      </w:r>
      <w:r>
        <w:rPr>
          <w:w w:val="100"/>
        </w:rPr>
        <w:t> </w:t>
      </w:r>
      <w:r>
        <w:rPr>
          <w:spacing w:val="-2"/>
        </w:rPr>
        <w:t>本公司下属子公司在医疗机构执业许可证许可经营范围内取得的医疗收入免征营业税及其附加税。</w:t>
      </w:r>
    </w:p>
    <w:p>
      <w:pPr>
        <w:pStyle w:val="BodyText"/>
        <w:spacing w:line="408" w:lineRule="auto"/>
        <w:ind w:left="633" w:right="0"/>
        <w:jc w:val="left"/>
      </w:pPr>
      <w:r>
        <w:rPr/>
        <w:t>（</w:t>
      </w:r>
      <w:r>
        <w:rPr>
          <w:rFonts w:ascii="宋体" w:hAnsi="宋体" w:cs="宋体" w:eastAsia="宋体" w:hint="default"/>
        </w:rPr>
        <w:t>3</w:t>
      </w:r>
      <w:r>
        <w:rPr/>
        <w:t>）企业所得税</w:t>
      </w:r>
      <w:r>
        <w:rPr>
          <w:w w:val="100"/>
        </w:rPr>
        <w:t> </w:t>
      </w:r>
      <w:r>
        <w:rPr>
          <w:spacing w:val="-1"/>
        </w:rPr>
        <w:t>根据上海市浦东新区国家税务局所备案的“浦国税九所备（</w:t>
      </w:r>
      <w:r>
        <w:rPr>
          <w:rFonts w:ascii="宋体" w:hAnsi="宋体" w:cs="宋体" w:eastAsia="宋体" w:hint="default"/>
          <w:spacing w:val="-1"/>
        </w:rPr>
        <w:t>2013</w:t>
      </w:r>
      <w:r>
        <w:rPr>
          <w:spacing w:val="-1"/>
        </w:rPr>
        <w:t>）</w:t>
      </w:r>
      <w:r>
        <w:rPr>
          <w:rFonts w:ascii="宋体" w:hAnsi="宋体" w:cs="宋体" w:eastAsia="宋体" w:hint="default"/>
          <w:spacing w:val="-1"/>
        </w:rPr>
        <w:t>015</w:t>
      </w:r>
      <w:r>
        <w:rPr>
          <w:spacing w:val="-1"/>
        </w:rPr>
        <w:t>号企业所得税优惠事项备案结</w:t>
      </w:r>
    </w:p>
    <w:p>
      <w:pPr>
        <w:pStyle w:val="BodyText"/>
        <w:spacing w:line="408" w:lineRule="auto"/>
        <w:ind w:right="146"/>
        <w:jc w:val="both"/>
      </w:pPr>
      <w:r>
        <w:rPr>
          <w:spacing w:val="-2"/>
        </w:rPr>
        <w:t>果通知书”，本公司下属子公司上海美东软件开发有限公司，按《财政部、国家税务总局关于进一步鼓励</w:t>
      </w:r>
      <w:r>
        <w:rPr>
          <w:spacing w:val="-44"/>
        </w:rPr>
        <w:t> </w:t>
      </w:r>
      <w:r>
        <w:rPr>
          <w:spacing w:val="-44"/>
        </w:rPr>
      </w:r>
      <w:r>
        <w:rPr>
          <w:spacing w:val="-2"/>
        </w:rPr>
        <w:t>软件产业和集成电路产业发展企业所得税政策的通知》（财税（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号文）的有关规定享受企业所得</w:t>
      </w:r>
      <w:r>
        <w:rPr>
          <w:spacing w:val="-36"/>
        </w:rPr>
        <w:t> </w:t>
      </w:r>
      <w:r>
        <w:rPr>
          <w:spacing w:val="-36"/>
        </w:rPr>
      </w:r>
      <w:r>
        <w:rPr/>
        <w:t>税优惠政策，即自</w:t>
      </w:r>
      <w:r>
        <w:rPr>
          <w:rFonts w:ascii="宋体" w:hAnsi="宋体" w:cs="宋体" w:eastAsia="宋体" w:hint="default"/>
        </w:rPr>
        <w:t>2013</w:t>
      </w:r>
      <w:r>
        <w:rPr/>
        <w:t>年至</w:t>
      </w:r>
      <w:r>
        <w:rPr>
          <w:rFonts w:ascii="宋体" w:hAnsi="宋体" w:cs="宋体" w:eastAsia="宋体" w:hint="default"/>
        </w:rPr>
        <w:t>2014</w:t>
      </w:r>
      <w:r>
        <w:rPr/>
        <w:t>年免缴企业所得税，自</w:t>
      </w:r>
      <w:r>
        <w:rPr>
          <w:rFonts w:ascii="宋体" w:hAnsi="宋体" w:cs="宋体" w:eastAsia="宋体" w:hint="default"/>
        </w:rPr>
        <w:t>2015</w:t>
      </w:r>
      <w:r>
        <w:rPr/>
        <w:t>年至</w:t>
      </w:r>
      <w:r>
        <w:rPr>
          <w:rFonts w:ascii="宋体" w:hAnsi="宋体" w:cs="宋体" w:eastAsia="宋体" w:hint="default"/>
        </w:rPr>
        <w:t>2017</w:t>
      </w:r>
      <w:r>
        <w:rPr/>
        <w:t>年减半缴纳企业所得税。</w:t>
      </w:r>
    </w:p>
    <w:p>
      <w:pPr>
        <w:pStyle w:val="BodyText"/>
        <w:spacing w:line="240" w:lineRule="auto"/>
        <w:ind w:left="633" w:right="0"/>
        <w:jc w:val="left"/>
      </w:pPr>
      <w:r>
        <w:rPr>
          <w:spacing w:val="-4"/>
        </w:rPr>
        <w:t>根据《财政部国家税务总局海关总署关于深入实施西部大开发战略有关税收政策问题的通知》（财税</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2"/>
        </w:rPr>
        <w:t>〔</w:t>
      </w:r>
      <w:r>
        <w:rPr>
          <w:rFonts w:ascii="宋体" w:hAnsi="宋体" w:cs="宋体" w:eastAsia="宋体" w:hint="default"/>
          <w:spacing w:val="-2"/>
        </w:rPr>
        <w:t>2011</w:t>
      </w:r>
      <w:r>
        <w:rPr>
          <w:spacing w:val="-2"/>
        </w:rPr>
        <w:t>〕</w:t>
      </w:r>
      <w:r>
        <w:rPr>
          <w:rFonts w:ascii="宋体" w:hAnsi="宋体" w:cs="宋体" w:eastAsia="宋体" w:hint="default"/>
          <w:spacing w:val="-2"/>
        </w:rPr>
        <w:t>58</w:t>
      </w:r>
      <w:r>
        <w:rPr>
          <w:spacing w:val="-2"/>
        </w:rPr>
        <w:t>号）和《国家税务总局关于深入实施西部大开发战略有关企业所得税问题的公告》（国家税务</w:t>
      </w:r>
      <w:r>
        <w:rPr>
          <w:spacing w:val="-37"/>
        </w:rPr>
        <w:t> </w:t>
      </w:r>
      <w:r>
        <w:rPr>
          <w:spacing w:val="-37"/>
        </w:rPr>
      </w:r>
      <w:r>
        <w:rPr>
          <w:spacing w:val="-2"/>
        </w:rPr>
        <w:t>总局公告</w:t>
      </w:r>
      <w:r>
        <w:rPr>
          <w:rFonts w:ascii="宋体" w:hAnsi="宋体" w:cs="宋体" w:eastAsia="宋体" w:hint="default"/>
          <w:spacing w:val="-2"/>
        </w:rPr>
        <w:t>2012</w:t>
      </w:r>
      <w:r>
        <w:rPr>
          <w:spacing w:val="-2"/>
        </w:rPr>
        <w:t>年第</w:t>
      </w:r>
      <w:r>
        <w:rPr>
          <w:rFonts w:ascii="宋体" w:hAnsi="宋体" w:cs="宋体" w:eastAsia="宋体" w:hint="default"/>
          <w:spacing w:val="-2"/>
        </w:rPr>
        <w:t>12</w:t>
      </w:r>
      <w:r>
        <w:rPr>
          <w:spacing w:val="-2"/>
        </w:rPr>
        <w:t>号）的规定，本公司下属子公司云南美年大健康产业有限公司、成都美年体检医院有</w:t>
      </w:r>
      <w:r>
        <w:rPr>
          <w:spacing w:val="-37"/>
        </w:rPr>
        <w:t> </w:t>
      </w:r>
      <w:r>
        <w:rPr>
          <w:spacing w:val="-37"/>
        </w:rPr>
      </w:r>
      <w:r>
        <w:rPr>
          <w:spacing w:val="-2"/>
        </w:rPr>
        <w:t>限公司、成都美年大健康健康管理有限公司、成都大健康科技管理有限公司、四川鸿康杰医疗投资管理有</w:t>
      </w:r>
      <w:r>
        <w:rPr>
          <w:spacing w:val="-43"/>
        </w:rPr>
        <w:t> </w:t>
      </w:r>
      <w:r>
        <w:rPr>
          <w:spacing w:val="-43"/>
        </w:rPr>
      </w:r>
      <w:r>
        <w:rPr>
          <w:spacing w:val="-2"/>
        </w:rPr>
        <w:t>限公司、西安美年大健康健康管理有限公司、西安碑林大健康体检站有限公司、兰州美年大健康健康管理</w:t>
      </w:r>
      <w:r>
        <w:rPr>
          <w:spacing w:val="-42"/>
        </w:rPr>
        <w:t> </w:t>
      </w:r>
      <w:r>
        <w:rPr>
          <w:spacing w:val="-42"/>
        </w:rPr>
      </w:r>
      <w:r>
        <w:rPr>
          <w:spacing w:val="-2"/>
        </w:rPr>
        <w:t>有限公司主营业务属于《西部地区鼓励类产业目录》（国家发展改革</w:t>
      </w:r>
      <w:r>
        <w:rPr>
          <w:rFonts w:ascii="宋体" w:hAnsi="宋体" w:cs="宋体" w:eastAsia="宋体" w:hint="default"/>
          <w:spacing w:val="-2"/>
        </w:rPr>
        <w:t>2014</w:t>
      </w:r>
      <w:r>
        <w:rPr>
          <w:spacing w:val="-2"/>
        </w:rPr>
        <w:t>年底</w:t>
      </w:r>
      <w:r>
        <w:rPr>
          <w:rFonts w:ascii="宋体" w:hAnsi="宋体" w:cs="宋体" w:eastAsia="宋体" w:hint="default"/>
          <w:spacing w:val="-2"/>
        </w:rPr>
        <w:t>15</w:t>
      </w:r>
      <w:r>
        <w:rPr>
          <w:spacing w:val="-2"/>
        </w:rPr>
        <w:t>号令）范围，并已取得当</w:t>
      </w:r>
      <w:r>
        <w:rPr>
          <w:spacing w:val="-39"/>
        </w:rPr>
        <w:t> </w:t>
      </w:r>
      <w:r>
        <w:rPr>
          <w:spacing w:val="-39"/>
        </w:rPr>
      </w:r>
      <w:r>
        <w:rPr/>
        <w:t>地税务局相关批复文件，可按照</w:t>
      </w:r>
      <w:r>
        <w:rPr>
          <w:rFonts w:ascii="宋体" w:hAnsi="宋体" w:cs="宋体" w:eastAsia="宋体" w:hint="default"/>
        </w:rPr>
        <w:t>15%</w:t>
      </w:r>
      <w:r>
        <w:rPr/>
        <w:t>税率缴纳企业所得税。</w:t>
      </w:r>
    </w:p>
    <w:p>
      <w:pPr>
        <w:spacing w:line="240" w:lineRule="auto" w:before="8"/>
        <w:rPr>
          <w:rFonts w:ascii="宋体" w:hAnsi="宋体" w:cs="宋体" w:eastAsia="宋体" w:hint="default"/>
          <w:sz w:val="20"/>
          <w:szCs w:val="20"/>
        </w:rPr>
      </w:pPr>
    </w:p>
    <w:p>
      <w:pPr>
        <w:spacing w:line="487"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3,591,870.05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3,551,665.86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1,101,094,173.58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573,121,790.46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1,050,740.55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712,620.62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1,105,736,784.18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577,386,076.94</w:t>
            </w:r>
          </w:p>
        </w:tc>
      </w:tr>
    </w:tbl>
    <w:p>
      <w:pPr>
        <w:spacing w:line="240" w:lineRule="auto" w:before="3"/>
        <w:rPr>
          <w:rFonts w:ascii="宋体" w:hAnsi="宋体" w:cs="宋体" w:eastAsia="宋体" w:hint="default"/>
          <w:sz w:val="5"/>
          <w:szCs w:val="5"/>
        </w:rPr>
      </w:pPr>
    </w:p>
    <w:p>
      <w:pPr>
        <w:pStyle w:val="BodyText"/>
        <w:spacing w:line="441" w:lineRule="auto" w:before="36"/>
        <w:ind w:right="687"/>
        <w:jc w:val="left"/>
      </w:pPr>
      <w:r>
        <w:rPr/>
        <w:t>其他说明</w:t>
      </w:r>
      <w:r>
        <w:rPr>
          <w:w w:val="100"/>
        </w:rPr>
        <w:t> </w:t>
      </w:r>
      <w:r>
        <w:rPr>
          <w:color w:val="0D0D0D"/>
          <w:spacing w:val="-2"/>
        </w:rPr>
        <w:t>截止</w:t>
      </w:r>
      <w:r>
        <w:rPr>
          <w:rFonts w:ascii="宋体" w:hAnsi="宋体" w:cs="宋体" w:eastAsia="宋体" w:hint="default"/>
          <w:color w:val="0D0D0D"/>
          <w:spacing w:val="-2"/>
        </w:rPr>
        <w:t>2015</w:t>
      </w:r>
      <w:r>
        <w:rPr>
          <w:color w:val="0D0D0D"/>
          <w:spacing w:val="-2"/>
        </w:rPr>
        <w:t>年</w:t>
      </w:r>
      <w:r>
        <w:rPr>
          <w:rFonts w:ascii="宋体" w:hAnsi="宋体" w:cs="宋体" w:eastAsia="宋体" w:hint="default"/>
          <w:color w:val="0D0D0D"/>
          <w:spacing w:val="-2"/>
        </w:rPr>
        <w:t>12</w:t>
      </w:r>
      <w:r>
        <w:rPr>
          <w:color w:val="0D0D0D"/>
          <w:spacing w:val="-2"/>
        </w:rPr>
        <w:t>月</w:t>
      </w:r>
      <w:r>
        <w:rPr>
          <w:rFonts w:ascii="宋体" w:hAnsi="宋体" w:cs="宋体" w:eastAsia="宋体" w:hint="default"/>
          <w:color w:val="0D0D0D"/>
          <w:spacing w:val="-2"/>
        </w:rPr>
        <w:t>31</w:t>
      </w:r>
      <w:r>
        <w:rPr>
          <w:color w:val="0D0D0D"/>
          <w:spacing w:val="-2"/>
        </w:rPr>
        <w:t>日，本公司所有权受到限制的货币资金</w:t>
      </w:r>
      <w:r>
        <w:rPr>
          <w:rFonts w:ascii="宋体" w:hAnsi="宋体" w:cs="宋体" w:eastAsia="宋体" w:hint="default"/>
          <w:color w:val="0D0D0D"/>
          <w:spacing w:val="-2"/>
        </w:rPr>
        <w:t>884,215.64</w:t>
      </w:r>
      <w:r>
        <w:rPr>
          <w:color w:val="0D0D0D"/>
          <w:spacing w:val="-2"/>
        </w:rPr>
        <w:t>元为应付票据保证金。</w:t>
      </w:r>
      <w:r>
        <w:rPr>
          <w:spacing w:val="-2"/>
        </w:rPr>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131,438.30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131,438.30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131,438.30</w:t>
            </w:r>
          </w:p>
        </w:tc>
      </w:tr>
    </w:tbl>
    <w:p>
      <w:pPr>
        <w:spacing w:line="240" w:lineRule="auto" w:before="3"/>
        <w:rPr>
          <w:rFonts w:ascii="宋体" w:hAnsi="宋体" w:cs="宋体" w:eastAsia="宋体" w:hint="default"/>
          <w:sz w:val="5"/>
          <w:szCs w:val="5"/>
        </w:rPr>
      </w:pPr>
    </w:p>
    <w:p>
      <w:pPr>
        <w:pStyle w:val="BodyText"/>
        <w:spacing w:line="444" w:lineRule="auto" w:before="36"/>
        <w:ind w:right="2785"/>
        <w:jc w:val="left"/>
      </w:pPr>
      <w:r>
        <w:rPr/>
        <w:t>其他说明：</w:t>
      </w:r>
      <w:r>
        <w:rPr>
          <w:spacing w:val="-102"/>
        </w:rPr>
        <w:t> </w:t>
      </w:r>
      <w:r>
        <w:rPr>
          <w:spacing w:val="-102"/>
        </w:rPr>
      </w:r>
      <w:r>
        <w:rPr>
          <w:spacing w:val="-2"/>
        </w:rPr>
        <w:t>本公司本年将持有的浦银安盛稳健增利债券型证券投资基金（</w:t>
      </w:r>
      <w:r>
        <w:rPr>
          <w:rFonts w:ascii="宋体" w:hAnsi="宋体" w:cs="宋体" w:eastAsia="宋体" w:hint="default"/>
          <w:spacing w:val="-2"/>
        </w:rPr>
        <w:t>LOF</w:t>
      </w:r>
      <w:r>
        <w:rPr>
          <w:spacing w:val="-2"/>
        </w:rPr>
        <w:t>）赎回。</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w:t>
            </w:r>
          </w:p>
        </w:tc>
      </w:tr>
    </w:tbl>
    <w:p>
      <w:pPr>
        <w:spacing w:line="240" w:lineRule="auto" w:before="3"/>
        <w:rPr>
          <w:rFonts w:ascii="宋体" w:hAnsi="宋体" w:cs="宋体" w:eastAsia="宋体" w:hint="default"/>
          <w:sz w:val="19"/>
          <w:szCs w:val="19"/>
        </w:rPr>
      </w:pPr>
    </w:p>
    <w:p>
      <w:pPr>
        <w:pStyle w:val="Heading3"/>
        <w:spacing w:line="506" w:lineRule="auto" w:before="36"/>
        <w:ind w:right="673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）期末公司已质押的应收票据</w:t>
      </w:r>
      <w:r>
        <w:rPr>
          <w:spacing w:val="-93"/>
        </w:rPr>
        <w:t> </w:t>
      </w:r>
      <w:r>
        <w:rPr>
          <w:spacing w:val="-93"/>
        </w:rPr>
      </w:r>
      <w:r>
        <w:rPr>
          <w:rFonts w:ascii="宋体" w:hAnsi="宋体" w:cs="宋体" w:eastAsia="宋体" w:hint="default"/>
          <w:b w:val="0"/>
          <w:bCs w:val="0"/>
        </w:rPr>
        <w:t>不适用。</w:t>
      </w:r>
    </w:p>
    <w:p>
      <w:pPr>
        <w:pStyle w:val="Heading3"/>
        <w:spacing w:line="506" w:lineRule="auto" w:before="104"/>
        <w:ind w:right="2785"/>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）期末公司已背书或贴现且在资产负债表日尚未到期的应收票据</w:t>
      </w:r>
      <w:r>
        <w:rPr>
          <w:spacing w:val="-78"/>
        </w:rPr>
        <w:t> </w:t>
      </w:r>
      <w:r>
        <w:rPr>
          <w:spacing w:val="-78"/>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506" w:lineRule="auto" w:before="36"/>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）期末公司因出票人未履约而将其转应收账款的票据</w:t>
      </w:r>
      <w:r>
        <w:rPr>
          <w:spacing w:val="-85"/>
        </w:rPr>
        <w:t> </w:t>
      </w:r>
      <w:r>
        <w:rPr>
          <w:spacing w:val="-85"/>
        </w:rPr>
      </w:r>
      <w:r>
        <w:rPr>
          <w:rFonts w:ascii="宋体" w:hAnsi="宋体" w:cs="宋体" w:eastAsia="宋体" w:hint="default"/>
          <w:b w:val="0"/>
          <w:bCs w:val="0"/>
        </w:rPr>
        <w:t>不适用。</w:t>
      </w:r>
    </w:p>
    <w:p>
      <w:pPr>
        <w:pStyle w:val="Heading3"/>
        <w:spacing w:line="240" w:lineRule="auto" w:before="101"/>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542,721,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754.42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5,144,98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537,576,7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65.79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331,470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,632.27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3,311,498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328,159,13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542,721,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754.42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5,144,98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8.63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0.95%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537,576,7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65.79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331,470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,632.27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3,311,498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328,159,13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期末单项金额重大并单项计提坏账准备的应收账款：</w:t>
      </w:r>
    </w:p>
    <w:p>
      <w:pPr>
        <w:spacing w:line="240" w:lineRule="auto" w:before="10"/>
        <w:rPr>
          <w:rFonts w:ascii="宋体" w:hAnsi="宋体" w:cs="宋体" w:eastAsia="宋体" w:hint="default"/>
          <w:sz w:val="17"/>
          <w:szCs w:val="17"/>
        </w:rPr>
      </w:pPr>
    </w:p>
    <w:p>
      <w:pPr>
        <w:pStyle w:val="BodyText"/>
        <w:spacing w:line="444" w:lineRule="auto" w:before="0"/>
        <w:ind w:right="4344"/>
        <w:jc w:val="left"/>
      </w:pPr>
      <w:r>
        <w:rPr/>
        <w:t>□ 适用 √ 不适用</w:t>
      </w:r>
      <w:r>
        <w:rPr>
          <w:spacing w:val="-104"/>
        </w:rPr>
        <w:t> </w:t>
      </w:r>
      <w:r>
        <w:rPr>
          <w:spacing w:val="-104"/>
        </w:rPr>
      </w:r>
      <w:r>
        <w:rPr>
          <w:spacing w:val="-2"/>
        </w:rPr>
        <w:t>组合中，按账龄分析法计提坏账准备的应收账款：</w:t>
      </w:r>
    </w:p>
    <w:p>
      <w:pPr>
        <w:pStyle w:val="BodyText"/>
        <w:spacing w:line="240" w:lineRule="auto" w:before="55"/>
        <w:ind w:right="0"/>
        <w:jc w:val="left"/>
      </w:pPr>
      <w:r>
        <w:rPr/>
        <w:t>√ 适用 □</w:t>
      </w:r>
      <w:r>
        <w:rPr>
          <w:spacing w:val="1"/>
        </w:rPr>
        <w:t> </w:t>
      </w:r>
      <w:r>
        <w:rPr/>
        <w:t>不适用</w:t>
      </w:r>
    </w:p>
    <w:p>
      <w:pPr>
        <w:spacing w:line="240" w:lineRule="auto" w:before="0"/>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528,447,690.59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12,366,164.87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3,709,849.47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945,519.62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472,759.82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860,306.94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860,306.94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101,742.40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101,742.40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542,721,754.42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5,144,988.63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441" w:lineRule="auto" w:before="36"/>
        <w:ind w:right="4344"/>
        <w:jc w:val="left"/>
      </w:pPr>
      <w:r>
        <w:rPr/>
        <w:t>确定该组合依据的说明：</w:t>
      </w:r>
      <w:r>
        <w:rPr>
          <w:w w:val="100"/>
        </w:rPr>
        <w:t> </w:t>
      </w:r>
      <w:r>
        <w:rPr>
          <w:spacing w:val="-2"/>
        </w:rPr>
        <w:t>组合中，采用余额百分比法计提坏账准备的应收账款：</w:t>
      </w:r>
    </w:p>
    <w:p>
      <w:pPr>
        <w:pStyle w:val="BodyText"/>
        <w:spacing w:line="240" w:lineRule="auto" w:before="57"/>
        <w:ind w:right="0"/>
        <w:jc w:val="left"/>
      </w:pPr>
      <w:r>
        <w:rPr/>
        <w:t>□ 适用 √</w:t>
      </w:r>
      <w:r>
        <w:rPr>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组合中，采用其他方法计提坏账准备的应收账款：</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pPr>
      <w:r>
        <w:rPr/>
        <w:t>本期计提坏账准备金额</w:t>
      </w:r>
      <w:r>
        <w:rPr>
          <w:spacing w:val="-56"/>
        </w:rPr>
        <w:t> </w:t>
      </w:r>
      <w:r>
        <w:rPr>
          <w:rFonts w:ascii="宋体" w:hAnsi="宋体" w:cs="宋体" w:eastAsia="宋体" w:hint="default"/>
        </w:rPr>
        <w:t>1,833,948.95</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0"/>
        <w:rPr>
          <w:rFonts w:ascii="宋体" w:hAnsi="宋体" w:cs="宋体" w:eastAsia="宋体" w:hint="default"/>
          <w:sz w:val="20"/>
          <w:szCs w:val="20"/>
        </w:rPr>
      </w:pPr>
    </w:p>
    <w:p>
      <w:pPr>
        <w:pStyle w:val="Heading3"/>
        <w:spacing w:line="240" w:lineRule="auto" w:before="152"/>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80"/>
        <w:jc w:val="left"/>
      </w:pPr>
      <w:r>
        <w:rPr/>
        <w:t>本公司本年按欠款方归集的年末余额前五名应收账款汇总金额为</w:t>
      </w:r>
      <w:r>
        <w:rPr>
          <w:rFonts w:ascii="宋体" w:hAnsi="宋体" w:cs="宋体" w:eastAsia="宋体" w:hint="default"/>
        </w:rPr>
        <w:t>70,938,998.83</w:t>
      </w:r>
      <w:r>
        <w:rPr/>
        <w:t>元，占应收账款</w:t>
      </w:r>
      <w:r>
        <w:rPr>
          <w:w w:val="100"/>
        </w:rPr>
        <w:t> </w:t>
      </w:r>
      <w:r>
        <w:rPr/>
        <w:t>年末余额合计数的比例为</w:t>
      </w:r>
      <w:r>
        <w:rPr>
          <w:rFonts w:ascii="宋体" w:hAnsi="宋体" w:cs="宋体" w:eastAsia="宋体" w:hint="default"/>
        </w:rPr>
        <w:t>13.07%</w:t>
      </w:r>
      <w:r>
        <w:rPr/>
        <w:t>，相应计提的坏账准备年末余额汇总金额为</w:t>
      </w:r>
      <w:r>
        <w:rPr>
          <w:rFonts w:ascii="宋体" w:hAnsi="宋体" w:cs="宋体" w:eastAsia="宋体" w:hint="default"/>
        </w:rPr>
        <w:t>125,183.40</w:t>
      </w:r>
      <w:r>
        <w:rPr/>
        <w:t>元。</w:t>
      </w:r>
    </w:p>
    <w:p>
      <w:pPr>
        <w:spacing w:line="240" w:lineRule="auto" w:before="8"/>
        <w:rPr>
          <w:rFonts w:ascii="宋体" w:hAnsi="宋体" w:cs="宋体" w:eastAsia="宋体" w:hint="default"/>
          <w:sz w:val="20"/>
          <w:szCs w:val="20"/>
        </w:rPr>
      </w:pPr>
    </w:p>
    <w:p>
      <w:pPr>
        <w:spacing w:line="506" w:lineRule="auto" w:before="0"/>
        <w:ind w:left="633" w:right="4344"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年末无因金融资产转移而终止确认的应收账款</w:t>
      </w:r>
    </w:p>
    <w:p>
      <w:pPr>
        <w:pStyle w:val="Heading3"/>
        <w:spacing w:line="506" w:lineRule="auto" w:before="104"/>
        <w:ind w:left="604" w:right="4344" w:hanging="45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）转移应收账款且继续涉入形成的资产、负债金额</w:t>
      </w:r>
      <w:r>
        <w:rPr>
          <w:spacing w:val="-86"/>
        </w:rPr>
        <w:t> </w:t>
      </w:r>
      <w:r>
        <w:rPr>
          <w:spacing w:val="-86"/>
        </w:rPr>
      </w:r>
      <w:r>
        <w:rPr>
          <w:rFonts w:ascii="宋体" w:hAnsi="宋体" w:cs="宋体" w:eastAsia="宋体" w:hint="default"/>
          <w:b w:val="0"/>
          <w:bCs w:val="0"/>
        </w:rPr>
        <w:t>不适用。</w:t>
      </w:r>
    </w:p>
    <w:p>
      <w:pPr>
        <w:pStyle w:val="Heading3"/>
        <w:spacing w:line="240" w:lineRule="auto" w:before="101"/>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73,773,676.32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40,530,660.52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1,478,405.49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651,653.73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75,279,601.24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41,182,314.25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0"/>
        <w:jc w:val="left"/>
      </w:pPr>
      <w:r>
        <w:rPr/>
        <w:t>账龄超过</w:t>
      </w:r>
      <w:r>
        <w:rPr>
          <w:spacing w:val="-51"/>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3320"/>
        <w:gridCol w:w="2083"/>
        <w:gridCol w:w="2124"/>
      </w:tblGrid>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z w:val="18"/>
                <w:szCs w:val="18"/>
              </w:rPr>
              <w:t>**</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3,263,822.00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预付房租</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z w:val="18"/>
                <w:szCs w:val="18"/>
              </w:rPr>
              <w:t>**</w:t>
            </w:r>
            <w:r>
              <w:rPr>
                <w:rFonts w:ascii="宋体" w:hAnsi="宋体" w:cs="宋体" w:eastAsia="宋体" w:hint="default"/>
                <w:sz w:val="18"/>
                <w:szCs w:val="18"/>
              </w:rPr>
              <w:t>电子商务有限公司</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3,196,816.44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预付房租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320"/>
        <w:gridCol w:w="2083"/>
        <w:gridCol w:w="2124"/>
      </w:tblGrid>
      <w:tr>
        <w:trPr>
          <w:trHeight w:val="317" w:hRule="exact"/>
        </w:trPr>
        <w:tc>
          <w:tcPr>
            <w:tcW w:w="3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济南</w:t>
            </w:r>
            <w:r>
              <w:rPr>
                <w:rFonts w:ascii="宋体" w:hAnsi="宋体" w:cs="宋体" w:eastAsia="宋体" w:hint="default"/>
                <w:sz w:val="18"/>
                <w:szCs w:val="18"/>
              </w:rPr>
              <w:t>**</w:t>
            </w:r>
            <w:r>
              <w:rPr>
                <w:rFonts w:ascii="宋体" w:hAnsi="宋体" w:cs="宋体" w:eastAsia="宋体" w:hint="default"/>
                <w:sz w:val="18"/>
                <w:szCs w:val="18"/>
              </w:rPr>
              <w:t>物业管理有限责任公司</w:t>
            </w:r>
          </w:p>
        </w:tc>
        <w:tc>
          <w:tcPr>
            <w:tcW w:w="20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2,650,000.00</w:t>
            </w:r>
          </w:p>
        </w:tc>
        <w:tc>
          <w:tcPr>
            <w:tcW w:w="2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z w:val="18"/>
                <w:szCs w:val="18"/>
              </w:rPr>
              <w:t>**</w:t>
            </w:r>
            <w:r>
              <w:rPr>
                <w:rFonts w:ascii="宋体" w:hAnsi="宋体" w:cs="宋体" w:eastAsia="宋体" w:hint="default"/>
                <w:sz w:val="18"/>
                <w:szCs w:val="18"/>
              </w:rPr>
              <w:t>（道外区</w:t>
            </w:r>
            <w:r>
              <w:rPr>
                <w:rFonts w:ascii="宋体" w:hAnsi="宋体" w:cs="宋体" w:eastAsia="宋体" w:hint="default"/>
                <w:sz w:val="18"/>
                <w:szCs w:val="18"/>
              </w:rPr>
              <w:t>**</w:t>
            </w:r>
            <w:r>
              <w:rPr>
                <w:rFonts w:ascii="宋体" w:hAnsi="宋体" w:cs="宋体" w:eastAsia="宋体" w:hint="default"/>
                <w:sz w:val="18"/>
                <w:szCs w:val="18"/>
              </w:rPr>
              <w:t>路</w:t>
            </w:r>
            <w:r>
              <w:rPr>
                <w:rFonts w:ascii="宋体" w:hAnsi="宋体" w:cs="宋体" w:eastAsia="宋体" w:hint="default"/>
                <w:spacing w:val="-48"/>
                <w:sz w:val="18"/>
                <w:szCs w:val="18"/>
              </w:rPr>
              <w:t> </w:t>
            </w:r>
            <w:r>
              <w:rPr>
                <w:rFonts w:ascii="宋体" w:hAnsi="宋体" w:cs="宋体" w:eastAsia="宋体" w:hint="default"/>
                <w:sz w:val="18"/>
                <w:szCs w:val="18"/>
              </w:rPr>
              <w:t>359</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1,446,049.93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32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青岛</w:t>
            </w:r>
            <w:r>
              <w:rPr>
                <w:rFonts w:ascii="宋体" w:hAnsi="宋体" w:cs="宋体" w:eastAsia="宋体" w:hint="default"/>
                <w:sz w:val="18"/>
                <w:szCs w:val="18"/>
              </w:rPr>
              <w:t>**</w:t>
            </w:r>
            <w:r>
              <w:rPr>
                <w:rFonts w:ascii="宋体" w:hAnsi="宋体" w:cs="宋体" w:eastAsia="宋体" w:hint="default"/>
                <w:sz w:val="18"/>
                <w:szCs w:val="18"/>
              </w:rPr>
              <w:t>投资服务有限公司</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1,250,000.00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预付房租</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宋体" w:hAnsi="宋体" w:cs="宋体" w:eastAsia="宋体" w:hint="default"/>
          <w:b/>
          <w:bCs/>
          <w:sz w:val="24"/>
          <w:szCs w:val="24"/>
        </w:rPr>
      </w:pPr>
    </w:p>
    <w:p>
      <w:pPr>
        <w:spacing w:line="312" w:lineRule="exact" w:before="0"/>
        <w:ind w:left="152" w:right="0" w:firstLine="480"/>
        <w:jc w:val="left"/>
        <w:rPr>
          <w:rFonts w:ascii="宋体" w:hAnsi="宋体" w:cs="宋体" w:eastAsia="宋体" w:hint="default"/>
          <w:sz w:val="24"/>
          <w:szCs w:val="24"/>
        </w:rPr>
      </w:pPr>
      <w:r>
        <w:rPr>
          <w:rFonts w:ascii="宋体" w:hAnsi="宋体" w:cs="宋体" w:eastAsia="宋体" w:hint="default"/>
          <w:spacing w:val="-1"/>
          <w:sz w:val="24"/>
          <w:szCs w:val="24"/>
        </w:rPr>
        <w:t>本公司按预付对象归集的年末余额前五名预付账款汇总金额为</w:t>
      </w:r>
      <w:r>
        <w:rPr>
          <w:rFonts w:ascii="Times New Roman" w:hAnsi="Times New Roman" w:cs="Times New Roman" w:eastAsia="Times New Roman" w:hint="default"/>
          <w:spacing w:val="-1"/>
          <w:sz w:val="24"/>
          <w:szCs w:val="24"/>
        </w:rPr>
        <w:t>11,806,688.37</w:t>
      </w:r>
      <w:r>
        <w:rPr>
          <w:rFonts w:ascii="宋体" w:hAnsi="宋体" w:cs="宋体" w:eastAsia="宋体" w:hint="default"/>
          <w:spacing w:val="-1"/>
          <w:sz w:val="24"/>
          <w:szCs w:val="24"/>
        </w:rPr>
        <w:t>元，占预</w:t>
      </w:r>
      <w:r>
        <w:rPr>
          <w:rFonts w:ascii="宋体" w:hAnsi="宋体" w:cs="宋体" w:eastAsia="宋体" w:hint="default"/>
          <w:sz w:val="24"/>
          <w:szCs w:val="24"/>
        </w:rPr>
        <w:t> 付账款年末余额合计数的比例为</w:t>
      </w:r>
      <w:r>
        <w:rPr>
          <w:rFonts w:ascii="Times New Roman" w:hAnsi="Times New Roman" w:cs="Times New Roman" w:eastAsia="Times New Roman" w:hint="default"/>
          <w:sz w:val="24"/>
          <w:szCs w:val="24"/>
        </w:rPr>
        <w:t>15.68%</w:t>
      </w:r>
      <w:r>
        <w:rPr>
          <w:rFonts w:ascii="宋体" w:hAnsi="宋体" w:cs="宋体" w:eastAsia="宋体" w:hint="default"/>
          <w:sz w:val="24"/>
          <w:szCs w:val="24"/>
        </w:rPr>
        <w:t>。</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155,023,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651.04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804,354.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154,219,2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96.59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111,602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,104.60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601,959.0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111,000,14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5.54</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155,023,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651.04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804,354.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154,219,2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96.59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111,602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,104.60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0.54%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111,000,14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5.54</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期末单项金额重大并单项计提坏账准备的其他应收款：</w:t>
      </w:r>
    </w:p>
    <w:p>
      <w:pPr>
        <w:spacing w:line="240" w:lineRule="auto" w:before="12"/>
        <w:rPr>
          <w:rFonts w:ascii="宋体" w:hAnsi="宋体" w:cs="宋体" w:eastAsia="宋体" w:hint="default"/>
          <w:sz w:val="17"/>
          <w:szCs w:val="17"/>
        </w:rPr>
      </w:pPr>
    </w:p>
    <w:p>
      <w:pPr>
        <w:pStyle w:val="BodyText"/>
        <w:spacing w:line="441" w:lineRule="auto" w:before="0"/>
        <w:ind w:right="4344"/>
        <w:jc w:val="left"/>
      </w:pPr>
      <w:r>
        <w:rPr/>
        <w:t>□ 适用 √ 不适用</w:t>
      </w:r>
      <w:r>
        <w:rPr>
          <w:spacing w:val="-104"/>
        </w:rPr>
        <w:t> </w:t>
      </w:r>
      <w:r>
        <w:rPr>
          <w:spacing w:val="-104"/>
        </w:rPr>
      </w:r>
      <w:r>
        <w:rPr>
          <w:spacing w:val="-2"/>
        </w:rPr>
        <w:t>组合中，按账龄分析法计提坏账准备的其他应收款：</w:t>
      </w:r>
    </w:p>
    <w:p>
      <w:pPr>
        <w:pStyle w:val="BodyText"/>
        <w:spacing w:line="240" w:lineRule="auto" w:before="57"/>
        <w:ind w:right="0"/>
        <w:jc w:val="left"/>
      </w:pPr>
      <w:r>
        <w:rPr/>
        <w:t>√ 适用 □</w:t>
      </w:r>
      <w:r>
        <w:rPr>
          <w:spacing w:val="1"/>
        </w:rPr>
        <w:t> </w:t>
      </w:r>
      <w:r>
        <w:rPr/>
        <w:t>不适用</w:t>
      </w:r>
    </w:p>
    <w:p>
      <w:pPr>
        <w:spacing w:line="240" w:lineRule="auto" w:before="3"/>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43,625,287.17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87,079.13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1,115,147.03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557,573.52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7,106.80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7,106.80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45,190,399.76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804,354.45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441" w:lineRule="auto" w:before="36"/>
        <w:ind w:right="4344"/>
        <w:jc w:val="left"/>
      </w:pPr>
      <w:r>
        <w:rPr/>
        <w:t>确定该组合依据的说明：</w:t>
      </w:r>
      <w:r>
        <w:rPr>
          <w:w w:val="100"/>
        </w:rPr>
        <w:t> </w:t>
      </w:r>
      <w:r>
        <w:rPr>
          <w:spacing w:val="-2"/>
        </w:rPr>
        <w:t>组合中，采用余额百分比法计提坏账准备的其他应收款：</w:t>
      </w:r>
    </w:p>
    <w:p>
      <w:pPr>
        <w:pStyle w:val="BodyText"/>
        <w:spacing w:line="420" w:lineRule="auto" w:before="57"/>
        <w:ind w:right="4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7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本期计提坏账准备金额</w:t>
      </w:r>
      <w:r>
        <w:rPr>
          <w:spacing w:val="-54"/>
        </w:rPr>
        <w:t> </w:t>
      </w:r>
      <w:r>
        <w:rPr>
          <w:rFonts w:ascii="宋体" w:hAnsi="宋体" w:cs="宋体" w:eastAsia="宋体" w:hint="default"/>
        </w:rPr>
        <w:t>202,395.39</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6"/>
        </w:rPr>
        <w:t> </w:t>
      </w:r>
      <w:r>
        <w:rPr>
          <w:spacing w:val="-3"/>
        </w:rPr>
        <w:t>元。</w:t>
      </w:r>
      <w:r>
        <w:rPr/>
      </w:r>
    </w:p>
    <w:p>
      <w:pPr>
        <w:spacing w:line="240" w:lineRule="auto" w:before="11"/>
        <w:rPr>
          <w:rFonts w:ascii="宋体" w:hAnsi="宋体" w:cs="宋体" w:eastAsia="宋体" w:hint="default"/>
          <w:sz w:val="25"/>
          <w:szCs w:val="25"/>
        </w:rPr>
      </w:pPr>
    </w:p>
    <w:p>
      <w:pPr>
        <w:pStyle w:val="Heading3"/>
        <w:spacing w:line="506" w:lineRule="auto"/>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）本期实际核销的其他应收款情况</w:t>
      </w:r>
      <w:r>
        <w:rPr>
          <w:spacing w:val="-90"/>
        </w:rPr>
        <w:t> </w:t>
      </w:r>
      <w:r>
        <w:rPr>
          <w:spacing w:val="-90"/>
        </w:rPr>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67,678,603.29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50,316,250.00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42,154,647.99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34,038,660.82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25,569,902.39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14,121,438.10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15,698,630.29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7,042,722.00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3,921,867.08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6,083,033.68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155,023,651.04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111,602,104.60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慈铭健康体检管理 集团股份有限公司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32.25%</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深圳市保君康健康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10.32%</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烟台福田健康体检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上海杨浦中央社区 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1,487,237.89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34"/>
              <w:jc w:val="left"/>
              <w:rPr>
                <w:rFonts w:ascii="宋体" w:hAnsi="宋体" w:cs="宋体" w:eastAsia="宋体" w:hint="default"/>
                <w:sz w:val="18"/>
                <w:szCs w:val="18"/>
              </w:rPr>
            </w:pPr>
            <w:r>
              <w:rPr>
                <w:rFonts w:ascii="宋体" w:hAnsi="宋体" w:cs="宋体" w:eastAsia="宋体" w:hint="default"/>
                <w:spacing w:val="-3"/>
                <w:sz w:val="18"/>
                <w:szCs w:val="18"/>
              </w:rPr>
              <w:t>张江平（房租押金）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1,483,501.00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0.96%</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71,500,738.89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46.12%</w:t>
            </w: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136.699997pt;margin-top:-53.336315pt;width:78.05pt;height:20.65pt;mso-position-horizontal-relative:page;mso-position-vertical-relative:paragraph;z-index:-1400392" coordorigin="2734,-1067" coordsize="1561,413">
            <v:group style="position:absolute;left:2745;top:-1056;width:2;height:392" coordorigin="2745,-1056" coordsize="2,392">
              <v:shape style="position:absolute;left:2745;top:-1056;width:2;height:392" coordorigin="2745,-1056" coordsize="0,392" path="m2745,-1056l2745,-665e" filled="false" stroked="true" strokeweight="1.08pt" strokecolor="#ffffff">
                <v:path arrowok="t"/>
              </v:shape>
            </v:group>
            <v:group style="position:absolute;left:2756;top:-1056;width:1539;height:392" coordorigin="2756,-1056" coordsize="1539,392">
              <v:shape style="position:absolute;left:2756;top:-1056;width:1539;height:392" coordorigin="2756,-1056" coordsize="1539,392" path="m2756,-665l4294,-665,4294,-1056,2756,-1056,2756,-665xe" filled="true" fillcolor="#ffffff" stroked="false">
                <v:path arrowok="t"/>
                <v:fill type="solid"/>
              </v:shape>
            </v:group>
            <w10:wrap type="none"/>
          </v:group>
        </w:pict>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line="508" w:lineRule="auto" w:before="36"/>
        <w:ind w:left="633" w:right="4344"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年末无因金融资产转移而终止确认的其他应收款。</w:t>
      </w:r>
    </w:p>
    <w:p>
      <w:pPr>
        <w:pStyle w:val="Heading3"/>
        <w:spacing w:line="506" w:lineRule="auto" w:before="102"/>
        <w:ind w:left="678" w:right="4344" w:hanging="527"/>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8</w:t>
      </w:r>
      <w:r>
        <w:rPr>
          <w:spacing w:val="-1"/>
        </w:rPr>
        <w:t>）转移其他应收款且继续涉入形成的资产、负债金额</w:t>
      </w:r>
      <w:r>
        <w:rPr>
          <w:spacing w:val="-85"/>
        </w:rPr>
        <w:t> </w:t>
      </w:r>
      <w:r>
        <w:rPr>
          <w:spacing w:val="-85"/>
        </w:rPr>
      </w:r>
      <w:r>
        <w:rPr>
          <w:rFonts w:ascii="宋体" w:hAnsi="宋体" w:cs="宋体" w:eastAsia="宋体" w:hint="default"/>
          <w:b w:val="0"/>
          <w:bCs w:val="0"/>
        </w:rPr>
        <w:t>不适用。</w:t>
      </w:r>
    </w:p>
    <w:p>
      <w:pPr>
        <w:pStyle w:val="Heading3"/>
        <w:spacing w:line="240" w:lineRule="auto" w:before="104"/>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24,659,185.92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24,659,185.92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14,589,006.98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14,589,006.98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24,659,185.92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24,659,185.92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14,589,006.98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14,589,006.98</w:t>
            </w:r>
          </w:p>
        </w:tc>
      </w:tr>
    </w:tbl>
    <w:p>
      <w:pPr>
        <w:spacing w:line="240" w:lineRule="auto" w:before="3"/>
        <w:rPr>
          <w:rFonts w:ascii="宋体" w:hAnsi="宋体" w:cs="宋体" w:eastAsia="宋体" w:hint="default"/>
          <w:sz w:val="19"/>
          <w:szCs w:val="19"/>
        </w:rPr>
      </w:pPr>
    </w:p>
    <w:p>
      <w:pPr>
        <w:spacing w:line="506" w:lineRule="auto" w:before="36"/>
        <w:ind w:left="152" w:right="79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pStyle w:val="Heading3"/>
        <w:spacing w:line="508" w:lineRule="auto" w:before="104"/>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）存货期末余额含有借款费用资本化金额的说明</w:t>
      </w:r>
      <w:r>
        <w:rPr>
          <w:spacing w:val="-85"/>
        </w:rPr>
        <w:t> </w:t>
      </w:r>
      <w:r>
        <w:rPr>
          <w:spacing w:val="-85"/>
        </w:rPr>
      </w:r>
      <w:r>
        <w:rPr>
          <w:rFonts w:ascii="宋体" w:hAnsi="宋体" w:cs="宋体" w:eastAsia="宋体" w:hint="default"/>
          <w:b w:val="0"/>
          <w:bCs w:val="0"/>
        </w:rPr>
        <w:t>不适用。</w:t>
      </w:r>
    </w:p>
    <w:p>
      <w:pPr>
        <w:pStyle w:val="Heading3"/>
        <w:spacing w:line="506" w:lineRule="auto" w:before="99"/>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）期末建造合同形成的已完工未结算资产情况</w:t>
      </w:r>
      <w:r>
        <w:rPr>
          <w:spacing w:val="-86"/>
        </w:rPr>
        <w:t> </w:t>
      </w:r>
      <w:r>
        <w:rPr>
          <w:spacing w:val="-86"/>
        </w:rPr>
      </w:r>
      <w:r>
        <w:rPr>
          <w:rFonts w:ascii="宋体" w:hAnsi="宋体" w:cs="宋体" w:eastAsia="宋体" w:hint="default"/>
          <w:b w:val="0"/>
          <w:bCs w:val="0"/>
        </w:rPr>
        <w:t>不适用。</w:t>
      </w:r>
    </w:p>
    <w:p>
      <w:pPr>
        <w:pStyle w:val="Heading3"/>
        <w:spacing w:line="520" w:lineRule="auto" w:before="104"/>
        <w:ind w:right="7048"/>
        <w:jc w:val="left"/>
        <w:rPr>
          <w:b w:val="0"/>
          <w:bCs w:val="0"/>
        </w:rPr>
      </w:pPr>
      <w:r>
        <w:rPr>
          <w:rFonts w:ascii="Times New Roman" w:hAnsi="Times New Roman" w:cs="Times New Roman" w:eastAsia="Times New Roman" w:hint="default"/>
        </w:rPr>
        <w:t>11</w:t>
      </w:r>
      <w:r>
        <w:rPr/>
        <w:t>、划分为持有待售的资产</w:t>
      </w:r>
      <w:r>
        <w:rPr>
          <w:w w:val="100"/>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Times New Roman" w:hAnsi="Times New Roman" w:cs="Times New Roman" w:eastAsia="Times New Roman" w:hint="default"/>
          <w:spacing w:val="-1"/>
        </w:rPr>
        <w:t>12</w:t>
      </w:r>
      <w:r>
        <w:rPr>
          <w:spacing w:val="-1"/>
        </w:rPr>
        <w:t>、一年内到期的非流动资产</w:t>
      </w:r>
      <w:r>
        <w:rPr>
          <w:b w:val="0"/>
          <w:bCs w:val="0"/>
          <w:spacing w:val="-1"/>
        </w:rPr>
      </w:r>
    </w:p>
    <w:p>
      <w:pPr>
        <w:spacing w:before="7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1,463,066.67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1,463,066.67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4"/>
        <w:ind w:right="7988"/>
        <w:jc w:val="left"/>
        <w:rPr>
          <w:rFonts w:ascii="Times New Roman" w:hAnsi="Times New Roman" w:cs="Times New Roman" w:eastAsia="Times New Roman" w:hint="default"/>
        </w:rPr>
      </w:pPr>
      <w:r>
        <w:rPr/>
        <w:t>其他说明：</w:t>
      </w:r>
      <w:r>
        <w:rPr>
          <w:spacing w:val="-102"/>
        </w:rPr>
        <w:t> </w:t>
      </w:r>
      <w:r>
        <w:rPr>
          <w:spacing w:val="-102"/>
        </w:rPr>
      </w:r>
      <w:r>
        <w:rPr/>
        <w:t>详见附注七、</w:t>
      </w:r>
      <w:r>
        <w:rPr>
          <w:rFonts w:ascii="Times New Roman" w:hAnsi="Times New Roman" w:cs="Times New Roman" w:eastAsia="Times New Roman" w:hint="default"/>
        </w:rPr>
        <w:t>16</w:t>
      </w:r>
    </w:p>
    <w:p>
      <w:pPr>
        <w:spacing w:line="240" w:lineRule="auto" w:before="8"/>
        <w:rPr>
          <w:rFonts w:ascii="Times New Roman" w:hAnsi="Times New Roman" w:cs="Times New Roman" w:eastAsia="Times New Roman"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2,016,495.85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2,016,495.85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8"/>
        <w:gridCol w:w="1196"/>
        <w:gridCol w:w="1248"/>
        <w:gridCol w:w="1369"/>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7,220,000.00</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7,220,000.00</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7,220,000.00</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7,220,000.00</w:t>
            </w:r>
          </w:p>
        </w:tc>
      </w:tr>
      <w:tr>
        <w:trPr>
          <w:trHeight w:val="394"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7,220,000.00</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7,220,000.00</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06" w:lineRule="auto" w:before="36"/>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）期末按公允价值计量的可供出售金融资产</w:t>
      </w:r>
      <w:r>
        <w:rPr>
          <w:spacing w:val="-84"/>
        </w:rPr>
        <w:t> </w:t>
      </w:r>
      <w:r>
        <w:rPr>
          <w:spacing w:val="-84"/>
        </w:rPr>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慈铭健康 体检管理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1,029,515,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1,029,515,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27.78%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成都天府 新区奥亚 医院有限 责任公司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厦门市美 年大健康 管理有限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美年大健 康产业集 团南通有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宁波海曙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 w:right="0"/>
              <w:jc w:val="center"/>
              <w:rPr>
                <w:rFonts w:ascii="Times New Roman" w:hAnsi="Times New Roman" w:cs="Times New Roman" w:eastAsia="Times New Roman" w:hint="default"/>
                <w:sz w:val="18"/>
                <w:szCs w:val="18"/>
              </w:rPr>
            </w:pPr>
            <w:r>
              <w:rPr>
                <w:rFonts w:ascii="Times New Roman"/>
                <w:sz w:val="18"/>
              </w:rPr>
              <w:t>2,850,000.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 w:right="0"/>
              <w:jc w:val="center"/>
              <w:rPr>
                <w:rFonts w:ascii="Times New Roman" w:hAnsi="Times New Roman" w:cs="Times New Roman" w:eastAsia="Times New Roman" w:hint="default"/>
                <w:sz w:val="18"/>
                <w:szCs w:val="18"/>
              </w:rPr>
            </w:pPr>
            <w:r>
              <w:rPr>
                <w:rFonts w:ascii="Times New Roman"/>
                <w:sz w:val="18"/>
              </w:rPr>
              <w:t>2,850,000.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美年综合 门诊部有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德阳美年 大健康体 检医院有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唐山美年 大健康健 康体检管 理有限公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亳州市汇 畅健优医 疗服务有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成都锦江 维康体检 门诊部有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平凉美年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临海市美 年大健康 管理有限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义乌美年 大健康管 理有限公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襄阳市美 年大健康 管理有限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桂林美年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柳州美年</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南阳美年 大健康健 康科技有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泰州美年 大健康管 理有限公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松原美年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包头市美 年大健康 艾普托综 合门诊部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潍坊美年 大健康管 理有限公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哈密美年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900,000.00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许昌美年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855,925.70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855,925.70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6.25%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鄂尔多斯 市美年大 健康管理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800,000.00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周口美年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大冶美年</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大健康体 检管理有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楚雄美年 大健康健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新乡美年 大健康管 理有限公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650,000.00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濮阳美年 大健康咨 询有限公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600,000.00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600,000.00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随州市美 年大健康 管理有限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吕梁大健 康科技健 康管理有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焦作美年 大健康健 康服务有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晋城市大 健康科技 健康管理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350,000.00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350,000.00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重庆美年 大健康巴 南综合门 诊部有限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辽阳美年 大健康管 理有限公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洛阳美年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大健康信 息咨询有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1,065,445,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925.70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1,070,865,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925.70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506" w:lineRule="auto" w:before="36"/>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）报告期内可供出售金融资产减值的变动情况</w:t>
      </w:r>
      <w:r>
        <w:rPr>
          <w:spacing w:val="-86"/>
        </w:rPr>
        <w:t> </w:t>
      </w:r>
      <w:r>
        <w:rPr>
          <w:spacing w:val="-86"/>
        </w:rPr>
      </w:r>
      <w:r>
        <w:rPr>
          <w:rFonts w:ascii="宋体" w:hAnsi="宋体" w:cs="宋体" w:eastAsia="宋体" w:hint="default"/>
          <w:b w:val="0"/>
          <w:bCs w:val="0"/>
        </w:rPr>
        <w:t>不适用。</w:t>
      </w:r>
    </w:p>
    <w:p>
      <w:pPr>
        <w:pStyle w:val="Heading3"/>
        <w:spacing w:line="506" w:lineRule="auto" w:before="104"/>
        <w:ind w:right="687"/>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）可供出售权益工具期末公允价值严重下跌或非暂时性下跌但未计提减值准备的相关说明</w:t>
      </w:r>
      <w:r>
        <w:rPr>
          <w:spacing w:val="-68"/>
        </w:rPr>
        <w:t> </w:t>
      </w:r>
      <w:r>
        <w:rPr>
          <w:spacing w:val="-68"/>
        </w:rPr>
      </w:r>
      <w:r>
        <w:rPr>
          <w:rFonts w:ascii="宋体" w:hAnsi="宋体" w:cs="宋体" w:eastAsia="宋体" w:hint="default"/>
          <w:b w:val="0"/>
          <w:bCs w:val="0"/>
        </w:rPr>
        <w:t>不适用。</w:t>
      </w:r>
    </w:p>
    <w:p>
      <w:pPr>
        <w:pStyle w:val="Heading3"/>
        <w:spacing w:line="240" w:lineRule="auto" w:before="101"/>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73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506" w:lineRule="auto" w:before="101"/>
        <w:ind w:right="6732"/>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）期末重要的持有至到期投资</w:t>
      </w:r>
      <w:r>
        <w:rPr>
          <w:spacing w:val="-92"/>
        </w:rPr>
        <w:t> </w:t>
      </w:r>
      <w:r>
        <w:rPr>
          <w:spacing w:val="-92"/>
        </w:rPr>
      </w:r>
      <w:r>
        <w:rPr>
          <w:rFonts w:ascii="宋体" w:hAnsi="宋体" w:cs="宋体" w:eastAsia="宋体" w:hint="default"/>
          <w:b w:val="0"/>
          <w:bCs w:val="0"/>
        </w:rPr>
        <w:t>不适用。</w:t>
      </w:r>
    </w:p>
    <w:p>
      <w:pPr>
        <w:pStyle w:val="Heading3"/>
        <w:spacing w:line="506" w:lineRule="auto" w:before="104"/>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）本期重分类的持有至到期投资</w:t>
      </w:r>
      <w:r>
        <w:rPr>
          <w:spacing w:val="-91"/>
        </w:rPr>
        <w:t> </w:t>
      </w:r>
      <w:r>
        <w:rPr>
          <w:spacing w:val="-91"/>
        </w:rPr>
      </w:r>
      <w:r>
        <w:rPr>
          <w:rFonts w:ascii="宋体" w:hAnsi="宋体" w:cs="宋体" w:eastAsia="宋体" w:hint="default"/>
          <w:b w:val="0"/>
          <w:bCs w:val="0"/>
        </w:rPr>
        <w:t>不适用。</w:t>
      </w:r>
    </w:p>
    <w:p>
      <w:pPr>
        <w:pStyle w:val="Heading3"/>
        <w:spacing w:line="240" w:lineRule="auto" w:before="101"/>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206" w:hRule="exact"/>
        </w:trPr>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404"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4" w:hRule="exact"/>
        </w:trPr>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966,288.89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966,288.89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6"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-1,785,785.63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-1,785,785.63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0.8318%</w:t>
            </w:r>
            <w:r>
              <w:rPr>
                <w:rFonts w:ascii="宋体" w:hAnsi="宋体" w:cs="宋体" w:eastAsia="宋体" w:hint="default"/>
                <w:sz w:val="18"/>
                <w:szCs w:val="18"/>
              </w:rPr>
              <w:t>至</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0.8643%</w:t>
            </w: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售后回租业务保 证金</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2,932,214.37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2,932,214.37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0.8318%</w:t>
            </w:r>
            <w:r>
              <w:rPr>
                <w:rFonts w:ascii="宋体" w:hAnsi="宋体" w:cs="宋体" w:eastAsia="宋体" w:hint="default"/>
                <w:sz w:val="18"/>
                <w:szCs w:val="18"/>
              </w:rPr>
              <w:t>至</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0.8643%</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1,669,000.00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融资租赁业务保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36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证金</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2,750,288.89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2,750,288.89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2,932,214.37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2,932,214.37</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06" w:lineRule="auto" w:before="36"/>
        <w:ind w:left="633" w:right="4344"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年末无因金融资产转移而终止确认的长期应收款。</w:t>
      </w:r>
    </w:p>
    <w:p>
      <w:pPr>
        <w:pStyle w:val="Heading3"/>
        <w:spacing w:line="506" w:lineRule="auto" w:before="104"/>
        <w:ind w:left="678" w:right="4344" w:hanging="527"/>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）转移长期应收款且继续涉入形成的资产、负债金额</w:t>
      </w:r>
      <w:r>
        <w:rPr>
          <w:spacing w:val="-85"/>
        </w:rPr>
        <w:t> </w:t>
      </w:r>
      <w:r>
        <w:rPr>
          <w:spacing w:val="-85"/>
        </w:rPr>
      </w:r>
      <w:r>
        <w:rPr>
          <w:rFonts w:ascii="宋体" w:hAnsi="宋体" w:cs="宋体" w:eastAsia="宋体" w:hint="default"/>
          <w:b w:val="0"/>
          <w:bCs w:val="0"/>
        </w:rPr>
        <w:t>不适用。</w:t>
      </w:r>
    </w:p>
    <w:p>
      <w:pPr>
        <w:pStyle w:val="Heading3"/>
        <w:spacing w:line="240" w:lineRule="auto" w:before="102"/>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深圳市鸿 康杰科技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131,844,2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122,547,9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-257,245,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806.44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绵阳美年 大健康科 技有限责 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1,311,941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2,479,767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临沂大健 康健康体 检档案管 理有限公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1,136,234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20,276.95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1,156,511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许昌美年 大健康健 康管理有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919,317.0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-855,925.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洛阳美年 大健康科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848,739.7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953,039.6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东营市美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1,100,663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713,061.9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1,813,725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年大健康 健康管理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海南美年 大健康医 院有限公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-458,872.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18,091,12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烟台福田 健康体检 管理有限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3,790,469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泰安市凯 尔健康体 检管理有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340,914.1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10,035,91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伊犁美年 大健康管 理有限公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433,748.6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1,633,748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137,161,1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157,392,9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3,501,929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-258,101,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732.14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39,954,30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137,161,1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157,392,9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3,501,929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-258,101,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732.14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39,954,30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其他说明</w:t>
      </w:r>
    </w:p>
    <w:p>
      <w:pPr>
        <w:spacing w:line="240" w:lineRule="auto" w:before="9"/>
        <w:rPr>
          <w:rFonts w:ascii="宋体" w:hAnsi="宋体" w:cs="宋体" w:eastAsia="宋体" w:hint="default"/>
          <w:sz w:val="17"/>
          <w:szCs w:val="17"/>
        </w:rPr>
      </w:pPr>
    </w:p>
    <w:p>
      <w:pPr>
        <w:pStyle w:val="BodyText"/>
        <w:spacing w:line="408" w:lineRule="auto" w:before="0"/>
        <w:ind w:right="146" w:firstLine="480"/>
        <w:jc w:val="both"/>
      </w:pPr>
      <w:r>
        <w:rPr>
          <w:spacing w:val="-1"/>
        </w:rPr>
        <w:t>本公司于</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w:t>
      </w:r>
      <w:r>
        <w:rPr>
          <w:spacing w:val="-1"/>
        </w:rPr>
        <w:t>日通过现金取得深圳市鸿康杰科技有限公司</w:t>
      </w:r>
      <w:r>
        <w:rPr>
          <w:rFonts w:ascii="宋体" w:hAnsi="宋体" w:cs="宋体" w:eastAsia="宋体" w:hint="default"/>
          <w:spacing w:val="-1"/>
        </w:rPr>
        <w:t>35%</w:t>
      </w:r>
      <w:r>
        <w:rPr>
          <w:spacing w:val="-1"/>
        </w:rPr>
        <w:t>股权，取得成本</w:t>
      </w:r>
      <w:r>
        <w:rPr>
          <w:rFonts w:ascii="宋体" w:hAnsi="宋体" w:cs="宋体" w:eastAsia="宋体" w:hint="default"/>
          <w:spacing w:val="-1"/>
        </w:rPr>
        <w:t>122,547,984.00</w:t>
      </w:r>
      <w:r>
        <w:rPr>
          <w:rFonts w:ascii="宋体" w:hAnsi="宋体" w:cs="宋体" w:eastAsia="宋体" w:hint="default"/>
          <w:w w:val="100"/>
        </w:rPr>
        <w:t> </w:t>
      </w:r>
      <w:r>
        <w:rPr>
          <w:spacing w:val="-2"/>
        </w:rPr>
        <w:t>元，此次购买与增资后本公司对其持股增至</w:t>
      </w:r>
      <w:r>
        <w:rPr>
          <w:rFonts w:ascii="宋体" w:hAnsi="宋体" w:cs="宋体" w:eastAsia="宋体" w:hint="default"/>
          <w:spacing w:val="-2"/>
        </w:rPr>
        <w:t>84.00%</w:t>
      </w:r>
      <w:r>
        <w:rPr>
          <w:spacing w:val="-2"/>
        </w:rPr>
        <w:t>，取得其控制权；许昌美年大健康健康管理有限公司其</w:t>
      </w:r>
      <w:r>
        <w:rPr>
          <w:spacing w:val="-37"/>
        </w:rPr>
        <w:t> </w:t>
      </w:r>
      <w:r>
        <w:rPr>
          <w:spacing w:val="-37"/>
        </w:rPr>
      </w:r>
      <w:r>
        <w:rPr/>
        <w:t>他股东对其增资，导致本公司对其持股降为</w:t>
      </w:r>
      <w:r>
        <w:rPr>
          <w:rFonts w:ascii="宋体" w:hAnsi="宋体" w:cs="宋体" w:eastAsia="宋体" w:hint="default"/>
        </w:rPr>
        <w:t>6.25%</w:t>
      </w:r>
      <w:r>
        <w:rPr/>
        <w:t>，不再具有重大影响。</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18</w:t>
      </w:r>
      <w:r>
        <w:rPr/>
        <w:t>、投资性房地产</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506" w:lineRule="auto" w:before="36"/>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）未办妥产权证书的投资性房地产情况</w:t>
      </w:r>
      <w:r>
        <w:rPr>
          <w:spacing w:val="-87"/>
        </w:rPr>
        <w:t> </w:t>
      </w:r>
      <w:r>
        <w:rPr>
          <w:spacing w:val="-87"/>
        </w:rPr>
      </w:r>
      <w:r>
        <w:rPr>
          <w:rFonts w:ascii="宋体" w:hAnsi="宋体" w:cs="宋体" w:eastAsia="宋体" w:hint="default"/>
          <w:b w:val="0"/>
          <w:bCs w:val="0"/>
        </w:rPr>
        <w:t>不适用。</w:t>
      </w:r>
    </w:p>
    <w:p>
      <w:pPr>
        <w:pStyle w:val="Heading3"/>
        <w:spacing w:line="240" w:lineRule="auto" w:before="101"/>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469,677,556.76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41,283,210.30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59,473,485.11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570,434,252.17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235,071,223.92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18,270,204.68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26,387,902.06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279,729,330.66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182,515,220.37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15,821,261.89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23,991,348.80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222,327,831.06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33,519,045.90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401,864.37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1,219,617.10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35,140,527.37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19,036,957.65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2,047,078.42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1,176,936.16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22,260,972.23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6,822,362.28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810,744.00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811,546.01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8,444,652.29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1,164,829.00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325,377.00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735,961.01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2,226,167.01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）其他转出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5,657,533.28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485,367.00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6,218,485.28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697,926,418.40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58,742,670.98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85,049,841.16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841,718,930.54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105,565,049.92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9,752,413.89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29,149,672.73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144,467,136.54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55,081,793.15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5,686,453.37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14,640,039.73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75,408,286.25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55,081,793.15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5,686,453.37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14,640,039.73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75,408,286.25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）本期新增</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1,436,904.63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255,099.03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735,109.80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2,427,113.46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413,071.39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96,596.40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694,419.94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1,204,087.73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）其他转出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1,023,833.24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158,502.63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1,223,025.73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159,209,938.44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15,183,768.23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43,054,602.66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217,448,309.33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538,716,479.96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43,558,902.75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41,995,238.50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624,270,621.21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364,112,506.84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31,530,796.41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30,323,812.38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425,967,115.63</w:t>
            </w:r>
          </w:p>
        </w:tc>
      </w:tr>
    </w:tbl>
    <w:p>
      <w:pPr>
        <w:spacing w:line="240" w:lineRule="auto" w:before="3"/>
        <w:rPr>
          <w:rFonts w:ascii="宋体" w:hAnsi="宋体" w:cs="宋体" w:eastAsia="宋体" w:hint="default"/>
          <w:sz w:val="19"/>
          <w:szCs w:val="19"/>
        </w:rPr>
      </w:pPr>
    </w:p>
    <w:p>
      <w:pPr>
        <w:spacing w:line="508" w:lineRule="auto" w:before="36"/>
        <w:ind w:left="152" w:right="694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）暂时闲置的固定资产情况</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不适用。</w:t>
      </w:r>
    </w:p>
    <w:p>
      <w:pPr>
        <w:pStyle w:val="Heading3"/>
        <w:spacing w:line="240" w:lineRule="auto" w:before="99"/>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核磁共振设备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57,961,852.91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4,318,795.77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53,643,057.14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45,520.85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2,954,479.15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60,961,852.91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4,364,316.62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56,597,536.29</w:t>
            </w:r>
          </w:p>
        </w:tc>
      </w:tr>
    </w:tbl>
    <w:p>
      <w:pPr>
        <w:spacing w:line="240" w:lineRule="auto" w:before="3"/>
        <w:rPr>
          <w:rFonts w:ascii="宋体" w:hAnsi="宋体" w:cs="宋体" w:eastAsia="宋体" w:hint="default"/>
          <w:sz w:val="19"/>
          <w:szCs w:val="19"/>
        </w:rPr>
      </w:pPr>
    </w:p>
    <w:p>
      <w:pPr>
        <w:pStyle w:val="Heading3"/>
        <w:spacing w:line="506" w:lineRule="auto" w:before="36"/>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）通过经营租赁租出的固定资产</w:t>
      </w:r>
      <w:r>
        <w:rPr>
          <w:spacing w:val="-91"/>
        </w:rPr>
        <w:t> </w:t>
      </w:r>
      <w:r>
        <w:rPr>
          <w:spacing w:val="-91"/>
        </w:rPr>
      </w:r>
      <w:r>
        <w:rPr>
          <w:rFonts w:ascii="宋体" w:hAnsi="宋体" w:cs="宋体" w:eastAsia="宋体" w:hint="default"/>
          <w:b w:val="0"/>
          <w:bCs w:val="0"/>
        </w:rPr>
        <w:t>不适用。</w:t>
      </w:r>
    </w:p>
    <w:p>
      <w:pPr>
        <w:pStyle w:val="Heading3"/>
        <w:spacing w:line="506" w:lineRule="auto" w:before="101"/>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）未办妥产权证书的固定资产情况</w:t>
      </w:r>
      <w:r>
        <w:rPr>
          <w:spacing w:val="-90"/>
        </w:rPr>
        <w:t> </w:t>
      </w:r>
      <w:r>
        <w:rPr>
          <w:spacing w:val="-90"/>
        </w:rPr>
      </w:r>
      <w:r>
        <w:rPr>
          <w:rFonts w:ascii="宋体" w:hAnsi="宋体" w:cs="宋体" w:eastAsia="宋体" w:hint="default"/>
          <w:b w:val="0"/>
          <w:bCs w:val="0"/>
        </w:rPr>
        <w:t>不适用。</w:t>
      </w:r>
    </w:p>
    <w:p>
      <w:pPr>
        <w:pStyle w:val="Heading3"/>
        <w:spacing w:line="240" w:lineRule="auto" w:before="104"/>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55,615,343.53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55,615,343.53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63,597,725.08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63,597,725.08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在安装的核磁设 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8,480,485.90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8,480,485.90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11,799,682.31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11,799,682.31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64,095,829.43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64,095,829.43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75,397,407.39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75,397,407.39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门店装 修费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63,597,7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78,765,4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19,260,6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67,487,2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55,615,3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装修进 行中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在安装 的核磁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11,799,6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12,560,7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15,879,9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8,480,48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安装调 试中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75,397,4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91,326,1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35,140,5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67,487,2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64,095,8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29.43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spacing w:line="520" w:lineRule="auto" w:before="0"/>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3"/>
        <w:spacing w:line="240" w:lineRule="auto" w:before="51"/>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软件</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17,333,576.03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17,345,576.03</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1,645,198.40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1,645,198.40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1,227,150.85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1,227,150.85</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418,047.55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418,047.55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）其他转出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18,978,774.43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18,990,774.43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4,474,121.79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4,486,121.79</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1,839,999.16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1,839,999.16</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1,839,999.16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1,839,999.16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6,314,120.95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6,326,120.95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12,664,653.48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12,664,653.48</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12,859,454.24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12,859,454.24</w:t>
            </w:r>
          </w:p>
        </w:tc>
      </w:tr>
    </w:tbl>
    <w:p>
      <w:pPr>
        <w:pStyle w:val="BodyText"/>
        <w:spacing w:line="240" w:lineRule="auto" w:before="28"/>
        <w:ind w:right="0"/>
        <w:jc w:val="left"/>
      </w:pPr>
      <w:r>
        <w:rPr>
          <w:spacing w:val="-2"/>
        </w:rPr>
        <w:t>本期末通过公司内部研发形成的无形资产占无形资产余额的比例</w:t>
      </w:r>
      <w:r>
        <w:rPr>
          <w:spacing w:val="11"/>
        </w:rPr>
        <w:t> </w:t>
      </w:r>
      <w:r>
        <w:rPr>
          <w:rFonts w:ascii="Times New Roman" w:hAnsi="Times New Roman" w:cs="Times New Roman" w:eastAsia="Times New Roman" w:hint="default"/>
          <w:spacing w:val="-2"/>
        </w:rPr>
        <w:t>0.00%</w:t>
      </w:r>
      <w:r>
        <w:rPr>
          <w:spacing w:val="-2"/>
        </w:rPr>
        <w:t>。</w:t>
      </w:r>
    </w:p>
    <w:p>
      <w:pPr>
        <w:spacing w:line="240" w:lineRule="auto" w:before="5"/>
        <w:rPr>
          <w:rFonts w:ascii="宋体" w:hAnsi="宋体" w:cs="宋体" w:eastAsia="宋体" w:hint="default"/>
          <w:sz w:val="24"/>
          <w:szCs w:val="24"/>
        </w:rPr>
      </w:pPr>
    </w:p>
    <w:p>
      <w:pPr>
        <w:pStyle w:val="Heading3"/>
        <w:spacing w:line="506" w:lineRule="auto"/>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）未办妥产权证书的土地使用权情况</w:t>
      </w:r>
      <w:r>
        <w:rPr>
          <w:spacing w:val="-88"/>
        </w:rPr>
        <w:t> </w:t>
      </w:r>
      <w:r>
        <w:rPr>
          <w:spacing w:val="-88"/>
        </w:rPr>
      </w:r>
      <w:r>
        <w:rPr>
          <w:rFonts w:ascii="宋体" w:hAnsi="宋体" w:cs="宋体" w:eastAsia="宋体" w:hint="default"/>
          <w:b w:val="0"/>
          <w:bCs w:val="0"/>
        </w:rPr>
        <w:t>不适用。</w:t>
      </w:r>
    </w:p>
    <w:p>
      <w:pPr>
        <w:spacing w:line="520" w:lineRule="auto" w:before="104"/>
        <w:ind w:left="152" w:right="85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3"/>
        <w:spacing w:line="240" w:lineRule="auto" w:before="52"/>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深圳市鸿康杰科 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254,541,769.69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254,541,769.69</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深圳瑞格尔健康 管理科技有限公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45,161,039.79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45,161,039.79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洛阳美年大健康 信息咨询有限公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23,208,425.08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23,208,425.08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辽阳美年大健康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22,460,719.71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22,460,719.71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南昌泰安医院有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10,078,855.18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943,567.55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11,022,422.73</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西安美年大健康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9,852,788.67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9,852,788.67</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长春美年大健康 宇宸医院有限公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7,776,353.10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7,776,353.10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武汉美年大健康 体检管理有限公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7,270,863.41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7,270,863.41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北京佳境体检门 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6,422,121.73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6,422,121.73</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北京绿生源门诊 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5,956,525.00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5,956,525.00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贵州美年大健康 康源体检中心有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5,051,457.36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5,051,457.36</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安徽博瑞康健康 管理咨询有限公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4,247,500.31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4,247,500.31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江苏华康投资发 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4,216,052.41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4,216,052.41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成都凯尔健康体 检医院有限公司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3,493,347.97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3,493,347.97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常熟美年大健康 门诊部有限公司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2,010,087.46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2,010,087.46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锦州大健康健康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1,893,765.66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1,893,765.66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济源美年大健康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1,732,493.87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1,732,493.87</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南京美仕年专科 门诊部有限公司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839,465.05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839,465.05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四川鸿康杰医疗 投资管理有限公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91,940.40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91,940.40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111,878,604.96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9" w:right="0"/>
              <w:jc w:val="left"/>
              <w:rPr>
                <w:rFonts w:ascii="Times New Roman" w:hAnsi="Times New Roman" w:cs="Times New Roman" w:eastAsia="Times New Roman" w:hint="default"/>
                <w:sz w:val="18"/>
                <w:szCs w:val="18"/>
              </w:rPr>
            </w:pPr>
            <w:r>
              <w:rPr>
                <w:rFonts w:ascii="Times New Roman"/>
                <w:sz w:val="18"/>
              </w:rPr>
              <w:t>305,370,534.44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417,249,139.40</w:t>
            </w:r>
          </w:p>
        </w:tc>
      </w:tr>
    </w:tbl>
    <w:p>
      <w:pPr>
        <w:spacing w:line="240" w:lineRule="auto" w:before="10"/>
        <w:rPr>
          <w:rFonts w:ascii="Times New Roman" w:hAnsi="Times New Roman" w:cs="Times New Roman" w:eastAsia="Times New Roman" w:hint="default"/>
          <w:sz w:val="21"/>
          <w:szCs w:val="21"/>
        </w:rPr>
      </w:pPr>
    </w:p>
    <w:p>
      <w:pPr>
        <w:spacing w:line="520" w:lineRule="auto" w:before="36"/>
        <w:ind w:left="152" w:right="79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spacing w:val="-10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before="7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211,840,392.45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142,971,234.12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72,063,878.49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282,747,748.08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2,378,714.88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685,956.94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1,692,757.94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214,219,107.33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142,971,234.12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72,749,835.43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284,440,506.02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5,947,593.08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1,240,757.53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3,813,316.40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953,329.10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28,128,621.72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7,032,155.43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27,607,005.28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6,901,751.32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91,859,672.73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22,964,918.19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125,080,230.13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31,270,057.56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352,080.97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88,020.24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4,172,489.42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1,043,122.34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5,301,118.98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1,325,279.74</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非同一控制下企业合并 资产评估减值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2,876,869.40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719,217.36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3,421,938.37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855,484.60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28,971,912.95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6,361,389.07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13,960,595.00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3,490,148.74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1,435,915.45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358,978.86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1,518,340.97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379,585.23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163,436,726.78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39,731,451.79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181,054,626.10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45,263,656.53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1,637,111.23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409,277.81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2,192,672.89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548,168.22</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3,508,346.90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877,086.73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5,145,458.13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1,286,364.54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2,192,672.89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548,168.22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39,731,451.79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45,263,656.53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1,286,364.54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548,168.22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1,073,129.91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2,774,973.34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25,035.33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交易性金融资产的公允价值变动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-7,859.58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232,310.27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1,160,910.04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3,024,459.36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342,039.30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342,039.30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2,146,500.96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2,117,575.68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340,223.77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1,620,781.57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838,501.07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7,019,496.82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625,254.53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4,292,519.63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11,099,893.37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23,812,543.91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23,470,223.00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23,812,543.91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23,470,223.00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line="544" w:lineRule="auto" w:before="120"/>
        <w:ind w:left="152" w:right="43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100"/>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b/>
          <w:bCs/>
          <w:spacing w:val="-1"/>
          <w:sz w:val="21"/>
          <w:szCs w:val="21"/>
        </w:rPr>
        <w:t>32</w:t>
      </w:r>
      <w:r>
        <w:rPr>
          <w:rFonts w:ascii="宋体" w:hAnsi="宋体" w:cs="宋体" w:eastAsia="宋体" w:hint="default"/>
          <w:b/>
          <w:bCs/>
          <w:spacing w:val="-1"/>
          <w:sz w:val="21"/>
          <w:szCs w:val="21"/>
        </w:rPr>
        <w:t>、以公允价值计量且其变动计入当期损益的金融负债</w:t>
      </w:r>
      <w:r>
        <w:rPr>
          <w:rFonts w:ascii="宋体" w:hAnsi="宋体" w:cs="宋体" w:eastAsia="宋体" w:hint="default"/>
          <w:spacing w:val="-1"/>
          <w:sz w:val="21"/>
          <w:szCs w:val="21"/>
        </w:rPr>
      </w:r>
    </w:p>
    <w:p>
      <w:pPr>
        <w:pStyle w:val="BodyText"/>
        <w:spacing w:line="240" w:lineRule="auto" w:before="28"/>
        <w:ind w:right="0"/>
        <w:jc w:val="left"/>
      </w:pP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1,662,750.00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2,785,150.00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2,785,150.00</w:t>
            </w:r>
          </w:p>
        </w:tc>
      </w:tr>
    </w:tbl>
    <w:p>
      <w:pPr>
        <w:pStyle w:val="BodyText"/>
        <w:spacing w:line="240" w:lineRule="auto" w:before="28"/>
        <w:ind w:right="0"/>
        <w:jc w:val="left"/>
      </w:pPr>
      <w:r>
        <w:rPr/>
        <w:t>本期末已到期未支付的应付票据总额为</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after="0" w:line="240" w:lineRule="auto"/>
        <w:jc w:val="left"/>
        <w:sectPr>
          <w:footerReference w:type="default" r:id="rId27"/>
          <w:pgSz w:w="11910" w:h="16840"/>
          <w:pgMar w:footer="979" w:header="745"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70,504,405.20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54,208,254.24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30,311,648.89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18,260,975.07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应付外包体检款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24,463,892.10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10,908,850.14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应付外送检验费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17,550,788.43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10,521,106.76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应付租车费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1,396,433.07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196,294.00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8,925,449.76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3,986,681.38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153,152,617.45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98,082,161.59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上海海员医院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1,126,738.01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深圳市弘泰世纪科技有限公司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1,038,415.40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天津多克隆商贸有限公司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764,288.33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广州达安临床检验中心有限公司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729,307.66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3,658,749.40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204,488,955.45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108,418,126.62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204,488,955.45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108,418,126.62</w:t>
            </w:r>
          </w:p>
        </w:tc>
      </w:tr>
    </w:tbl>
    <w:p>
      <w:pPr>
        <w:spacing w:line="240" w:lineRule="auto" w:before="3"/>
        <w:rPr>
          <w:rFonts w:ascii="宋体" w:hAnsi="宋体" w:cs="宋体" w:eastAsia="宋体" w:hint="default"/>
          <w:sz w:val="19"/>
          <w:szCs w:val="19"/>
        </w:rPr>
      </w:pPr>
    </w:p>
    <w:p>
      <w:pPr>
        <w:pStyle w:val="Heading3"/>
        <w:spacing w:line="506" w:lineRule="auto" w:before="36"/>
        <w:ind w:right="6509"/>
        <w:jc w:val="left"/>
        <w:rPr>
          <w:rFonts w:ascii="宋体" w:hAnsi="宋体" w:cs="宋体" w:eastAsia="宋体" w:hint="default"/>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w w:val="100"/>
        </w:rPr>
        <w:t> </w:t>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footerReference w:type="default" r:id="rId28"/>
          <w:pgSz w:w="11910" w:h="16840"/>
          <w:pgMar w:footer="979" w:header="745" w:top="1060" w:bottom="1160" w:left="980" w:right="980"/>
          <w:pgNumType w:start="201"/>
        </w:sectPr>
      </w:pPr>
    </w:p>
    <w:p>
      <w:pPr>
        <w:spacing w:line="240" w:lineRule="auto" w:before="10"/>
        <w:rPr>
          <w:rFonts w:ascii="宋体" w:hAnsi="宋体" w:cs="宋体" w:eastAsia="宋体" w:hint="default"/>
          <w:sz w:val="24"/>
          <w:szCs w:val="24"/>
        </w:rPr>
      </w:pPr>
    </w:p>
    <w:p>
      <w:pPr>
        <w:pStyle w:val="Heading3"/>
        <w:spacing w:line="506" w:lineRule="auto" w:before="36"/>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）期末建造合同形成的已结算未完工项目情况</w:t>
      </w:r>
      <w:r>
        <w:rPr>
          <w:spacing w:val="-86"/>
        </w:rPr>
        <w:t> </w:t>
      </w:r>
      <w:r>
        <w:rPr>
          <w:spacing w:val="-86"/>
        </w:rPr>
      </w:r>
      <w:r>
        <w:rPr>
          <w:rFonts w:ascii="宋体" w:hAnsi="宋体" w:cs="宋体" w:eastAsia="宋体" w:hint="default"/>
          <w:b w:val="0"/>
          <w:bCs w:val="0"/>
        </w:rPr>
        <w:t>不适用。</w:t>
      </w:r>
    </w:p>
    <w:p>
      <w:pPr>
        <w:pStyle w:val="Heading3"/>
        <w:spacing w:line="240" w:lineRule="auto" w:before="101"/>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38,873,029.80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721,255,992.33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696,734,591.00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63,394,431.13</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640,530.40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52,303,192.21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51,438,725.34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1,504,997.27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39,513,560.20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773,707,784.54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748,321,916.34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64,899,428.40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37,076,407.91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651,508,924.14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627,213,351.48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61,371,980.57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476,718.01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17,482,780.05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17,359,217.99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600,280.07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285,938.84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25,204,810.29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25,247,126.79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243,622.34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22,150,602.65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22,190,087.61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202,517.50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1,270,196.91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1,275,609.69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19,490.91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1,784,010.73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1,781,429.49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21,613.93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199,602.30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15,098,655.06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14,869,113.01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429,144.35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726,135.59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4,504,345.23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4,493,197.11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737,283.71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4,147,523.92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4,147,523.92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108,227.15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3,308,953.64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3,405,060.70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12,120.09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38,873,029.80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721,255,992.33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696,734,591.00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63,394,431.13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579,107.23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49,074,661.22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48,237,476.34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1,416,292.11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3,228,530.99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3,201,249.00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88,705.16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640,530.40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52,303,192.21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51,438,725.34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1,504,997.27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904,912.82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668,711.84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1,052,212.96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490,473.89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46,396,768.58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33,438,901.57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2,591,931.79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1,812,521.44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82,085.77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45,194.70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100,457.25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59,695.57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4,742.23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7,067.95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河道工程维修管道费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31,859.55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51,279,893.28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36,573,691.19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190,652.46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619,763.89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810,416.35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850,201.59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850,201.59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850,201.59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850,201.59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21,979,523.08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23,276,656.74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18,247,109.90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12,733,120.27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10,436,945.21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9,003,325.84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9,152,460.97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1,614,825.36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代扣代缴社保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4,734,742.71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959,190.50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1,161,191.82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369,351.90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30,234,024.26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3,799,305.66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95,945,997.95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51,755,776.27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沈阳东软医疗系统有限公司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罗氏诊断有限公司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胡占荣（装修款）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2,986,809.00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520" w:lineRule="auto" w:before="120"/>
        <w:ind w:right="7048"/>
        <w:jc w:val="left"/>
        <w:rPr>
          <w:b w:val="0"/>
          <w:bCs w:val="0"/>
        </w:rPr>
      </w:pPr>
      <w:r>
        <w:rPr>
          <w:rFonts w:ascii="Times New Roman" w:hAnsi="Times New Roman" w:cs="Times New Roman" w:eastAsia="Times New Roman" w:hint="default"/>
        </w:rPr>
        <w:t>42</w:t>
      </w:r>
      <w:r>
        <w:rPr/>
        <w:t>、划分为持有待售的负债</w:t>
      </w:r>
      <w:r>
        <w:rPr>
          <w:w w:val="100"/>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Times New Roman" w:hAnsi="Times New Roman" w:cs="Times New Roman" w:eastAsia="Times New Roman" w:hint="default"/>
          <w:spacing w:val="-1"/>
        </w:rPr>
        <w:t>43</w:t>
      </w:r>
      <w:r>
        <w:rPr>
          <w:spacing w:val="-1"/>
        </w:rPr>
        <w:t>、一年内到期的非流动负债</w:t>
      </w:r>
      <w:r>
        <w:rPr>
          <w:b w:val="0"/>
          <w:bCs w:val="0"/>
          <w:spacing w:val="-1"/>
        </w:rPr>
      </w:r>
    </w:p>
    <w:p>
      <w:pPr>
        <w:spacing w:before="7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24,534,090.85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13,145,498.61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14,365,984.79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64,838,998.61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38,900,075.64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506" w:lineRule="auto" w:before="36"/>
        <w:ind w:left="152" w:right="80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133,581,900.00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-24,534,090.85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86,379,900.00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4,490,909.15</w:t>
            </w:r>
          </w:p>
        </w:tc>
      </w:tr>
    </w:tbl>
    <w:p>
      <w:pPr>
        <w:spacing w:line="240" w:lineRule="auto" w:before="3"/>
        <w:rPr>
          <w:rFonts w:ascii="宋体" w:hAnsi="宋体" w:cs="宋体" w:eastAsia="宋体" w:hint="default"/>
          <w:sz w:val="5"/>
          <w:szCs w:val="5"/>
        </w:rPr>
      </w:pPr>
    </w:p>
    <w:p>
      <w:pPr>
        <w:pStyle w:val="BodyText"/>
        <w:spacing w:line="444" w:lineRule="auto" w:before="36"/>
        <w:ind w:right="5723"/>
        <w:jc w:val="left"/>
      </w:pPr>
      <w:r>
        <w:rPr/>
        <w:t>长期借款分类的说明：</w:t>
      </w:r>
      <w:r>
        <w:rPr>
          <w:w w:val="100"/>
        </w:rPr>
        <w:t> </w:t>
      </w:r>
      <w:r>
        <w:rPr/>
        <w:t>其他说明，包括利率区间：</w:t>
      </w:r>
      <w:r>
        <w:rPr>
          <w:w w:val="100"/>
        </w:rPr>
        <w:t> </w:t>
      </w:r>
      <w:r>
        <w:rPr>
          <w:spacing w:val="-1"/>
        </w:rPr>
        <w:t>长期借款利率区间</w:t>
      </w:r>
      <w:r>
        <w:rPr>
          <w:rFonts w:ascii="宋体" w:hAnsi="宋体" w:cs="宋体" w:eastAsia="宋体" w:hint="default"/>
          <w:spacing w:val="-1"/>
        </w:rPr>
        <w:t>4.7500%</w:t>
      </w:r>
      <w:r>
        <w:rPr>
          <w:spacing w:val="-1"/>
        </w:rPr>
        <w:t>至</w:t>
      </w:r>
      <w:r>
        <w:rPr>
          <w:rFonts w:ascii="宋体" w:hAnsi="宋体" w:cs="宋体" w:eastAsia="宋体" w:hint="default"/>
          <w:spacing w:val="-1"/>
        </w:rPr>
        <w:t>6.6420%</w:t>
      </w:r>
      <w:r>
        <w:rPr>
          <w:spacing w:val="-1"/>
        </w:rPr>
        <w:t>。</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84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508" w:lineRule="auto" w:before="104"/>
        <w:ind w:right="1587"/>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）应付债券的增减变动（不包括划分为金融负债的优先股、永续债等其他金融工具）</w:t>
      </w:r>
      <w:r>
        <w:rPr>
          <w:spacing w:val="-71"/>
        </w:rPr>
        <w:t> </w:t>
      </w:r>
      <w:r>
        <w:rPr>
          <w:spacing w:val="-71"/>
        </w:rPr>
      </w:r>
      <w:r>
        <w:rPr>
          <w:rFonts w:ascii="宋体" w:hAnsi="宋体" w:cs="宋体" w:eastAsia="宋体" w:hint="default"/>
          <w:b w:val="0"/>
          <w:bCs w:val="0"/>
        </w:rPr>
        <w:t>不适用。</w:t>
      </w:r>
    </w:p>
    <w:p>
      <w:pPr>
        <w:pStyle w:val="Heading3"/>
        <w:spacing w:line="506" w:lineRule="auto" w:before="99"/>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）可转换公司债券的转股条件、转股时间说明</w:t>
      </w:r>
      <w:r>
        <w:rPr>
          <w:spacing w:val="-86"/>
        </w:rPr>
        <w:t> </w:t>
      </w:r>
      <w:r>
        <w:rPr>
          <w:spacing w:val="-86"/>
        </w:rPr>
      </w:r>
      <w:r>
        <w:rPr>
          <w:rFonts w:ascii="宋体" w:hAnsi="宋体" w:cs="宋体" w:eastAsia="宋体" w:hint="default"/>
          <w:b w:val="0"/>
          <w:bCs w:val="0"/>
        </w:rPr>
        <w:t>不适用。</w:t>
      </w:r>
    </w:p>
    <w:p>
      <w:pPr>
        <w:pStyle w:val="Heading3"/>
        <w:spacing w:line="506" w:lineRule="auto" w:before="104"/>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）划分为金融负债的其他金融工具说明</w:t>
      </w:r>
      <w:r>
        <w:rPr>
          <w:spacing w:val="-87"/>
        </w:rPr>
        <w:t> </w:t>
      </w:r>
      <w:r>
        <w:rPr>
          <w:spacing w:val="-87"/>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应付分期付款购买的设备款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5,574,042.99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6,997,452.18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应付融资租赁的设备款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41,494,466.60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22,592,497.65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应付售后回租的设备款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44,720,573.21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13,145,498.61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14,365,984.79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33,923,010.98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59,944,538.25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73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506" w:lineRule="auto" w:before="102"/>
        <w:ind w:left="152" w:right="715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）设定受益计划变动情况</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不适用。</w:t>
      </w:r>
    </w:p>
    <w:p>
      <w:pPr>
        <w:pStyle w:val="Heading3"/>
        <w:spacing w:line="240" w:lineRule="auto" w:before="104"/>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智慧平台政府补助</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政府补助用于开发 软件</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424" w:lineRule="auto" w:before="36"/>
        <w:ind w:right="0"/>
        <w:jc w:val="left"/>
      </w:pPr>
      <w:r>
        <w:rPr/>
        <w:t>其他说明：</w:t>
      </w:r>
      <w:r>
        <w:rPr>
          <w:spacing w:val="-102"/>
        </w:rPr>
        <w:t> </w:t>
      </w:r>
      <w:r>
        <w:rPr>
          <w:spacing w:val="-102"/>
        </w:rPr>
      </w:r>
      <w:r>
        <w:rPr>
          <w:spacing w:val="-2"/>
        </w:rPr>
        <w:t>专项应付款为本公司申请的上海市信息化发展专项资金，申请金额为</w:t>
      </w:r>
      <w:r>
        <w:rPr>
          <w:rFonts w:ascii="宋体" w:hAnsi="宋体" w:cs="宋体" w:eastAsia="宋体" w:hint="default"/>
          <w:spacing w:val="-2"/>
        </w:rPr>
        <w:t>200</w:t>
      </w:r>
      <w:r>
        <w:rPr>
          <w:spacing w:val="-2"/>
        </w:rPr>
        <w:t>万元，上海市政府预付</w:t>
      </w:r>
      <w:r>
        <w:rPr>
          <w:rFonts w:ascii="宋体" w:hAnsi="宋体" w:cs="宋体" w:eastAsia="宋体" w:hint="default"/>
          <w:spacing w:val="-2"/>
        </w:rPr>
        <w:t>70%</w:t>
      </w:r>
      <w:r>
        <w:rPr>
          <w:spacing w:val="-2"/>
        </w:rPr>
        <w:t>即</w:t>
      </w:r>
      <w:r>
        <w:rPr>
          <w:rFonts w:ascii="宋体" w:hAnsi="宋体" w:cs="宋体" w:eastAsia="宋体" w:hint="default"/>
          <w:spacing w:val="-2"/>
        </w:rPr>
        <w:t>140</w:t>
      </w:r>
      <w:r>
        <w:rPr>
          <w:rFonts w:ascii="宋体" w:hAnsi="宋体" w:cs="宋体" w:eastAsia="宋体" w:hint="default"/>
          <w:spacing w:val="-22"/>
        </w:rPr>
        <w:t> </w:t>
      </w:r>
      <w:r>
        <w:rPr/>
        <w:t>万元的资金款，该软件目前正在研发过程中。</w:t>
      </w:r>
    </w:p>
    <w:p>
      <w:pPr>
        <w:spacing w:line="240" w:lineRule="auto" w:before="6"/>
        <w:rPr>
          <w:rFonts w:ascii="宋体" w:hAnsi="宋体" w:cs="宋体" w:eastAsia="宋体" w:hint="default"/>
          <w:sz w:val="19"/>
          <w:szCs w:val="19"/>
        </w:rPr>
      </w:pPr>
    </w:p>
    <w:p>
      <w:pPr>
        <w:spacing w:line="506" w:lineRule="auto" w:before="0"/>
        <w:ind w:left="152" w:right="85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50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516" w:lineRule="auto" w:before="36"/>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pStyle w:val="Heading3"/>
        <w:spacing w:line="240" w:lineRule="auto" w:before="95"/>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732,748,260.00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477,993,093.00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477,993,093.00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1,210,741,353.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506" w:lineRule="auto"/>
        <w:ind w:right="3415"/>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1</w:t>
      </w:r>
      <w:r>
        <w:rPr>
          <w:spacing w:val="-1"/>
        </w:rPr>
        <w:t>）期末发行在外的优先股、永续债等其他金融工具基本情况</w:t>
      </w:r>
      <w:r>
        <w:rPr>
          <w:spacing w:val="-80"/>
        </w:rPr>
        <w:t> </w:t>
      </w:r>
      <w:r>
        <w:rPr>
          <w:spacing w:val="-80"/>
        </w:rPr>
      </w:r>
      <w:r>
        <w:rPr>
          <w:rFonts w:ascii="宋体" w:hAnsi="宋体" w:cs="宋体" w:eastAsia="宋体" w:hint="default"/>
          <w:b w:val="0"/>
          <w:bCs w:val="0"/>
        </w:rPr>
        <w:t>不适用。</w:t>
      </w:r>
    </w:p>
    <w:p>
      <w:pPr>
        <w:pStyle w:val="Heading3"/>
        <w:spacing w:line="506" w:lineRule="auto" w:before="101"/>
        <w:ind w:right="3415"/>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）期末发行在外的优先股、永续债等金融工具变动情况表</w:t>
      </w:r>
      <w:r>
        <w:rPr>
          <w:spacing w:val="-82"/>
        </w:rPr>
        <w:t> </w:t>
      </w:r>
      <w:r>
        <w:rPr>
          <w:spacing w:val="-82"/>
        </w:rPr>
      </w:r>
      <w:r>
        <w:rPr>
          <w:rFonts w:ascii="宋体" w:hAnsi="宋体" w:cs="宋体" w:eastAsia="宋体" w:hint="default"/>
          <w:b w:val="0"/>
          <w:bCs w:val="0"/>
        </w:rPr>
        <w:t>不适用。</w:t>
      </w:r>
    </w:p>
    <w:p>
      <w:pPr>
        <w:pStyle w:val="Heading3"/>
        <w:spacing w:line="240" w:lineRule="auto" w:before="104"/>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419,068,014.54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896,012,512.75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1,315,080,527.29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419,068,014.54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896,012,512.75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2" w:right="0"/>
              <w:jc w:val="left"/>
              <w:rPr>
                <w:rFonts w:ascii="Times New Roman" w:hAnsi="Times New Roman" w:cs="Times New Roman" w:eastAsia="Times New Roman" w:hint="default"/>
                <w:sz w:val="18"/>
                <w:szCs w:val="18"/>
              </w:rPr>
            </w:pPr>
            <w:r>
              <w:rPr>
                <w:rFonts w:ascii="Times New Roman"/>
                <w:sz w:val="18"/>
              </w:rPr>
              <w:t>1,315,080,527.29</w:t>
            </w:r>
          </w:p>
        </w:tc>
      </w:tr>
    </w:tbl>
    <w:p>
      <w:pPr>
        <w:spacing w:line="240" w:lineRule="auto" w:before="3"/>
        <w:rPr>
          <w:rFonts w:ascii="宋体" w:hAnsi="宋体" w:cs="宋体" w:eastAsia="宋体" w:hint="default"/>
          <w:sz w:val="5"/>
          <w:szCs w:val="5"/>
        </w:rPr>
      </w:pPr>
    </w:p>
    <w:p>
      <w:pPr>
        <w:pStyle w:val="BodyText"/>
        <w:spacing w:line="441" w:lineRule="auto" w:before="36"/>
        <w:ind w:right="0"/>
        <w:jc w:val="left"/>
      </w:pPr>
      <w:r>
        <w:rPr/>
        <w:t>其他说明，包括本期增减变动情况、变动原因说明：</w:t>
      </w:r>
      <w:r>
        <w:rPr>
          <w:w w:val="100"/>
        </w:rPr>
        <w:t> </w:t>
      </w:r>
      <w:r>
        <w:rPr>
          <w:spacing w:val="-2"/>
        </w:rPr>
        <w:t>当期资本公积变动主要为股东出资溢价影响</w:t>
      </w:r>
      <w:r>
        <w:rPr>
          <w:rFonts w:ascii="宋体" w:hAnsi="宋体" w:cs="宋体" w:eastAsia="宋体" w:hint="default"/>
          <w:spacing w:val="-2"/>
        </w:rPr>
        <w:t>1,208,541,281.07</w:t>
      </w:r>
      <w:r>
        <w:rPr>
          <w:spacing w:val="-2"/>
        </w:rPr>
        <w:t>元，对子公司持股比例变动影响</w:t>
      </w:r>
    </w:p>
    <w:p>
      <w:pPr>
        <w:pStyle w:val="BodyText"/>
        <w:spacing w:line="240" w:lineRule="auto" w:before="16"/>
        <w:ind w:right="0"/>
        <w:jc w:val="left"/>
      </w:pPr>
      <w:r>
        <w:rPr>
          <w:rFonts w:ascii="宋体" w:hAnsi="宋体" w:cs="宋体" w:eastAsia="宋体" w:hint="default"/>
        </w:rPr>
        <w:t>-4,209,788.74</w:t>
      </w:r>
      <w:r>
        <w:rPr/>
        <w:t>元，实施构成反向购买的重大资产重组影响</w:t>
      </w:r>
      <w:r>
        <w:rPr>
          <w:rFonts w:ascii="宋体" w:hAnsi="宋体" w:cs="宋体" w:eastAsia="宋体" w:hint="default"/>
        </w:rPr>
        <w:t>-308,318,979.58</w:t>
      </w:r>
      <w:r>
        <w:rPr/>
        <w:t>元。</w:t>
      </w:r>
    </w:p>
    <w:p>
      <w:pPr>
        <w:spacing w:line="240" w:lineRule="auto" w:before="0"/>
        <w:rPr>
          <w:rFonts w:ascii="宋体" w:hAnsi="宋体" w:cs="宋体" w:eastAsia="宋体" w:hint="default"/>
          <w:sz w:val="20"/>
          <w:szCs w:val="20"/>
        </w:rPr>
      </w:pPr>
    </w:p>
    <w:p>
      <w:pPr>
        <w:spacing w:line="506" w:lineRule="auto" w:before="154"/>
        <w:ind w:left="152" w:right="87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50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506" w:lineRule="auto" w:before="36"/>
        <w:ind w:left="152" w:right="80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537" w:lineRule="auto" w:before="0"/>
        <w:ind w:left="152" w:right="8508" w:firstLine="0"/>
        <w:jc w:val="left"/>
        <w:rPr>
          <w:rFonts w:ascii="宋体" w:hAnsi="宋体" w:cs="宋体" w:eastAsia="宋体" w:hint="default"/>
          <w:sz w:val="21"/>
          <w:szCs w:val="21"/>
        </w:rPr>
      </w:pPr>
      <w:r>
        <w:rPr>
          <w:rFonts w:ascii="宋体" w:hAnsi="宋体" w:cs="宋体" w:eastAsia="宋体"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pStyle w:val="Heading3"/>
        <w:spacing w:line="240" w:lineRule="auto" w:before="165"/>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417,407.86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417,407.86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417,407.86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417,407.86</w:t>
            </w:r>
          </w:p>
        </w:tc>
      </w:tr>
    </w:tbl>
    <w:p>
      <w:pPr>
        <w:spacing w:line="240" w:lineRule="auto" w:before="3"/>
        <w:rPr>
          <w:rFonts w:ascii="宋体" w:hAnsi="宋体" w:cs="宋体" w:eastAsia="宋体" w:hint="default"/>
          <w:sz w:val="5"/>
          <w:szCs w:val="5"/>
        </w:rPr>
      </w:pPr>
    </w:p>
    <w:p>
      <w:pPr>
        <w:pStyle w:val="BodyText"/>
        <w:spacing w:line="427" w:lineRule="auto" w:before="36"/>
        <w:ind w:right="0"/>
        <w:jc w:val="left"/>
      </w:pPr>
      <w:r>
        <w:rPr/>
        <w:t>盈余公积说明，包括本期增减变动情况、变动原因说明：</w:t>
      </w:r>
      <w:r>
        <w:rPr>
          <w:w w:val="100"/>
        </w:rPr>
        <w:t> </w:t>
      </w:r>
      <w:r>
        <w:rPr>
          <w:spacing w:val="-2"/>
        </w:rPr>
        <w:t>根据公司法、章程的规定，本公司按净利润的</w:t>
      </w:r>
      <w:r>
        <w:rPr>
          <w:rFonts w:ascii="宋体" w:hAnsi="宋体" w:cs="宋体" w:eastAsia="宋体" w:hint="default"/>
          <w:spacing w:val="-2"/>
        </w:rPr>
        <w:t>10%</w:t>
      </w:r>
      <w:r>
        <w:rPr>
          <w:spacing w:val="-2"/>
        </w:rPr>
        <w:t>提取法定盈余公积金。法定盈余公积累计额为本公司注</w:t>
      </w:r>
      <w:r>
        <w:rPr>
          <w:spacing w:val="-19"/>
        </w:rPr>
        <w:t> </w:t>
      </w:r>
      <w:r>
        <w:rPr>
          <w:spacing w:val="-19"/>
        </w:rPr>
      </w:r>
      <w:r>
        <w:rPr/>
        <w:t>册资本</w:t>
      </w:r>
      <w:r>
        <w:rPr>
          <w:rFonts w:ascii="宋体" w:hAnsi="宋体" w:cs="宋体" w:eastAsia="宋体" w:hint="default"/>
        </w:rPr>
        <w:t>50%</w:t>
      </w:r>
      <w:r>
        <w:rPr/>
        <w:t>以上的，可不再提取。</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270,296,463.89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130,186,302.24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270,296,463.89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130,186,302.24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260,273,434.15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140,110,161.65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417,407.86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530,152,490.18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270,296,463.89</w:t>
            </w:r>
          </w:p>
        </w:tc>
      </w:tr>
    </w:tbl>
    <w:p>
      <w:pPr>
        <w:spacing w:line="240" w:lineRule="auto" w:before="3"/>
        <w:rPr>
          <w:rFonts w:ascii="宋体" w:hAnsi="宋体" w:cs="宋体" w:eastAsia="宋体" w:hint="default"/>
          <w:sz w:val="5"/>
          <w:szCs w:val="5"/>
        </w:rPr>
      </w:pPr>
    </w:p>
    <w:p>
      <w:pPr>
        <w:pStyle w:val="BodyText"/>
        <w:spacing w:line="441" w:lineRule="auto" w:before="36"/>
        <w:ind w:right="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、由于《企业会计准则》及其相关新规定进行追溯调整，影响期初未分配利润元。</w:t>
      </w:r>
    </w:p>
    <w:p>
      <w:pPr>
        <w:pStyle w:val="BodyText"/>
        <w:spacing w:line="240" w:lineRule="auto" w:before="57"/>
        <w:ind w:right="0"/>
        <w:jc w:val="left"/>
      </w:pPr>
      <w:r>
        <w:rPr>
          <w:rFonts w:ascii="宋体" w:hAnsi="宋体" w:cs="宋体" w:eastAsia="宋体" w:hint="default"/>
        </w:rPr>
        <w:t>2)</w:t>
      </w:r>
      <w:r>
        <w:rPr/>
        <w:t>、由于会计政策变更，影响期初未分配利润元。</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3)</w:t>
      </w:r>
      <w:r>
        <w:rPr/>
        <w:t>、由于重大会计差错更正，影响期初未分配利润元。</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4)</w:t>
      </w:r>
      <w:r>
        <w:rPr/>
        <w:t>、由于同一控制导致的合并范围变更，影响期初未分配利润元。</w:t>
      </w: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rFonts w:ascii="宋体" w:hAnsi="宋体" w:cs="宋体" w:eastAsia="宋体" w:hint="default"/>
        </w:rPr>
        <w:t>5)</w:t>
      </w:r>
      <w:r>
        <w:rPr/>
        <w:t>、其他调整合计影响期初未分配利润元。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2,097,718,594.22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1,092,841,950.87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1,423,150,473.00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739,234,444.55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3,763,543.87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961,343.83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7,536,705.54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2,101,482,138.09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1,093,803,294.70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1,430,687,178.54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739,234,444.55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1,773,640.40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1,042,821.09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153,555.67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112,670.57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250,681.21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205,948.37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调价基金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128,190.01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52,403.35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34,789.85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5,186.37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2,354,162.14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1,453,819.60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311,370,105.81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201,107,152.83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38,702,883.99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29,143,514.06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35,234,335.15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34,650,633.22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22,089,254.79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13,992,967.78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15,361,572.42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10,627,568.14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13,910,726.80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13,335,471.51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10,052,178.91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5,507,992.79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9,087,353.04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6,212,866.42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6,454,254.05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8,247,862.05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21,701,055.43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16,951,810.29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483,963,720.39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339,777,839.09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82,159,414.17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73,185,361.10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34,746,745.01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29,134,822.18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14,188,199.88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22,667,571.79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13,934,753.82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5,953,204.27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9,407,373.73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7,380,000.18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6,850,623.96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7,769,815.56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5,006,620.68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4,457,732.35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4,591,869.94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4,634,531.47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3,614,956.10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3,376,025.66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3,095,954.54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3,142,647.25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2,170,624.41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2,641,151.59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15,571,594.35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15,497,390.38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195,338,730.59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179,840,253.78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17,351,234.46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6,648,080.33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3,058,197.98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1,392,459.29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5,588,159.76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1,867,552.22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19,881,250.48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7,123,170.06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2,015,855.42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-126,634.81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2,015,855.42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-126,634.81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20,653.57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20,653.57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3,501,929.12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7,335,814.76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19,005.78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3,485,798.81</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31,702.22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分步交易达到控制合并层面调整公允价值 产生的收益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50,018,135.65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53,570,772.77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10,821,613.57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1,328,081.82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3,709,047.94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274,488.00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324,353.93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1,036,024.21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324,353.93</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1,652,435.75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4,745,072.15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598,841.93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劳务就业补 贴（注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辽阳市人民 政府劳动就 业局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157,488.00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浦东新区财 政扶持资金</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上海陆家嘴 金融管理区 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30"/>
              <w:jc w:val="right"/>
              <w:rPr>
                <w:rFonts w:ascii="宋体" w:hAnsi="宋体" w:cs="宋体" w:eastAsia="宋体" w:hint="default"/>
                <w:sz w:val="18"/>
                <w:szCs w:val="18"/>
              </w:rPr>
            </w:pPr>
            <w:r>
              <w:rPr>
                <w:rFonts w:ascii="宋体" w:hAnsi="宋体" w:cs="宋体" w:eastAsia="宋体" w:hint="default"/>
                <w:sz w:val="18"/>
                <w:szCs w:val="18"/>
              </w:rPr>
              <w:t>紫竹高新技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上海紫竹高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
              <w:jc w:val="left"/>
              <w:rPr>
                <w:rFonts w:ascii="宋体" w:hAnsi="宋体" w:cs="宋体" w:eastAsia="宋体" w:hint="default"/>
                <w:sz w:val="18"/>
                <w:szCs w:val="18"/>
              </w:rPr>
            </w:pPr>
            <w:r>
              <w:rPr>
                <w:rFonts w:ascii="宋体" w:hAnsi="宋体" w:cs="宋体" w:eastAsia="宋体" w:hint="default"/>
                <w:sz w:val="18"/>
                <w:szCs w:val="18"/>
              </w:rPr>
              <w:t>术产业开发 区管委会扶 持款（注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新技术产业 开发区管理 委员会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上海市徐汇 区财政局企 业发展资金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上海市徐汇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浦东新区职 业职工培训 </w:t>
            </w:r>
            <w:r>
              <w:rPr>
                <w:rFonts w:ascii="宋体" w:hAnsi="宋体" w:cs="宋体" w:eastAsia="宋体" w:hint="default"/>
                <w:spacing w:val="-12"/>
                <w:sz w:val="18"/>
                <w:szCs w:val="18"/>
              </w:rPr>
              <w:t>财政补贴（注</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浦东新区职 业职工培训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海市浦东新 区国家税务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1,053,593.82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2,553,707.94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1,328,081.82</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3,709,047.94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294,172.09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454,370.34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294,172.09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294,172.09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409,449.82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294,172.09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44,920.52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47,890.55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47,890.55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424,442.64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765,287.81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424,442.64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66,475,984.58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45,950,046.99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6,256,234.18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-13,366,206.55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72,732,218.76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32,583,840.44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358,892,451.95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89,723,112.99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-8,541,658.44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-1,056,570.80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-183,334.73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3,222,987.62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-189,921.15</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279,771.27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933,854.36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-11,456,022.36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72,732,218.76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52,310,892.72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81,578,209.09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1,155,340.00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2,773,382.32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1,392,459.29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725,591.56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851,236.83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56,084,354.60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84,977,245.21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109,371,853.87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96,921,194.29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155,032,717.49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128,651,154.05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98,320,703.29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72,580,565.31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1,609,033.63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1,135,411.89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1,014,486.19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341,139.50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365,348,794.47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299,629,465.04</w:t>
            </w:r>
          </w:p>
        </w:tc>
      </w:tr>
    </w:tbl>
    <w:p>
      <w:pPr>
        <w:spacing w:line="240" w:lineRule="auto" w:before="3"/>
        <w:rPr>
          <w:rFonts w:ascii="宋体" w:hAnsi="宋体" w:cs="宋体" w:eastAsia="宋体" w:hint="default"/>
          <w:sz w:val="19"/>
          <w:szCs w:val="19"/>
        </w:rPr>
      </w:pPr>
    </w:p>
    <w:p>
      <w:pPr>
        <w:pStyle w:val="Heading3"/>
        <w:spacing w:line="506" w:lineRule="auto" w:before="36"/>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）收到的其他与投资活动有关的现金</w:t>
      </w:r>
      <w:r>
        <w:rPr>
          <w:spacing w:val="-89"/>
        </w:rPr>
        <w:t> </w:t>
      </w:r>
      <w:r>
        <w:rPr>
          <w:spacing w:val="-89"/>
        </w:rPr>
      </w:r>
      <w:r>
        <w:rPr>
          <w:rFonts w:ascii="宋体" w:hAnsi="宋体" w:cs="宋体" w:eastAsia="宋体" w:hint="default"/>
          <w:b w:val="0"/>
          <w:bCs w:val="0"/>
        </w:rPr>
        <w:t>不适用。</w:t>
      </w:r>
    </w:p>
    <w:p>
      <w:pPr>
        <w:pStyle w:val="Heading3"/>
        <w:spacing w:line="506" w:lineRule="auto" w:before="104"/>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）支付的其他与投资活动有关的现金</w:t>
      </w:r>
      <w:r>
        <w:rPr>
          <w:spacing w:val="-88"/>
        </w:rPr>
        <w:t> </w:t>
      </w:r>
      <w:r>
        <w:rPr>
          <w:spacing w:val="-88"/>
        </w:rPr>
      </w:r>
      <w:r>
        <w:rPr>
          <w:rFonts w:ascii="宋体" w:hAnsi="宋体" w:cs="宋体" w:eastAsia="宋体" w:hint="default"/>
          <w:b w:val="0"/>
          <w:bCs w:val="0"/>
        </w:rPr>
        <w:t>不适用。</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售后回租融资款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收购少数股权支付的款项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12,858,240.00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15,416,000.00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发行权益性证券相关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8,781,678.24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2,033,922.60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9,235,699.83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2,668,338.90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42,179,426.12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963,754.17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分期付款所支付的租金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14,571,459.12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87,626,503.31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21,082,015.67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324.349976pt;width:151.25pt;height:40.7pt;mso-position-horizontal-relative:page;mso-position-vertical-relative:page;z-index:-1400368" coordorigin="4467,6487" coordsize="3025,814">
            <v:group style="position:absolute;left:4478;top:6498;width:2;height:392" coordorigin="4478,6498" coordsize="2,392">
              <v:shape style="position:absolute;left:4478;top:6498;width:2;height:392" coordorigin="4478,6498" coordsize="0,392" path="m4478,6498l4478,6889e" filled="false" stroked="true" strokeweight="1.08pt" strokecolor="#ffffff">
                <v:path arrowok="t"/>
              </v:shape>
            </v:group>
            <v:group style="position:absolute;left:4489;top:6498;width:3003;height:392" coordorigin="4489,6498" coordsize="3003,392">
              <v:shape style="position:absolute;left:4489;top:6498;width:3003;height:392" coordorigin="4489,6498" coordsize="3003,392" path="m4489,6889l7492,6889,7492,6498,4489,6498,4489,6889xe" filled="true" fillcolor="#ffffff" stroked="false">
                <v:path arrowok="t"/>
                <v:fill type="solid"/>
              </v:shape>
            </v:group>
            <v:group style="position:absolute;left:4478;top:6899;width:2;height:392" coordorigin="4478,6899" coordsize="2,392">
              <v:shape style="position:absolute;left:4478;top:6899;width:2;height:392" coordorigin="4478,6899" coordsize="0,392" path="m4478,6899l4478,7290e" filled="false" stroked="true" strokeweight="1.08pt" strokecolor="#ffffff">
                <v:path arrowok="t"/>
              </v:shape>
            </v:group>
            <v:group style="position:absolute;left:4489;top:6899;width:3003;height:392" coordorigin="4489,6899" coordsize="3003,392">
              <v:shape style="position:absolute;left:4489;top:6899;width:3003;height:392" coordorigin="4489,6899" coordsize="3003,392" path="m4489,7290l7492,7290,7492,6899,4489,6899,4489,729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3"/>
        <w:gridCol w:w="1986"/>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286,160,233.19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145,622,497.31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2,015,855.42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-126,634.81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75,408,286.25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53,407,846.18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1,839,999.16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1,717,482.10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72,749,835.43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48,281,789.57</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294,172.09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454,370.34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31,438.30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-20,653.57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21,329,372.58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7,374,931.09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-53,570,772.77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-10,821,613.57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5,532,204.74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-14,342,076.23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738,196.32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-131,393.87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-9,130,576.30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-3,450,783.75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-254,484,286.72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-435,492,001.03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180,925,444.39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414,947,529.65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329,839,402.08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207,421,289.41</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47,913,873.83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1,104,852,568.54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576,797,731.18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576,797,731.18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286,902,323.34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528,054,837.36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289,895,407.84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148,130,486.00</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辽阳美年大健康管理有限公司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7,602,000.00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洛阳美年大健康信息咨询有限公司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12,701,000.00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江苏华康投资发展有限公司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深圳市鸿康杰科技有限公司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116,627,486.00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24,401,001.76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辽阳美年大健康管理有限公司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446,261.52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洛阳美年大健康信息咨询有限公司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6,931,140.10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江苏华康投资发展有限公司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149,979.00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深圳市鸿康杰科技有限公司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16,873,621.14</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123,729,484.24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506" w:lineRule="auto" w:before="36"/>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）本期收到的处置子公司的现金净额</w:t>
      </w:r>
      <w:r>
        <w:rPr>
          <w:spacing w:val="-88"/>
        </w:rPr>
        <w:t> </w:t>
      </w:r>
      <w:r>
        <w:rPr>
          <w:spacing w:val="-88"/>
        </w:rPr>
      </w:r>
      <w:r>
        <w:rPr>
          <w:rFonts w:ascii="宋体" w:hAnsi="宋体" w:cs="宋体" w:eastAsia="宋体" w:hint="default"/>
          <w:b w:val="0"/>
          <w:bCs w:val="0"/>
        </w:rPr>
        <w:t>不适用。</w:t>
      </w:r>
    </w:p>
    <w:p>
      <w:pPr>
        <w:pStyle w:val="Heading3"/>
        <w:spacing w:line="240" w:lineRule="auto" w:before="102"/>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1,104,852,568.54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576,797,731.18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3,591,870.05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3,551,665.86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1,101,094,173.58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573,121,790.46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166,524.91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124,274.86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1,104,852,568.54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576,797,731.18</w:t>
            </w:r>
          </w:p>
        </w:tc>
      </w:tr>
    </w:tbl>
    <w:p>
      <w:pPr>
        <w:pStyle w:val="BodyText"/>
        <w:spacing w:line="240" w:lineRule="auto" w:before="28"/>
        <w:ind w:right="0"/>
        <w:jc w:val="left"/>
      </w:pPr>
      <w:r>
        <w:rPr/>
        <w:t>其他说明：</w:t>
      </w:r>
    </w:p>
    <w:p>
      <w:pPr>
        <w:pStyle w:val="BodyText"/>
        <w:spacing w:line="240" w:lineRule="auto" w:before="75"/>
        <w:ind w:left="633" w:right="0"/>
        <w:jc w:val="left"/>
      </w:pPr>
      <w:r>
        <w:rPr/>
        <w:t>现金和现金等价物不含母公司或集团内子公司使用受限制的现金和现金等价物。</w:t>
      </w:r>
    </w:p>
    <w:p>
      <w:pPr>
        <w:spacing w:line="240" w:lineRule="auto" w:before="10"/>
        <w:rPr>
          <w:rFonts w:ascii="宋体" w:hAnsi="宋体" w:cs="宋体" w:eastAsia="宋体" w:hint="default"/>
          <w:sz w:val="25"/>
          <w:szCs w:val="25"/>
        </w:rPr>
      </w:pPr>
    </w:p>
    <w:p>
      <w:pPr>
        <w:pStyle w:val="Heading3"/>
        <w:spacing w:line="520" w:lineRule="auto"/>
        <w:ind w:right="6023"/>
        <w:jc w:val="left"/>
        <w:rPr>
          <w:b w:val="0"/>
          <w:bCs w:val="0"/>
        </w:rPr>
      </w:pPr>
      <w:r>
        <w:rPr>
          <w:rFonts w:ascii="Times New Roman" w:hAnsi="Times New Roman" w:cs="Times New Roman" w:eastAsia="Times New Roman" w:hint="default"/>
        </w:rPr>
        <w:t>75</w:t>
      </w:r>
      <w:r>
        <w:rPr/>
        <w:t>、所有者权益变动表项目注释</w:t>
      </w:r>
      <w:r>
        <w:rPr>
          <w:w w:val="100"/>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Times New Roman" w:hAnsi="Times New Roman" w:cs="Times New Roman" w:eastAsia="Times New Roman" w:hint="default"/>
          <w:spacing w:val="-1"/>
        </w:rPr>
        <w:t>76</w:t>
      </w:r>
      <w:r>
        <w:rPr>
          <w:spacing w:val="-1"/>
        </w:rPr>
        <w:t>、所有权或使用权受到限制的资产</w:t>
      </w:r>
      <w:r>
        <w:rPr>
          <w:b w:val="0"/>
          <w:bCs w:val="0"/>
          <w:spacing w:val="-1"/>
        </w:rPr>
      </w:r>
    </w:p>
    <w:p>
      <w:pPr>
        <w:spacing w:before="7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884,215.64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884,215.64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940.40</w:t>
            </w:r>
          </w:p>
        </w:tc>
      </w:tr>
    </w:tbl>
    <w:p>
      <w:pPr>
        <w:spacing w:line="240" w:lineRule="auto" w:before="3"/>
        <w:rPr>
          <w:rFonts w:ascii="宋体" w:hAnsi="宋体" w:cs="宋体" w:eastAsia="宋体" w:hint="default"/>
          <w:sz w:val="19"/>
          <w:szCs w:val="19"/>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520" w:lineRule="auto" w:before="0"/>
        <w:ind w:left="152" w:right="8948"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26"/>
        <w:ind w:right="0"/>
        <w:jc w:val="both"/>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江苏华康投 资发展有限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1,734,565.57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278,321.49</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深圳市鸿康 杰科技有限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294,115,161.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12"/>
                <w:sz w:val="18"/>
                <w:szCs w:val="18"/>
              </w:rPr>
              <w:t>购买、置换股</w:t>
            </w:r>
            <w:r>
              <w:rPr>
                <w:rFonts w:ascii="宋体" w:hAnsi="宋体" w:cs="宋体" w:eastAsia="宋体" w:hint="default"/>
                <w:sz w:val="18"/>
                <w:szCs w:val="18"/>
              </w:rPr>
              <w:t> 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41,800,951.9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11,495,050.0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辽阳美年大 健康管理有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35,899,024.3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购买、增资</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13,970,867.8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7,648,173.66</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洛阳美年大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40,339,756.1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购买、增资</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center"/>
              <w:rPr>
                <w:rFonts w:ascii="Times New Roman" w:hAnsi="Times New Roman" w:cs="Times New Roman" w:eastAsia="Times New Roman" w:hint="default"/>
                <w:sz w:val="18"/>
                <w:szCs w:val="18"/>
              </w:rPr>
            </w:pPr>
            <w:r>
              <w:rPr>
                <w:rFonts w:ascii="Times New Roman"/>
                <w:sz w:val="18"/>
              </w:rPr>
              <w:t>12,274,701.7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5,641,763.68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66"/>
        <w:gridCol w:w="1063"/>
        <w:gridCol w:w="1066"/>
        <w:gridCol w:w="1063"/>
        <w:gridCol w:w="1063"/>
        <w:gridCol w:w="1066"/>
        <w:gridCol w:w="1061"/>
        <w:gridCol w:w="1064"/>
        <w:gridCol w:w="1061"/>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健康信息咨 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其他说明：</w:t>
      </w:r>
    </w:p>
    <w:p>
      <w:pPr>
        <w:spacing w:line="240" w:lineRule="auto" w:before="9"/>
        <w:rPr>
          <w:rFonts w:ascii="宋体" w:hAnsi="宋体" w:cs="宋体" w:eastAsia="宋体" w:hint="default"/>
          <w:sz w:val="17"/>
          <w:szCs w:val="17"/>
        </w:rPr>
      </w:pPr>
    </w:p>
    <w:p>
      <w:pPr>
        <w:pStyle w:val="BodyText"/>
        <w:spacing w:line="240" w:lineRule="auto" w:before="0"/>
        <w:ind w:left="633" w:right="0"/>
        <w:jc w:val="left"/>
      </w:pPr>
      <w:r>
        <w:rPr>
          <w:rFonts w:ascii="宋体" w:hAnsi="宋体" w:cs="宋体" w:eastAsia="宋体" w:hint="default"/>
        </w:rPr>
        <w:t>1</w:t>
      </w:r>
      <w:r>
        <w:rPr/>
        <w:t>、本公司于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日通过股权置换取得深圳市鸿康杰科技有限公司</w:t>
      </w:r>
      <w:r>
        <w:rPr>
          <w:rFonts w:ascii="宋体" w:hAnsi="宋体" w:cs="宋体" w:eastAsia="宋体" w:hint="default"/>
        </w:rPr>
        <w:t>49%</w:t>
      </w:r>
      <w:r>
        <w:rPr/>
        <w:t>的股权，取得成本</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spacing w:val="-1"/>
        </w:rPr>
        <w:t>124,800,000.00</w:t>
      </w:r>
      <w:r>
        <w:rPr>
          <w:spacing w:val="-1"/>
        </w:rPr>
        <w:t>元，</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w:t>
      </w:r>
      <w:r>
        <w:rPr>
          <w:spacing w:val="-1"/>
        </w:rPr>
        <w:t>日本公司通过现金取得该公司</w:t>
      </w:r>
      <w:r>
        <w:rPr>
          <w:rFonts w:ascii="宋体" w:hAnsi="宋体" w:cs="宋体" w:eastAsia="宋体" w:hint="default"/>
          <w:spacing w:val="-1"/>
        </w:rPr>
        <w:t>35%</w:t>
      </w:r>
      <w:r>
        <w:rPr>
          <w:spacing w:val="-1"/>
        </w:rPr>
        <w:t>股权，取得成本</w:t>
      </w:r>
      <w:r>
        <w:rPr>
          <w:rFonts w:ascii="宋体" w:hAnsi="宋体" w:cs="宋体" w:eastAsia="宋体" w:hint="default"/>
          <w:spacing w:val="-1"/>
        </w:rPr>
        <w:t>122,547,984.00</w:t>
      </w:r>
      <w:r>
        <w:rPr>
          <w:spacing w:val="-1"/>
        </w:rPr>
        <w:t>元，此</w:t>
      </w:r>
      <w:r>
        <w:rPr>
          <w:spacing w:val="-51"/>
        </w:rPr>
        <w:t> </w:t>
      </w:r>
      <w:r>
        <w:rPr>
          <w:spacing w:val="-51"/>
        </w:rPr>
      </w:r>
      <w:r>
        <w:rPr/>
        <w:t>次购买与增资后本公司取得其控制权。</w:t>
      </w:r>
    </w:p>
    <w:p>
      <w:pPr>
        <w:pStyle w:val="BodyText"/>
        <w:spacing w:line="408" w:lineRule="auto"/>
        <w:ind w:right="0" w:firstLine="480"/>
        <w:jc w:val="left"/>
      </w:pPr>
      <w:r>
        <w:rPr>
          <w:rFonts w:ascii="宋体" w:hAnsi="宋体" w:cs="宋体" w:eastAsia="宋体" w:hint="default"/>
          <w:spacing w:val="-2"/>
        </w:rPr>
        <w:t>2</w:t>
      </w:r>
      <w:r>
        <w:rPr>
          <w:spacing w:val="-2"/>
        </w:rPr>
        <w:t>、本公司之子公司于</w:t>
      </w: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日以现金投资持有辽阳美年大健康管理有限公司</w:t>
      </w:r>
      <w:r>
        <w:rPr>
          <w:rFonts w:ascii="宋体" w:hAnsi="宋体" w:cs="宋体" w:eastAsia="宋体" w:hint="default"/>
          <w:spacing w:val="-2"/>
        </w:rPr>
        <w:t>10%</w:t>
      </w:r>
      <w:r>
        <w:rPr>
          <w:spacing w:val="-2"/>
        </w:rPr>
        <w:t>股权，取得成</w:t>
      </w:r>
      <w:r>
        <w:rPr>
          <w:w w:val="100"/>
        </w:rPr>
        <w:t> </w:t>
      </w:r>
      <w:r>
        <w:rPr/>
        <w:t>本</w:t>
      </w:r>
      <w:r>
        <w:rPr>
          <w:rFonts w:ascii="宋体" w:hAnsi="宋体" w:cs="宋体" w:eastAsia="宋体" w:hint="default"/>
        </w:rPr>
        <w:t>1,000,000.00</w:t>
      </w:r>
      <w:r>
        <w:rPr/>
        <w:t>元，</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w:t>
      </w:r>
      <w:r>
        <w:rPr/>
        <w:t>日本公司通过现金购买与增资取得该公司</w:t>
      </w:r>
      <w:r>
        <w:rPr>
          <w:rFonts w:ascii="宋体" w:hAnsi="宋体" w:cs="宋体" w:eastAsia="宋体" w:hint="default"/>
        </w:rPr>
        <w:t>41%</w:t>
      </w:r>
      <w:r>
        <w:rPr/>
        <w:t>股权，取得成本</w:t>
      </w:r>
      <w:r>
        <w:rPr>
          <w:w w:val="100"/>
        </w:rPr>
        <w:t> </w:t>
      </w:r>
      <w:r>
        <w:rPr>
          <w:rFonts w:ascii="宋体" w:hAnsi="宋体" w:cs="宋体" w:eastAsia="宋体" w:hint="default"/>
        </w:rPr>
        <w:t>28,860,000.00</w:t>
      </w:r>
      <w:r>
        <w:rPr/>
        <w:t>元，此次购买与增资后本公司取得其控制权。</w:t>
      </w:r>
    </w:p>
    <w:p>
      <w:pPr>
        <w:pStyle w:val="BodyText"/>
        <w:spacing w:line="408" w:lineRule="auto"/>
        <w:ind w:right="0" w:firstLine="480"/>
        <w:jc w:val="left"/>
      </w:pPr>
      <w:r>
        <w:rPr>
          <w:rFonts w:ascii="宋体" w:hAnsi="宋体" w:cs="宋体" w:eastAsia="宋体" w:hint="default"/>
          <w:spacing w:val="-3"/>
        </w:rPr>
        <w:t>3</w:t>
      </w:r>
      <w:r>
        <w:rPr>
          <w:spacing w:val="-3"/>
        </w:rPr>
        <w:t>、本公司之子公司于</w:t>
      </w:r>
      <w:r>
        <w:rPr>
          <w:rFonts w:ascii="宋体" w:hAnsi="宋体" w:cs="宋体" w:eastAsia="宋体" w:hint="default"/>
          <w:spacing w:val="-3"/>
        </w:rPr>
        <w:t>2013</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6</w:t>
      </w:r>
      <w:r>
        <w:rPr>
          <w:spacing w:val="-3"/>
        </w:rPr>
        <w:t>日以现金投资持有洛阳美年大健康信息咨询有限公司</w:t>
      </w:r>
      <w:r>
        <w:rPr>
          <w:rFonts w:ascii="宋体" w:hAnsi="宋体" w:cs="宋体" w:eastAsia="宋体" w:hint="default"/>
          <w:spacing w:val="-3"/>
        </w:rPr>
        <w:t>10%</w:t>
      </w:r>
      <w:r>
        <w:rPr>
          <w:spacing w:val="-3"/>
        </w:rPr>
        <w:t>股权，取得</w:t>
      </w:r>
      <w:r>
        <w:rPr>
          <w:w w:val="100"/>
        </w:rPr>
        <w:t> </w:t>
      </w:r>
      <w:r>
        <w:rPr/>
        <w:t>成本</w:t>
      </w:r>
      <w:r>
        <w:rPr>
          <w:rFonts w:ascii="宋体" w:hAnsi="宋体" w:cs="宋体" w:eastAsia="宋体" w:hint="default"/>
        </w:rPr>
        <w:t>800,000.00</w:t>
      </w:r>
      <w:r>
        <w:rPr/>
        <w:t>元，</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w:t>
      </w:r>
      <w:r>
        <w:rPr/>
        <w:t>日本公司通过现金购买与增资取得该公司</w:t>
      </w:r>
      <w:r>
        <w:rPr>
          <w:rFonts w:ascii="宋体" w:hAnsi="宋体" w:cs="宋体" w:eastAsia="宋体" w:hint="default"/>
        </w:rPr>
        <w:t>41%</w:t>
      </w:r>
      <w:r>
        <w:rPr/>
        <w:t>股权，取得成本</w:t>
      </w:r>
      <w:r>
        <w:rPr>
          <w:w w:val="100"/>
        </w:rPr>
        <w:t> </w:t>
      </w:r>
      <w:r>
        <w:rPr>
          <w:rFonts w:ascii="宋体" w:hAnsi="宋体" w:cs="宋体" w:eastAsia="宋体" w:hint="default"/>
        </w:rPr>
        <w:t>32,430,000.00</w:t>
      </w:r>
      <w:r>
        <w:rPr/>
        <w:t>元，此次购买与增资后本公司取得其控制权。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江苏华康投资发展有限 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深圳市鸿康杰科技有限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辽阳美年大健康管理有 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502" w:right="51" w:hanging="450"/>
              <w:jc w:val="left"/>
              <w:rPr>
                <w:rFonts w:ascii="宋体" w:hAnsi="宋体" w:cs="宋体" w:eastAsia="宋体" w:hint="default"/>
                <w:sz w:val="18"/>
                <w:szCs w:val="18"/>
              </w:rPr>
            </w:pPr>
            <w:r>
              <w:rPr>
                <w:rFonts w:ascii="宋体" w:hAnsi="宋体" w:cs="宋体" w:eastAsia="宋体" w:hint="default"/>
                <w:sz w:val="18"/>
                <w:szCs w:val="18"/>
              </w:rPr>
              <w:t>洛阳美年大健康信息咨 询有限公司</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122,547,984.00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33,230,000.00</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w:t>
            </w:r>
            <w:r>
              <w:rPr>
                <w:rFonts w:ascii="宋体" w:hAnsi="宋体" w:cs="宋体" w:eastAsia="宋体" w:hint="default"/>
                <w:w w:val="99"/>
                <w:sz w:val="18"/>
                <w:szCs w:val="18"/>
              </w:rPr>
              <w:t> </w:t>
            </w:r>
            <w:r>
              <w:rPr>
                <w:rFonts w:ascii="宋体" w:hAnsi="宋体" w:cs="宋体" w:eastAsia="宋体" w:hint="default"/>
                <w:sz w:val="18"/>
                <w:szCs w:val="18"/>
              </w:rPr>
              <w:t>权于购买日的公允价值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171,567,177.60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7,039,024.39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7,109,756.10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294,115,161.60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35,899,024.39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40,339,756.10</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减：取得的可辨认净资 产公允价值份额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9,783,947.59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39,573,391.91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13,438,304.68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17,131,331.02</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 的可辨认净资产公允价 值份额的金额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4,216,052.41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254,541,769.69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22,460,719.71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23,208,425.08</w:t>
            </w:r>
          </w:p>
        </w:tc>
      </w:tr>
    </w:tbl>
    <w:p>
      <w:pPr>
        <w:spacing w:line="240" w:lineRule="auto" w:before="3"/>
        <w:rPr>
          <w:rFonts w:ascii="宋体" w:hAnsi="宋体" w:cs="宋体" w:eastAsia="宋体" w:hint="default"/>
          <w:sz w:val="5"/>
          <w:szCs w:val="5"/>
        </w:rPr>
      </w:pPr>
    </w:p>
    <w:p>
      <w:pPr>
        <w:pStyle w:val="BodyText"/>
        <w:spacing w:line="441" w:lineRule="auto" w:before="36"/>
        <w:ind w:left="633" w:right="0" w:hanging="481"/>
        <w:jc w:val="left"/>
      </w:pPr>
      <w:r>
        <w:rPr/>
        <w:t>合并成本公允价值的确定方法、或有对价及其变动的说明：</w:t>
      </w:r>
      <w:r>
        <w:rPr>
          <w:w w:val="100"/>
        </w:rPr>
        <w:t> </w:t>
      </w:r>
      <w:r>
        <w:rPr>
          <w:spacing w:val="-2"/>
        </w:rPr>
        <w:t>注</w:t>
      </w:r>
      <w:r>
        <w:rPr>
          <w:rFonts w:ascii="宋体" w:hAnsi="宋体" w:cs="宋体" w:eastAsia="宋体" w:hint="default"/>
          <w:spacing w:val="-2"/>
        </w:rPr>
        <w:t>1</w:t>
      </w:r>
      <w:r>
        <w:rPr>
          <w:spacing w:val="-2"/>
        </w:rPr>
        <w:t>：江苏华康投资发展有限公司被合并净资产公允价值以经北京中同华资产评估有限公司按资产基</w:t>
      </w:r>
    </w:p>
    <w:p>
      <w:pPr>
        <w:pStyle w:val="BodyText"/>
        <w:spacing w:line="408" w:lineRule="auto" w:before="16"/>
        <w:ind w:left="633" w:right="0" w:hanging="481"/>
        <w:jc w:val="left"/>
      </w:pPr>
      <w:r>
        <w:rPr/>
        <w:t>础法确定的估值结果确定。</w:t>
      </w:r>
      <w:r>
        <w:rPr>
          <w:w w:val="100"/>
        </w:rPr>
        <w:t> </w:t>
      </w:r>
      <w:r>
        <w:rPr>
          <w:spacing w:val="-2"/>
        </w:rPr>
        <w:t>注</w:t>
      </w:r>
      <w:r>
        <w:rPr>
          <w:rFonts w:ascii="宋体" w:hAnsi="宋体" w:cs="宋体" w:eastAsia="宋体" w:hint="default"/>
          <w:spacing w:val="-2"/>
        </w:rPr>
        <w:t>2</w:t>
      </w:r>
      <w:r>
        <w:rPr>
          <w:spacing w:val="-2"/>
        </w:rPr>
        <w:t>：深圳市鸿康杰科技有限公司被合并净资产公允价值以经北京中同华资产评估有限公司按资产基</w:t>
      </w:r>
    </w:p>
    <w:p>
      <w:pPr>
        <w:pStyle w:val="BodyText"/>
        <w:spacing w:line="408" w:lineRule="auto"/>
        <w:ind w:left="633" w:right="0" w:hanging="481"/>
        <w:jc w:val="left"/>
      </w:pPr>
      <w:r>
        <w:rPr/>
        <w:t>础法确定的估值结果确定。</w:t>
      </w:r>
      <w:r>
        <w:rPr>
          <w:w w:val="100"/>
        </w:rPr>
        <w:t> </w:t>
      </w:r>
      <w:r>
        <w:rPr>
          <w:spacing w:val="-2"/>
        </w:rPr>
        <w:t>注</w:t>
      </w:r>
      <w:r>
        <w:rPr>
          <w:rFonts w:ascii="宋体" w:hAnsi="宋体" w:cs="宋体" w:eastAsia="宋体" w:hint="default"/>
          <w:spacing w:val="-2"/>
        </w:rPr>
        <w:t>3</w:t>
      </w:r>
      <w:r>
        <w:rPr>
          <w:spacing w:val="-2"/>
        </w:rPr>
        <w:t>：辽阳美年大健康管理有限公司被合并净资产公允价值以经北京中同华资产评估有限公司按资产</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633" w:right="0" w:hanging="481"/>
        <w:jc w:val="left"/>
      </w:pPr>
      <w:r>
        <w:rPr/>
        <w:t>基础法确定的估值结果确定。</w:t>
      </w:r>
      <w:r>
        <w:rPr>
          <w:w w:val="100"/>
        </w:rPr>
        <w:t> </w:t>
      </w:r>
      <w:r>
        <w:rPr>
          <w:spacing w:val="-2"/>
        </w:rPr>
        <w:t>注</w:t>
      </w:r>
      <w:r>
        <w:rPr>
          <w:rFonts w:ascii="宋体" w:hAnsi="宋体" w:cs="宋体" w:eastAsia="宋体" w:hint="default"/>
          <w:spacing w:val="-2"/>
        </w:rPr>
        <w:t>4</w:t>
      </w:r>
      <w:r>
        <w:rPr>
          <w:spacing w:val="-2"/>
        </w:rPr>
        <w:t>：洛阳美年大健康信息咨询有限公司被合并净资产公允价值以经北京中同华资产评估有限公司按</w:t>
      </w:r>
    </w:p>
    <w:p>
      <w:pPr>
        <w:pStyle w:val="BodyText"/>
        <w:spacing w:line="240" w:lineRule="auto"/>
        <w:ind w:right="0"/>
        <w:jc w:val="left"/>
      </w:pPr>
      <w:r>
        <w:rPr/>
        <w:t>资产基础法确定的估值结果确定。</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161" w:hRule="exact"/>
        </w:trPr>
        <w:tc>
          <w:tcPr>
            <w:tcW w:w="1062" w:type="dxa"/>
            <w:tcBorders>
              <w:top w:val="single" w:sz="4" w:space="0" w:color="000000"/>
              <w:left w:val="single" w:sz="4" w:space="0" w:color="000000"/>
              <w:bottom w:val="nil" w:sz="6" w:space="0" w:color="auto"/>
              <w:right w:val="single" w:sz="13" w:space="0" w:color="E0FFFF"/>
            </w:tcBorders>
            <w:shd w:val="clear" w:color="auto" w:fill="D2D2D2"/>
          </w:tcPr>
          <w:p>
            <w:pPr/>
          </w:p>
        </w:tc>
        <w:tc>
          <w:tcPr>
            <w:tcW w:w="2127" w:type="dxa"/>
            <w:gridSpan w:val="2"/>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49"/>
              <w:ind w:left="963" w:right="65" w:hanging="900"/>
              <w:jc w:val="left"/>
              <w:rPr>
                <w:rFonts w:ascii="宋体" w:hAnsi="宋体" w:cs="宋体" w:eastAsia="宋体" w:hint="default"/>
                <w:sz w:val="18"/>
                <w:szCs w:val="18"/>
              </w:rPr>
            </w:pPr>
            <w:r>
              <w:rPr>
                <w:rFonts w:ascii="宋体" w:hAnsi="宋体" w:cs="宋体" w:eastAsia="宋体" w:hint="default"/>
                <w:sz w:val="18"/>
                <w:szCs w:val="18"/>
              </w:rPr>
              <w:t>江苏华康投资发展有限公 司</w:t>
            </w:r>
          </w:p>
        </w:tc>
        <w:tc>
          <w:tcPr>
            <w:tcW w:w="2126"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969" w:right="65" w:hanging="900"/>
              <w:jc w:val="left"/>
              <w:rPr>
                <w:rFonts w:ascii="宋体" w:hAnsi="宋体" w:cs="宋体" w:eastAsia="宋体" w:hint="default"/>
                <w:sz w:val="18"/>
                <w:szCs w:val="18"/>
              </w:rPr>
            </w:pPr>
            <w:r>
              <w:rPr>
                <w:rFonts w:ascii="宋体" w:hAnsi="宋体" w:cs="宋体" w:eastAsia="宋体" w:hint="default"/>
                <w:sz w:val="18"/>
                <w:szCs w:val="18"/>
              </w:rPr>
              <w:t>深圳市鸿康杰科技有限公 司</w:t>
            </w:r>
          </w:p>
        </w:tc>
        <w:tc>
          <w:tcPr>
            <w:tcW w:w="2124"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878" w:right="63" w:hanging="810"/>
              <w:jc w:val="left"/>
              <w:rPr>
                <w:rFonts w:ascii="宋体" w:hAnsi="宋体" w:cs="宋体" w:eastAsia="宋体" w:hint="default"/>
                <w:sz w:val="18"/>
                <w:szCs w:val="18"/>
              </w:rPr>
            </w:pPr>
            <w:r>
              <w:rPr>
                <w:rFonts w:ascii="宋体" w:hAnsi="宋体" w:cs="宋体" w:eastAsia="宋体" w:hint="default"/>
                <w:sz w:val="18"/>
                <w:szCs w:val="18"/>
              </w:rPr>
              <w:t>辽阳美年大健康管理有限 公司</w:t>
            </w:r>
          </w:p>
        </w:tc>
        <w:tc>
          <w:tcPr>
            <w:tcW w:w="2127"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701" w:right="63" w:hanging="630"/>
              <w:jc w:val="left"/>
              <w:rPr>
                <w:rFonts w:ascii="宋体" w:hAnsi="宋体" w:cs="宋体" w:eastAsia="宋体" w:hint="default"/>
                <w:sz w:val="18"/>
                <w:szCs w:val="18"/>
              </w:rPr>
            </w:pPr>
            <w:r>
              <w:rPr>
                <w:rFonts w:ascii="宋体" w:hAnsi="宋体" w:cs="宋体" w:eastAsia="宋体" w:hint="default"/>
                <w:sz w:val="18"/>
                <w:szCs w:val="18"/>
              </w:rPr>
              <w:t>洛阳美年大健康信息咨询 有限公司</w:t>
            </w:r>
          </w:p>
        </w:tc>
      </w:tr>
      <w:tr>
        <w:trPr>
          <w:trHeight w:val="394" w:hRule="exact"/>
        </w:trPr>
        <w:tc>
          <w:tcPr>
            <w:tcW w:w="1062" w:type="dxa"/>
            <w:tcBorders>
              <w:top w:val="nil" w:sz="6" w:space="0" w:color="auto"/>
              <w:left w:val="single" w:sz="4" w:space="0" w:color="000000"/>
              <w:bottom w:val="nil" w:sz="6" w:space="0" w:color="auto"/>
              <w:right w:val="single" w:sz="13" w:space="0" w:color="E0FFFF"/>
            </w:tcBorders>
            <w:shd w:val="clear" w:color="auto" w:fill="D2D2D2"/>
          </w:tcPr>
          <w:p>
            <w:pPr/>
          </w:p>
        </w:tc>
        <w:tc>
          <w:tcPr>
            <w:tcW w:w="2127" w:type="dxa"/>
            <w:gridSpan w:val="2"/>
            <w:vMerge/>
            <w:tcBorders>
              <w:left w:val="single" w:sz="9" w:space="0" w:color="D2D2D2"/>
              <w:right w:val="single" w:sz="4" w:space="0" w:color="000000"/>
            </w:tcBorders>
            <w:shd w:val="clear" w:color="auto" w:fill="E0FFFF"/>
          </w:tcPr>
          <w:p>
            <w:pPr/>
          </w:p>
        </w:tc>
        <w:tc>
          <w:tcPr>
            <w:tcW w:w="2126" w:type="dxa"/>
            <w:gridSpan w:val="2"/>
            <w:vMerge/>
            <w:tcBorders>
              <w:left w:val="single" w:sz="4" w:space="0" w:color="000000"/>
              <w:right w:val="single" w:sz="4" w:space="0" w:color="000000"/>
            </w:tcBorders>
            <w:shd w:val="clear" w:color="auto" w:fill="E0FFFF"/>
          </w:tcPr>
          <w:p>
            <w:pPr/>
          </w:p>
        </w:tc>
        <w:tc>
          <w:tcPr>
            <w:tcW w:w="2124" w:type="dxa"/>
            <w:gridSpan w:val="2"/>
            <w:vMerge/>
            <w:tcBorders>
              <w:left w:val="single" w:sz="4" w:space="0" w:color="000000"/>
              <w:right w:val="single" w:sz="4" w:space="0" w:color="000000"/>
            </w:tcBorders>
            <w:shd w:val="clear" w:color="auto" w:fill="E0FFFF"/>
          </w:tcPr>
          <w:p>
            <w:pPr/>
          </w:p>
        </w:tc>
        <w:tc>
          <w:tcPr>
            <w:tcW w:w="2127" w:type="dxa"/>
            <w:gridSpan w:val="2"/>
            <w:vMerge/>
            <w:tcBorders>
              <w:left w:val="single" w:sz="4" w:space="0" w:color="000000"/>
              <w:right w:val="single" w:sz="4" w:space="0" w:color="000000"/>
            </w:tcBorders>
            <w:shd w:val="clear" w:color="auto" w:fill="E0FFFF"/>
          </w:tcPr>
          <w:p>
            <w:pPr/>
          </w:p>
        </w:tc>
      </w:tr>
      <w:tr>
        <w:trPr>
          <w:trHeight w:val="161" w:hRule="exact"/>
        </w:trPr>
        <w:tc>
          <w:tcPr>
            <w:tcW w:w="1062" w:type="dxa"/>
            <w:tcBorders>
              <w:top w:val="nil" w:sz="6" w:space="0" w:color="auto"/>
              <w:left w:val="single" w:sz="4" w:space="0" w:color="000000"/>
              <w:bottom w:val="single" w:sz="4" w:space="0" w:color="000000"/>
              <w:right w:val="single" w:sz="13" w:space="0" w:color="E0FFFF"/>
            </w:tcBorders>
            <w:shd w:val="clear" w:color="auto" w:fill="D2D2D2"/>
          </w:tcPr>
          <w:p>
            <w:pPr/>
          </w:p>
        </w:tc>
        <w:tc>
          <w:tcPr>
            <w:tcW w:w="2127" w:type="dxa"/>
            <w:gridSpan w:val="2"/>
            <w:vMerge/>
            <w:tcBorders>
              <w:left w:val="single" w:sz="9" w:space="0" w:color="D2D2D2"/>
              <w:bottom w:val="single" w:sz="4" w:space="0" w:color="000000"/>
              <w:right w:val="single" w:sz="4" w:space="0" w:color="000000"/>
            </w:tcBorders>
            <w:shd w:val="clear" w:color="auto" w:fill="E0FFFF"/>
          </w:tcPr>
          <w:p>
            <w:pPr/>
          </w:p>
        </w:tc>
        <w:tc>
          <w:tcPr>
            <w:tcW w:w="2126" w:type="dxa"/>
            <w:gridSpan w:val="2"/>
            <w:vMerge/>
            <w:tcBorders>
              <w:left w:val="single" w:sz="4" w:space="0" w:color="000000"/>
              <w:bottom w:val="single" w:sz="4" w:space="0" w:color="000000"/>
              <w:right w:val="single" w:sz="4" w:space="0" w:color="000000"/>
            </w:tcBorders>
            <w:shd w:val="clear" w:color="auto" w:fill="E0FFFF"/>
          </w:tcPr>
          <w:p>
            <w:pPr/>
          </w:p>
        </w:tc>
        <w:tc>
          <w:tcPr>
            <w:tcW w:w="2124" w:type="dxa"/>
            <w:gridSpan w:val="2"/>
            <w:vMerge/>
            <w:tcBorders>
              <w:left w:val="single" w:sz="4" w:space="0" w:color="000000"/>
              <w:bottom w:val="single" w:sz="4" w:space="0" w:color="000000"/>
              <w:right w:val="single" w:sz="4" w:space="0" w:color="000000"/>
            </w:tcBorders>
            <w:shd w:val="clear" w:color="auto" w:fill="E0FFFF"/>
          </w:tcPr>
          <w:p>
            <w:pPr/>
          </w:p>
        </w:tc>
        <w:tc>
          <w:tcPr>
            <w:tcW w:w="2127" w:type="dxa"/>
            <w:gridSpan w:val="2"/>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8"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8" w:right="75"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2"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0"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391" w:hRule="exact"/>
        </w:trPr>
        <w:tc>
          <w:tcPr>
            <w:tcW w:w="1062" w:type="dxa"/>
            <w:tcBorders>
              <w:top w:val="nil" w:sz="6" w:space="0" w:color="auto"/>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149,979.00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149,979.00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16,873,621.1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16,873,621.1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18,446,261.5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18,446,261.5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24,431,140.1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24,431,140.1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9,285,976.00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9,285,976.00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20,433,208.4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20,433,208.4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4,505,718.14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4,505,718.14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5,891,263.61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5,891,263.61</w:t>
            </w:r>
          </w:p>
        </w:tc>
      </w:tr>
      <w:tr>
        <w:trPr>
          <w:trHeight w:val="391" w:hRule="exact"/>
        </w:trPr>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257,547.29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257,547.29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412,220.99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412,220.99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269,834.36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269,834.36</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2,627,749.76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2,627,749.76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4,175,660.87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4,175,660.87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8,448,365.78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8,448,365.78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7,042,379.82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7,042,379.82</w:t>
            </w: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233,364.07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233,364.07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184,683.48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184,683.48</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15,126,101.3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15,126,101.3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474,417.99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474,417.99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101,224.72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101,224.72</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长期待摊费 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3,231,806.21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3,231,806.21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540,916.65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540,916.65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2,528,924.73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2,528,924.73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1,929,200.00</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649,965.80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649,965.80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5,122.23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5,122.23</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1,036,638.99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1,036,638.99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8,557,908.57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8,557,908.57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7,469,074.45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7,469,074.45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3,752,476.36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3,752,476.36</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836,176.86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836,176.86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396,577.04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396,577.04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应付职工薪 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281,804.00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281,804.00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361,105.18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361,105.18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313,970.51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313,970.51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498,365.06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498,365.06</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555,084.23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555,084.23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177,161.77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177,161.77</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13,977,067.9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13,977,067.9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47,111,180.8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47,111,180.8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26,349,617.0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26,349,617.0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33,590,845.1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33,590,845.1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12"/>
                <w:sz w:val="18"/>
                <w:szCs w:val="18"/>
              </w:rPr>
              <w:t>减：少数股东</w:t>
            </w:r>
            <w:r>
              <w:rPr>
                <w:rFonts w:ascii="宋体" w:hAnsi="宋体" w:cs="宋体" w:eastAsia="宋体" w:hint="default"/>
                <w:sz w:val="18"/>
                <w:szCs w:val="18"/>
              </w:rPr>
              <w:t> 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4,193,120.39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7,537,788.94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12,911,312.3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16,459,514.1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取得的净资 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9,783,947.59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39,573,391.9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13,438,304.6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17,131,331.0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44" w:lineRule="auto" w:before="176"/>
        <w:ind w:left="633" w:right="0" w:hanging="481"/>
        <w:jc w:val="left"/>
      </w:pPr>
      <w:r>
        <w:rPr/>
        <w:t>可辨认资产、负债公允价值的确定方法：</w:t>
      </w:r>
      <w:r>
        <w:rPr>
          <w:w w:val="100"/>
        </w:rPr>
        <w:t> </w:t>
      </w:r>
      <w:r>
        <w:rPr>
          <w:spacing w:val="-4"/>
          <w:w w:val="100"/>
        </w:rPr>
        <w:t>本公司采用估值技术来确定被购买方资产负债于购买日的公允价值。主要资产的评估方法及其关键假</w:t>
      </w:r>
    </w:p>
    <w:p>
      <w:pPr>
        <w:pStyle w:val="BodyText"/>
        <w:spacing w:line="240" w:lineRule="auto" w:before="14"/>
        <w:ind w:right="0"/>
        <w:jc w:val="left"/>
      </w:pPr>
      <w:r>
        <w:rPr/>
        <w:t>设列示如下：</w:t>
      </w:r>
    </w:p>
    <w:p>
      <w:pPr>
        <w:spacing w:line="240" w:lineRule="auto" w:before="10"/>
        <w:rPr>
          <w:rFonts w:ascii="宋体" w:hAnsi="宋体" w:cs="宋体" w:eastAsia="宋体" w:hint="default"/>
          <w:sz w:val="14"/>
          <w:szCs w:val="14"/>
        </w:rPr>
      </w:pPr>
    </w:p>
    <w:p>
      <w:pPr>
        <w:pStyle w:val="BodyText"/>
        <w:spacing w:line="408" w:lineRule="auto" w:before="0"/>
        <w:ind w:right="146" w:firstLine="480"/>
        <w:jc w:val="both"/>
      </w:pPr>
      <w:r>
        <w:rPr>
          <w:spacing w:val="-4"/>
        </w:rPr>
        <w:t>应收款项、固定资产的评估方法为资产基础法，使用的关键假设如下：本次评估以公开市场交易为假</w:t>
      </w:r>
      <w:r>
        <w:rPr>
          <w:w w:val="100"/>
        </w:rPr>
        <w:t> </w:t>
      </w:r>
      <w:r>
        <w:rPr>
          <w:spacing w:val="-2"/>
        </w:rPr>
        <w:t>设前提；以被评估单位评估基准日的资产负债表为基础，以重置各项生产要素为假设前提合理评估企业表</w:t>
      </w:r>
      <w:r>
        <w:rPr>
          <w:spacing w:val="-43"/>
        </w:rPr>
        <w:t> </w:t>
      </w:r>
      <w:r>
        <w:rPr>
          <w:spacing w:val="-43"/>
        </w:rPr>
      </w:r>
      <w:r>
        <w:rPr/>
        <w:t>内各项资产、负债价值，确定评估对象价值。</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980"/>
        </w:sectPr>
      </w:pPr>
    </w:p>
    <w:p>
      <w:pPr>
        <w:pStyle w:val="BodyText"/>
        <w:spacing w:line="240" w:lineRule="auto" w:before="36"/>
        <w:ind w:right="0"/>
        <w:jc w:val="left"/>
      </w:pPr>
      <w:r>
        <w:rPr>
          <w:spacing w:val="-2"/>
        </w:rPr>
        <w:t>是否存在通过多次交易分步实现企业合并且在报告期内取得控制权的交易</w:t>
      </w:r>
    </w:p>
    <w:p>
      <w:pPr>
        <w:pStyle w:val="BodyText"/>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879" w:space="1950"/>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2"/>
        <w:gridCol w:w="1592"/>
        <w:gridCol w:w="1596"/>
        <w:gridCol w:w="1596"/>
        <w:gridCol w:w="1596"/>
        <w:gridCol w:w="1597"/>
      </w:tblGrid>
      <w:tr>
        <w:trPr>
          <w:trHeight w:val="1339"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8"/>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深圳市鸿康杰科技 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134,697,822.44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171,567,177.60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36,869,355.16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辽阳美年大健康管 理有限公司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2,634,961.70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7,039,024.39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4,404,062.69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1,634,961.70</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洛阳美年大健康信 息咨询有限公司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3,359,084.51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7,909,756.10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4,550,671.59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2,559,084.51</w:t>
            </w:r>
          </w:p>
        </w:tc>
      </w:tr>
    </w:tbl>
    <w:p>
      <w:pPr>
        <w:spacing w:line="240" w:lineRule="auto" w:before="3"/>
        <w:rPr>
          <w:rFonts w:ascii="宋体" w:hAnsi="宋体" w:cs="宋体" w:eastAsia="宋体" w:hint="default"/>
          <w:sz w:val="19"/>
          <w:szCs w:val="19"/>
        </w:rPr>
      </w:pPr>
    </w:p>
    <w:p>
      <w:pPr>
        <w:pStyle w:val="Heading3"/>
        <w:spacing w:line="506" w:lineRule="auto" w:before="36"/>
        <w:ind w:right="0"/>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）购买日或合并当期期末无法合理确定合并对价或被购买方可辨认资产、负债公允价值的相关说明</w:t>
      </w:r>
      <w:r>
        <w:rPr>
          <w:spacing w:val="-66"/>
        </w:rPr>
        <w:t> </w:t>
      </w:r>
      <w:r>
        <w:rPr>
          <w:spacing w:val="-66"/>
        </w:rPr>
      </w:r>
      <w:r>
        <w:rPr>
          <w:rFonts w:ascii="宋体" w:hAnsi="宋体" w:cs="宋体" w:eastAsia="宋体" w:hint="default"/>
          <w:b w:val="0"/>
          <w:bCs w:val="0"/>
        </w:rPr>
        <w:t>不适用。</w:t>
      </w:r>
    </w:p>
    <w:p>
      <w:pPr>
        <w:spacing w:line="520" w:lineRule="auto" w:before="104"/>
        <w:ind w:left="152" w:right="75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pStyle w:val="Heading3"/>
        <w:spacing w:line="506" w:lineRule="auto" w:before="51"/>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1</w:t>
      </w:r>
      <w:r>
        <w:rPr>
          <w:spacing w:val="-1"/>
        </w:rPr>
        <w:t>）本期发生的同一控制下企业合并</w:t>
      </w:r>
      <w:r>
        <w:rPr>
          <w:spacing w:val="-90"/>
        </w:rPr>
        <w:t> </w:t>
      </w:r>
      <w:r>
        <w:rPr>
          <w:spacing w:val="-90"/>
        </w:rPr>
      </w:r>
      <w:r>
        <w:rPr>
          <w:rFonts w:ascii="宋体" w:hAnsi="宋体" w:cs="宋体" w:eastAsia="宋体" w:hint="default"/>
          <w:b w:val="0"/>
          <w:bCs w:val="0"/>
        </w:rPr>
        <w:t>不适用。</w:t>
      </w:r>
    </w:p>
    <w:p>
      <w:pPr>
        <w:spacing w:line="506" w:lineRule="auto" w:before="104"/>
        <w:ind w:left="152" w:right="84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506"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506" w:lineRule="auto"/>
        <w:ind w:left="212"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）合并日被合并方资产、负债的账面价值</w:t>
      </w:r>
      <w:r>
        <w:rPr>
          <w:spacing w:val="-85"/>
        </w:rPr>
        <w:t> </w:t>
      </w:r>
      <w:r>
        <w:rPr>
          <w:spacing w:val="-85"/>
        </w:rPr>
      </w:r>
      <w:r>
        <w:rPr>
          <w:rFonts w:ascii="宋体" w:hAnsi="宋体" w:cs="宋体" w:eastAsia="宋体" w:hint="default"/>
          <w:b w:val="0"/>
          <w:bCs w:val="0"/>
        </w:rPr>
        <w:t>不适用。</w:t>
      </w:r>
    </w:p>
    <w:p>
      <w:pPr>
        <w:pStyle w:val="Heading3"/>
        <w:spacing w:line="240" w:lineRule="auto" w:before="101"/>
        <w:ind w:left="212" w:right="92"/>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212" w:right="151" w:firstLine="420"/>
        <w:jc w:val="both"/>
      </w:pPr>
      <w:r>
        <w:rPr>
          <w:spacing w:val="-3"/>
        </w:rPr>
        <w:t>交易基本信息、交易构成反向购买的依据、上市公司保留的资产、负债是否构成业务及其依据、合并</w:t>
      </w:r>
      <w:r>
        <w:rPr>
          <w:w w:val="100"/>
        </w:rPr>
        <w:t> </w:t>
      </w:r>
      <w:r>
        <w:rPr/>
        <w:t>成本的确定、按照权益性交易处理时调整权益的金额及其计算：</w:t>
      </w:r>
    </w:p>
    <w:p>
      <w:pPr>
        <w:pStyle w:val="BodyText"/>
        <w:spacing w:line="408" w:lineRule="auto" w:before="87"/>
        <w:ind w:left="212" w:right="146" w:firstLine="480"/>
        <w:jc w:val="both"/>
      </w:pPr>
      <w:r>
        <w:rPr>
          <w:spacing w:val="-3"/>
        </w:rPr>
        <w:t>证监许可</w:t>
      </w:r>
      <w:r>
        <w:rPr>
          <w:rFonts w:ascii="宋体" w:hAnsi="宋体" w:cs="宋体" w:eastAsia="宋体" w:hint="default"/>
          <w:spacing w:val="-3"/>
        </w:rPr>
        <w:t>[2015]1718</w:t>
      </w:r>
      <w:r>
        <w:rPr>
          <w:spacing w:val="-3"/>
        </w:rPr>
        <w:t>号核准本公司以全部资产及负债（包括或有负债）与天亿投资等</w:t>
      </w:r>
      <w:r>
        <w:rPr>
          <w:rFonts w:ascii="宋体" w:hAnsi="宋体" w:cs="宋体" w:eastAsia="宋体" w:hint="default"/>
          <w:spacing w:val="-3"/>
        </w:rPr>
        <w:t>24</w:t>
      </w:r>
      <w:r>
        <w:rPr>
          <w:spacing w:val="-3"/>
        </w:rPr>
        <w:t>家机构股东及</w:t>
      </w:r>
      <w:r>
        <w:rPr>
          <w:w w:val="100"/>
        </w:rPr>
        <w:t> </w:t>
      </w:r>
      <w:r>
        <w:rPr>
          <w:spacing w:val="-2"/>
        </w:rPr>
        <w:t>俞熔、徐可等</w:t>
      </w:r>
      <w:r>
        <w:rPr>
          <w:rFonts w:ascii="宋体" w:hAnsi="宋体" w:cs="宋体" w:eastAsia="宋体" w:hint="default"/>
          <w:spacing w:val="-2"/>
        </w:rPr>
        <w:t>79</w:t>
      </w:r>
      <w:r>
        <w:rPr>
          <w:spacing w:val="-2"/>
        </w:rPr>
        <w:t>名自然人股东持有的美年产业</w:t>
      </w:r>
      <w:r>
        <w:rPr>
          <w:rFonts w:ascii="宋体" w:hAnsi="宋体" w:cs="宋体" w:eastAsia="宋体" w:hint="default"/>
          <w:spacing w:val="-2"/>
        </w:rPr>
        <w:t>100%</w:t>
      </w:r>
      <w:r>
        <w:rPr>
          <w:spacing w:val="-2"/>
        </w:rPr>
        <w:t>股份中的等值部分进行置换，双方交易标的作价的差额</w:t>
      </w:r>
      <w:r>
        <w:rPr>
          <w:spacing w:val="-37"/>
        </w:rPr>
        <w:t> </w:t>
      </w:r>
      <w:r>
        <w:rPr>
          <w:spacing w:val="-37"/>
        </w:rPr>
      </w:r>
      <w:r>
        <w:rPr/>
        <w:t>部分由本公司依据美年产业全体股东各自持有的美年产业股份比例向其股东非公开发行股份购买。</w:t>
      </w:r>
    </w:p>
    <w:p>
      <w:pPr>
        <w:pStyle w:val="BodyText"/>
        <w:spacing w:line="408" w:lineRule="auto"/>
        <w:ind w:left="212" w:right="150" w:firstLine="480"/>
        <w:jc w:val="both"/>
      </w:pPr>
      <w:r>
        <w:rPr>
          <w:spacing w:val="16"/>
        </w:rPr>
        <w:t>本公司本次重大资产重组中涉及的注入资产为美年产业</w:t>
      </w:r>
      <w:r>
        <w:rPr>
          <w:spacing w:val="-59"/>
        </w:rPr>
        <w:t> </w:t>
      </w:r>
      <w:r>
        <w:rPr>
          <w:rFonts w:ascii="宋体" w:hAnsi="宋体" w:cs="宋体" w:eastAsia="宋体" w:hint="default"/>
          <w:spacing w:val="3"/>
        </w:rPr>
        <w:t>100%</w:t>
      </w:r>
      <w:r>
        <w:rPr>
          <w:spacing w:val="3"/>
        </w:rPr>
        <w:t>股</w:t>
      </w:r>
      <w:r>
        <w:rPr>
          <w:spacing w:val="-59"/>
        </w:rPr>
        <w:t> </w:t>
      </w:r>
      <w:r>
        <w:rPr>
          <w:spacing w:val="9"/>
        </w:rPr>
        <w:t>份，</w:t>
      </w:r>
      <w:r>
        <w:rPr>
          <w:spacing w:val="-59"/>
        </w:rPr>
        <w:t> </w:t>
      </w:r>
      <w:r>
        <w:rPr>
          <w:spacing w:val="15"/>
        </w:rPr>
        <w:t>本次注入资产成交金额为</w:t>
      </w:r>
      <w:r>
        <w:rPr>
          <w:w w:val="100"/>
        </w:rPr>
        <w:t> </w:t>
      </w:r>
      <w:r>
        <w:rPr>
          <w:rFonts w:ascii="宋体" w:hAnsi="宋体" w:cs="宋体" w:eastAsia="宋体" w:hint="default"/>
        </w:rPr>
        <w:t>554,270.06</w:t>
      </w:r>
      <w:r>
        <w:rPr/>
        <w:t>万元，本公司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日资产总额为</w:t>
      </w:r>
      <w:r>
        <w:rPr>
          <w:rFonts w:ascii="宋体" w:hAnsi="宋体" w:cs="宋体" w:eastAsia="宋体" w:hint="default"/>
        </w:rPr>
        <w:t>68,360.39</w:t>
      </w:r>
      <w:r>
        <w:rPr/>
        <w:t>万元，上市公司购买资产成交金额占控制</w:t>
      </w:r>
      <w:r>
        <w:rPr>
          <w:spacing w:val="-29"/>
        </w:rPr>
        <w:t> </w:t>
      </w:r>
      <w:r>
        <w:rPr>
          <w:spacing w:val="-29"/>
        </w:rPr>
      </w:r>
      <w:r>
        <w:rPr>
          <w:spacing w:val="2"/>
        </w:rPr>
        <w:t>权发生变更的前一个会计年度经审计的合并财务会计报告期末资产总额的比例超过</w:t>
      </w:r>
      <w:r>
        <w:rPr>
          <w:rFonts w:ascii="宋体" w:hAnsi="宋体" w:cs="宋体" w:eastAsia="宋体" w:hint="default"/>
          <w:spacing w:val="2"/>
        </w:rPr>
        <w:t>100%</w:t>
      </w:r>
      <w:r>
        <w:rPr>
          <w:spacing w:val="2"/>
        </w:rPr>
        <w:t>；本次交易完成</w:t>
      </w:r>
      <w:r>
        <w:rPr>
          <w:spacing w:val="-23"/>
        </w:rPr>
        <w:t> </w:t>
      </w:r>
      <w:r>
        <w:rPr>
          <w:spacing w:val="-23"/>
        </w:rPr>
      </w:r>
      <w:r>
        <w:rPr/>
        <w:t>后，本公司实际控制人变更为俞熔。按照《重组管理办法》第十三条的规定，本次交易构成借壳上市。</w:t>
      </w:r>
    </w:p>
    <w:p>
      <w:pPr>
        <w:pStyle w:val="BodyText"/>
        <w:spacing w:line="408" w:lineRule="auto"/>
        <w:ind w:left="212" w:right="146" w:firstLine="480"/>
        <w:jc w:val="both"/>
      </w:pPr>
      <w:r>
        <w:rPr>
          <w:spacing w:val="-4"/>
        </w:rPr>
        <w:t>本次交易后，本公司原有资产和负债置出，同时注入美年产业</w:t>
      </w:r>
      <w:r>
        <w:rPr>
          <w:rFonts w:ascii="宋体" w:hAnsi="宋体" w:cs="宋体" w:eastAsia="宋体" w:hint="default"/>
          <w:spacing w:val="-4"/>
        </w:rPr>
        <w:t>100%</w:t>
      </w:r>
      <w:r>
        <w:rPr>
          <w:spacing w:val="-4"/>
        </w:rPr>
        <w:t>股权，上市公司将延续注入资产原</w:t>
      </w:r>
      <w:r>
        <w:rPr>
          <w:w w:val="100"/>
        </w:rPr>
        <w:t> </w:t>
      </w:r>
      <w:r>
        <w:rPr>
          <w:spacing w:val="-2"/>
        </w:rPr>
        <w:t>有业务、管理和发展模式，由服装加工制造企业转变为健康体检服务企业，实现本公司主营业务的彻底转</w:t>
      </w:r>
      <w:r>
        <w:rPr>
          <w:spacing w:val="-43"/>
        </w:rPr>
        <w:t> </w:t>
      </w:r>
      <w:r>
        <w:rPr>
          <w:spacing w:val="-43"/>
        </w:rPr>
      </w:r>
      <w:r>
        <w:rPr/>
        <w:t>型。</w:t>
      </w:r>
    </w:p>
    <w:p>
      <w:pPr>
        <w:spacing w:line="240" w:lineRule="auto" w:before="8"/>
        <w:rPr>
          <w:rFonts w:ascii="宋体" w:hAnsi="宋体" w:cs="宋体" w:eastAsia="宋体" w:hint="default"/>
          <w:sz w:val="20"/>
          <w:szCs w:val="20"/>
        </w:rPr>
      </w:pPr>
    </w:p>
    <w:p>
      <w:pPr>
        <w:pStyle w:val="Heading3"/>
        <w:spacing w:line="240" w:lineRule="auto"/>
        <w:ind w:left="212" w:right="9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212" w:right="92"/>
        <w:jc w:val="left"/>
      </w:pPr>
      <w:r>
        <w:rPr/>
        <w:t>是否存在单次处置对子公司投资即丧失控制权的情形</w:t>
      </w:r>
    </w:p>
    <w:p>
      <w:pPr>
        <w:spacing w:line="240" w:lineRule="auto" w:before="12"/>
        <w:rPr>
          <w:rFonts w:ascii="宋体" w:hAnsi="宋体" w:cs="宋体" w:eastAsia="宋体" w:hint="default"/>
          <w:sz w:val="17"/>
          <w:szCs w:val="17"/>
        </w:rPr>
      </w:pPr>
    </w:p>
    <w:p>
      <w:pPr>
        <w:pStyle w:val="BodyText"/>
        <w:spacing w:line="420" w:lineRule="auto" w:before="0"/>
        <w:ind w:left="212" w:right="28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是否存在通过多次交易分步处置对子公司投资且在本期丧失控制权的情形</w:t>
      </w:r>
    </w:p>
    <w:p>
      <w:pPr>
        <w:pStyle w:val="BodyText"/>
        <w:spacing w:line="240" w:lineRule="auto" w:before="74"/>
        <w:ind w:left="212"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30"/>
          <w:szCs w:val="30"/>
        </w:rPr>
      </w:pPr>
    </w:p>
    <w:p>
      <w:pPr>
        <w:spacing w:line="506" w:lineRule="auto" w:before="0"/>
        <w:ind w:left="212" w:right="92" w:firstLine="0"/>
        <w:jc w:val="left"/>
        <w:rPr>
          <w:rFonts w:ascii="宋体" w:hAnsi="宋体" w:cs="宋体" w:eastAsia="宋体" w:hint="default"/>
          <w:sz w:val="21"/>
          <w:szCs w:val="21"/>
        </w:rPr>
      </w:pPr>
      <w:r>
        <w:rPr/>
        <w:pict>
          <v:shape style="position:absolute;margin-left:51pt;margin-top:48.863686pt;width:459.25pt;height:64.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3"/>
                    <w:gridCol w:w="1277"/>
                    <w:gridCol w:w="1275"/>
                    <w:gridCol w:w="1094"/>
                    <w:gridCol w:w="1133"/>
                    <w:gridCol w:w="1129"/>
                  </w:tblGrid>
                  <w:tr>
                    <w:trPr>
                      <w:trHeight w:val="636"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9"/>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注册资本</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持股比例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上海美鑫融资租赁有限公司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9"/>
                          <w:jc w:val="center"/>
                          <w:rPr>
                            <w:rFonts w:ascii="宋体" w:hAnsi="宋体" w:cs="宋体" w:eastAsia="宋体" w:hint="default"/>
                            <w:sz w:val="21"/>
                            <w:szCs w:val="21"/>
                          </w:rPr>
                        </w:pPr>
                        <w:r>
                          <w:rPr>
                            <w:rFonts w:ascii="宋体" w:hAnsi="宋体" w:cs="宋体" w:eastAsia="宋体" w:hint="default"/>
                            <w:sz w:val="21"/>
                            <w:szCs w:val="21"/>
                          </w:rPr>
                          <w:t>融资租赁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20,000.00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75.00</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上海美阳门诊部有限公司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center"/>
                          <w:rPr>
                            <w:rFonts w:ascii="宋体" w:hAnsi="宋体" w:cs="宋体" w:eastAsia="宋体" w:hint="default"/>
                            <w:sz w:val="21"/>
                            <w:szCs w:val="21"/>
                          </w:rPr>
                        </w:pPr>
                        <w:r>
                          <w:rPr>
                            <w:rFonts w:ascii="宋体" w:hAnsi="宋体" w:cs="宋体" w:eastAsia="宋体" w:hint="default"/>
                            <w:sz w:val="21"/>
                            <w:szCs w:val="21"/>
                          </w:rPr>
                          <w:t>健康体检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Times New Roman" w:hAnsi="Times New Roman" w:cs="Times New Roman" w:eastAsia="Times New Roman" w:hint="default"/>
                            <w:sz w:val="21"/>
                            <w:szCs w:val="21"/>
                          </w:rPr>
                        </w:pPr>
                        <w:r>
                          <w:rPr>
                            <w:rFonts w:ascii="Times New Roman"/>
                            <w:sz w:val="21"/>
                          </w:rPr>
                          <w:t>500.00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after="0" w:line="506" w:lineRule="auto"/>
        <w:jc w:val="left"/>
        <w:rPr>
          <w:rFonts w:ascii="宋体" w:hAnsi="宋体" w:cs="宋体" w:eastAsia="宋体" w:hint="default"/>
          <w:sz w:val="21"/>
          <w:szCs w:val="21"/>
        </w:rPr>
        <w:sectPr>
          <w:pgSz w:w="11910" w:h="16840"/>
          <w:pgMar w:header="745" w:footer="979" w:top="1060" w:bottom="1160" w:left="920" w:right="980"/>
        </w:sectPr>
      </w:pPr>
    </w:p>
    <w:p>
      <w:pPr>
        <w:spacing w:line="240" w:lineRule="auto" w:before="10"/>
        <w:rPr>
          <w:rFonts w:ascii="宋体" w:hAnsi="宋体" w:cs="宋体" w:eastAsia="宋体" w:hint="default"/>
          <w:sz w:val="24"/>
          <w:szCs w:val="24"/>
        </w:rPr>
      </w:pPr>
    </w:p>
    <w:p>
      <w:pPr>
        <w:spacing w:line="487" w:lineRule="auto" w:before="36"/>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w:t>
            </w:r>
          </w:p>
          <w:p>
            <w:pPr>
              <w:pStyle w:val="TableParagraph"/>
              <w:spacing w:line="316" w:lineRule="auto" w:before="74"/>
              <w:ind w:left="24" w:right="75"/>
              <w:jc w:val="left"/>
              <w:rPr>
                <w:rFonts w:ascii="宋体" w:hAnsi="宋体" w:cs="宋体" w:eastAsia="宋体" w:hint="default"/>
                <w:sz w:val="18"/>
                <w:szCs w:val="18"/>
              </w:rPr>
            </w:pPr>
            <w:r>
              <w:rPr>
                <w:rFonts w:ascii="宋体" w:hAnsi="宋体" w:cs="宋体" w:eastAsia="宋体" w:hint="default"/>
                <w:sz w:val="18"/>
                <w:szCs w:val="18"/>
              </w:rPr>
              <w:t>（集团）有限公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沈阳大健康科技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苏州春申湖美年 大健康门诊部有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苏州工业园区美 年诊所有限公司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南昌长庚健康体 检服务有限公司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杭州美年滨河医 疗门诊部有限公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杭州美年医疗门 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健康体检及投资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无锡美年疗养院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健康体检及投资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上海美年大健康 体检投资管理有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上海美东软件开 发有限公司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体检管理及软件 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上海美年门诊部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上海美宜门诊部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上海美健门诊部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上海美东门诊部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北京美年健康科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成都美年大健康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天津美年投资管 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广东美年国医投 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西安美年大健康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武汉美年大健康 体检管理有限公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深圳市瑞格尔健 康管理科技有限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南宁美年大健康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长沙美年大健康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常熟美年大健康 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南京美年大健康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重庆美年大健康 产业有限公司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长春美年大健康 宇宸医院有限公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上海美锦门诊部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昆山美大门诊部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安徽博瑞康健康 管理咨询有限公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云南美年大健康 产业有限公司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郑州大健康科技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济源美年大健康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锦州大健康健康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锦州市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锦州市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贵州美年大健康 康源体检中心有 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上海美恒门诊部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上海美延门诊部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上海美阳门诊部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上海美鑫融资租 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融资租赁、保理 业务及咨询业务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深圳市鸿康杰科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江苏华康投资发 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三级子公司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沈阳大健康健康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大连大健康科技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青岛大健康科技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济南大健康健康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体检管理有限公 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太原大健康科技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石家庄美年大健 康体检管理有限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哈尔滨大健康体 检站有限责任公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健康体检及投资 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呼和浩特市美年 大健康健康体检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南昌泰安医院有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无锡市滨湖区美 年大健康门诊部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北京美年美康门 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北京美年中医医 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北京美年门诊部 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北京美年佳境门 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北京绿生源门诊 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北京美年美佳门 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成都美年体检医 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成都大健康科技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四川鸿康杰医疗 投资管理有限公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成都凯尔健康体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检医院有限公司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天津滨海新区美 健门诊有限公司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北京养年堂中医 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西安碑林大健康 体检站有限公司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兰州美年大健康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新疆美年大健康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东莞市瑞格尔医 院投资管理有限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广州市美年大健 康医疗科技有限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南京美仕年专科 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重庆大健康健康 体检管理有限公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郑州鸿康杰科技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南昌青山湖长庚 综合门诊部有限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洛阳美年大健康 信息咨询有限公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四级子公司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青岛市南大健康 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青岛市南美年大 健康门诊部有限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运城市美年大健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康体检有限公司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吉林市大健康科 技管理有限公司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延边大健康长白 体检站有限责任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延吉市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延吉市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广州美年医疗门 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广州美年富海门 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辽阳美年大健康 健康管理有限公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辽阳市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东莞南城瑞格尔 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五级子公司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吉林市昌邑区大 健康体检站有限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深圳市瑞格尔健康管理 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1,610,991.47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7,006,738.38</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1,217,123.42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51,217,123.42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西安美年大健康健康管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2,272,247.99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7,224,117.86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深圳市鸿康杰科技有限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1,839,208.00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9,376,996.94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云南美年大健康产业有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2,433,252.79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7,099,265.75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南宁美年大健康健康管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71,807.26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2,399,500.63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贵州美年大健康康源体 检中心有限责任公司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-85,444.27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769,056.42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杭州美年医疗门诊部有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43,221.44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1,268,738.58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无锡美年疗养院有限公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421,945.82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3,487,928.43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杭州美年滨河医疗门诊 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572,674.52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1,846,017.20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江苏华康投资发展有限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83,496.45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4,276,616.84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广东美年国医投资有限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-66,483.00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1,555,536.47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锦州大健康健康管理有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607,730.07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1,952,898.99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济源美年大健康科技有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498,000.37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2,973,315.36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瑞格尔 健康管 理科技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175,112,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192.65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113,681,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629.68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288,793,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822.33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137,762,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126.44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4,029,31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141,791,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441.88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130,185,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987.32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113,459,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243,645,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105,913,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690.00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8,341,78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114,255,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476.65</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上海美 鑫融资 租赁有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186,703,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679.72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22,083,8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208,787,</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557.49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3,919,06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3,919,06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3.80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西安美 年大健 康健康 管理有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58,254,1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93,297,3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151,551,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475.43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78,253,5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2,284,47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80,538,0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35,000,8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75,156,4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110,157,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333.03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59,161,1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37.81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2,896,09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62,057,2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37.60</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鸿康杰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58,132,6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19,956,0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78,088,6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19,482,4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19,482,4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16.73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云南美 年大健 康产业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30,024,8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43,201,1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73,226,0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40,788,6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2,025,82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42,814,4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17,932,9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23,499,2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41,432,1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13,317,0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32.41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7,436,59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20,753,6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22.81</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南宁美 年大健 康健康 管理有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10,317,0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21,338,2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58.04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31,655,2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92.99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18,689,5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90.99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968,198.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19,657,7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3,908,19</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7.60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9,250,65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13,158,8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49.45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6,257,22</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7.01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1,263,15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7,520,38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2.57</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贵州美 年大健 康康源 体检中 心有限 责任公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17,863,5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12,893,1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30,756,6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7,736,87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7,736,87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16,168,8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14,836,4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31,005,3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6,840,21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6,150,00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12,990,2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19.37</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杭州美 年医疗 门诊部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16,175,0</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75.77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10,920,4</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80.40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27,095,5</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56.17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22,866,4</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27.57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22,866,4</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27.57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10,924,3</w:t>
            </w:r>
          </w:p>
          <w:p>
            <w:pPr>
              <w:pStyle w:val="TableParagraph"/>
              <w:spacing w:line="240" w:lineRule="auto" w:before="103"/>
              <w:ind w:left="298" w:right="0"/>
              <w:jc w:val="left"/>
              <w:rPr>
                <w:rFonts w:ascii="Times New Roman" w:hAnsi="Times New Roman" w:cs="Times New Roman" w:eastAsia="Times New Roman" w:hint="default"/>
                <w:sz w:val="18"/>
                <w:szCs w:val="18"/>
              </w:rPr>
            </w:pPr>
            <w:r>
              <w:rPr>
                <w:rFonts w:ascii="Times New Roman"/>
                <w:sz w:val="18"/>
              </w:rPr>
              <w:t>15.84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5,093,01</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0.84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16,017,3</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26.68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81" w:right="0"/>
              <w:jc w:val="left"/>
              <w:rPr>
                <w:rFonts w:ascii="Times New Roman" w:hAnsi="Times New Roman" w:cs="Times New Roman" w:eastAsia="Times New Roman" w:hint="default"/>
                <w:sz w:val="18"/>
                <w:szCs w:val="18"/>
              </w:rPr>
            </w:pPr>
            <w:r>
              <w:rPr>
                <w:rFonts w:ascii="Times New Roman"/>
                <w:sz w:val="18"/>
              </w:rPr>
              <w:t>11,932,2</w:t>
            </w:r>
          </w:p>
          <w:p>
            <w:pPr>
              <w:pStyle w:val="TableParagraph"/>
              <w:spacing w:line="240" w:lineRule="auto" w:before="103"/>
              <w:ind w:left="299" w:right="0"/>
              <w:jc w:val="left"/>
              <w:rPr>
                <w:rFonts w:ascii="Times New Roman" w:hAnsi="Times New Roman" w:cs="Times New Roman" w:eastAsia="Times New Roman" w:hint="default"/>
                <w:sz w:val="18"/>
                <w:szCs w:val="18"/>
              </w:rPr>
            </w:pPr>
            <w:r>
              <w:rPr>
                <w:rFonts w:ascii="Times New Roman"/>
                <w:sz w:val="18"/>
              </w:rPr>
              <w:t>69.59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9" w:right="0"/>
              <w:jc w:val="left"/>
              <w:rPr>
                <w:rFonts w:ascii="Times New Roman" w:hAnsi="Times New Roman" w:cs="Times New Roman" w:eastAsia="Times New Roman" w:hint="default"/>
                <w:sz w:val="18"/>
                <w:szCs w:val="18"/>
              </w:rPr>
            </w:pPr>
            <w:r>
              <w:rPr>
                <w:rFonts w:ascii="Times New Roman"/>
                <w:sz w:val="18"/>
              </w:rPr>
              <w:t>11,932,2</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69.59</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重庆美 年大健 康产业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16,406,4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5,992,66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22,399,1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207,173.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207,173.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18,496,5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6,077,88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24,574,4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2,390,99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2,390,99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0.08</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无锡美 年疗养 院有限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10,655,5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9,569,52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20,225,0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5,439,45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1,139,09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6,578,54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8,687,88</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5.01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9,080,11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17,768,0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6,231,21</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7.21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6,231,21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7.21</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杭州美 年滨河 医疗门 诊部有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10,061,2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7,509,56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17,570,8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11,417,4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11,417,4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7,930,63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7,388,14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15,318,7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left"/>
              <w:rPr>
                <w:rFonts w:ascii="Times New Roman" w:hAnsi="Times New Roman" w:cs="Times New Roman" w:eastAsia="Times New Roman" w:hint="default"/>
                <w:sz w:val="18"/>
                <w:szCs w:val="18"/>
              </w:rPr>
            </w:pPr>
            <w:r>
              <w:rPr>
                <w:rFonts w:ascii="Times New Roman"/>
                <w:sz w:val="18"/>
              </w:rPr>
              <w:t>11,074,3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04.57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11,074,3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04.57</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江苏华 康投资 发展有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10,210,2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6,003,39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16,213,6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1,958,27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1,958,27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61"/>
              <w:jc w:val="left"/>
              <w:rPr>
                <w:rFonts w:ascii="宋体" w:hAnsi="宋体" w:cs="宋体" w:eastAsia="宋体" w:hint="default"/>
                <w:sz w:val="18"/>
                <w:szCs w:val="18"/>
              </w:rPr>
            </w:pPr>
            <w:r>
              <w:rPr>
                <w:rFonts w:ascii="宋体" w:hAnsi="宋体" w:cs="宋体" w:eastAsia="宋体" w:hint="default"/>
                <w:sz w:val="18"/>
                <w:szCs w:val="18"/>
              </w:rPr>
              <w:t>广东美 年国医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8,885,56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5,696,84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14,582,4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3,556,32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3,556,32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9,140,90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5,762,26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14,903,1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3,311,80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3,311,80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投资有 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锦州大 健康健 康管理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5,485,02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4,882,27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10,367,3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4,449,42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4,449,42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1,796,55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5,391,90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7,188,46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left"/>
              <w:rPr>
                <w:rFonts w:ascii="Times New Roman" w:hAnsi="Times New Roman" w:cs="Times New Roman" w:eastAsia="Times New Roman" w:hint="default"/>
                <w:sz w:val="18"/>
                <w:szCs w:val="18"/>
              </w:rPr>
            </w:pPr>
            <w:r>
              <w:rPr>
                <w:rFonts w:ascii="Times New Roman"/>
                <w:sz w:val="18"/>
              </w:rPr>
              <w:t>3,112,19</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3.03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3,112,19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3.03</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济源美 年大健 康科技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5,127,54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5,115,12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10,242,6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2,809,38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2,809,38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4,414,52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4,663,61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9,078,13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2,889,84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2,889,84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8.14</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深圳市瑞格 尔健康管理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260,465,664.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17,612,229.6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17,612,229.6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12,939,753.6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193,368,673.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12,340,758.6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12,340,758.6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63,329,578.9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上海美鑫融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6,566,144.98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4,868,493.69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4,868,493.69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-21,767,181.0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西安美年大 健康健康管 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157,164,123.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22,913,367.2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22,913,367.2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45,841,699.5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90,512,477.7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2,909,271.09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2,909,271.09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28,757,625.1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深圳市鸿康 杰科技有限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41,800,951.9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11,495,050.0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11,495,050.0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3,756,431.21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云南美年大 健康产业有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67,777,606.5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9,733,011.17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9,733,011.17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28,188,706.7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36,883,984.4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3,777,038.28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3,777,038.28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2,802,035.03</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南宁美年大 健康健康管 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23,241,868.6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359,036.29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359,036.29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62,139.60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12,789,985.6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595,357.25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595,357.25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873,456.58</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贵州美年大 健康康源体 检中心有限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28,091,582.6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5,004,741.25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5,004,741.25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18,795,224.1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18,109,289.6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3,243,648.23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3,243,648.23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4,010,233.08</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杭州美年医</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center"/>
              <w:rPr>
                <w:rFonts w:ascii="Times New Roman" w:hAnsi="Times New Roman" w:cs="Times New Roman" w:eastAsia="Times New Roman" w:hint="default"/>
                <w:sz w:val="18"/>
                <w:szCs w:val="18"/>
              </w:rPr>
            </w:pPr>
            <w:r>
              <w:rPr>
                <w:rFonts w:ascii="Times New Roman"/>
                <w:sz w:val="18"/>
              </w:rPr>
              <w:t>42,226,858.4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144,071.51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144,071.51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5,437,019.43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center"/>
              <w:rPr>
                <w:rFonts w:ascii="Times New Roman" w:hAnsi="Times New Roman" w:cs="Times New Roman" w:eastAsia="Times New Roman" w:hint="default"/>
                <w:sz w:val="18"/>
                <w:szCs w:val="18"/>
              </w:rPr>
            </w:pPr>
            <w:r>
              <w:rPr>
                <w:rFonts w:ascii="Times New Roman"/>
                <w:sz w:val="18"/>
              </w:rPr>
              <w:t>23,946,528.9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-1,521,913.15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-1,521,913.15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2,548,074.54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疗门诊部有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重庆美年大 健康产业有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1,542,600.00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8,540.72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8,540.72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-1,592,142.58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6,458,631.75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6,458,631.75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-11,758,613.4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无锡美年疗 养院有限公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24,398,855.9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2,109,729.10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2,109,729.10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2,926,943.04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19,863,954.3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1,132,754.51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1,132,754.51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2,377,845.01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杭州美年滨 河医疗门诊 部有限公司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13,793,340.7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1,908,915.07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1,908,915.07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1,741,960.54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7,319,004.27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-56,973.47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-56,973.47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-3,386,528.94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江苏华康投 资发展有限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1,734,565.57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278,321.49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278,321.49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816,226.36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广东美年国 医投资有限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-565,279.82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-565,279.82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-273,400.91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374,666.59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-2,143,866.61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-2,143,866.61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1,327,270.46</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锦州大健康 健康管理有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13,068,199.0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1,841,606.28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1,841,606.28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2,685,883.43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3,979,350.04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126,834.68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126,834.68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1,704,736.08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济源美年大 健康科技有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11,112,313.6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1,245,000.93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1,245,000.93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3,868,975.47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7,119,684.93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1,144,522.15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1,144,522.15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688,695.30</w:t>
            </w:r>
          </w:p>
        </w:tc>
      </w:tr>
    </w:tbl>
    <w:p>
      <w:pPr>
        <w:spacing w:line="240" w:lineRule="auto" w:before="3"/>
        <w:rPr>
          <w:rFonts w:ascii="宋体" w:hAnsi="宋体" w:cs="宋体" w:eastAsia="宋体" w:hint="default"/>
          <w:sz w:val="19"/>
          <w:szCs w:val="19"/>
        </w:rPr>
      </w:pPr>
    </w:p>
    <w:p>
      <w:pPr>
        <w:pStyle w:val="Heading3"/>
        <w:spacing w:line="506" w:lineRule="auto" w:before="36"/>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）使用企业集团资产和清偿企业集团债务的重大限制</w:t>
      </w:r>
      <w:r>
        <w:rPr>
          <w:spacing w:val="-85"/>
        </w:rPr>
        <w:t> </w:t>
      </w:r>
      <w:r>
        <w:rPr>
          <w:spacing w:val="-85"/>
        </w:rPr>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30"/>
          <w:szCs w:val="30"/>
        </w:rPr>
      </w:pPr>
    </w:p>
    <w:p>
      <w:pPr>
        <w:pStyle w:val="BodyText"/>
        <w:spacing w:line="424" w:lineRule="auto" w:before="0"/>
        <w:ind w:right="0"/>
        <w:jc w:val="left"/>
      </w:pPr>
      <w:r>
        <w:rPr/>
        <w:t>其他说明：</w:t>
      </w:r>
      <w:r>
        <w:rPr>
          <w:spacing w:val="-102"/>
        </w:rPr>
        <w:t> </w:t>
      </w:r>
      <w:r>
        <w:rPr>
          <w:spacing w:val="-102"/>
        </w:rPr>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30</w:t>
      </w:r>
      <w:r>
        <w:rPr/>
        <w:t>日在上海市自贸试验区分局注册成立上海美爱投资管理有限公司，组织机构代码号</w:t>
      </w:r>
      <w:r>
        <w:rPr>
          <w:w w:val="100"/>
        </w:rPr>
        <w:t> </w:t>
      </w:r>
      <w:r>
        <w:rPr>
          <w:rFonts w:ascii="宋体" w:hAnsi="宋体" w:cs="宋体" w:eastAsia="宋体" w:hint="default"/>
          <w:spacing w:val="-2"/>
        </w:rPr>
        <w:t>MA1K35G09</w:t>
      </w:r>
      <w:r>
        <w:rPr>
          <w:spacing w:val="-2"/>
        </w:rPr>
        <w:t>，经营范围：投资管理，资产管理，企业管理，会务服务，商务信息咨询，财务咨询，房地产</w:t>
      </w:r>
    </w:p>
    <w:p>
      <w:pPr>
        <w:pStyle w:val="BodyText"/>
        <w:spacing w:line="408" w:lineRule="auto" w:before="31"/>
        <w:ind w:right="0"/>
        <w:jc w:val="left"/>
      </w:pPr>
      <w:r>
        <w:rPr>
          <w:spacing w:val="-2"/>
        </w:rPr>
        <w:t>咨询。该公司注册资本</w:t>
      </w:r>
      <w:r>
        <w:rPr>
          <w:rFonts w:ascii="宋体" w:hAnsi="宋体" w:cs="宋体" w:eastAsia="宋体" w:hint="default"/>
          <w:spacing w:val="-2"/>
        </w:rPr>
        <w:t>10000</w:t>
      </w:r>
      <w:r>
        <w:rPr>
          <w:spacing w:val="-2"/>
        </w:rPr>
        <w:t>万元，本公司认缴出资</w:t>
      </w:r>
      <w:r>
        <w:rPr>
          <w:rFonts w:ascii="宋体" w:hAnsi="宋体" w:cs="宋体" w:eastAsia="宋体" w:hint="default"/>
          <w:spacing w:val="-2"/>
        </w:rPr>
        <w:t>10000</w:t>
      </w:r>
      <w:r>
        <w:rPr>
          <w:spacing w:val="-2"/>
        </w:rPr>
        <w:t>万元，截至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日，实缴出资</w:t>
      </w:r>
      <w:r>
        <w:rPr>
          <w:rFonts w:ascii="宋体" w:hAnsi="宋体" w:cs="宋体" w:eastAsia="宋体" w:hint="default"/>
          <w:spacing w:val="-2"/>
        </w:rPr>
        <w:t>0</w:t>
      </w:r>
      <w:r>
        <w:rPr>
          <w:spacing w:val="-2"/>
        </w:rPr>
        <w:t>元，该</w:t>
      </w:r>
      <w:r>
        <w:rPr>
          <w:spacing w:val="-9"/>
        </w:rPr>
        <w:t> </w:t>
      </w:r>
      <w:r>
        <w:rPr>
          <w:spacing w:val="-9"/>
        </w:rPr>
      </w:r>
      <w:r>
        <w:rPr/>
        <w:t>子公司尚未经营活动。</w:t>
      </w:r>
    </w:p>
    <w:p>
      <w:pPr>
        <w:spacing w:after="0" w:line="40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633" w:right="0"/>
        <w:jc w:val="left"/>
      </w:pPr>
      <w:r>
        <w:rPr/>
        <w:t>本公司</w:t>
      </w:r>
      <w:r>
        <w:rPr>
          <w:rFonts w:ascii="宋体" w:hAnsi="宋体" w:cs="宋体" w:eastAsia="宋体" w:hint="default"/>
        </w:rPr>
        <w:t>2015</w:t>
      </w:r>
      <w:r>
        <w:rPr/>
        <w:t>年度、</w:t>
      </w:r>
      <w:r>
        <w:rPr>
          <w:rFonts w:ascii="宋体" w:hAnsi="宋体" w:cs="宋体" w:eastAsia="宋体" w:hint="default"/>
        </w:rPr>
        <w:t>2014</w:t>
      </w:r>
      <w:r>
        <w:rPr/>
        <w:t>年度对控股子公司进行了收购少数股权的股权变动。</w:t>
      </w:r>
      <w:r>
        <w:rPr>
          <w:w w:val="100"/>
        </w:rPr>
        <w:t> </w:t>
      </w:r>
      <w:r>
        <w:rPr>
          <w:spacing w:val="-2"/>
        </w:rPr>
        <w:t>本公司</w:t>
      </w:r>
      <w:r>
        <w:rPr>
          <w:rFonts w:ascii="宋体" w:hAnsi="宋体" w:cs="宋体" w:eastAsia="宋体" w:hint="default"/>
          <w:spacing w:val="-2"/>
        </w:rPr>
        <w:t>2015</w:t>
      </w:r>
      <w:r>
        <w:rPr>
          <w:spacing w:val="-2"/>
        </w:rPr>
        <w:t>年度、</w:t>
      </w:r>
      <w:r>
        <w:rPr>
          <w:rFonts w:ascii="宋体" w:hAnsi="宋体" w:cs="宋体" w:eastAsia="宋体" w:hint="default"/>
          <w:spacing w:val="-2"/>
        </w:rPr>
        <w:t>2014</w:t>
      </w:r>
      <w:r>
        <w:rPr>
          <w:spacing w:val="-2"/>
        </w:rPr>
        <w:t>年度对控股子公司进行了减少持股比例但不丧失控制权的股权变动。</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10" w:space="0" w:color="E0FFFF"/>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01" w:right="50" w:hanging="449"/>
              <w:jc w:val="left"/>
              <w:rPr>
                <w:rFonts w:ascii="宋体" w:hAnsi="宋体" w:cs="宋体" w:eastAsia="宋体" w:hint="default"/>
                <w:sz w:val="18"/>
                <w:szCs w:val="18"/>
              </w:rPr>
            </w:pPr>
            <w:r>
              <w:rPr>
                <w:rFonts w:ascii="宋体" w:hAnsi="宋体" w:cs="宋体" w:eastAsia="宋体" w:hint="default"/>
                <w:sz w:val="18"/>
                <w:szCs w:val="18"/>
              </w:rPr>
              <w:t>贵州省康源健康体检中 心有限公司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01" w:right="51" w:hanging="449"/>
              <w:jc w:val="left"/>
              <w:rPr>
                <w:rFonts w:ascii="宋体" w:hAnsi="宋体" w:cs="宋体" w:eastAsia="宋体" w:hint="default"/>
                <w:sz w:val="18"/>
                <w:szCs w:val="18"/>
              </w:rPr>
            </w:pPr>
            <w:r>
              <w:rPr>
                <w:rFonts w:ascii="宋体" w:hAnsi="宋体" w:cs="宋体" w:eastAsia="宋体" w:hint="default"/>
                <w:sz w:val="18"/>
                <w:szCs w:val="18"/>
              </w:rPr>
              <w:t>兰州美年大健康健康管 理有限公司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32" w:right="48" w:hanging="180"/>
              <w:jc w:val="left"/>
              <w:rPr>
                <w:rFonts w:ascii="宋体" w:hAnsi="宋体" w:cs="宋体" w:eastAsia="宋体" w:hint="default"/>
                <w:sz w:val="18"/>
                <w:szCs w:val="18"/>
              </w:rPr>
            </w:pPr>
            <w:r>
              <w:rPr>
                <w:rFonts w:ascii="宋体" w:hAnsi="宋体" w:cs="宋体" w:eastAsia="宋体" w:hint="default"/>
                <w:sz w:val="18"/>
                <w:szCs w:val="18"/>
              </w:rPr>
              <w:t>呼和浩特市美年大健康 健康体检有限公司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93" w:right="50" w:hanging="541"/>
              <w:jc w:val="left"/>
              <w:rPr>
                <w:rFonts w:ascii="宋体" w:hAnsi="宋体" w:cs="宋体" w:eastAsia="宋体" w:hint="default"/>
                <w:sz w:val="18"/>
                <w:szCs w:val="18"/>
              </w:rPr>
            </w:pPr>
            <w:r>
              <w:rPr>
                <w:rFonts w:ascii="宋体" w:hAnsi="宋体" w:cs="宋体" w:eastAsia="宋体" w:hint="default"/>
                <w:sz w:val="18"/>
                <w:szCs w:val="18"/>
              </w:rPr>
              <w:t>南京美仕年专科门诊部 有限公司</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3,160,000.00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3,160,000.00</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9"/>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3,267,335.63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2,188,651.17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6,868,355.02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6,190,856.89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2,732,664.37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6,835,348.83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-4,738,355.02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-3,030,856.89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2,732,664.37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6,835,348.83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-4,738,355.02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-3,030,856.89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海南美年大健康 医院有限公司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泰安市凯尔健康 体检管理有限公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门诊管理、企业 策划及广告设计 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烟台福田健康体 检管理有限公司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健康体检及投资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506" w:lineRule="auto" w:before="36"/>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）重要合营企业的主要财务信息</w:t>
      </w:r>
      <w:r>
        <w:rPr>
          <w:spacing w:val="-91"/>
        </w:rPr>
        <w:t> </w:t>
      </w:r>
      <w:r>
        <w:rPr>
          <w:spacing w:val="-91"/>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9"/>
        <w:gridCol w:w="1366"/>
      </w:tblGrid>
      <w:tr>
        <w:trPr>
          <w:trHeight w:val="408"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2"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43" w:right="47" w:hanging="92"/>
              <w:jc w:val="left"/>
              <w:rPr>
                <w:rFonts w:ascii="宋体" w:hAnsi="宋体" w:cs="宋体" w:eastAsia="宋体" w:hint="default"/>
                <w:sz w:val="18"/>
                <w:szCs w:val="18"/>
              </w:rPr>
            </w:pPr>
            <w:r>
              <w:rPr>
                <w:rFonts w:ascii="宋体" w:hAnsi="宋体" w:cs="宋体" w:eastAsia="宋体" w:hint="default"/>
                <w:sz w:val="18"/>
                <w:szCs w:val="18"/>
              </w:rPr>
              <w:t>海南美年大健康 医院有限公司</w:t>
            </w:r>
          </w:p>
        </w:tc>
        <w:tc>
          <w:tcPr>
            <w:tcW w:w="13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48" w:right="50"/>
              <w:jc w:val="left"/>
              <w:rPr>
                <w:rFonts w:ascii="宋体" w:hAnsi="宋体" w:cs="宋体" w:eastAsia="宋体" w:hint="default"/>
                <w:sz w:val="18"/>
                <w:szCs w:val="18"/>
              </w:rPr>
            </w:pPr>
            <w:r>
              <w:rPr>
                <w:rFonts w:ascii="宋体" w:hAnsi="宋体" w:cs="宋体" w:eastAsia="宋体" w:hint="default"/>
                <w:sz w:val="18"/>
                <w:szCs w:val="18"/>
              </w:rPr>
              <w:t>烟台福田健康体 检管理有限公司</w:t>
            </w:r>
          </w:p>
        </w:tc>
        <w:tc>
          <w:tcPr>
            <w:tcW w:w="136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4"/>
              <w:ind w:left="48" w:right="46"/>
              <w:jc w:val="center"/>
              <w:rPr>
                <w:rFonts w:ascii="宋体" w:hAnsi="宋体" w:cs="宋体" w:eastAsia="宋体" w:hint="default"/>
                <w:sz w:val="18"/>
                <w:szCs w:val="18"/>
              </w:rPr>
            </w:pPr>
            <w:r>
              <w:rPr>
                <w:rFonts w:ascii="宋体" w:hAnsi="宋体" w:cs="宋体" w:eastAsia="宋体" w:hint="default"/>
                <w:sz w:val="18"/>
                <w:szCs w:val="18"/>
              </w:rPr>
              <w:t>泰安市凯尔健康 体检管理有限公 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39" w:right="48" w:hanging="92"/>
              <w:jc w:val="left"/>
              <w:rPr>
                <w:rFonts w:ascii="宋体" w:hAnsi="宋体" w:cs="宋体" w:eastAsia="宋体" w:hint="default"/>
                <w:sz w:val="18"/>
                <w:szCs w:val="18"/>
              </w:rPr>
            </w:pPr>
            <w:r>
              <w:rPr>
                <w:rFonts w:ascii="宋体" w:hAnsi="宋体" w:cs="宋体" w:eastAsia="宋体" w:hint="default"/>
                <w:sz w:val="18"/>
                <w:szCs w:val="18"/>
              </w:rPr>
              <w:t>海南美年大健康 医院有限公司</w:t>
            </w:r>
          </w:p>
        </w:tc>
        <w:tc>
          <w:tcPr>
            <w:tcW w:w="13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47" w:right="50"/>
              <w:jc w:val="left"/>
              <w:rPr>
                <w:rFonts w:ascii="宋体" w:hAnsi="宋体" w:cs="宋体" w:eastAsia="宋体" w:hint="default"/>
                <w:sz w:val="18"/>
                <w:szCs w:val="18"/>
              </w:rPr>
            </w:pPr>
            <w:r>
              <w:rPr>
                <w:rFonts w:ascii="宋体" w:hAnsi="宋体" w:cs="宋体" w:eastAsia="宋体" w:hint="default"/>
                <w:sz w:val="18"/>
                <w:szCs w:val="18"/>
              </w:rPr>
              <w:t>烟台福田健康体 检管理有限公司</w:t>
            </w:r>
          </w:p>
        </w:tc>
        <w:tc>
          <w:tcPr>
            <w:tcW w:w="136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4"/>
              <w:ind w:left="47" w:right="47"/>
              <w:jc w:val="center"/>
              <w:rPr>
                <w:rFonts w:ascii="宋体" w:hAnsi="宋体" w:cs="宋体" w:eastAsia="宋体" w:hint="default"/>
                <w:sz w:val="18"/>
                <w:szCs w:val="18"/>
              </w:rPr>
            </w:pPr>
            <w:r>
              <w:rPr>
                <w:rFonts w:ascii="宋体" w:hAnsi="宋体" w:cs="宋体" w:eastAsia="宋体" w:hint="default"/>
                <w:sz w:val="18"/>
                <w:szCs w:val="18"/>
              </w:rPr>
              <w:t>泰安市凯尔健康 体检管理有限公 司</w:t>
            </w:r>
          </w:p>
        </w:tc>
      </w:tr>
      <w:tr>
        <w:trPr>
          <w:trHeight w:val="391"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10" w:space="0" w:color="D2D2D2"/>
              <w:right w:val="single" w:sz="4" w:space="0" w:color="000000"/>
            </w:tcBorders>
            <w:shd w:val="clear" w:color="auto" w:fill="E0FFFF"/>
          </w:tcPr>
          <w:p>
            <w:pPr/>
          </w:p>
        </w:tc>
        <w:tc>
          <w:tcPr>
            <w:tcW w:w="1369" w:type="dxa"/>
            <w:vMerge/>
            <w:tcBorders>
              <w:left w:val="single" w:sz="4" w:space="0" w:color="000000"/>
              <w:right w:val="single" w:sz="4" w:space="0" w:color="000000"/>
            </w:tcBorders>
            <w:shd w:val="clear" w:color="auto" w:fill="E0FFFF"/>
          </w:tcPr>
          <w:p>
            <w:pPr/>
          </w:p>
        </w:tc>
        <w:tc>
          <w:tcPr>
            <w:tcW w:w="1366" w:type="dxa"/>
            <w:vMerge/>
            <w:tcBorders>
              <w:left w:val="single" w:sz="4" w:space="0" w:color="000000"/>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9" w:type="dxa"/>
            <w:vMerge/>
            <w:tcBorders>
              <w:left w:val="single" w:sz="4" w:space="0" w:color="000000"/>
              <w:right w:val="single" w:sz="4" w:space="0" w:color="000000"/>
            </w:tcBorders>
            <w:shd w:val="clear" w:color="auto" w:fill="E0FFFF"/>
          </w:tcPr>
          <w:p>
            <w:pPr/>
          </w:p>
        </w:tc>
        <w:tc>
          <w:tcPr>
            <w:tcW w:w="1366" w:type="dxa"/>
            <w:vMerge/>
            <w:tcBorders>
              <w:left w:val="single" w:sz="4" w:space="0" w:color="000000"/>
              <w:right w:val="single" w:sz="4" w:space="0" w:color="000000"/>
            </w:tcBorders>
            <w:shd w:val="clear" w:color="auto" w:fill="E0FFFF"/>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10" w:space="0" w:color="D2D2D2"/>
              <w:bottom w:val="single" w:sz="4" w:space="0" w:color="000000"/>
              <w:right w:val="single" w:sz="4" w:space="0" w:color="000000"/>
            </w:tcBorders>
            <w:shd w:val="clear" w:color="auto" w:fill="E0FFFF"/>
          </w:tcPr>
          <w:p>
            <w:pPr/>
          </w:p>
        </w:tc>
        <w:tc>
          <w:tcPr>
            <w:tcW w:w="1369" w:type="dxa"/>
            <w:vMerge/>
            <w:tcBorders>
              <w:left w:val="single" w:sz="4" w:space="0" w:color="000000"/>
              <w:bottom w:val="single" w:sz="4" w:space="0" w:color="000000"/>
              <w:right w:val="single" w:sz="4" w:space="0" w:color="000000"/>
            </w:tcBorders>
            <w:shd w:val="clear" w:color="auto" w:fill="E0FFFF"/>
          </w:tcPr>
          <w:p>
            <w:pPr/>
          </w:p>
        </w:tc>
        <w:tc>
          <w:tcPr>
            <w:tcW w:w="1366" w:type="dxa"/>
            <w:vMerge/>
            <w:tcBorders>
              <w:left w:val="single" w:sz="4" w:space="0" w:color="000000"/>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9" w:type="dxa"/>
            <w:vMerge/>
            <w:tcBorders>
              <w:left w:val="single" w:sz="4" w:space="0" w:color="000000"/>
              <w:bottom w:val="single" w:sz="4" w:space="0" w:color="000000"/>
              <w:right w:val="single" w:sz="4" w:space="0" w:color="000000"/>
            </w:tcBorders>
            <w:shd w:val="clear" w:color="auto" w:fill="E0FFFF"/>
          </w:tcPr>
          <w:p>
            <w:pPr/>
          </w:p>
        </w:tc>
        <w:tc>
          <w:tcPr>
            <w:tcW w:w="1366" w:type="dxa"/>
            <w:vMerge/>
            <w:tcBorders>
              <w:left w:val="single" w:sz="4" w:space="0" w:color="000000"/>
              <w:bottom w:val="single" w:sz="4" w:space="0" w:color="000000"/>
              <w:right w:val="single" w:sz="4" w:space="0" w:color="000000"/>
            </w:tcBorders>
            <w:shd w:val="clear" w:color="auto" w:fill="E0FFFF"/>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1,754,511.92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2,608,165.42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12,774,994.87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38,920,776.00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24,442,893.75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12,691,580.50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40,675,287.92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27,051,059.17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25,466,575.37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1,530,246.77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10,771,014.64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7,831,934.15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3,391,665.00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17,530,246.77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14,162,679.64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7,831,934.15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23,145,041.15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12,888,379.53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17,634,641.22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8,100,737.14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1,811,628.07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6,172,121.96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18,091,127.94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3,790,469.35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10,035,914.16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7,232,339.82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7,523,937.96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-1,310,985.15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-838,123.34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974,047.50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-1,310,985.15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-838,123.34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974,047.50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8,036,792.42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137,161,122.89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3,829,417.67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7,335,814.76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3,829,417.67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7,335,814.76</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506" w:lineRule="auto" w:before="36"/>
        <w:ind w:right="2785"/>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）合营企业或联营企业向本公司转移资金的能力存在重大限制的说明</w:t>
      </w:r>
      <w:r>
        <w:rPr>
          <w:spacing w:val="-75"/>
        </w:rPr>
        <w:t> </w:t>
      </w:r>
      <w:r>
        <w:rPr>
          <w:spacing w:val="-75"/>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506" w:lineRule="auto" w:before="36"/>
        <w:ind w:right="534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）合营企业或联营企业发生的超额亏损</w:t>
      </w:r>
      <w:r>
        <w:rPr>
          <w:spacing w:val="-87"/>
        </w:rPr>
        <w:t> </w:t>
      </w:r>
      <w:r>
        <w:rPr>
          <w:spacing w:val="-87"/>
        </w:rPr>
      </w:r>
      <w:r>
        <w:rPr>
          <w:rFonts w:ascii="宋体" w:hAnsi="宋体" w:cs="宋体" w:eastAsia="宋体" w:hint="default"/>
          <w:b w:val="0"/>
          <w:bCs w:val="0"/>
        </w:rPr>
        <w:t>不适用。</w:t>
      </w:r>
    </w:p>
    <w:p>
      <w:pPr>
        <w:pStyle w:val="Heading3"/>
        <w:spacing w:line="506" w:lineRule="auto" w:before="101"/>
        <w:ind w:right="534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）与合营企业投资相关的未确认承诺</w:t>
      </w:r>
      <w:r>
        <w:rPr>
          <w:spacing w:val="-88"/>
        </w:rPr>
        <w:t> </w:t>
      </w:r>
      <w:r>
        <w:rPr>
          <w:spacing w:val="-88"/>
        </w:rPr>
      </w:r>
      <w:r>
        <w:rPr>
          <w:rFonts w:ascii="宋体" w:hAnsi="宋体" w:cs="宋体" w:eastAsia="宋体" w:hint="default"/>
          <w:b w:val="0"/>
          <w:bCs w:val="0"/>
        </w:rPr>
        <w:t>不适用。</w:t>
      </w:r>
    </w:p>
    <w:p>
      <w:pPr>
        <w:pStyle w:val="Heading3"/>
        <w:spacing w:line="240" w:lineRule="auto" w:before="104"/>
        <w:ind w:right="0"/>
        <w:jc w:val="both"/>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80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b/>
          <w:bCs/>
          <w:spacing w:val="-103"/>
          <w:sz w:val="21"/>
          <w:szCs w:val="21"/>
        </w:rPr>
        <w:t> </w:t>
      </w:r>
      <w:r>
        <w:rPr>
          <w:rFonts w:ascii="宋体" w:hAnsi="宋体" w:cs="宋体" w:eastAsia="宋体" w:hint="default"/>
          <w:sz w:val="21"/>
          <w:szCs w:val="21"/>
        </w:rPr>
        <w:t>不适用。</w:t>
      </w:r>
    </w:p>
    <w:p>
      <w:pPr>
        <w:pStyle w:val="Heading3"/>
        <w:spacing w:line="506" w:lineRule="auto" w:before="104"/>
        <w:ind w:right="4084"/>
        <w:jc w:val="left"/>
        <w:rPr>
          <w:rFonts w:ascii="宋体" w:hAnsi="宋体" w:cs="宋体" w:eastAsia="宋体" w:hint="default"/>
          <w:b w:val="0"/>
          <w:bCs w:val="0"/>
        </w:rPr>
      </w:pPr>
      <w:r>
        <w:rPr>
          <w:rFonts w:ascii="Times New Roman" w:hAnsi="Times New Roman" w:cs="Times New Roman" w:eastAsia="Times New Roman" w:hint="default"/>
          <w:spacing w:val="-1"/>
        </w:rPr>
        <w:t>5</w:t>
      </w:r>
      <w:r>
        <w:rPr>
          <w:spacing w:val="-1"/>
        </w:rPr>
        <w:t>、在未纳入合并财务报表范围的结构化主体中的权益</w:t>
      </w:r>
      <w:r>
        <w:rPr>
          <w:spacing w:val="-85"/>
        </w:rPr>
        <w:t> </w:t>
      </w:r>
      <w:r>
        <w:rPr>
          <w:spacing w:val="-85"/>
        </w:rPr>
      </w:r>
      <w:r>
        <w:rPr>
          <w:rFonts w:ascii="宋体" w:hAnsi="宋体" w:cs="宋体" w:eastAsia="宋体" w:hint="default"/>
          <w:b w:val="0"/>
          <w:bCs w:val="0"/>
        </w:rPr>
        <w:t>不适用。</w:t>
      </w:r>
    </w:p>
    <w:p>
      <w:pPr>
        <w:pStyle w:val="Heading3"/>
        <w:spacing w:line="240" w:lineRule="auto" w:before="101"/>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86" w:firstLine="480"/>
        <w:jc w:val="both"/>
      </w:pPr>
      <w:r>
        <w:rPr>
          <w:spacing w:val="-4"/>
        </w:rPr>
        <w:t>本公司的主要金融工具包括股权投资、借款、应收账款、应付账款、以公允价值计量且其变动计入损</w:t>
      </w:r>
      <w:r>
        <w:rPr>
          <w:w w:val="100"/>
        </w:rPr>
        <w:t> </w:t>
      </w:r>
      <w:r>
        <w:rPr>
          <w:spacing w:val="-2"/>
        </w:rPr>
        <w:t>益的金融资产、可供出售金融资产等，各项金融工具的详细情况说明见本附注六相关项目。与这些金融工</w:t>
      </w:r>
      <w:r>
        <w:rPr>
          <w:spacing w:val="-44"/>
        </w:rPr>
        <w:t> </w:t>
      </w:r>
      <w:r>
        <w:rPr>
          <w:spacing w:val="-44"/>
        </w:rPr>
      </w:r>
      <w:r>
        <w:rPr>
          <w:spacing w:val="-2"/>
        </w:rPr>
        <w:t>具有关的风险，以及本公司为降低这些风险所采取的风险管理政策如下所述。本公司管理层对这些风险敞</w:t>
      </w:r>
      <w:r>
        <w:rPr>
          <w:spacing w:val="-43"/>
        </w:rPr>
        <w:t> </w:t>
      </w:r>
      <w:r>
        <w:rPr>
          <w:spacing w:val="-43"/>
        </w:rPr>
      </w:r>
      <w:r>
        <w:rPr/>
        <w:t>口进行管理和监控以确保将上述风险控制在限定的范围之内。</w:t>
      </w:r>
    </w:p>
    <w:p>
      <w:pPr>
        <w:pStyle w:val="BodyText"/>
        <w:spacing w:line="408" w:lineRule="auto"/>
        <w:ind w:right="0" w:firstLine="480"/>
        <w:jc w:val="left"/>
      </w:pPr>
      <w:r>
        <w:rPr>
          <w:spacing w:val="-2"/>
        </w:rPr>
        <w:t>本公司采用敏感性分析技术分析风险变量的合理、可能变化对当期损益或股东权益可能产生的影响。</w:t>
      </w:r>
      <w:r>
        <w:rPr>
          <w:w w:val="100"/>
        </w:rPr>
        <w:t> </w:t>
      </w:r>
      <w:r>
        <w:rPr>
          <w:spacing w:val="-2"/>
        </w:rPr>
        <w:t>由于任何风险变量很少孤立地发生变化，而变量之间存在的相关性对某一风险变量的变化的最终影响金额</w:t>
      </w:r>
      <w:r>
        <w:rPr>
          <w:spacing w:val="-43"/>
        </w:rPr>
        <w:t> </w:t>
      </w:r>
      <w:r>
        <w:rPr>
          <w:spacing w:val="-43"/>
        </w:rPr>
      </w:r>
      <w:r>
        <w:rPr/>
        <w:t>将产生重大作用，因此下述内容是在假设每一变量的变化是在独立的情况下进行的。</w:t>
      </w:r>
    </w:p>
    <w:p>
      <w:pPr>
        <w:pStyle w:val="BodyText"/>
        <w:spacing w:line="408" w:lineRule="auto"/>
        <w:ind w:left="633" w:right="0" w:firstLine="2"/>
        <w:jc w:val="left"/>
      </w:pPr>
      <w:r>
        <w:rPr>
          <w:rFonts w:ascii="宋体" w:hAnsi="宋体" w:cs="宋体" w:eastAsia="宋体" w:hint="default"/>
          <w:b/>
          <w:bCs/>
        </w:rPr>
        <w:t>风险管理目标和政策</w:t>
      </w:r>
      <w:r>
        <w:rPr>
          <w:rFonts w:ascii="宋体" w:hAnsi="宋体" w:cs="宋体" w:eastAsia="宋体" w:hint="default"/>
          <w:b/>
          <w:bCs/>
          <w:w w:val="100"/>
        </w:rPr>
        <w:t> </w:t>
      </w:r>
      <w:r>
        <w:rPr>
          <w:spacing w:val="-4"/>
        </w:rPr>
        <w:t>本公司从事风险管理的目标是在风险和收益之间取得适当的平衡，将风险对本公司经营业绩的负面影</w:t>
      </w:r>
    </w:p>
    <w:p>
      <w:pPr>
        <w:pStyle w:val="BodyText"/>
        <w:spacing w:line="408" w:lineRule="auto"/>
        <w:ind w:right="186"/>
        <w:jc w:val="both"/>
      </w:pPr>
      <w:r>
        <w:rPr>
          <w:spacing w:val="-2"/>
        </w:rPr>
        <w:t>响降低到最低水平，使股东及其其他权益投资者的利益最大化。基于该风险管理目标，本公司风险管理的</w:t>
      </w:r>
      <w:r>
        <w:rPr>
          <w:spacing w:val="-43"/>
        </w:rPr>
        <w:t> </w:t>
      </w:r>
      <w:r>
        <w:rPr>
          <w:spacing w:val="-43"/>
        </w:rPr>
      </w:r>
      <w:r>
        <w:rPr>
          <w:spacing w:val="-2"/>
        </w:rPr>
        <w:t>基本策略是确定和分析本公司所面临的各种风险，建立适当的风险承受底线和进行风险管理，并及时可靠</w:t>
      </w:r>
      <w:r>
        <w:rPr>
          <w:spacing w:val="-43"/>
        </w:rPr>
        <w:t> </w:t>
      </w:r>
      <w:r>
        <w:rPr>
          <w:spacing w:val="-43"/>
        </w:rPr>
      </w:r>
      <w:r>
        <w:rPr/>
        <w:t>地对各种风险进行监督，将风险控制在限定的范围之内。</w:t>
      </w:r>
    </w:p>
    <w:p>
      <w:pPr>
        <w:pStyle w:val="Heading3"/>
        <w:spacing w:line="240" w:lineRule="auto" w:before="46"/>
        <w:ind w:left="635" w:right="0"/>
        <w:jc w:val="left"/>
        <w:rPr>
          <w:b w:val="0"/>
          <w:bCs w:val="0"/>
        </w:rPr>
      </w:pPr>
      <w:r>
        <w:rPr>
          <w:rFonts w:ascii="宋体" w:hAnsi="宋体" w:cs="宋体" w:eastAsia="宋体" w:hint="default"/>
        </w:rPr>
        <w:t>1</w:t>
      </w:r>
      <w:r>
        <w:rPr/>
        <w:t>、市场风险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633" w:right="0"/>
        <w:jc w:val="left"/>
      </w:pPr>
      <w:r>
        <w:rPr/>
        <w:t>（</w:t>
      </w:r>
      <w:r>
        <w:rPr>
          <w:rFonts w:ascii="宋体" w:hAnsi="宋体" w:cs="宋体" w:eastAsia="宋体" w:hint="default"/>
        </w:rPr>
        <w:t>1</w:t>
      </w:r>
      <w:r>
        <w:rPr/>
        <w:t>）利率风险－现金流量变动风险</w:t>
      </w:r>
      <w:r>
        <w:rPr>
          <w:w w:val="100"/>
        </w:rPr>
        <w:t> </w:t>
      </w:r>
      <w:r>
        <w:rPr>
          <w:spacing w:val="-1"/>
        </w:rPr>
        <w:t>本公司因利率变动引起金融工具现金流量变动的风险主要与浮动利率银行借款</w:t>
      </w:r>
      <w:r>
        <w:rPr>
          <w:rFonts w:ascii="宋体" w:hAnsi="宋体" w:cs="宋体" w:eastAsia="宋体" w:hint="default"/>
          <w:spacing w:val="-1"/>
        </w:rPr>
        <w:t>(</w:t>
      </w:r>
      <w:r>
        <w:rPr>
          <w:spacing w:val="-1"/>
        </w:rPr>
        <w:t>详见本附注七、</w:t>
      </w:r>
      <w:r>
        <w:rPr>
          <w:rFonts w:ascii="宋体" w:hAnsi="宋体" w:cs="宋体" w:eastAsia="宋体" w:hint="default"/>
          <w:spacing w:val="-1"/>
        </w:rPr>
        <w:t>31</w:t>
      </w:r>
      <w:r>
        <w:rPr>
          <w:spacing w:val="-1"/>
        </w:rPr>
        <w:t>及</w:t>
      </w:r>
    </w:p>
    <w:p>
      <w:pPr>
        <w:spacing w:after="0" w:line="408"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408" w:lineRule="auto" w:before="176"/>
        <w:ind w:left="693" w:right="3873" w:hanging="481"/>
        <w:jc w:val="left"/>
      </w:pPr>
      <w:r>
        <w:rPr>
          <w:spacing w:val="-2"/>
        </w:rPr>
        <w:t>七、</w:t>
      </w:r>
      <w:r>
        <w:rPr>
          <w:rFonts w:ascii="宋体" w:hAnsi="宋体" w:cs="宋体" w:eastAsia="宋体" w:hint="default"/>
          <w:spacing w:val="-2"/>
        </w:rPr>
        <w:t>45)</w:t>
      </w:r>
      <w:r>
        <w:rPr>
          <w:spacing w:val="-2"/>
        </w:rPr>
        <w:t>有关。本公司的政策是保持这些借款的浮动利率。</w:t>
      </w:r>
      <w:r>
        <w:rPr>
          <w:spacing w:val="-55"/>
        </w:rPr>
        <w:t> </w:t>
      </w:r>
      <w:r>
        <w:rPr>
          <w:spacing w:val="-55"/>
        </w:rPr>
      </w:r>
      <w:r>
        <w:rPr/>
        <w:t>利率风险敏感性分析：</w:t>
      </w:r>
      <w:r>
        <w:rPr>
          <w:w w:val="100"/>
        </w:rPr>
        <w:t> </w:t>
      </w:r>
      <w:r>
        <w:rPr/>
        <w:t>利率风险敏感性分析基于下述假设：</w:t>
      </w:r>
    </w:p>
    <w:p>
      <w:pPr>
        <w:pStyle w:val="BodyText"/>
        <w:spacing w:line="240" w:lineRule="auto"/>
        <w:ind w:left="753" w:right="92"/>
        <w:jc w:val="left"/>
      </w:pPr>
      <w:r>
        <w:rPr/>
        <w:t>·</w:t>
      </w:r>
      <w:r>
        <w:rPr>
          <w:spacing w:val="44"/>
        </w:rPr>
        <w:t> </w:t>
      </w:r>
      <w:r>
        <w:rPr/>
        <w:t>市场利率变化影响可变利率金融工具的利息收入或费用；</w:t>
      </w:r>
    </w:p>
    <w:p>
      <w:pPr>
        <w:spacing w:line="240" w:lineRule="auto" w:before="10"/>
        <w:rPr>
          <w:rFonts w:ascii="宋体" w:hAnsi="宋体" w:cs="宋体" w:eastAsia="宋体" w:hint="default"/>
          <w:sz w:val="14"/>
          <w:szCs w:val="14"/>
        </w:rPr>
      </w:pPr>
    </w:p>
    <w:p>
      <w:pPr>
        <w:pStyle w:val="BodyText"/>
        <w:spacing w:line="240" w:lineRule="auto" w:before="0"/>
        <w:ind w:left="753" w:right="92"/>
        <w:jc w:val="left"/>
      </w:pPr>
      <w:r>
        <w:rPr/>
        <w:t>·</w:t>
      </w:r>
      <w:r>
        <w:rPr>
          <w:spacing w:val="41"/>
        </w:rPr>
        <w:t> </w:t>
      </w:r>
      <w:r>
        <w:rPr/>
        <w:t>对于以公允价值计量的固定利率金融工具，市场利率变化仅仅影响其利息收入或费用；</w:t>
      </w:r>
    </w:p>
    <w:p>
      <w:pPr>
        <w:spacing w:line="240" w:lineRule="auto" w:before="10"/>
        <w:rPr>
          <w:rFonts w:ascii="宋体" w:hAnsi="宋体" w:cs="宋体" w:eastAsia="宋体" w:hint="default"/>
          <w:sz w:val="14"/>
          <w:szCs w:val="14"/>
        </w:rPr>
      </w:pPr>
    </w:p>
    <w:p>
      <w:pPr>
        <w:pStyle w:val="BodyText"/>
        <w:spacing w:line="408" w:lineRule="auto" w:before="0"/>
        <w:ind w:left="1113" w:right="92" w:hanging="360"/>
        <w:jc w:val="left"/>
      </w:pPr>
      <w:r>
        <w:rPr/>
        <w:t>· </w:t>
      </w:r>
      <w:r>
        <w:rPr>
          <w:spacing w:val="-4"/>
        </w:rPr>
        <w:t>对于指定为套期工具的衍生金融工具，市场利率变化影响其公允价值，并且所有利率套期预计都</w:t>
      </w:r>
      <w:r>
        <w:rPr>
          <w:spacing w:val="-90"/>
        </w:rPr>
        <w:t> </w:t>
      </w:r>
      <w:r>
        <w:rPr>
          <w:spacing w:val="-90"/>
        </w:rPr>
      </w:r>
      <w:r>
        <w:rPr/>
        <w:t>是高度有效的；</w:t>
      </w:r>
    </w:p>
    <w:p>
      <w:pPr>
        <w:pStyle w:val="BodyText"/>
        <w:spacing w:line="408" w:lineRule="auto"/>
        <w:ind w:left="1113" w:right="92" w:hanging="360"/>
        <w:jc w:val="left"/>
      </w:pPr>
      <w:r>
        <w:rPr/>
        <w:t>·</w:t>
      </w:r>
      <w:r>
        <w:rPr>
          <w:spacing w:val="39"/>
        </w:rPr>
        <w:t> </w:t>
      </w:r>
      <w:r>
        <w:rPr/>
        <w:t>以资产负债表日市场利率采用现金流量折现法计算衍生金融工具及其他金融资产和负债的公允</w:t>
      </w:r>
      <w:r>
        <w:rPr>
          <w:spacing w:val="-91"/>
        </w:rPr>
        <w:t> </w:t>
      </w:r>
      <w:r>
        <w:rPr>
          <w:spacing w:val="-91"/>
        </w:rPr>
      </w:r>
      <w:r>
        <w:rPr/>
        <w:t>价值变化。</w:t>
      </w:r>
    </w:p>
    <w:p>
      <w:pPr>
        <w:pStyle w:val="BodyText"/>
        <w:spacing w:line="408" w:lineRule="auto"/>
        <w:ind w:left="212" w:right="92" w:firstLine="480"/>
        <w:jc w:val="left"/>
      </w:pPr>
      <w:r>
        <w:rPr>
          <w:spacing w:val="-4"/>
        </w:rPr>
        <w:t>在上述假设的基础上，在其他变量不变的情况下，利率可能发生的合理变动对当期损益和股东权益的</w:t>
      </w:r>
      <w:r>
        <w:rPr>
          <w:w w:val="100"/>
        </w:rPr>
        <w:t> </w:t>
      </w:r>
      <w:r>
        <w:rPr/>
        <w:t>税前影响如下：</w:t>
      </w:r>
    </w:p>
    <w:p>
      <w:pPr>
        <w:pStyle w:val="BodyText"/>
        <w:spacing w:line="240" w:lineRule="auto"/>
        <w:ind w:left="738" w:right="92"/>
        <w:jc w:val="left"/>
      </w:pPr>
      <w:r>
        <w:rPr>
          <w:color w:val="0D0D0D"/>
        </w:rPr>
        <w:t>①利率上涨</w:t>
      </w:r>
      <w:r>
        <w:rPr>
          <w:rFonts w:ascii="宋体" w:hAnsi="宋体" w:cs="宋体" w:eastAsia="宋体" w:hint="default"/>
          <w:color w:val="0D0D0D"/>
        </w:rPr>
        <w:t>1%</w:t>
      </w:r>
      <w:r>
        <w:rPr>
          <w:color w:val="0D0D0D"/>
        </w:rPr>
        <w:t>对利润和股东权益的影响：</w:t>
      </w:r>
      <w:r>
        <w:rPr/>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385"/>
        <w:gridCol w:w="1418"/>
        <w:gridCol w:w="1700"/>
        <w:gridCol w:w="1560"/>
        <w:gridCol w:w="1558"/>
        <w:gridCol w:w="1561"/>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tabs>
                <w:tab w:pos="826" w:val="left" w:leader="none"/>
              </w:tabs>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634" w:hRule="exact"/>
        </w:trPr>
        <w:tc>
          <w:tcPr>
            <w:tcW w:w="138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6" w:right="142" w:hanging="540"/>
              <w:jc w:val="left"/>
              <w:rPr>
                <w:rFonts w:ascii="宋体" w:hAnsi="宋体" w:cs="宋体" w:eastAsia="宋体" w:hint="default"/>
                <w:sz w:val="18"/>
                <w:szCs w:val="18"/>
              </w:rPr>
            </w:pPr>
            <w:r>
              <w:rPr>
                <w:rFonts w:ascii="宋体" w:hAnsi="宋体" w:cs="宋体" w:eastAsia="宋体" w:hint="default"/>
                <w:sz w:val="18"/>
                <w:szCs w:val="18"/>
              </w:rPr>
              <w:t>对股东权益的影 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对利润的影响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6" w:right="142" w:hanging="541"/>
              <w:jc w:val="left"/>
              <w:rPr>
                <w:rFonts w:ascii="宋体" w:hAnsi="宋体" w:cs="宋体" w:eastAsia="宋体" w:hint="default"/>
                <w:sz w:val="18"/>
                <w:szCs w:val="18"/>
              </w:rPr>
            </w:pPr>
            <w:r>
              <w:rPr>
                <w:rFonts w:ascii="宋体" w:hAnsi="宋体" w:cs="宋体" w:eastAsia="宋体" w:hint="default"/>
                <w:sz w:val="18"/>
                <w:szCs w:val="18"/>
              </w:rPr>
              <w:t>对股东权益的影 响</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26"/>
              <w:jc w:val="right"/>
              <w:rPr>
                <w:rFonts w:ascii="宋体" w:hAnsi="宋体" w:cs="宋体" w:eastAsia="宋体" w:hint="default"/>
                <w:sz w:val="18"/>
                <w:szCs w:val="18"/>
              </w:rPr>
            </w:pPr>
            <w:r>
              <w:rPr>
                <w:rFonts w:ascii="宋体" w:hAnsi="宋体" w:cs="宋体" w:eastAsia="宋体" w:hint="default"/>
                <w:color w:val="0D0D0D"/>
                <w:sz w:val="18"/>
                <w:szCs w:val="18"/>
              </w:rPr>
              <w:t>短期借款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color w:val="0D0D0D"/>
                <w:sz w:val="18"/>
                <w:szCs w:val="18"/>
              </w:rPr>
              <w:t>增加</w:t>
            </w:r>
            <w:r>
              <w:rPr>
                <w:rFonts w:ascii="宋体" w:hAnsi="宋体" w:cs="宋体" w:eastAsia="宋体" w:hint="default"/>
                <w:color w:val="0D0D0D"/>
                <w:sz w:val="18"/>
                <w:szCs w:val="18"/>
              </w:rPr>
              <w:t>1%</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color w:val="0D0D0D"/>
                <w:sz w:val="18"/>
              </w:rPr>
              <w:t>-4,785,000.00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color w:val="0D0D0D"/>
                <w:sz w:val="18"/>
              </w:rPr>
              <w:t>-4,785,000.00</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color w:val="0D0D0D"/>
                <w:spacing w:val="-1"/>
                <w:sz w:val="18"/>
              </w:rPr>
              <w:t>-1,928,000.00</w:t>
            </w:r>
            <w:r>
              <w:rPr>
                <w:rFonts w:ascii="宋体"/>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color w:val="0D0D0D"/>
                <w:sz w:val="18"/>
              </w:rPr>
              <w:t>-1,928,000.00</w:t>
            </w:r>
            <w:r>
              <w:rPr>
                <w:rFonts w:ascii="宋体"/>
                <w:sz w:val="18"/>
              </w:rPr>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hAnsi="宋体" w:cs="宋体" w:eastAsia="宋体" w:hint="default"/>
                <w:color w:val="0D0D0D"/>
                <w:sz w:val="18"/>
                <w:szCs w:val="18"/>
              </w:rPr>
              <w:t>长期借款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color w:val="0D0D0D"/>
                <w:sz w:val="18"/>
                <w:szCs w:val="18"/>
              </w:rPr>
              <w:t>增加</w:t>
            </w:r>
            <w:r>
              <w:rPr>
                <w:rFonts w:ascii="宋体" w:hAnsi="宋体" w:cs="宋体" w:eastAsia="宋体" w:hint="default"/>
                <w:color w:val="0D0D0D"/>
                <w:sz w:val="18"/>
                <w:szCs w:val="18"/>
              </w:rPr>
              <w:t>1%</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color w:val="0D0D0D"/>
                <w:sz w:val="18"/>
              </w:rPr>
              <w:t>-1,380,734.00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color w:val="0D0D0D"/>
                <w:sz w:val="18"/>
              </w:rPr>
              <w:t>-1,380,734.00</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6"/>
              <w:jc w:val="right"/>
              <w:rPr>
                <w:rFonts w:ascii="宋体" w:hAnsi="宋体" w:cs="宋体" w:eastAsia="宋体" w:hint="default"/>
                <w:sz w:val="18"/>
                <w:szCs w:val="18"/>
              </w:rPr>
            </w:pPr>
            <w:r>
              <w:rPr>
                <w:rFonts w:ascii="宋体"/>
                <w:color w:val="0D0D0D"/>
                <w:spacing w:val="-1"/>
                <w:sz w:val="18"/>
              </w:rPr>
              <w:t>-290,250.00</w:t>
            </w:r>
            <w:r>
              <w:rPr>
                <w:rFonts w:ascii="宋体"/>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color w:val="0D0D0D"/>
                <w:sz w:val="18"/>
              </w:rPr>
              <w:t>-290,250.00</w:t>
            </w:r>
            <w:r>
              <w:rPr>
                <w:rFonts w:ascii="宋体"/>
                <w:sz w:val="18"/>
              </w:rPr>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
              <w:ind w:right="36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color w:val="0D0D0D"/>
                <w:sz w:val="18"/>
              </w:rPr>
              <w:t>-6,165,734.00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color w:val="0D0D0D"/>
                <w:sz w:val="18"/>
              </w:rPr>
              <w:t>-6,165,734.00</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color w:val="0D0D0D"/>
                <w:spacing w:val="-1"/>
                <w:sz w:val="18"/>
              </w:rPr>
              <w:t>-2,218,250.00</w:t>
            </w:r>
            <w:r>
              <w:rPr>
                <w:rFonts w:ascii="宋体"/>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color w:val="0D0D0D"/>
                <w:sz w:val="18"/>
              </w:rPr>
              <w:t>-2,218,250.00</w:t>
            </w:r>
            <w:r>
              <w:rPr>
                <w:rFonts w:ascii="宋体"/>
                <w:sz w:val="18"/>
              </w:rPr>
            </w:r>
          </w:p>
        </w:tc>
      </w:tr>
    </w:tbl>
    <w:p>
      <w:pPr>
        <w:pStyle w:val="BodyText"/>
        <w:spacing w:line="262" w:lineRule="exact" w:before="0"/>
        <w:ind w:left="693" w:right="92"/>
        <w:jc w:val="left"/>
      </w:pPr>
      <w:r>
        <w:rPr>
          <w:color w:val="0D0D0D"/>
        </w:rPr>
        <w:t>②利率减少</w:t>
      </w:r>
      <w:r>
        <w:rPr>
          <w:rFonts w:ascii="宋体" w:hAnsi="宋体" w:cs="宋体" w:eastAsia="宋体" w:hint="default"/>
          <w:color w:val="0D0D0D"/>
        </w:rPr>
        <w:t>1%</w:t>
      </w:r>
      <w:r>
        <w:rPr>
          <w:color w:val="0D0D0D"/>
        </w:rPr>
        <w:t>对利润和股东权益的影响：</w:t>
      </w:r>
      <w:r>
        <w:rPr/>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85"/>
        <w:gridCol w:w="1418"/>
        <w:gridCol w:w="1700"/>
        <w:gridCol w:w="1560"/>
        <w:gridCol w:w="1558"/>
        <w:gridCol w:w="1561"/>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tabs>
                <w:tab w:pos="794" w:val="left" w:leader="none"/>
              </w:tabs>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634" w:hRule="exact"/>
        </w:trPr>
        <w:tc>
          <w:tcPr>
            <w:tcW w:w="138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对利润的影响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6" w:right="142" w:hanging="540"/>
              <w:jc w:val="left"/>
              <w:rPr>
                <w:rFonts w:ascii="宋体" w:hAnsi="宋体" w:cs="宋体" w:eastAsia="宋体" w:hint="default"/>
                <w:sz w:val="18"/>
                <w:szCs w:val="18"/>
              </w:rPr>
            </w:pPr>
            <w:r>
              <w:rPr>
                <w:rFonts w:ascii="宋体" w:hAnsi="宋体" w:cs="宋体" w:eastAsia="宋体" w:hint="default"/>
                <w:sz w:val="18"/>
                <w:szCs w:val="18"/>
              </w:rPr>
              <w:t>对股东权益的影 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对利润的影响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86" w:right="142" w:hanging="541"/>
              <w:jc w:val="left"/>
              <w:rPr>
                <w:rFonts w:ascii="宋体" w:hAnsi="宋体" w:cs="宋体" w:eastAsia="宋体" w:hint="default"/>
                <w:sz w:val="18"/>
                <w:szCs w:val="18"/>
              </w:rPr>
            </w:pPr>
            <w:r>
              <w:rPr>
                <w:rFonts w:ascii="宋体" w:hAnsi="宋体" w:cs="宋体" w:eastAsia="宋体" w:hint="default"/>
                <w:sz w:val="18"/>
                <w:szCs w:val="18"/>
              </w:rPr>
              <w:t>对股东权益的影 响</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26"/>
              <w:jc w:val="right"/>
              <w:rPr>
                <w:rFonts w:ascii="宋体" w:hAnsi="宋体" w:cs="宋体" w:eastAsia="宋体" w:hint="default"/>
                <w:sz w:val="18"/>
                <w:szCs w:val="18"/>
              </w:rPr>
            </w:pPr>
            <w:r>
              <w:rPr>
                <w:rFonts w:ascii="宋体" w:hAnsi="宋体" w:cs="宋体" w:eastAsia="宋体" w:hint="default"/>
                <w:color w:val="0D0D0D"/>
                <w:sz w:val="18"/>
                <w:szCs w:val="18"/>
              </w:rPr>
              <w:t>短期借款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减少</w:t>
            </w:r>
            <w:r>
              <w:rPr>
                <w:rFonts w:ascii="Times New Roman" w:hAnsi="Times New Roman" w:cs="Times New Roman" w:eastAsia="Times New Roman" w:hint="default"/>
                <w:color w:val="0D0D0D"/>
                <w:sz w:val="18"/>
                <w:szCs w:val="18"/>
              </w:rPr>
              <w:t>1%</w:t>
            </w:r>
            <w:r>
              <w:rPr>
                <w:rFonts w:ascii="Times New Roman" w:hAnsi="Times New Roman" w:cs="Times New Roman" w:eastAsia="Times New Roman"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color w:val="0D0D0D"/>
                <w:sz w:val="18"/>
              </w:rPr>
              <w:t>4,785,000.00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color w:val="0D0D0D"/>
                <w:sz w:val="18"/>
              </w:rPr>
              <w:t>4,785,000.00</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color w:val="0D0D0D"/>
                <w:sz w:val="18"/>
              </w:rPr>
              <w:t>1,928,000.00</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color w:val="0D0D0D"/>
                <w:sz w:val="18"/>
              </w:rPr>
              <w:t>1,928,000.00</w:t>
            </w:r>
            <w:r>
              <w:rPr>
                <w:rFonts w:ascii="Times New Roman"/>
                <w:sz w:val="18"/>
              </w:rPr>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hAnsi="宋体" w:cs="宋体" w:eastAsia="宋体" w:hint="default"/>
                <w:color w:val="0D0D0D"/>
                <w:sz w:val="18"/>
                <w:szCs w:val="18"/>
              </w:rPr>
              <w:t>长期借款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减少</w:t>
            </w:r>
            <w:r>
              <w:rPr>
                <w:rFonts w:ascii="Times New Roman" w:hAnsi="Times New Roman" w:cs="Times New Roman" w:eastAsia="Times New Roman" w:hint="default"/>
                <w:color w:val="0D0D0D"/>
                <w:sz w:val="18"/>
                <w:szCs w:val="18"/>
              </w:rPr>
              <w:t>1%</w:t>
            </w:r>
            <w:r>
              <w:rPr>
                <w:rFonts w:ascii="Times New Roman" w:hAnsi="Times New Roman" w:cs="Times New Roman" w:eastAsia="Times New Roman"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color w:val="0D0D0D"/>
                <w:sz w:val="18"/>
              </w:rPr>
              <w:t>1,380,734.00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color w:val="0D0D0D"/>
                <w:sz w:val="18"/>
              </w:rPr>
              <w:t>1,380,734.00</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color w:val="0D0D0D"/>
                <w:sz w:val="18"/>
              </w:rPr>
              <w:t>290,250.00</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color w:val="0D0D0D"/>
                <w:sz w:val="18"/>
              </w:rPr>
              <w:t>290,250.00</w:t>
            </w:r>
            <w:r>
              <w:rPr>
                <w:rFonts w:ascii="Times New Roman"/>
                <w:sz w:val="18"/>
              </w:rPr>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395" w:val="left" w:leader="none"/>
              </w:tabs>
              <w:spacing w:line="240" w:lineRule="auto" w:before="8"/>
              <w:ind w:right="39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color w:val="0D0D0D"/>
                <w:sz w:val="18"/>
              </w:rPr>
              <w:t>6,165,734.00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color w:val="0D0D0D"/>
                <w:sz w:val="18"/>
              </w:rPr>
              <w:t>6,165,734.00</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color w:val="0D0D0D"/>
                <w:sz w:val="18"/>
              </w:rPr>
              <w:t>2,218,250.00</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color w:val="0D0D0D"/>
                <w:sz w:val="18"/>
              </w:rPr>
              <w:t>2,218,250.00</w:t>
            </w:r>
            <w:r>
              <w:rPr>
                <w:rFonts w:ascii="Times New Roman"/>
                <w:sz w:val="18"/>
              </w:rPr>
            </w:r>
          </w:p>
        </w:tc>
      </w:tr>
    </w:tbl>
    <w:p>
      <w:pPr>
        <w:pStyle w:val="BodyText"/>
        <w:spacing w:line="408" w:lineRule="auto" w:before="65"/>
        <w:ind w:left="693" w:right="1583" w:firstLine="2"/>
        <w:jc w:val="left"/>
      </w:pP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信用风险，是指金融工具一方不能履行义务，造成另一方发生财务损失的风险。</w:t>
      </w:r>
    </w:p>
    <w:p>
      <w:pPr>
        <w:pStyle w:val="BodyText"/>
        <w:spacing w:line="408" w:lineRule="auto"/>
        <w:ind w:left="693" w:right="92"/>
        <w:jc w:val="left"/>
      </w:pPr>
      <w:r>
        <w:rPr/>
        <w:t>公司对信用风险按组合分类进行管理，用风险主要产生于银行存款、应收款项和其他应收款等。</w:t>
      </w:r>
      <w:r>
        <w:rPr>
          <w:w w:val="100"/>
        </w:rPr>
        <w:t> </w:t>
      </w:r>
      <w:r>
        <w:rPr>
          <w:spacing w:val="-4"/>
        </w:rPr>
        <w:t>公司银行存款主要存放与国有银行和其他大中型上市银行，公司认为其不存在重大的信用风险，不会</w:t>
      </w:r>
    </w:p>
    <w:p>
      <w:pPr>
        <w:pStyle w:val="BodyText"/>
        <w:spacing w:line="408" w:lineRule="auto"/>
        <w:ind w:left="693" w:right="92" w:hanging="481"/>
        <w:jc w:val="left"/>
      </w:pPr>
      <w:r>
        <w:rPr/>
        <w:t>产生因对方单位违约而单子的任何重大损失。</w:t>
      </w:r>
      <w:r>
        <w:rPr>
          <w:w w:val="100"/>
        </w:rPr>
        <w:t> </w:t>
      </w:r>
      <w:r>
        <w:rPr>
          <w:spacing w:val="-4"/>
        </w:rPr>
        <w:t>公司的应收款主要为体检服务款，公司仅与经认可的、信誉良好的第三方进行交易，公司对账款余额</w:t>
      </w:r>
    </w:p>
    <w:p>
      <w:pPr>
        <w:pStyle w:val="BodyText"/>
        <w:spacing w:line="408" w:lineRule="auto"/>
        <w:ind w:left="693" w:right="92" w:hanging="481"/>
        <w:jc w:val="left"/>
      </w:pPr>
      <w:r>
        <w:rPr/>
        <w:t>以及应收账款账龄进行持续监控来确保公司的整体信用风险在可控的范围之内。</w:t>
      </w:r>
      <w:r>
        <w:rPr>
          <w:w w:val="100"/>
        </w:rPr>
        <w:t> </w:t>
      </w:r>
      <w:r>
        <w:rPr>
          <w:spacing w:val="-4"/>
        </w:rPr>
        <w:t>其他应收款主要为开展业务需要支付的保证金、押金、往来款等，公司对此款项与经济业务一并管理</w:t>
      </w:r>
    </w:p>
    <w:p>
      <w:pPr>
        <w:pStyle w:val="BodyText"/>
        <w:spacing w:line="240" w:lineRule="auto"/>
        <w:ind w:left="212" w:right="92"/>
        <w:jc w:val="left"/>
      </w:pPr>
      <w:r>
        <w:rPr/>
        <w:t>并持续监控，以确保公司不面临较大坏账风险。</w:t>
      </w:r>
    </w:p>
    <w:p>
      <w:pPr>
        <w:spacing w:after="0" w:line="240" w:lineRule="auto"/>
        <w:jc w:val="left"/>
        <w:sectPr>
          <w:pgSz w:w="11910" w:h="16840"/>
          <w:pgMar w:header="745" w:footer="979" w:top="1060" w:bottom="1160" w:left="920" w:right="980"/>
        </w:sectPr>
      </w:pPr>
    </w:p>
    <w:p>
      <w:pPr>
        <w:spacing w:line="240" w:lineRule="auto" w:before="0"/>
        <w:rPr>
          <w:rFonts w:ascii="宋体" w:hAnsi="宋体" w:cs="宋体" w:eastAsia="宋体" w:hint="default"/>
          <w:sz w:val="20"/>
          <w:szCs w:val="20"/>
        </w:rPr>
      </w:pPr>
    </w:p>
    <w:p>
      <w:pPr>
        <w:pStyle w:val="BodyText"/>
        <w:spacing w:line="408" w:lineRule="auto" w:before="176"/>
        <w:ind w:left="573" w:right="92" w:firstLine="6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100"/>
        </w:rPr>
        <w:t> </w:t>
      </w:r>
      <w:r>
        <w:rPr>
          <w:spacing w:val="-2"/>
        </w:rPr>
        <w:t>管理流动风险时，本公司保持管理层认为充分的现金及现金等价物并对其进行监控，以满足本公司经</w:t>
      </w:r>
    </w:p>
    <w:p>
      <w:pPr>
        <w:pStyle w:val="BodyText"/>
        <w:spacing w:line="240" w:lineRule="auto"/>
        <w:ind w:right="92"/>
        <w:jc w:val="left"/>
      </w:pPr>
      <w:r>
        <w:rPr>
          <w:spacing w:val="-5"/>
        </w:rPr>
        <w:t>营需要，并降低现金流量波动的影响。本公司管理层对银行借款的使用情况进行监控并确保遵守借款协议。</w:t>
      </w:r>
    </w:p>
    <w:p>
      <w:pPr>
        <w:spacing w:line="240" w:lineRule="auto" w:before="11"/>
        <w:rPr>
          <w:rFonts w:ascii="宋体" w:hAnsi="宋体" w:cs="宋体" w:eastAsia="宋体" w:hint="default"/>
          <w:sz w:val="29"/>
          <w:szCs w:val="29"/>
        </w:rPr>
      </w:pPr>
    </w:p>
    <w:p>
      <w:pPr>
        <w:spacing w:line="496" w:lineRule="auto" w:before="0"/>
        <w:ind w:left="152" w:right="4524" w:firstLine="0"/>
        <w:jc w:val="left"/>
        <w:rPr>
          <w:rFonts w:ascii="宋体" w:hAnsi="宋体" w:cs="宋体" w:eastAsia="宋体" w:hint="default"/>
          <w:sz w:val="21"/>
          <w:szCs w:val="21"/>
        </w:rPr>
      </w:pP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、以公允价值计量的资产和负债的期末公允价值</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不适用。</w:t>
      </w:r>
    </w:p>
    <w:p>
      <w:pPr>
        <w:pStyle w:val="Heading3"/>
        <w:spacing w:line="506" w:lineRule="auto" w:before="113"/>
        <w:ind w:right="3873"/>
        <w:jc w:val="left"/>
        <w:rPr>
          <w:rFonts w:ascii="宋体" w:hAnsi="宋体" w:cs="宋体" w:eastAsia="宋体" w:hint="default"/>
          <w:b w:val="0"/>
          <w:bCs w:val="0"/>
        </w:rPr>
      </w:pPr>
      <w:r>
        <w:rPr>
          <w:rFonts w:ascii="Times New Roman" w:hAnsi="Times New Roman" w:cs="Times New Roman" w:eastAsia="Times New Roman" w:hint="default"/>
          <w:spacing w:val="-1"/>
        </w:rPr>
        <w:t>2</w:t>
      </w:r>
      <w:r>
        <w:rPr>
          <w:spacing w:val="-1"/>
        </w:rPr>
        <w:t>、持续和非持续第一层次公允价值计量项目市价的确定依据</w:t>
      </w:r>
      <w:r>
        <w:rPr>
          <w:spacing w:val="-81"/>
        </w:rPr>
        <w:t> </w:t>
      </w:r>
      <w:r>
        <w:rPr>
          <w:spacing w:val="-81"/>
        </w:rPr>
      </w:r>
      <w:r>
        <w:rPr>
          <w:rFonts w:ascii="宋体" w:hAnsi="宋体" w:cs="宋体" w:eastAsia="宋体" w:hint="default"/>
          <w:b w:val="0"/>
          <w:bCs w:val="0"/>
        </w:rPr>
        <w:t>不适用。</w:t>
      </w:r>
    </w:p>
    <w:p>
      <w:pPr>
        <w:pStyle w:val="Heading3"/>
        <w:spacing w:line="516" w:lineRule="auto" w:before="101"/>
        <w:ind w:right="537"/>
        <w:jc w:val="left"/>
        <w:rPr>
          <w:rFonts w:ascii="宋体" w:hAnsi="宋体" w:cs="宋体" w:eastAsia="宋体" w:hint="default"/>
          <w:b w:val="0"/>
          <w:bCs w:val="0"/>
        </w:rPr>
      </w:pPr>
      <w:r>
        <w:rPr>
          <w:rFonts w:ascii="Times New Roman" w:hAnsi="Times New Roman" w:cs="Times New Roman" w:eastAsia="Times New Roman" w:hint="default"/>
          <w:spacing w:val="-1"/>
        </w:rPr>
        <w:t>3</w:t>
      </w:r>
      <w:r>
        <w:rPr>
          <w:spacing w:val="-1"/>
        </w:rPr>
        <w:t>、持续和非持续第二层次公允价值计量项目，采用的估值技术和重要参数的定性及定量信息</w:t>
      </w:r>
      <w:r>
        <w:rPr>
          <w:spacing w:val="-66"/>
        </w:rPr>
        <w:t> </w:t>
      </w:r>
      <w:r>
        <w:rPr>
          <w:spacing w:val="-66"/>
        </w:rPr>
      </w:r>
      <w:r>
        <w:rPr>
          <w:rFonts w:ascii="宋体" w:hAnsi="宋体" w:cs="宋体" w:eastAsia="宋体" w:hint="default"/>
          <w:b w:val="0"/>
          <w:bCs w:val="0"/>
        </w:rPr>
        <w:t>不适用。</w:t>
      </w:r>
      <w:r>
        <w:rPr>
          <w:rFonts w:ascii="宋体" w:hAnsi="宋体" w:cs="宋体" w:eastAsia="宋体" w:hint="default"/>
          <w:b w:val="0"/>
          <w:bCs w:val="0"/>
          <w:w w:val="100"/>
        </w:rPr>
        <w:t> </w:t>
      </w:r>
      <w:r>
        <w:rPr>
          <w:rFonts w:ascii="Times New Roman" w:hAnsi="Times New Roman" w:cs="Times New Roman" w:eastAsia="Times New Roman" w:hint="default"/>
          <w:spacing w:val="-1"/>
        </w:rPr>
        <w:t>4</w:t>
      </w:r>
      <w:r>
        <w:rPr>
          <w:spacing w:val="-1"/>
        </w:rPr>
        <w:t>、持续和非持续第三层次公允价值计量项目，采用的估值技术和重要参数的定性及定量信息</w:t>
      </w:r>
      <w:r>
        <w:rPr>
          <w:spacing w:val="-67"/>
        </w:rPr>
        <w:t> </w:t>
      </w:r>
      <w:r>
        <w:rPr>
          <w:spacing w:val="-67"/>
        </w:rPr>
      </w:r>
      <w:r>
        <w:rPr>
          <w:rFonts w:ascii="宋体" w:hAnsi="宋体" w:cs="宋体" w:eastAsia="宋体" w:hint="default"/>
          <w:b w:val="0"/>
          <w:bCs w:val="0"/>
        </w:rPr>
        <w:t>不适用。</w:t>
      </w:r>
    </w:p>
    <w:p>
      <w:pPr>
        <w:pStyle w:val="Heading3"/>
        <w:spacing w:line="516" w:lineRule="auto" w:before="93"/>
        <w:ind w:right="92"/>
        <w:jc w:val="left"/>
        <w:rPr>
          <w:rFonts w:ascii="宋体" w:hAnsi="宋体" w:cs="宋体" w:eastAsia="宋体" w:hint="default"/>
          <w:b w:val="0"/>
          <w:bCs w:val="0"/>
        </w:rPr>
      </w:pPr>
      <w:r>
        <w:rPr>
          <w:rFonts w:ascii="Times New Roman" w:hAnsi="Times New Roman" w:cs="Times New Roman" w:eastAsia="Times New Roman" w:hint="default"/>
          <w:spacing w:val="-1"/>
        </w:rPr>
        <w:t>5</w:t>
      </w:r>
      <w:r>
        <w:rPr>
          <w:spacing w:val="-1"/>
        </w:rPr>
        <w:t>、持续的第三层次公允价值计量项目，期初与期末账面价值间的调节信息及不可观察参数敏感性分析</w:t>
      </w:r>
      <w:r>
        <w:rPr>
          <w:spacing w:val="-65"/>
        </w:rPr>
        <w:t> </w:t>
      </w:r>
      <w:r>
        <w:rPr>
          <w:spacing w:val="-65"/>
        </w:rPr>
      </w:r>
      <w:r>
        <w:rPr>
          <w:rFonts w:ascii="宋体" w:hAnsi="宋体" w:cs="宋体" w:eastAsia="宋体" w:hint="default"/>
          <w:b w:val="0"/>
          <w:bCs w:val="0"/>
        </w:rPr>
        <w:t>不适用。</w:t>
      </w:r>
      <w:r>
        <w:rPr>
          <w:rFonts w:ascii="宋体" w:hAnsi="宋体" w:cs="宋体" w:eastAsia="宋体" w:hint="default"/>
          <w:b w:val="0"/>
          <w:bCs w:val="0"/>
          <w:w w:val="100"/>
        </w:rPr>
        <w:t> </w:t>
      </w:r>
      <w:r>
        <w:rPr>
          <w:rFonts w:ascii="Times New Roman" w:hAnsi="Times New Roman" w:cs="Times New Roman" w:eastAsia="Times New Roman" w:hint="default"/>
        </w:rPr>
        <w:t>6</w:t>
      </w:r>
      <w:r>
        <w:rPr/>
        <w:t>、持续的公允价值计量项目，本期内发生各层级之间转换的，转换的原因及确定转换时点的政策</w:t>
      </w:r>
      <w:r>
        <w:rPr>
          <w:w w:val="100"/>
        </w:rPr>
        <w:t> </w:t>
      </w:r>
      <w:r>
        <w:rPr>
          <w:rFonts w:ascii="宋体" w:hAnsi="宋体" w:cs="宋体" w:eastAsia="宋体" w:hint="default"/>
          <w:b w:val="0"/>
          <w:bCs w:val="0"/>
        </w:rPr>
        <w:t>不适用。</w:t>
      </w:r>
    </w:p>
    <w:p>
      <w:pPr>
        <w:pStyle w:val="Heading3"/>
        <w:spacing w:line="506" w:lineRule="auto" w:before="94"/>
        <w:ind w:right="5738"/>
        <w:jc w:val="left"/>
        <w:rPr>
          <w:rFonts w:ascii="宋体" w:hAnsi="宋体" w:cs="宋体" w:eastAsia="宋体" w:hint="default"/>
          <w:b w:val="0"/>
          <w:bCs w:val="0"/>
        </w:rPr>
      </w:pPr>
      <w:r>
        <w:rPr>
          <w:rFonts w:ascii="Times New Roman" w:hAnsi="Times New Roman" w:cs="Times New Roman" w:eastAsia="Times New Roman" w:hint="default"/>
          <w:spacing w:val="-1"/>
        </w:rPr>
        <w:t>7</w:t>
      </w:r>
      <w:r>
        <w:rPr>
          <w:spacing w:val="-1"/>
        </w:rPr>
        <w:t>、本期内发生的估值技术变更及变更原因</w:t>
      </w:r>
      <w:r>
        <w:rPr>
          <w:spacing w:val="-86"/>
        </w:rPr>
        <w:t> </w:t>
      </w:r>
      <w:r>
        <w:rPr>
          <w:spacing w:val="-86"/>
        </w:rPr>
      </w:r>
      <w:r>
        <w:rPr>
          <w:rFonts w:ascii="宋体" w:hAnsi="宋体" w:cs="宋体" w:eastAsia="宋体" w:hint="default"/>
          <w:b w:val="0"/>
          <w:bCs w:val="0"/>
        </w:rPr>
        <w:t>不适用。</w:t>
      </w:r>
    </w:p>
    <w:p>
      <w:pPr>
        <w:pStyle w:val="Heading3"/>
        <w:spacing w:line="506" w:lineRule="auto" w:before="104"/>
        <w:ind w:right="3873"/>
        <w:jc w:val="left"/>
        <w:rPr>
          <w:rFonts w:ascii="宋体" w:hAnsi="宋体" w:cs="宋体" w:eastAsia="宋体" w:hint="default"/>
          <w:b w:val="0"/>
          <w:bCs w:val="0"/>
        </w:rPr>
      </w:pPr>
      <w:r>
        <w:rPr>
          <w:rFonts w:ascii="Times New Roman" w:hAnsi="Times New Roman" w:cs="Times New Roman" w:eastAsia="Times New Roman" w:hint="default"/>
          <w:spacing w:val="-1"/>
        </w:rPr>
        <w:t>8</w:t>
      </w:r>
      <w:r>
        <w:rPr>
          <w:spacing w:val="-1"/>
        </w:rPr>
        <w:t>、不以公允价值计量的金融资产和金融负债的公允价值情况</w:t>
      </w:r>
      <w:r>
        <w:rPr>
          <w:spacing w:val="-81"/>
        </w:rPr>
        <w:t> </w:t>
      </w:r>
      <w:r>
        <w:rPr>
          <w:spacing w:val="-81"/>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spacing w:line="487" w:lineRule="auto" w:before="36"/>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40" w:lineRule="auto" w:before="161"/>
        <w:ind w:right="0"/>
        <w:jc w:val="left"/>
      </w:pPr>
      <w:r>
        <w:rPr/>
        <w:t>本公司无母公司，本企业最终控制方是俞熔。</w:t>
      </w:r>
    </w:p>
    <w:p>
      <w:pPr>
        <w:spacing w:line="240" w:lineRule="auto" w:before="0"/>
        <w:rPr>
          <w:rFonts w:ascii="宋体" w:hAnsi="宋体" w:cs="宋体" w:eastAsia="宋体" w:hint="default"/>
          <w:sz w:val="20"/>
          <w:szCs w:val="20"/>
        </w:rPr>
      </w:pPr>
    </w:p>
    <w:p>
      <w:pPr>
        <w:spacing w:line="520" w:lineRule="auto" w:before="154"/>
        <w:ind w:left="152" w:right="4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本企业子公司的情况详见附注九、</w:t>
      </w:r>
      <w:r>
        <w:rPr>
          <w:rFonts w:ascii="宋体" w:hAnsi="宋体" w:cs="宋体" w:eastAsia="宋体" w:hint="default"/>
          <w:sz w:val="21"/>
          <w:szCs w:val="21"/>
        </w:rPr>
        <w:t>1</w:t>
      </w:r>
      <w:r>
        <w:rPr>
          <w:rFonts w:ascii="宋体" w:hAnsi="宋体" w:cs="宋体" w:eastAsia="宋体" w:hint="default"/>
          <w:sz w:val="21"/>
          <w:szCs w:val="21"/>
        </w:rPr>
        <w:t>、在子公司中的权益。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424" w:lineRule="auto" w:before="128"/>
        <w:ind w:right="141"/>
        <w:jc w:val="left"/>
      </w:pPr>
      <w:r>
        <w:rPr/>
        <w:t>本企业重要的合营或联营企业详见附注九、</w:t>
      </w:r>
      <w:r>
        <w:rPr>
          <w:rFonts w:ascii="宋体" w:hAnsi="宋体" w:cs="宋体" w:eastAsia="宋体" w:hint="default"/>
        </w:rPr>
        <w:t>3</w:t>
      </w:r>
      <w:r>
        <w:rPr/>
        <w:t>、在合营安排或联营企业中的权益。</w:t>
      </w:r>
      <w:r>
        <w:rPr>
          <w:w w:val="100"/>
        </w:rPr>
        <w:t> </w:t>
      </w:r>
      <w:r>
        <w:rPr>
          <w:spacing w:val="-2"/>
        </w:rPr>
        <w:t>本期与本公司发生关联方交易，或前期与本公司发生关联方交易形成余额的其他合营或联营企业情况如</w:t>
      </w:r>
      <w:r>
        <w:rPr>
          <w:spacing w:val="-21"/>
        </w:rPr>
        <w:t> </w:t>
      </w:r>
      <w:r>
        <w:rPr>
          <w:spacing w:val="-21"/>
        </w:rPr>
      </w:r>
      <w:r>
        <w:rPr/>
        <w:t>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深圳市鸿康杰科技有限公司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年度联营企业、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许昌美年大健康健康管理有限公司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年度联营企业、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年度其他关联方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泰安市凯尔健康体检管理有限公司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东营市美年大健康健康管理有限公司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临沂大健康健康体检档案管理有限公司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绵阳美年大健康科技有限责任公司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伊犁美年大健康管理有限公司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海南美年大健康医院有限公司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烟台福田健康体检管理有限公司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11"/>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上海天亿投资（集团）有限公司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上海百瑞思企业管理有限公司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实际控制人控制、重大影响公司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关键管理人员控制公司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洛阳美年大健康科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76,773.00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236,505.75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许昌美年大健康健 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70,891.75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33,031.50</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临沂大健康健康体 检档案管理有限公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66,023.25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46,488.38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绵阳美年大健康科 技有限责任公司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65,655.50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东营市美年大健康 健康管理有限公司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53,933.25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173,571.75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伊犁美年大健康管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19,671.00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深圳市鸿康杰科技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55,620.60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泰安市凯尔健康体检管理有限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637,735.85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烟台福田健康体检管理有限公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637,735.85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临沂大健康健康体检档案管理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432,445.75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绵阳美年大健康科技有限责任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109,116.65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105,385.50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东营市美年大健康健康管理有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105,309.00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许昌美年大健康健康管理有限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3,289.00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3,064.50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上海天亿投资（集团）有限公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99,124.75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海南美年大健康医院有限公司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美东软件收入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170,940.17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烟台福田健康体检管理有限公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美东软件收入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170,940.17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烟台福田健康体检管理有限公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海南美年大健康医院有限公司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管理服务收入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160,000.00</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06" w:lineRule="auto" w:before="36"/>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）关联受托管理</w:t>
      </w:r>
      <w:r>
        <w:rPr>
          <w:rFonts w:ascii="Times New Roman" w:hAnsi="Times New Roman" w:cs="Times New Roman" w:eastAsia="Times New Roman" w:hint="default"/>
          <w:spacing w:val="-1"/>
        </w:rPr>
        <w:t>/</w:t>
      </w:r>
      <w:r>
        <w:rPr>
          <w:spacing w:val="-1"/>
        </w:rPr>
        <w:t>承包及委托管理</w:t>
      </w:r>
      <w:r>
        <w:rPr>
          <w:rFonts w:ascii="Times New Roman" w:hAnsi="Times New Roman" w:cs="Times New Roman" w:eastAsia="Times New Roman" w:hint="default"/>
          <w:spacing w:val="-1"/>
        </w:rPr>
        <w:t>/</w:t>
      </w:r>
      <w:r>
        <w:rPr>
          <w:spacing w:val="-1"/>
        </w:rPr>
        <w:t>出包情况</w:t>
      </w:r>
      <w:r>
        <w:rPr>
          <w:spacing w:val="-83"/>
        </w:rPr>
        <w:t> </w:t>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上海百瑞思企业管理有限公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2,792,258.49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4,731,891.09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上海天亿投资（集团）有限公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2,231,899.82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2,070,924.00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506" w:lineRule="auto" w:before="36"/>
        <w:ind w:left="152" w:right="777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506" w:lineRule="auto" w:before="104"/>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）关联方资产转让、债务重组情况</w:t>
      </w:r>
      <w:r>
        <w:rPr>
          <w:spacing w:val="-90"/>
        </w:rPr>
        <w:t> </w:t>
      </w:r>
      <w:r>
        <w:rPr>
          <w:spacing w:val="-90"/>
        </w:rPr>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临沂大健康健康体 检档案管理有限公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洛阳美年大健康科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绵阳美年大健康科 技有限责任公司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204,989.75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东营市美年大健康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完美（中国）有限公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74,962.50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上海百瑞思企业管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174,405.88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烟台福田健康体检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上海百瑞思企业管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1,153,250.78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151,558.00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洛阳美年大健康科 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7,246.92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绵阳美年大健康科 技有限责任公司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东营市美年大健康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临沂大健康健康体检档案管 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202,565.25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东营市美年大健康健康管理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131,838.50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163,418.50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许昌美年大健康健康管理有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93,835.25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33,031.50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洛阳美年大健康科技有限公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60,474.00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44,543.50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绵阳美年大健康科技有限责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45,014.30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伊犁美年大健康管理有限公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1,390.00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深圳市鸿康杰科技有限公司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55,620.60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东营市美年大健康健康管理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12" w:right="92"/>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212" w:right="67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44" w:lineRule="auto" w:before="158"/>
        <w:ind w:left="695" w:right="6712" w:hanging="483"/>
        <w:jc w:val="left"/>
      </w:pPr>
      <w:r>
        <w:rPr>
          <w:spacing w:val="-2"/>
        </w:rPr>
        <w:t>资产负债表日存在的重要承诺</w:t>
      </w:r>
      <w:r>
        <w:rPr>
          <w:spacing w:val="-79"/>
        </w:rPr>
        <w:t> </w:t>
      </w:r>
      <w:r>
        <w:rPr>
          <w:spacing w:val="-79"/>
        </w:rPr>
      </w:r>
      <w:r>
        <w:rPr>
          <w:rFonts w:ascii="宋体" w:hAnsi="宋体" w:cs="宋体" w:eastAsia="宋体" w:hint="default"/>
        </w:rPr>
        <w:t>1</w:t>
      </w:r>
      <w:r>
        <w:rPr/>
        <w:t>）经营租赁承诺</w:t>
      </w:r>
    </w:p>
    <w:p>
      <w:pPr>
        <w:pStyle w:val="BodyText"/>
        <w:spacing w:line="240" w:lineRule="auto" w:before="15"/>
        <w:ind w:left="693" w:right="92"/>
        <w:jc w:val="left"/>
      </w:pPr>
      <w:r>
        <w:rPr/>
        <w:t>至资产负债表日止，本公司对外签订的不可撤销的经营租赁合约情况如下：</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273"/>
        <w:gridCol w:w="2374"/>
        <w:gridCol w:w="2569"/>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374" w:type="dxa"/>
            <w:tcBorders>
              <w:top w:val="single" w:sz="4" w:space="0" w:color="000000"/>
              <w:left w:val="single" w:sz="4" w:space="0" w:color="000000"/>
              <w:bottom w:val="single" w:sz="4" w:space="0" w:color="000000"/>
              <w:right w:val="single" w:sz="4" w:space="0" w:color="000000"/>
            </w:tcBorders>
          </w:tcPr>
          <w:p>
            <w:pPr/>
          </w:p>
        </w:tc>
        <w:tc>
          <w:tcPr>
            <w:tcW w:w="25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color w:val="0D0D0D"/>
                <w:sz w:val="18"/>
                <w:szCs w:val="18"/>
              </w:rPr>
              <w:t>资产负债表日后第</w:t>
            </w:r>
            <w:r>
              <w:rPr>
                <w:rFonts w:ascii="Times New Roman" w:hAnsi="Times New Roman" w:cs="Times New Roman" w:eastAsia="Times New Roman" w:hint="default"/>
                <w:color w:val="0D0D0D"/>
                <w:sz w:val="18"/>
                <w:szCs w:val="18"/>
              </w:rPr>
              <w:t>1</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193,116,937.31</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181,961,282.86</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color w:val="0D0D0D"/>
                <w:sz w:val="18"/>
                <w:szCs w:val="18"/>
              </w:rPr>
              <w:t>资产负债表日后第</w:t>
            </w:r>
            <w:r>
              <w:rPr>
                <w:rFonts w:ascii="Times New Roman" w:hAnsi="Times New Roman" w:cs="Times New Roman" w:eastAsia="Times New Roman" w:hint="default"/>
                <w:color w:val="0D0D0D"/>
                <w:sz w:val="18"/>
                <w:szCs w:val="18"/>
              </w:rPr>
              <w:t>2</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175,960,972.01</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171,148,356.70</w:t>
            </w:r>
          </w:p>
        </w:tc>
      </w:tr>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color w:val="0D0D0D"/>
                <w:sz w:val="18"/>
                <w:szCs w:val="18"/>
              </w:rPr>
              <w:t>资产负债表日后第</w:t>
            </w:r>
            <w:r>
              <w:rPr>
                <w:rFonts w:ascii="Times New Roman" w:hAnsi="Times New Roman" w:cs="Times New Roman" w:eastAsia="Times New Roman" w:hint="default"/>
                <w:color w:val="0D0D0D"/>
                <w:sz w:val="18"/>
                <w:szCs w:val="18"/>
              </w:rPr>
              <w:t>3</w:t>
            </w:r>
            <w:r>
              <w:rPr>
                <w:rFonts w:ascii="宋体" w:hAnsi="宋体" w:cs="宋体" w:eastAsia="宋体" w:hint="default"/>
                <w:color w:val="0D0D0D"/>
                <w:sz w:val="18"/>
                <w:szCs w:val="18"/>
              </w:rPr>
              <w:t>年</w:t>
            </w:r>
            <w:r>
              <w:rPr>
                <w:rFonts w:ascii="宋体" w:hAnsi="宋体" w:cs="宋体" w:eastAsia="宋体" w:hint="default"/>
                <w:sz w:val="18"/>
                <w:szCs w:val="18"/>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159,843,970.05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168,682,053.68</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791,312,925.88</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760,086,472.67</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1,320,234,805.25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1,281,878,165.91</w:t>
            </w:r>
          </w:p>
        </w:tc>
      </w:tr>
    </w:tbl>
    <w:p>
      <w:pPr>
        <w:pStyle w:val="BodyText"/>
        <w:spacing w:line="386" w:lineRule="auto" w:before="64"/>
        <w:ind w:left="693" w:right="2839" w:firstLine="2"/>
        <w:jc w:val="left"/>
      </w:pPr>
      <w:r>
        <w:rPr>
          <w:rFonts w:ascii="Times New Roman" w:hAnsi="Times New Roman" w:cs="Times New Roman" w:eastAsia="Times New Roman" w:hint="default"/>
        </w:rPr>
        <w:t>2</w:t>
      </w:r>
      <w:r>
        <w:rPr/>
        <w:t>）其他承诺事项</w:t>
      </w:r>
      <w:r>
        <w:rPr>
          <w:w w:val="100"/>
        </w:rPr>
        <w:t>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日，本公司无需要披露的重大承诺事项。</w:t>
      </w:r>
    </w:p>
    <w:p>
      <w:pPr>
        <w:spacing w:line="240" w:lineRule="auto" w:before="10"/>
        <w:rPr>
          <w:rFonts w:ascii="宋体" w:hAnsi="宋体" w:cs="宋体" w:eastAsia="宋体" w:hint="default"/>
          <w:sz w:val="19"/>
          <w:szCs w:val="19"/>
        </w:rPr>
      </w:pPr>
    </w:p>
    <w:p>
      <w:pPr>
        <w:pStyle w:val="Heading3"/>
        <w:spacing w:line="240" w:lineRule="auto"/>
        <w:ind w:left="212" w:right="92"/>
        <w:jc w:val="left"/>
        <w:rPr>
          <w:b w:val="0"/>
          <w:bCs w:val="0"/>
        </w:rPr>
      </w:pPr>
      <w:r>
        <w:rPr>
          <w:rFonts w:ascii="Times New Roman" w:hAnsi="Times New Roman" w:cs="Times New Roman" w:eastAsia="Times New Roman" w:hint="default"/>
        </w:rPr>
        <w:t>2</w:t>
      </w:r>
      <w:r>
        <w:rPr/>
        <w:t>、或有事项</w:t>
      </w:r>
      <w:r>
        <w:rPr>
          <w:b w:val="0"/>
          <w:bCs w:val="0"/>
        </w:rPr>
      </w:r>
    </w:p>
    <w:p>
      <w:pPr>
        <w:spacing w:line="590" w:lineRule="atLeast" w:before="24"/>
        <w:ind w:left="693" w:right="92" w:hanging="48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本公司之子公司美年大健康为下述单位与拉赫兰顿融资租赁（中国）有限公司签订的融资租赁协议提</w:t>
      </w:r>
    </w:p>
    <w:p>
      <w:pPr>
        <w:pStyle w:val="BodyText"/>
        <w:spacing w:line="240" w:lineRule="auto" w:before="37"/>
        <w:ind w:left="212" w:right="92"/>
        <w:jc w:val="left"/>
      </w:pPr>
      <w:r>
        <w:rPr/>
        <w:t>供担保，截止本报告报出日该事项未发生违约情况。</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928"/>
        <w:gridCol w:w="2410"/>
        <w:gridCol w:w="1877"/>
      </w:tblGrid>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被担保公司名称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9" w:right="0"/>
              <w:jc w:val="left"/>
              <w:rPr>
                <w:rFonts w:ascii="宋体" w:hAnsi="宋体" w:cs="宋体" w:eastAsia="宋体" w:hint="default"/>
                <w:sz w:val="18"/>
                <w:szCs w:val="18"/>
              </w:rPr>
            </w:pPr>
            <w:r>
              <w:rPr>
                <w:rFonts w:ascii="宋体" w:hAnsi="宋体" w:cs="宋体" w:eastAsia="宋体" w:hint="default"/>
                <w:sz w:val="18"/>
                <w:szCs w:val="18"/>
              </w:rPr>
              <w:t>担保金额（万元）</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担保期限</w:t>
            </w:r>
          </w:p>
        </w:tc>
      </w:tr>
      <w:tr>
        <w:trPr>
          <w:trHeight w:val="325"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海南美年大健康医院有限公司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485.00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包头市美年大健康艾普托综合门诊部有限公司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485.00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临海市美年日昇医院有限公司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安阳市美年大健康管理有限公司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r>
        <w:trPr>
          <w:trHeight w:val="322"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常熟美年大健康门诊部有限公司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185.00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个月</w:t>
            </w:r>
          </w:p>
        </w:tc>
      </w:tr>
    </w:tbl>
    <w:p>
      <w:pPr>
        <w:spacing w:line="240" w:lineRule="auto" w:before="3"/>
        <w:rPr>
          <w:rFonts w:ascii="宋体" w:hAnsi="宋体" w:cs="宋体" w:eastAsia="宋体" w:hint="default"/>
          <w:sz w:val="19"/>
          <w:szCs w:val="19"/>
        </w:rPr>
      </w:pPr>
    </w:p>
    <w:p>
      <w:pPr>
        <w:spacing w:line="506" w:lineRule="auto" w:before="36"/>
        <w:ind w:left="212" w:right="158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spacing w:after="0" w:line="506" w:lineRule="auto"/>
        <w:jc w:val="left"/>
        <w:rPr>
          <w:rFonts w:ascii="宋体" w:hAnsi="宋体" w:cs="宋体" w:eastAsia="宋体" w:hint="default"/>
          <w:sz w:val="21"/>
          <w:szCs w:val="21"/>
        </w:rPr>
        <w:sectPr>
          <w:pgSz w:w="11910" w:h="16840"/>
          <w:pgMar w:header="745" w:footer="979" w:top="1060" w:bottom="1160" w:left="920" w:right="980"/>
        </w:sectPr>
      </w:pPr>
    </w:p>
    <w:p>
      <w:pPr>
        <w:spacing w:line="240" w:lineRule="auto" w:before="10"/>
        <w:rPr>
          <w:rFonts w:ascii="宋体" w:hAnsi="宋体" w:cs="宋体" w:eastAsia="宋体" w:hint="default"/>
          <w:sz w:val="24"/>
          <w:szCs w:val="24"/>
        </w:rPr>
      </w:pPr>
    </w:p>
    <w:p>
      <w:pPr>
        <w:spacing w:line="487" w:lineRule="auto" w:before="36"/>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525" w:lineRule="auto" w:before="84"/>
        <w:ind w:left="152" w:right="8193"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b/>
          <w:bCs/>
          <w:spacing w:val="-103"/>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pStyle w:val="Heading3"/>
        <w:spacing w:line="240" w:lineRule="auto" w:before="47"/>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633" w:right="0" w:firstLine="2"/>
        <w:jc w:val="left"/>
      </w:pPr>
      <w:r>
        <w:rPr>
          <w:rFonts w:ascii="宋体" w:hAnsi="宋体" w:cs="宋体" w:eastAsia="宋体" w:hint="default"/>
          <w:b/>
          <w:bCs/>
        </w:rPr>
        <w:t>1</w:t>
      </w:r>
      <w:r>
        <w:rPr>
          <w:rFonts w:ascii="宋体" w:hAnsi="宋体" w:cs="宋体" w:eastAsia="宋体" w:hint="default"/>
          <w:b/>
          <w:bCs/>
        </w:rPr>
        <w:t>、利润分配情况</w:t>
      </w:r>
      <w:r>
        <w:rPr>
          <w:rFonts w:ascii="宋体" w:hAnsi="宋体" w:cs="宋体" w:eastAsia="宋体" w:hint="default"/>
          <w:b/>
          <w:bCs/>
          <w:w w:val="100"/>
        </w:rPr>
        <w:t> </w:t>
      </w:r>
      <w:r>
        <w:rPr>
          <w:spacing w:val="-1"/>
        </w:rPr>
        <w:t>于</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20</w:t>
      </w:r>
      <w:r>
        <w:rPr>
          <w:spacing w:val="-1"/>
        </w:rPr>
        <w:t>日，本公司第六届董事会召开第十一次会议，批准</w:t>
      </w:r>
      <w:r>
        <w:rPr>
          <w:rFonts w:ascii="宋体" w:hAnsi="宋体" w:cs="宋体" w:eastAsia="宋体" w:hint="default"/>
          <w:spacing w:val="-1"/>
        </w:rPr>
        <w:t>2015</w:t>
      </w:r>
      <w:r>
        <w:rPr>
          <w:spacing w:val="-1"/>
        </w:rPr>
        <w:t>年度利润分配预案，拟以公司</w:t>
      </w:r>
    </w:p>
    <w:p>
      <w:pPr>
        <w:pStyle w:val="BodyText"/>
        <w:spacing w:line="408" w:lineRule="auto"/>
        <w:ind w:right="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1,210,741,353</w:t>
      </w:r>
      <w:r>
        <w:rPr/>
        <w:t>股为基数，以资本公积金向全体股东每</w:t>
      </w:r>
      <w:r>
        <w:rPr>
          <w:rFonts w:ascii="宋体" w:hAnsi="宋体" w:cs="宋体" w:eastAsia="宋体" w:hint="default"/>
        </w:rPr>
        <w:t>10</w:t>
      </w:r>
      <w:r>
        <w:rPr/>
        <w:t>股转增</w:t>
      </w:r>
      <w:r>
        <w:rPr>
          <w:rFonts w:ascii="宋体" w:hAnsi="宋体" w:cs="宋体" w:eastAsia="宋体" w:hint="default"/>
        </w:rPr>
        <w:t>10</w:t>
      </w:r>
      <w:r>
        <w:rPr/>
        <w:t>股，共计转</w:t>
      </w:r>
      <w:r>
        <w:rPr>
          <w:spacing w:val="-29"/>
        </w:rPr>
        <w:t> </w:t>
      </w:r>
      <w:r>
        <w:rPr>
          <w:spacing w:val="-29"/>
        </w:rPr>
      </w:r>
      <w:r>
        <w:rPr/>
        <w:t>增</w:t>
      </w:r>
      <w:r>
        <w:rPr>
          <w:rFonts w:ascii="宋体" w:hAnsi="宋体" w:cs="宋体" w:eastAsia="宋体" w:hint="default"/>
        </w:rPr>
        <w:t>1,210,741,353</w:t>
      </w:r>
      <w:r>
        <w:rPr/>
        <w:t>股。不送红股，不进行现金分红。该提案尚需经股东大会批准通过。</w:t>
      </w:r>
    </w:p>
    <w:p>
      <w:pPr>
        <w:pStyle w:val="Heading3"/>
        <w:spacing w:line="240" w:lineRule="auto" w:before="46"/>
        <w:ind w:left="635" w:right="0"/>
        <w:jc w:val="left"/>
        <w:rPr>
          <w:b w:val="0"/>
          <w:bCs w:val="0"/>
        </w:rPr>
      </w:pPr>
      <w:r>
        <w:rPr>
          <w:rFonts w:ascii="宋体" w:hAnsi="宋体" w:cs="宋体" w:eastAsia="宋体" w:hint="default"/>
        </w:rPr>
        <w:t>2</w:t>
      </w:r>
      <w:r>
        <w:rPr/>
        <w:t>、其他重要的资产负债表日后非调整事项</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633" w:right="0"/>
        <w:jc w:val="left"/>
      </w:pPr>
      <w:r>
        <w:rPr/>
        <w:t>（</w:t>
      </w:r>
      <w:r>
        <w:rPr>
          <w:rFonts w:ascii="宋体" w:hAnsi="宋体" w:cs="宋体" w:eastAsia="宋体" w:hint="default"/>
        </w:rPr>
        <w:t>1</w:t>
      </w:r>
      <w:r>
        <w:rPr/>
        <w:t>）资产负债表日后发生的诉讼事项</w:t>
      </w:r>
      <w:r>
        <w:rPr>
          <w:w w:val="100"/>
        </w:rPr>
        <w:t> </w:t>
      </w:r>
      <w:r>
        <w:rPr>
          <w:rFonts w:ascii="宋体" w:hAnsi="宋体" w:cs="宋体" w:eastAsia="宋体" w:hint="default"/>
          <w:spacing w:val="-1"/>
        </w:rPr>
        <w:t>2016</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23</w:t>
      </w:r>
      <w:r>
        <w:rPr>
          <w:spacing w:val="-1"/>
        </w:rPr>
        <w:t>日，美年大健康产业控股股份有限公司（以下简称“公司”）、全资子公司美年大健康</w:t>
      </w:r>
    </w:p>
    <w:p>
      <w:pPr>
        <w:pStyle w:val="BodyText"/>
        <w:spacing w:line="408" w:lineRule="auto"/>
        <w:ind w:right="125"/>
        <w:jc w:val="both"/>
      </w:pPr>
      <w:r>
        <w:rPr>
          <w:spacing w:val="-2"/>
        </w:rPr>
        <w:t>产业（集团）有限公司、下属子公司广州美年医疗门诊部有限公司及广州市美年大健康医疗科技有限公司</w:t>
      </w:r>
      <w:r>
        <w:rPr>
          <w:spacing w:val="-42"/>
        </w:rPr>
        <w:t> </w:t>
      </w:r>
      <w:r>
        <w:rPr>
          <w:spacing w:val="-42"/>
        </w:rPr>
      </w:r>
      <w:r>
        <w:rPr/>
        <w:t>分别收到北京市朝阳区人民法院寄来的民事传票及民事起诉状等资料。其诉讼请求：</w:t>
      </w:r>
      <w:r>
        <w:rPr>
          <w:rFonts w:ascii="宋体" w:hAnsi="宋体" w:cs="宋体" w:eastAsia="宋体" w:hint="default"/>
        </w:rPr>
        <w:t>1</w:t>
      </w:r>
      <w:r>
        <w:rPr/>
        <w:t>、判令被告立即停</w:t>
      </w:r>
      <w:r>
        <w:rPr>
          <w:spacing w:val="-21"/>
        </w:rPr>
        <w:t> </w:t>
      </w:r>
      <w:r>
        <w:rPr>
          <w:spacing w:val="-21"/>
        </w:rPr>
      </w:r>
      <w:r>
        <w:rPr>
          <w:spacing w:val="-2"/>
        </w:rPr>
        <w:t>止侵犯原告商业秘密的行为；</w:t>
      </w:r>
      <w:r>
        <w:rPr>
          <w:rFonts w:ascii="宋体" w:hAnsi="宋体" w:cs="宋体" w:eastAsia="宋体" w:hint="default"/>
          <w:spacing w:val="-2"/>
        </w:rPr>
        <w:t>2</w:t>
      </w:r>
      <w:r>
        <w:rPr>
          <w:spacing w:val="-2"/>
        </w:rPr>
        <w:t>、判令被告连带赔偿原告经济损失人民币</w:t>
      </w:r>
      <w:r>
        <w:rPr>
          <w:rFonts w:ascii="宋体" w:hAnsi="宋体" w:cs="宋体" w:eastAsia="宋体" w:hint="default"/>
          <w:spacing w:val="-2"/>
        </w:rPr>
        <w:t>50,000,000</w:t>
      </w:r>
      <w:r>
        <w:rPr>
          <w:spacing w:val="-2"/>
        </w:rPr>
        <w:t>元；</w:t>
      </w:r>
      <w:r>
        <w:rPr>
          <w:rFonts w:ascii="宋体" w:hAnsi="宋体" w:cs="宋体" w:eastAsia="宋体" w:hint="default"/>
          <w:spacing w:val="-2"/>
        </w:rPr>
        <w:t>3</w:t>
      </w:r>
      <w:r>
        <w:rPr>
          <w:spacing w:val="-2"/>
        </w:rPr>
        <w:t>、判令被告承担</w:t>
      </w:r>
      <w:r>
        <w:rPr>
          <w:spacing w:val="-35"/>
        </w:rPr>
        <w:t> </w:t>
      </w:r>
      <w:r>
        <w:rPr>
          <w:spacing w:val="-35"/>
        </w:rPr>
      </w:r>
      <w:r>
        <w:rPr>
          <w:spacing w:val="-2"/>
        </w:rPr>
        <w:t>本案全部诉讼费，并承担原告为调查、制止侵权行为所支出的合理费用，包括律师费、调查费、公证费、</w:t>
      </w:r>
      <w:r>
        <w:rPr>
          <w:spacing w:val="-21"/>
        </w:rPr>
        <w:t> </w:t>
      </w:r>
      <w:r>
        <w:rPr>
          <w:spacing w:val="-21"/>
        </w:rPr>
      </w:r>
      <w:r>
        <w:rPr/>
        <w:t>翻译费以及差旅费等。案件目前发展进程：朝阳法院民事传票中显示，原定于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6</w:t>
      </w:r>
      <w:r>
        <w:rPr/>
        <w:t>日证据交换，</w:t>
      </w:r>
      <w:r>
        <w:rPr>
          <w:rFonts w:ascii="宋体" w:hAnsi="宋体" w:cs="宋体" w:eastAsia="宋体" w:hint="default"/>
        </w:rPr>
        <w:t>4</w:t>
      </w:r>
      <w:r>
        <w:rPr>
          <w:rFonts w:ascii="宋体" w:hAnsi="宋体" w:cs="宋体" w:eastAsia="宋体" w:hint="default"/>
          <w:spacing w:val="-22"/>
        </w:rPr>
        <w:t> </w:t>
      </w:r>
      <w:r>
        <w:rPr>
          <w:spacing w:val="-2"/>
        </w:rPr>
        <w:t>月</w:t>
      </w:r>
      <w:r>
        <w:rPr>
          <w:rFonts w:ascii="宋体" w:hAnsi="宋体" w:cs="宋体" w:eastAsia="宋体" w:hint="default"/>
          <w:spacing w:val="-2"/>
        </w:rPr>
        <w:t>13</w:t>
      </w:r>
      <w:r>
        <w:rPr>
          <w:spacing w:val="-2"/>
        </w:rPr>
        <w:t>日开庭。在答辩期内，被告于</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8</w:t>
      </w:r>
      <w:r>
        <w:rPr>
          <w:spacing w:val="-2"/>
        </w:rPr>
        <w:t>日前后提出管辖权异议申请，申请将案件移送至广州市中级</w:t>
      </w:r>
      <w:r>
        <w:rPr>
          <w:spacing w:val="-35"/>
        </w:rPr>
        <w:t> </w:t>
      </w:r>
      <w:r>
        <w:rPr>
          <w:spacing w:val="-35"/>
        </w:rPr>
      </w:r>
      <w:r>
        <w:rPr/>
        <w:t>人民法院审理。故原定</w:t>
      </w:r>
      <w:r>
        <w:rPr>
          <w:rFonts w:ascii="宋体" w:hAnsi="宋体" w:cs="宋体" w:eastAsia="宋体" w:hint="default"/>
        </w:rPr>
        <w:t>4</w:t>
      </w:r>
      <w:r>
        <w:rPr/>
        <w:t>月</w:t>
      </w:r>
      <w:r>
        <w:rPr>
          <w:rFonts w:ascii="宋体" w:hAnsi="宋体" w:cs="宋体" w:eastAsia="宋体" w:hint="default"/>
        </w:rPr>
        <w:t>6</w:t>
      </w:r>
      <w:r>
        <w:rPr/>
        <w:t>日证据交换及</w:t>
      </w:r>
      <w:r>
        <w:rPr>
          <w:rFonts w:ascii="宋体" w:hAnsi="宋体" w:cs="宋体" w:eastAsia="宋体" w:hint="default"/>
        </w:rPr>
        <w:t>4</w:t>
      </w:r>
      <w:r>
        <w:rPr/>
        <w:t>月</w:t>
      </w:r>
      <w:r>
        <w:rPr>
          <w:rFonts w:ascii="宋体" w:hAnsi="宋体" w:cs="宋体" w:eastAsia="宋体" w:hint="default"/>
        </w:rPr>
        <w:t>13</w:t>
      </w:r>
      <w:r>
        <w:rPr/>
        <w:t>日的庭审暂不进行，截止本报告披露日，公司尚未收到案</w:t>
      </w:r>
      <w:r>
        <w:rPr>
          <w:spacing w:val="-24"/>
        </w:rPr>
        <w:t> </w:t>
      </w:r>
      <w:r>
        <w:rPr>
          <w:spacing w:val="-24"/>
        </w:rPr>
      </w:r>
      <w:r>
        <w:rPr/>
        <w:t>件进展的其他通知。</w:t>
      </w:r>
    </w:p>
    <w:p>
      <w:pPr>
        <w:pStyle w:val="BodyText"/>
        <w:spacing w:line="408" w:lineRule="auto"/>
        <w:ind w:left="633" w:right="0"/>
        <w:jc w:val="left"/>
      </w:pPr>
      <w:r>
        <w:rPr/>
        <w:t>（</w:t>
      </w:r>
      <w:r>
        <w:rPr>
          <w:rFonts w:ascii="宋体" w:hAnsi="宋体" w:cs="宋体" w:eastAsia="宋体" w:hint="default"/>
        </w:rPr>
        <w:t>2</w:t>
      </w:r>
      <w:r>
        <w:rPr/>
        <w:t>）资产负债表日后发生的资产购买事项</w:t>
      </w:r>
      <w:r>
        <w:rPr>
          <w:w w:val="100"/>
        </w:rPr>
        <w:t> </w:t>
      </w:r>
      <w:r>
        <w:rPr>
          <w:rFonts w:ascii="宋体" w:hAnsi="宋体" w:cs="宋体" w:eastAsia="宋体" w:hint="default"/>
          <w:spacing w:val="-1"/>
        </w:rPr>
        <w:t>2016</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日，美年大健康产业控股股份有限公司与慈铭健康体检管理集团有限公司相关股东天亿</w:t>
      </w:r>
    </w:p>
    <w:p>
      <w:pPr>
        <w:pStyle w:val="BodyText"/>
        <w:spacing w:line="408" w:lineRule="auto"/>
        <w:ind w:right="0"/>
        <w:jc w:val="left"/>
      </w:pPr>
      <w:r>
        <w:rPr>
          <w:spacing w:val="-2"/>
        </w:rPr>
        <w:t>资管、东胜康业、韩小红和李世海签署了《非公开发行股份购买资产协议》，美年健康拟向天亿资管、东</w:t>
      </w:r>
      <w:r>
        <w:rPr>
          <w:spacing w:val="-45"/>
        </w:rPr>
        <w:t> </w:t>
      </w:r>
      <w:r>
        <w:rPr>
          <w:spacing w:val="-45"/>
        </w:rPr>
      </w:r>
      <w:r>
        <w:rPr>
          <w:spacing w:val="-2"/>
        </w:rPr>
        <w:t>胜康业、韩小红和李世海非公开发行股份购买其持有的慈铭体检</w:t>
      </w:r>
      <w:r>
        <w:rPr>
          <w:rFonts w:ascii="宋体" w:hAnsi="宋体" w:cs="宋体" w:eastAsia="宋体" w:hint="default"/>
          <w:spacing w:val="-2"/>
        </w:rPr>
        <w:t>72.22%</w:t>
      </w:r>
      <w:r>
        <w:rPr>
          <w:spacing w:val="-2"/>
        </w:rPr>
        <w:t>股权，同时拟向不超过</w:t>
      </w:r>
      <w:r>
        <w:rPr>
          <w:rFonts w:ascii="宋体" w:hAnsi="宋体" w:cs="宋体" w:eastAsia="宋体" w:hint="default"/>
          <w:spacing w:val="-2"/>
        </w:rPr>
        <w:t>10</w:t>
      </w:r>
      <w:r>
        <w:rPr>
          <w:spacing w:val="-2"/>
        </w:rPr>
        <w:t>名其他特</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0"/>
        <w:jc w:val="left"/>
      </w:pPr>
      <w:r>
        <w:rPr/>
        <w:t>定投资者发行股份募集配套资金，募集资金总额不超过</w:t>
      </w:r>
      <w:r>
        <w:rPr>
          <w:rFonts w:ascii="宋体" w:hAnsi="宋体" w:cs="宋体" w:eastAsia="宋体" w:hint="default"/>
        </w:rPr>
        <w:t>194,000</w:t>
      </w:r>
      <w:r>
        <w:rPr/>
        <w:t>万元（占本次交易金额的</w:t>
      </w:r>
      <w:r>
        <w:rPr>
          <w:rFonts w:ascii="宋体" w:hAnsi="宋体" w:cs="宋体" w:eastAsia="宋体" w:hint="default"/>
        </w:rPr>
        <w:t>71.92%</w:t>
      </w:r>
      <w:r>
        <w:rPr/>
        <w:t>，不超过</w:t>
      </w:r>
      <w:r>
        <w:rPr>
          <w:spacing w:val="-25"/>
        </w:rPr>
        <w:t> </w:t>
      </w:r>
      <w:r>
        <w:rPr/>
        <w:t>本次交易作价的</w:t>
      </w:r>
      <w:r>
        <w:rPr>
          <w:rFonts w:ascii="宋体" w:hAnsi="宋体" w:cs="宋体" w:eastAsia="宋体" w:hint="default"/>
        </w:rPr>
        <w:t>100%</w:t>
      </w:r>
      <w:r>
        <w:rPr/>
        <w:t>）。</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81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z w:val="21"/>
          <w:szCs w:val="21"/>
        </w:rPr>
        <w:t>不适用。</w:t>
      </w:r>
    </w:p>
    <w:p>
      <w:pPr>
        <w:spacing w:line="520" w:lineRule="auto" w:before="102"/>
        <w:ind w:left="152" w:right="81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spacing w:val="-10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52"/>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spacing w:line="518" w:lineRule="auto" w:before="0"/>
        <w:ind w:left="152" w:right="79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spacing w:val="-104"/>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b/>
          <w:bCs/>
          <w:spacing w:val="-10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b/>
          <w:bCs/>
          <w:spacing w:val="-10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54"/>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6" w:firstLine="473"/>
        <w:jc w:val="both"/>
      </w:pPr>
      <w:r>
        <w:rPr>
          <w:color w:val="0D0D0D"/>
          <w:spacing w:val="-1"/>
        </w:rPr>
        <w:t>根据本公司的内部组织结构、管理要求及内部报告制度，本公司的经营业务划分为</w:t>
      </w:r>
      <w:r>
        <w:rPr>
          <w:rFonts w:ascii="宋体" w:hAnsi="宋体" w:cs="宋体" w:eastAsia="宋体" w:hint="default"/>
          <w:color w:val="0D0D0D"/>
          <w:spacing w:val="-1"/>
        </w:rPr>
        <w:t>7</w:t>
      </w:r>
      <w:r>
        <w:rPr>
          <w:color w:val="0D0D0D"/>
          <w:spacing w:val="-1"/>
        </w:rPr>
        <w:t>个经营分部，本</w:t>
      </w:r>
      <w:r>
        <w:rPr>
          <w:color w:val="0D0D0D"/>
          <w:w w:val="100"/>
        </w:rPr>
        <w:t> </w:t>
      </w:r>
      <w:r>
        <w:rPr>
          <w:color w:val="0D0D0D"/>
          <w:spacing w:val="-2"/>
        </w:rPr>
        <w:t>公司的管理层定期评价这些分部的经营成果，以决定向其分配资源及评价其业绩。在经营分部的基础上本</w:t>
      </w:r>
      <w:r>
        <w:rPr>
          <w:color w:val="0D0D0D"/>
          <w:spacing w:val="-42"/>
        </w:rPr>
        <w:t> </w:t>
      </w:r>
      <w:r>
        <w:rPr>
          <w:color w:val="0D0D0D"/>
          <w:spacing w:val="-42"/>
        </w:rPr>
      </w:r>
      <w:r>
        <w:rPr>
          <w:color w:val="0D0D0D"/>
        </w:rPr>
        <w:t>公司确定了</w:t>
      </w:r>
      <w:r>
        <w:rPr>
          <w:rFonts w:ascii="宋体" w:hAnsi="宋体" w:cs="宋体" w:eastAsia="宋体" w:hint="default"/>
          <w:color w:val="0D0D0D"/>
        </w:rPr>
        <w:t>7</w:t>
      </w:r>
      <w:r>
        <w:rPr>
          <w:color w:val="0D0D0D"/>
        </w:rPr>
        <w:t>个报告分部，分别为东北区、华东区、华北区、中南区（华中区）、西北区、西南区、华南</w:t>
      </w:r>
      <w:r>
        <w:rPr>
          <w:color w:val="0D0D0D"/>
          <w:spacing w:val="-24"/>
        </w:rPr>
        <w:t> </w:t>
      </w:r>
      <w:r>
        <w:rPr>
          <w:color w:val="0D0D0D"/>
          <w:spacing w:val="-24"/>
        </w:rPr>
      </w:r>
      <w:r>
        <w:rPr>
          <w:color w:val="0D0D0D"/>
        </w:rPr>
        <w:t>区。这些报告分部是以公司管理需求以及地理位置为基础确定的。</w:t>
      </w:r>
      <w:r>
        <w:rPr/>
      </w:r>
    </w:p>
    <w:p>
      <w:pPr>
        <w:pStyle w:val="BodyText"/>
        <w:spacing w:line="240" w:lineRule="auto"/>
        <w:ind w:left="626" w:right="0"/>
        <w:jc w:val="left"/>
      </w:pPr>
      <w:r>
        <w:rPr>
          <w:color w:val="0D0D0D"/>
          <w:spacing w:val="-4"/>
        </w:rPr>
        <w:t>分部报告信息根据各分部向管理层报告时采用的会计政策及计量标准披露，这些计量基础与编制财务</w:t>
      </w:r>
      <w:r>
        <w:rPr>
          <w:spacing w:val="-4"/>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color w:val="0D0D0D"/>
        </w:rPr>
        <w:t>报表时的会计与计量基础保持一致。</w:t>
      </w:r>
      <w:r>
        <w:rPr/>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6"/>
        <w:gridCol w:w="958"/>
        <w:gridCol w:w="956"/>
        <w:gridCol w:w="958"/>
        <w:gridCol w:w="958"/>
        <w:gridCol w:w="958"/>
        <w:gridCol w:w="955"/>
        <w:gridCol w:w="958"/>
        <w:gridCol w:w="958"/>
        <w:gridCol w:w="958"/>
      </w:tblGrid>
      <w:tr>
        <w:trPr>
          <w:trHeight w:val="403" w:hRule="exact"/>
        </w:trPr>
        <w:tc>
          <w:tcPr>
            <w:tcW w:w="946"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95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958"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958"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958"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259,841,072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839,332,442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279,489,154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217,888,790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157,164,123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274,414,488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324,448,661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-254,860,13</w:t>
            </w:r>
          </w:p>
          <w:p>
            <w:pPr>
              <w:pStyle w:val="TableParagraph"/>
              <w:spacing w:line="240" w:lineRule="auto" w:before="105"/>
              <w:ind w:left="610" w:right="0"/>
              <w:jc w:val="left"/>
              <w:rPr>
                <w:rFonts w:ascii="Times New Roman" w:hAnsi="Times New Roman" w:cs="Times New Roman" w:eastAsia="Times New Roman" w:hint="default"/>
                <w:sz w:val="18"/>
                <w:szCs w:val="18"/>
              </w:rPr>
            </w:pPr>
            <w:r>
              <w:rPr>
                <w:rFonts w:ascii="Times New Roman"/>
                <w:sz w:val="18"/>
              </w:rPr>
              <w:t>8.81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2,097,718,5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94.22</w:t>
            </w: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958"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135,023,766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493,822,951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157,712,166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110,500,828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82,258,508.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148,718,177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193,986,109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-229,180,55</w:t>
            </w:r>
          </w:p>
          <w:p>
            <w:pPr>
              <w:pStyle w:val="TableParagraph"/>
              <w:spacing w:line="240" w:lineRule="auto" w:before="105"/>
              <w:ind w:left="610" w:right="0"/>
              <w:jc w:val="left"/>
              <w:rPr>
                <w:rFonts w:ascii="Times New Roman" w:hAnsi="Times New Roman" w:cs="Times New Roman" w:eastAsia="Times New Roman" w:hint="default"/>
                <w:sz w:val="18"/>
                <w:szCs w:val="18"/>
              </w:rPr>
            </w:pPr>
            <w:r>
              <w:rPr>
                <w:rFonts w:ascii="Times New Roman"/>
                <w:sz w:val="18"/>
              </w:rPr>
              <w:t>6.70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1,092,841,9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50.87</w:t>
            </w:r>
          </w:p>
        </w:tc>
      </w:tr>
      <w:tr>
        <w:trPr>
          <w:trHeight w:val="161" w:hRule="exact"/>
        </w:trPr>
        <w:tc>
          <w:tcPr>
            <w:tcW w:w="946" w:type="dxa"/>
            <w:tcBorders>
              <w:top w:val="single" w:sz="4" w:space="0" w:color="000000"/>
              <w:left w:val="single" w:sz="4" w:space="0" w:color="000000"/>
              <w:bottom w:val="nil" w:sz="6" w:space="0" w:color="auto"/>
              <w:right w:val="single" w:sz="4" w:space="0" w:color="000000"/>
            </w:tcBorders>
            <w:shd w:val="clear" w:color="auto" w:fill="E0FFFF"/>
          </w:tcPr>
          <w:p>
            <w:pPr/>
          </w:p>
        </w:tc>
        <w:tc>
          <w:tcPr>
            <w:tcW w:w="958" w:type="dxa"/>
            <w:vMerge w:val="restart"/>
            <w:tcBorders>
              <w:top w:val="single" w:sz="4" w:space="0" w:color="000000"/>
              <w:left w:val="single" w:sz="9" w:space="0" w:color="E0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509,898,728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4,569,554,9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71.71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350,500,423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315,628,054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151,551,475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329,716,375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412,981,858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-2,158,885,</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427.36</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4,480,946,4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59.94</w:t>
            </w:r>
          </w:p>
        </w:tc>
      </w:tr>
      <w:tr>
        <w:trPr>
          <w:trHeight w:val="391" w:hRule="exact"/>
        </w:trPr>
        <w:tc>
          <w:tcPr>
            <w:tcW w:w="94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958" w:type="dxa"/>
            <w:vMerge/>
            <w:tcBorders>
              <w:left w:val="single" w:sz="9" w:space="0" w:color="E0FFFF"/>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161" w:hRule="exact"/>
        </w:trPr>
        <w:tc>
          <w:tcPr>
            <w:tcW w:w="946" w:type="dxa"/>
            <w:tcBorders>
              <w:top w:val="nil" w:sz="6" w:space="0" w:color="auto"/>
              <w:left w:val="single" w:sz="4" w:space="0" w:color="000000"/>
              <w:bottom w:val="single" w:sz="4" w:space="0" w:color="000000"/>
              <w:right w:val="single" w:sz="4" w:space="0" w:color="000000"/>
            </w:tcBorders>
            <w:shd w:val="clear" w:color="auto" w:fill="E0FFFF"/>
          </w:tcPr>
          <w:p>
            <w:pPr/>
          </w:p>
        </w:tc>
        <w:tc>
          <w:tcPr>
            <w:tcW w:w="958" w:type="dxa"/>
            <w:vMerge/>
            <w:tcBorders>
              <w:left w:val="single" w:sz="9" w:space="0" w:color="E0FFFF"/>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r>
        <w:trPr>
          <w:trHeight w:val="161" w:hRule="exact"/>
        </w:trPr>
        <w:tc>
          <w:tcPr>
            <w:tcW w:w="946" w:type="dxa"/>
            <w:tcBorders>
              <w:top w:val="single" w:sz="4" w:space="0" w:color="000000"/>
              <w:left w:val="single" w:sz="4" w:space="0" w:color="000000"/>
              <w:bottom w:val="nil" w:sz="6" w:space="0" w:color="auto"/>
              <w:right w:val="single" w:sz="4" w:space="0" w:color="000000"/>
            </w:tcBorders>
            <w:shd w:val="clear" w:color="auto" w:fill="E0FFFF"/>
          </w:tcPr>
          <w:p>
            <w:pPr/>
          </w:p>
        </w:tc>
        <w:tc>
          <w:tcPr>
            <w:tcW w:w="958" w:type="dxa"/>
            <w:vMerge w:val="restart"/>
            <w:tcBorders>
              <w:top w:val="single" w:sz="4" w:space="0" w:color="000000"/>
              <w:left w:val="single" w:sz="9" w:space="0" w:color="E0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242,718,306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1,263,238,6</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79.41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203,546,151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166,028,227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80,538,012.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140,706,595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181,122,045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-1,038,479,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483.08</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1,239,418,5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34.60</w:t>
            </w:r>
          </w:p>
        </w:tc>
      </w:tr>
      <w:tr>
        <w:trPr>
          <w:trHeight w:val="394" w:hRule="exact"/>
        </w:trPr>
        <w:tc>
          <w:tcPr>
            <w:tcW w:w="94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958" w:type="dxa"/>
            <w:vMerge/>
            <w:tcBorders>
              <w:left w:val="single" w:sz="9" w:space="0" w:color="E0FFFF"/>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161" w:hRule="exact"/>
        </w:trPr>
        <w:tc>
          <w:tcPr>
            <w:tcW w:w="946" w:type="dxa"/>
            <w:tcBorders>
              <w:top w:val="nil" w:sz="6" w:space="0" w:color="auto"/>
              <w:left w:val="single" w:sz="4" w:space="0" w:color="000000"/>
              <w:bottom w:val="single" w:sz="4" w:space="0" w:color="000000"/>
              <w:right w:val="single" w:sz="4" w:space="0" w:color="000000"/>
            </w:tcBorders>
            <w:shd w:val="clear" w:color="auto" w:fill="E0FFFF"/>
          </w:tcPr>
          <w:p>
            <w:pPr/>
          </w:p>
        </w:tc>
        <w:tc>
          <w:tcPr>
            <w:tcW w:w="958" w:type="dxa"/>
            <w:vMerge/>
            <w:tcBorders>
              <w:left w:val="single" w:sz="9" w:space="0" w:color="E0FFFF"/>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06" w:lineRule="auto" w:before="36"/>
        <w:ind w:right="687"/>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）公司无报告分部的，或者不能披露各报告分部的资产总额和负债总额的，应说明原因</w:t>
      </w:r>
      <w:r>
        <w:rPr>
          <w:spacing w:val="-70"/>
        </w:rPr>
        <w:t> </w:t>
      </w:r>
      <w:r>
        <w:rPr>
          <w:spacing w:val="-70"/>
        </w:rPr>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43,304,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919.00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2,617,095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40,687,823.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43,304,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919.00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2,617,095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40,687,823.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期末单项金额重大并单项计提坏账准备的应收账款：</w:t>
      </w:r>
    </w:p>
    <w:p>
      <w:pPr>
        <w:spacing w:line="240" w:lineRule="auto" w:before="12"/>
        <w:rPr>
          <w:rFonts w:ascii="宋体" w:hAnsi="宋体" w:cs="宋体" w:eastAsia="宋体" w:hint="default"/>
          <w:sz w:val="17"/>
          <w:szCs w:val="17"/>
        </w:rPr>
      </w:pPr>
    </w:p>
    <w:p>
      <w:pPr>
        <w:pStyle w:val="BodyText"/>
        <w:spacing w:line="441" w:lineRule="auto" w:before="0"/>
        <w:ind w:right="4344"/>
        <w:jc w:val="left"/>
      </w:pPr>
      <w:r>
        <w:rPr/>
        <w:t>□ 适用 √ 不适用</w:t>
      </w:r>
      <w:r>
        <w:rPr>
          <w:spacing w:val="-104"/>
        </w:rPr>
        <w:t> </w:t>
      </w:r>
      <w:r>
        <w:rPr>
          <w:spacing w:val="-104"/>
        </w:rPr>
      </w:r>
      <w:r>
        <w:rPr>
          <w:spacing w:val="-2"/>
        </w:rPr>
        <w:t>组合中，按账龄分析法计提坏账准备的应收账款：</w:t>
      </w:r>
    </w:p>
    <w:p>
      <w:pPr>
        <w:pStyle w:val="BodyText"/>
        <w:spacing w:line="444" w:lineRule="auto" w:before="57"/>
        <w:ind w:right="4344"/>
        <w:jc w:val="left"/>
      </w:pPr>
      <w:r>
        <w:rPr/>
        <w:t>□ 适用 √ 不适用</w:t>
      </w:r>
      <w:r>
        <w:rPr>
          <w:spacing w:val="-104"/>
        </w:rPr>
        <w:t> </w:t>
      </w:r>
      <w:r>
        <w:rPr>
          <w:spacing w:val="-104"/>
        </w:rPr>
      </w:r>
      <w:r>
        <w:rPr>
          <w:spacing w:val="-2"/>
        </w:rPr>
        <w:t>组合中，采用余额百分比法计提坏账准备的应收账款：</w:t>
      </w:r>
    </w:p>
    <w:p>
      <w:pPr>
        <w:pStyle w:val="BodyText"/>
        <w:spacing w:line="444" w:lineRule="auto" w:before="53"/>
        <w:ind w:right="4344"/>
        <w:jc w:val="left"/>
      </w:pPr>
      <w:r>
        <w:rPr/>
        <w:t>□ 适用 √ 不适用</w:t>
      </w:r>
      <w:r>
        <w:rPr>
          <w:spacing w:val="-104"/>
        </w:rPr>
        <w:t> </w:t>
      </w:r>
      <w:r>
        <w:rPr>
          <w:spacing w:val="-104"/>
        </w:rPr>
      </w:r>
      <w:r>
        <w:rPr>
          <w:spacing w:val="-2"/>
        </w:rPr>
        <w:t>组合中，采用其他方法计提坏账准备的应收账款：</w:t>
      </w:r>
    </w:p>
    <w:p>
      <w:pPr>
        <w:spacing w:line="240" w:lineRule="auto" w:before="3"/>
        <w:rPr>
          <w:rFonts w:ascii="宋体" w:hAnsi="宋体" w:cs="宋体" w:eastAsia="宋体" w:hint="default"/>
          <w:sz w:val="18"/>
          <w:szCs w:val="18"/>
        </w:rPr>
      </w:pPr>
    </w:p>
    <w:p>
      <w:pPr>
        <w:pStyle w:val="Heading3"/>
        <w:spacing w:line="506" w:lineRule="auto"/>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）本期计提、收回或转回的坏账准备情况</w:t>
      </w:r>
      <w:r>
        <w:rPr>
          <w:spacing w:val="-85"/>
        </w:rPr>
        <w:t> </w:t>
      </w:r>
      <w:r>
        <w:rPr>
          <w:spacing w:val="-85"/>
        </w:rPr>
      </w:r>
      <w:r>
        <w:rPr>
          <w:rFonts w:ascii="宋体" w:hAnsi="宋体" w:cs="宋体" w:eastAsia="宋体" w:hint="default"/>
          <w:b w:val="0"/>
          <w:bCs w:val="0"/>
        </w:rPr>
        <w:t>不适用。</w:t>
      </w:r>
    </w:p>
    <w:p>
      <w:pPr>
        <w:pStyle w:val="Heading3"/>
        <w:spacing w:line="506" w:lineRule="auto" w:before="101"/>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）本期实际核销的应收账款情况</w:t>
      </w:r>
      <w:r>
        <w:rPr>
          <w:spacing w:val="-91"/>
        </w:rPr>
        <w:t> </w:t>
      </w:r>
      <w:r>
        <w:rPr>
          <w:spacing w:val="-91"/>
        </w:rPr>
      </w:r>
      <w:r>
        <w:rPr>
          <w:rFonts w:ascii="宋体" w:hAnsi="宋体" w:cs="宋体" w:eastAsia="宋体" w:hint="default"/>
          <w:b w:val="0"/>
          <w:bCs w:val="0"/>
        </w:rPr>
        <w:t>不适用。</w:t>
      </w:r>
    </w:p>
    <w:p>
      <w:pPr>
        <w:pStyle w:val="Heading3"/>
        <w:spacing w:line="506" w:lineRule="auto" w:before="104"/>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4</w:t>
      </w:r>
      <w:r>
        <w:rPr>
          <w:spacing w:val="-1"/>
        </w:rPr>
        <w:t>）按欠款方归集的期末余额前五名的应收账款情况</w:t>
      </w:r>
      <w:r>
        <w:rPr>
          <w:spacing w:val="-86"/>
        </w:rPr>
        <w:t> </w:t>
      </w:r>
      <w:r>
        <w:rPr>
          <w:spacing w:val="-86"/>
        </w:rPr>
      </w:r>
      <w:r>
        <w:rPr>
          <w:rFonts w:ascii="宋体" w:hAnsi="宋体" w:cs="宋体" w:eastAsia="宋体" w:hint="default"/>
          <w:b w:val="0"/>
          <w:bCs w:val="0"/>
        </w:rPr>
        <w:t>不适用。</w:t>
      </w:r>
    </w:p>
    <w:p>
      <w:pPr>
        <w:pStyle w:val="Heading3"/>
        <w:spacing w:line="506" w:lineRule="auto" w:before="101"/>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）因金融资产转移而终止确认的应收账款</w:t>
      </w:r>
      <w:r>
        <w:rPr>
          <w:spacing w:val="-85"/>
        </w:rPr>
        <w:t> </w:t>
      </w:r>
      <w:r>
        <w:rPr>
          <w:spacing w:val="-85"/>
        </w:rPr>
      </w:r>
      <w:r>
        <w:rPr>
          <w:rFonts w:ascii="宋体" w:hAnsi="宋体" w:cs="宋体" w:eastAsia="宋体" w:hint="default"/>
          <w:b w:val="0"/>
          <w:bCs w:val="0"/>
        </w:rPr>
        <w:t>不适用。</w:t>
      </w:r>
    </w:p>
    <w:p>
      <w:pPr>
        <w:pStyle w:val="Heading3"/>
        <w:spacing w:line="506" w:lineRule="auto" w:before="104"/>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6</w:t>
      </w:r>
      <w:r>
        <w:rPr>
          <w:spacing w:val="-1"/>
        </w:rPr>
        <w:t>）转移应收账款且继续涉入形成的资产、负债金额</w:t>
      </w:r>
      <w:r>
        <w:rPr>
          <w:spacing w:val="-86"/>
        </w:rPr>
        <w:t> </w:t>
      </w:r>
      <w:r>
        <w:rPr>
          <w:spacing w:val="-86"/>
        </w:rPr>
      </w:r>
      <w:r>
        <w:rPr>
          <w:rFonts w:ascii="宋体" w:hAnsi="宋体" w:cs="宋体" w:eastAsia="宋体" w:hint="default"/>
          <w:b w:val="0"/>
          <w:bCs w:val="0"/>
        </w:rPr>
        <w:t>不适用。</w:t>
      </w:r>
    </w:p>
    <w:p>
      <w:pPr>
        <w:pStyle w:val="Heading3"/>
        <w:spacing w:line="240" w:lineRule="auto" w:before="102"/>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52"/>
        <w:gridCol w:w="801"/>
        <w:gridCol w:w="653"/>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2"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148"/>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25,169,6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06.00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25,169,60</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6.00</w:t>
            </w:r>
          </w:p>
        </w:tc>
        <w:tc>
          <w:tcPr>
            <w:tcW w:w="65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48,648,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331.57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2,806,800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45,841,531.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25,169,6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06.00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25,169,60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48,648,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331.57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45,841,531.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28"/>
        <w:ind w:right="0"/>
        <w:jc w:val="left"/>
      </w:pPr>
      <w:r>
        <w:rPr>
          <w:spacing w:val="-2"/>
        </w:rPr>
        <w:t>期末单项金额重大并单项计提坏账准备的其他应收款：</w:t>
      </w:r>
    </w:p>
    <w:p>
      <w:pPr>
        <w:pStyle w:val="BodyText"/>
        <w:spacing w:line="240" w:lineRule="auto" w:before="7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199" w:space="3630"/>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上海向弘投资中心（有限</w:t>
            </w:r>
            <w:r>
              <w:rPr>
                <w:rFonts w:ascii="宋体" w:hAnsi="宋体" w:cs="宋体" w:eastAsia="宋体" w:hint="default"/>
                <w:sz w:val="18"/>
                <w:szCs w:val="18"/>
              </w:rPr>
              <w:t> 合伙）</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25,169,606.00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25,169,606.00</w:t>
            </w:r>
          </w:p>
        </w:tc>
        <w:tc>
          <w:tcPr>
            <w:tcW w:w="1913" w:type="dxa"/>
            <w:tcBorders>
              <w:top w:val="single" w:sz="4" w:space="0" w:color="000000"/>
              <w:left w:val="single" w:sz="4" w:space="0" w:color="000000"/>
              <w:bottom w:val="single" w:sz="4" w:space="0" w:color="000000"/>
              <w:right w:val="single" w:sz="13" w:space="0" w:color="D2D2D2"/>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组合中，按账龄分析法计提坏账准备的其他应收款：</w:t>
      </w:r>
    </w:p>
    <w:p>
      <w:pPr>
        <w:spacing w:line="240" w:lineRule="auto" w:before="9"/>
        <w:rPr>
          <w:rFonts w:ascii="宋体" w:hAnsi="宋体" w:cs="宋体" w:eastAsia="宋体" w:hint="default"/>
          <w:sz w:val="17"/>
          <w:szCs w:val="17"/>
        </w:rPr>
      </w:pPr>
    </w:p>
    <w:p>
      <w:pPr>
        <w:pStyle w:val="BodyText"/>
        <w:spacing w:line="420" w:lineRule="auto" w:before="0"/>
        <w:ind w:right="4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组合中，采用余额百分比法计提坏账准备的其他应收款：</w:t>
      </w:r>
    </w:p>
    <w:p>
      <w:pPr>
        <w:pStyle w:val="BodyText"/>
        <w:spacing w:line="420" w:lineRule="auto" w:before="74"/>
        <w:ind w:right="4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本期计提坏账准备金额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9"/>
          <w:szCs w:val="29"/>
        </w:rPr>
      </w:pPr>
    </w:p>
    <w:p>
      <w:pPr>
        <w:pStyle w:val="Heading3"/>
        <w:spacing w:line="506" w:lineRule="auto"/>
        <w:ind w:right="572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）本期实际核销的其他应收款情况</w:t>
      </w:r>
      <w:r>
        <w:rPr>
          <w:spacing w:val="-90"/>
        </w:rPr>
        <w:t> </w:t>
      </w:r>
      <w:r>
        <w:rPr>
          <w:spacing w:val="-90"/>
        </w:rPr>
      </w:r>
      <w:r>
        <w:rPr>
          <w:rFonts w:ascii="宋体" w:hAnsi="宋体" w:cs="宋体" w:eastAsia="宋体" w:hint="default"/>
          <w:b w:val="0"/>
          <w:bCs w:val="0"/>
        </w:rPr>
        <w:t>不适用。</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25,169,606.00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46,730,000.00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1,868,331.57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25,169,606.00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48,648,331.57</w:t>
            </w:r>
          </w:p>
        </w:tc>
      </w:tr>
    </w:tbl>
    <w:p>
      <w:pPr>
        <w:spacing w:line="240" w:lineRule="auto" w:before="3"/>
        <w:rPr>
          <w:rFonts w:ascii="宋体" w:hAnsi="宋体" w:cs="宋体" w:eastAsia="宋体" w:hint="default"/>
          <w:sz w:val="19"/>
          <w:szCs w:val="19"/>
        </w:rPr>
      </w:pPr>
    </w:p>
    <w:p>
      <w:pPr>
        <w:pStyle w:val="Heading3"/>
        <w:spacing w:line="506" w:lineRule="auto" w:before="36"/>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5</w:t>
      </w:r>
      <w:r>
        <w:rPr>
          <w:spacing w:val="-1"/>
        </w:rPr>
        <w:t>）按欠款方归集的期末余额前五名的其他应收款情况</w:t>
      </w:r>
      <w:r>
        <w:rPr>
          <w:spacing w:val="-86"/>
        </w:rPr>
        <w:t> </w:t>
      </w:r>
      <w:r>
        <w:rPr>
          <w:spacing w:val="-86"/>
        </w:rPr>
      </w:r>
      <w:r>
        <w:rPr>
          <w:rFonts w:ascii="宋体" w:hAnsi="宋体" w:cs="宋体" w:eastAsia="宋体" w:hint="default"/>
          <w:b w:val="0"/>
          <w:bCs w:val="0"/>
        </w:rPr>
        <w:t>不适用。</w:t>
      </w:r>
    </w:p>
    <w:p>
      <w:pPr>
        <w:spacing w:line="508" w:lineRule="auto" w:before="104"/>
        <w:ind w:left="152" w:right="6942"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）涉及政府补助的应收款项</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不适用。</w:t>
      </w:r>
    </w:p>
    <w:p>
      <w:pPr>
        <w:pStyle w:val="Heading3"/>
        <w:spacing w:line="506" w:lineRule="auto" w:before="99"/>
        <w:ind w:right="488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）因金融资产转移而终止确认的其他应收款</w:t>
      </w:r>
      <w:r>
        <w:rPr>
          <w:spacing w:val="-84"/>
        </w:rPr>
        <w:t> </w:t>
      </w:r>
      <w:r>
        <w:rPr>
          <w:spacing w:val="-84"/>
        </w:rPr>
      </w:r>
      <w:r>
        <w:rPr>
          <w:rFonts w:ascii="宋体" w:hAnsi="宋体" w:cs="宋体" w:eastAsia="宋体" w:hint="default"/>
          <w:b w:val="0"/>
          <w:bCs w:val="0"/>
        </w:rPr>
        <w:t>不适用。</w:t>
      </w:r>
    </w:p>
    <w:p>
      <w:pPr>
        <w:pStyle w:val="Heading3"/>
        <w:spacing w:line="506" w:lineRule="auto" w:before="104"/>
        <w:ind w:right="434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8</w:t>
      </w:r>
      <w:r>
        <w:rPr>
          <w:spacing w:val="-1"/>
        </w:rPr>
        <w:t>）转移其他应收款且继续涉入形成的资产、负债金额</w:t>
      </w:r>
      <w:r>
        <w:rPr>
          <w:spacing w:val="-85"/>
        </w:rPr>
        <w:t> </w:t>
      </w:r>
      <w:r>
        <w:rPr>
          <w:spacing w:val="-85"/>
        </w:rPr>
      </w:r>
      <w:r>
        <w:rPr>
          <w:rFonts w:ascii="宋体" w:hAnsi="宋体" w:cs="宋体" w:eastAsia="宋体" w:hint="default"/>
          <w:b w:val="0"/>
          <w:bCs w:val="0"/>
        </w:rPr>
        <w:t>不适用。</w:t>
      </w:r>
    </w:p>
    <w:p>
      <w:pPr>
        <w:pStyle w:val="Heading3"/>
        <w:spacing w:line="240" w:lineRule="auto" w:before="102"/>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5,882,699,415.39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5,882,699,415.39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274,316,606.79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174,316,606.79</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2,761,283.73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2,761,283.73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5,882,699,415.39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5,882,699,415.39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277,077,890.52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177,077,890.52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pacing w:val="-7"/>
                <w:sz w:val="18"/>
                <w:szCs w:val="18"/>
              </w:rPr>
              <w:t>（集团）有限公司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5,882,699,415.39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5,882,699,415.39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江苏三友环保能 源科技有限公司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南通市港闸区资 丰农村小额贷款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84,797,800.00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84,797,800.00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江苏三友集团南 通色织有限公司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54,880,084.27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54,880,084.27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南通三明时装有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20,619,420.75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20,619,420.75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江苏北斗科技有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南通三友信息科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南通三友环保科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4,019,301.77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4,019,301.77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274,316,606.79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5,882,699,415.39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274,316,606.79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5,882,699,415.39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南通世川 时装有限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4"/>
        <w:gridCol w:w="1847"/>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560,663,349.16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448,761,151.75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552,635,532.26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436,077,989.70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11,275,645.70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6,253,262.16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6,782,961.01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741,565.90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571,938,994.86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455,014,413.91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559,418,493.27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436,819,555.60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413,482.93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742,859.44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35,490.75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37,911,468.64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304,945.30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1,520,821.91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38,659,842.51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1,933,172.10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-275,166.31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274,488.00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50,018,135.65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89"/>
              <w:jc w:val="left"/>
              <w:rPr>
                <w:rFonts w:ascii="宋体" w:hAnsi="宋体" w:cs="宋体" w:eastAsia="宋体" w:hint="default"/>
                <w:sz w:val="18"/>
                <w:szCs w:val="18"/>
              </w:rPr>
            </w:pPr>
            <w:r>
              <w:rPr>
                <w:rFonts w:ascii="宋体" w:hAnsi="宋体" w:cs="宋体" w:eastAsia="宋体" w:hint="default"/>
                <w:sz w:val="18"/>
                <w:szCs w:val="18"/>
              </w:rPr>
              <w:t>多次交易分步实现的企业合并按照公允 价值确认的收益</w:t>
            </w:r>
          </w:p>
        </w:tc>
      </w:tr>
      <w:tr>
        <w:trPr>
          <w:trHeight w:val="164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194,083.38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-4,030,558.05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134,936.34</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1,561,645.32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44,484,664.93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4"/>
        </w:rPr>
        <w:t> </w:t>
      </w:r>
      <w:r>
        <w:rPr>
          <w:spacing w:val="-2"/>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益项目，以及把《公开发行证券的公司信息披露解释性公告第</w:t>
      </w:r>
      <w:r>
        <w:rPr>
          <w:spacing w:val="-28"/>
        </w:rPr>
        <w:t> </w:t>
      </w:r>
      <w:r>
        <w:rPr>
          <w:rFonts w:ascii="宋体" w:hAnsi="宋体" w:cs="宋体" w:eastAsia="宋体" w:hint="default"/>
        </w:rPr>
        <w:t>1</w:t>
      </w:r>
      <w:r>
        <w:rPr>
          <w:rFonts w:ascii="宋体" w:hAnsi="宋体" w:cs="宋体" w:eastAsia="宋体" w:hint="default"/>
          <w:spacing w:val="-30"/>
        </w:rPr>
        <w:t> </w:t>
      </w:r>
      <w:r>
        <w:rPr>
          <w:spacing w:val="-2"/>
        </w:rPr>
        <w:t>号——非经常性损益》中列举的非经常性</w:t>
      </w:r>
      <w:r>
        <w:rPr>
          <w:spacing w:val="-95"/>
        </w:rPr>
        <w:t> </w:t>
      </w:r>
      <w:r>
        <w:rPr>
          <w:spacing w:val="-95"/>
        </w:rPr>
      </w:r>
      <w:r>
        <w:rPr/>
        <w:t>损益项目界定为经常性损益的项目，应说明原因。</w:t>
      </w:r>
    </w:p>
    <w:p>
      <w:pPr>
        <w:pStyle w:val="BodyText"/>
        <w:spacing w:line="240" w:lineRule="auto" w:before="84"/>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right="0"/>
        <w:jc w:val="left"/>
      </w:pP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92"/>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0"/>
        <w:rPr>
          <w:rFonts w:ascii="宋体" w:hAnsi="宋体" w:cs="宋体" w:eastAsia="宋体" w:hint="default"/>
          <w:b/>
          <w:bCs/>
          <w:sz w:val="46"/>
          <w:szCs w:val="46"/>
        </w:rPr>
      </w:pPr>
    </w:p>
    <w:p>
      <w:pPr>
        <w:pStyle w:val="BodyText"/>
        <w:spacing w:line="408" w:lineRule="auto" w:before="0"/>
        <w:ind w:right="92"/>
        <w:jc w:val="left"/>
      </w:pPr>
      <w:r>
        <w:rPr>
          <w:spacing w:val="-5"/>
        </w:rPr>
        <w:t>一、载有公司法定代表人俞熔先生、财务总监兰佳女士、会计机构负责人兰佳女士签名并盖章的会计报告。</w:t>
      </w:r>
      <w:r>
        <w:rPr>
          <w:spacing w:val="-7"/>
        </w:rPr>
        <w:t> </w:t>
      </w:r>
      <w:r>
        <w:rPr>
          <w:spacing w:val="-7"/>
        </w:rPr>
      </w:r>
      <w:r>
        <w:rPr/>
        <w:t>二、载有会计师事务所盖章，中国注册会计师签名并盖章的审计报告原件。</w:t>
      </w:r>
      <w:r>
        <w:rPr>
          <w:w w:val="100"/>
        </w:rPr>
        <w:t> </w:t>
      </w:r>
      <w:r>
        <w:rPr/>
        <w:t>三、报告期内在中国证监会指定网站上公开披露过的所有公司文件的正本及公告的原稿。</w:t>
      </w:r>
      <w:r>
        <w:rPr>
          <w:w w:val="100"/>
        </w:rPr>
        <w:t> </w:t>
      </w:r>
      <w:r>
        <w:rPr/>
        <w:t>四、载有公司董事长俞熔签名的公司</w:t>
      </w:r>
      <w:r>
        <w:rPr>
          <w:rFonts w:ascii="宋体" w:hAnsi="宋体" w:cs="宋体" w:eastAsia="宋体" w:hint="default"/>
        </w:rPr>
        <w:t>2015</w:t>
      </w:r>
      <w:r>
        <w:rPr/>
        <w:t>年年度报告文本。</w:t>
      </w:r>
    </w:p>
    <w:p>
      <w:pPr>
        <w:pStyle w:val="BodyText"/>
        <w:spacing w:line="240" w:lineRule="auto"/>
        <w:ind w:right="92"/>
        <w:jc w:val="left"/>
      </w:pPr>
      <w:r>
        <w:rPr/>
        <w:t>五、以上备查文件的备置地点：公司证券部。</w:t>
      </w:r>
    </w:p>
    <w:sectPr>
      <w:pgSz w:w="11910" w:h="16840"/>
      <w:pgMar w:header="745" w:footer="979" w:top="1060" w:bottom="116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401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163</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401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401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401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401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401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401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401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401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49988pt;margin-top:36.265610pt;width:222.75pt;height:11.5pt;mso-position-horizontal-relative:page;mso-position-vertical-relative:page;z-index:-1401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226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ealth-100.cn/" TargetMode="External"/><Relationship Id="rId10" Type="http://schemas.openxmlformats.org/officeDocument/2006/relationships/hyperlink" Target="mailto:liulj@health-100.cn" TargetMode="External"/><Relationship Id="rId11" Type="http://schemas.openxmlformats.org/officeDocument/2006/relationships/hyperlink" Target="mailto:chenyl@health-100.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2.jpe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美年大健康产业控股股份有限公司</dc:creator>
  <dc:title>美年大健康产业控股股份有限公司2015年年度报告全文</dc:title>
  <dcterms:created xsi:type="dcterms:W3CDTF">2020-05-04T12:08:19Z</dcterms:created>
  <dcterms:modified xsi:type="dcterms:W3CDTF">2020-05-04T12:08:19Z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Microsoft® Office Word 2007</vt:lpwstr>
  </property>
  <property fmtid="{D5CDD505-2E9C-101B-9397-08002B2CF9AE}" pid="4" name="LastSaved">
    <vt:filetime>2020-05-04T00:00:00Z</vt:filetime>
  </property>
</Properties>
</file>